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7B8F3" w14:textId="4DA9BB9C" w:rsidR="00195452" w:rsidRPr="009E6034" w:rsidRDefault="00B83F3A" w:rsidP="009E6034">
      <w:pPr>
        <w:pStyle w:val="COMH1-non-numbered"/>
      </w:pPr>
      <w:bookmarkStart w:id="0" w:name="_Toc167274362"/>
      <w:r>
        <w:t>7.01</w:t>
      </w:r>
      <w:r w:rsidR="00163F66" w:rsidRPr="00043790">
        <w:tab/>
      </w:r>
      <w:r w:rsidR="007238AB" w:rsidRPr="00043790">
        <w:t>ESKETAMINE</w:t>
      </w:r>
      <w:r w:rsidR="00163F66" w:rsidRPr="00043790">
        <w:t>,</w:t>
      </w:r>
      <w:r w:rsidR="00163F66" w:rsidRPr="00043790">
        <w:br/>
      </w:r>
      <w:r w:rsidR="0033538A" w:rsidRPr="00043790">
        <w:t>Nasal spray solution</w:t>
      </w:r>
      <w:r w:rsidR="00941D01">
        <w:t xml:space="preserve"> </w:t>
      </w:r>
      <w:r w:rsidR="0033538A" w:rsidRPr="00043790">
        <w:t>28 mg in 0.2 mL</w:t>
      </w:r>
      <w:r w:rsidR="009859A6">
        <w:t xml:space="preserve"> </w:t>
      </w:r>
      <w:r w:rsidR="00802902" w:rsidRPr="00802902">
        <w:t>(2 actuations)</w:t>
      </w:r>
      <w:r w:rsidR="00163F66" w:rsidRPr="00043790">
        <w:br/>
      </w:r>
      <w:r w:rsidR="0033538A" w:rsidRPr="00043790">
        <w:t>Spravato</w:t>
      </w:r>
      <w:r w:rsidR="00B60939" w:rsidRPr="00043790">
        <w:rPr>
          <w:vertAlign w:val="superscript"/>
        </w:rPr>
        <w:t>®</w:t>
      </w:r>
      <w:r w:rsidR="004A6040" w:rsidRPr="00043790">
        <w:t>,</w:t>
      </w:r>
      <w:r w:rsidR="004A6040" w:rsidRPr="00043790">
        <w:br/>
      </w:r>
      <w:r w:rsidR="0033538A" w:rsidRPr="00043790">
        <w:t>Janssen-Cilag Pty Ltd</w:t>
      </w:r>
      <w:r w:rsidR="00B60939" w:rsidRPr="00043790">
        <w:t>.</w:t>
      </w:r>
      <w:bookmarkStart w:id="1" w:name="_Toc22897637"/>
      <w:bookmarkEnd w:id="0"/>
    </w:p>
    <w:p w14:paraId="11C00795" w14:textId="3DFB6D23" w:rsidR="00B50DB8" w:rsidRPr="00043790" w:rsidRDefault="00B50DB8" w:rsidP="001D5EA0">
      <w:pPr>
        <w:pStyle w:val="COMH1numbered"/>
        <w:numPr>
          <w:ilvl w:val="0"/>
          <w:numId w:val="1"/>
        </w:numPr>
      </w:pPr>
      <w:bookmarkStart w:id="2" w:name="_Toc167274364"/>
      <w:bookmarkEnd w:id="1"/>
      <w:r w:rsidRPr="00043790">
        <w:t xml:space="preserve">Purpose of </w:t>
      </w:r>
      <w:r w:rsidR="00CD7193" w:rsidRPr="00043790">
        <w:t>s</w:t>
      </w:r>
      <w:r w:rsidR="00BB3A45" w:rsidRPr="00043790">
        <w:t>ubmission</w:t>
      </w:r>
      <w:bookmarkEnd w:id="2"/>
    </w:p>
    <w:p w14:paraId="19414AA1" w14:textId="7DEB03E2" w:rsidR="002C2775" w:rsidRPr="00D26534" w:rsidRDefault="007170DA" w:rsidP="00334ED6">
      <w:pPr>
        <w:pStyle w:val="COMexecsumnumberedpara"/>
        <w:numPr>
          <w:ilvl w:val="1"/>
          <w:numId w:val="1"/>
        </w:numPr>
        <w:ind w:left="720" w:hanging="720"/>
      </w:pPr>
      <w:r w:rsidRPr="00D26534">
        <w:t xml:space="preserve">The </w:t>
      </w:r>
      <w:r w:rsidR="008E76AB" w:rsidRPr="00D26534">
        <w:t>s</w:t>
      </w:r>
      <w:r w:rsidR="000508C2" w:rsidRPr="00D26534">
        <w:t xml:space="preserve">tandard </w:t>
      </w:r>
      <w:r w:rsidR="008E76AB" w:rsidRPr="00D26534">
        <w:t>r</w:t>
      </w:r>
      <w:r w:rsidR="000508C2" w:rsidRPr="00D26534">
        <w:t>e-entry</w:t>
      </w:r>
      <w:r w:rsidR="003C7C15" w:rsidRPr="00D26534">
        <w:t xml:space="preserve"> </w:t>
      </w:r>
      <w:r w:rsidRPr="00D26534">
        <w:t xml:space="preserve">submission requested </w:t>
      </w:r>
      <w:r w:rsidR="008B1757" w:rsidRPr="00D26534">
        <w:t>Section 100</w:t>
      </w:r>
      <w:r w:rsidR="00C55470" w:rsidRPr="00D26534">
        <w:t xml:space="preserve"> (Highly Specialised Drug Program) A</w:t>
      </w:r>
      <w:r w:rsidR="008B1757" w:rsidRPr="00D26534">
        <w:t>uthority Required</w:t>
      </w:r>
      <w:r w:rsidR="00C55470" w:rsidRPr="00D26534">
        <w:t xml:space="preserve"> (Telephone/Online)</w:t>
      </w:r>
      <w:r w:rsidR="008B1757" w:rsidRPr="00D26534">
        <w:t xml:space="preserve"> listing for </w:t>
      </w:r>
      <w:r w:rsidR="00C55470" w:rsidRPr="00D26534">
        <w:t>esketamine</w:t>
      </w:r>
      <w:r w:rsidR="008B1757" w:rsidRPr="00D26534">
        <w:t xml:space="preserve"> for </w:t>
      </w:r>
      <w:r w:rsidR="0050174E" w:rsidRPr="00D26534">
        <w:t xml:space="preserve">the </w:t>
      </w:r>
      <w:r w:rsidR="008B1757" w:rsidRPr="00D26534">
        <w:t xml:space="preserve">treatment of </w:t>
      </w:r>
      <w:r w:rsidR="00C55470" w:rsidRPr="00D26534">
        <w:t>treatment-resistant depression</w:t>
      </w:r>
      <w:r w:rsidR="009031E5">
        <w:t xml:space="preserve"> (TRD)</w:t>
      </w:r>
      <w:r w:rsidR="008B1757" w:rsidRPr="00D26534">
        <w:t>.</w:t>
      </w:r>
      <w:r w:rsidR="00F1382E" w:rsidRPr="00D26534">
        <w:t xml:space="preserve"> </w:t>
      </w:r>
    </w:p>
    <w:p w14:paraId="4E9FBCB5" w14:textId="327AE0E5" w:rsidR="00C2778B" w:rsidRPr="00D26534" w:rsidRDefault="005750C5" w:rsidP="00334ED6">
      <w:pPr>
        <w:pStyle w:val="COMexecsumnumberedpara"/>
        <w:numPr>
          <w:ilvl w:val="1"/>
          <w:numId w:val="1"/>
        </w:numPr>
        <w:ind w:left="720" w:hanging="720"/>
      </w:pPr>
      <w:r w:rsidRPr="00D26534">
        <w:t xml:space="preserve">Listing was requested on the basis of a cost-effectiveness analysis versus </w:t>
      </w:r>
      <w:r w:rsidR="005C6902" w:rsidRPr="00D26534">
        <w:t>a newly initiated OAD.</w:t>
      </w:r>
      <w:r w:rsidR="00BC591F" w:rsidRPr="00D26534">
        <w:t xml:space="preserve">  </w:t>
      </w:r>
    </w:p>
    <w:p w14:paraId="3718DE61" w14:textId="6A3CB55B" w:rsidR="008B1757" w:rsidRPr="00D26534" w:rsidRDefault="00696EF9" w:rsidP="004A6040">
      <w:pPr>
        <w:pStyle w:val="COMtablefigcaption"/>
      </w:pPr>
      <w:r w:rsidRPr="00D26534">
        <w:t xml:space="preserve">Table </w:t>
      </w:r>
      <w:r w:rsidR="004E64B8">
        <w:fldChar w:fldCharType="begin" w:fldLock="1"/>
      </w:r>
      <w:r w:rsidR="004E64B8">
        <w:instrText xml:space="preserve"> SEQ Table \* ARABIC </w:instrText>
      </w:r>
      <w:r w:rsidR="004E64B8">
        <w:fldChar w:fldCharType="separate"/>
      </w:r>
      <w:r w:rsidR="002B3C60">
        <w:rPr>
          <w:noProof/>
        </w:rPr>
        <w:t>1</w:t>
      </w:r>
      <w:r w:rsidR="004E64B8">
        <w:rPr>
          <w:noProof/>
        </w:rPr>
        <w:fldChar w:fldCharType="end"/>
      </w:r>
      <w:r w:rsidRPr="00D26534">
        <w:t>:</w:t>
      </w:r>
      <w:r w:rsidR="00BC591F" w:rsidRPr="00D26534">
        <w:t xml:space="preserve"> </w:t>
      </w:r>
      <w:r w:rsidR="008B1757" w:rsidRPr="00D26534">
        <w:t xml:space="preserve">Key components of the clinical issue addressed </w:t>
      </w:r>
      <w:r w:rsidR="00045E27" w:rsidRPr="00D26534">
        <w:t>in</w:t>
      </w:r>
      <w:r w:rsidR="008B1757" w:rsidRPr="00D26534">
        <w:t xml:space="preserve"> the </w:t>
      </w:r>
      <w:r w:rsidR="00045E27" w:rsidRPr="00D26534">
        <w:t>re</w:t>
      </w:r>
      <w:r w:rsidR="008B1757" w:rsidRPr="00D26534">
        <w:t>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resubmission"/>
      </w:tblPr>
      <w:tblGrid>
        <w:gridCol w:w="1668"/>
        <w:gridCol w:w="7488"/>
      </w:tblGrid>
      <w:tr w:rsidR="00045E27" w:rsidRPr="00D26534" w14:paraId="77D72CD8" w14:textId="77777777" w:rsidTr="259D127E">
        <w:tc>
          <w:tcPr>
            <w:tcW w:w="1668" w:type="dxa"/>
            <w:vAlign w:val="center"/>
          </w:tcPr>
          <w:p w14:paraId="42B95500" w14:textId="77777777" w:rsidR="00045E27" w:rsidRPr="00D26534" w:rsidRDefault="00045E27" w:rsidP="00281546">
            <w:pPr>
              <w:pStyle w:val="COMTableheadingrow"/>
              <w:rPr>
                <w:lang w:val="en-AU"/>
              </w:rPr>
            </w:pPr>
            <w:r w:rsidRPr="00D26534">
              <w:rPr>
                <w:lang w:val="en-AU"/>
              </w:rPr>
              <w:t>Component</w:t>
            </w:r>
          </w:p>
        </w:tc>
        <w:tc>
          <w:tcPr>
            <w:tcW w:w="7488" w:type="dxa"/>
            <w:vAlign w:val="center"/>
          </w:tcPr>
          <w:p w14:paraId="5AFEB0F2" w14:textId="77777777" w:rsidR="00045E27" w:rsidRPr="00D26534" w:rsidRDefault="00045E27" w:rsidP="00281546">
            <w:pPr>
              <w:pStyle w:val="COMTableheadingrow"/>
              <w:rPr>
                <w:lang w:val="en-AU"/>
              </w:rPr>
            </w:pPr>
            <w:r w:rsidRPr="00D26534">
              <w:rPr>
                <w:lang w:val="en-AU"/>
              </w:rPr>
              <w:t>Description</w:t>
            </w:r>
          </w:p>
        </w:tc>
      </w:tr>
      <w:tr w:rsidR="00045E27" w:rsidRPr="00D26534" w14:paraId="6AEB2C63" w14:textId="77777777" w:rsidTr="259D127E">
        <w:tc>
          <w:tcPr>
            <w:tcW w:w="1668" w:type="dxa"/>
            <w:vAlign w:val="center"/>
          </w:tcPr>
          <w:p w14:paraId="14E0611E" w14:textId="77777777" w:rsidR="00045E27" w:rsidRPr="00D26534" w:rsidRDefault="00045E27" w:rsidP="00281546">
            <w:pPr>
              <w:pStyle w:val="COMTabletext"/>
            </w:pPr>
            <w:r w:rsidRPr="00D26534">
              <w:t>Population</w:t>
            </w:r>
          </w:p>
        </w:tc>
        <w:tc>
          <w:tcPr>
            <w:tcW w:w="7488" w:type="dxa"/>
            <w:vAlign w:val="center"/>
          </w:tcPr>
          <w:p w14:paraId="7EFA7F1B" w14:textId="77777777" w:rsidR="00045E27" w:rsidRPr="00D26534" w:rsidRDefault="00045E27" w:rsidP="00281546">
            <w:pPr>
              <w:pStyle w:val="COMTabletext"/>
            </w:pPr>
            <w:r w:rsidRPr="00D26534">
              <w:t>Adults with major depressive disorder, who have not responded adequately to at least 2 separate courses of treatment with different antidepressants, each of adequate dose and duration, in the current moderate to severe depressive episode.</w:t>
            </w:r>
          </w:p>
        </w:tc>
      </w:tr>
      <w:tr w:rsidR="00045E27" w:rsidRPr="00D26534" w14:paraId="198C676F" w14:textId="77777777" w:rsidTr="259D127E">
        <w:tc>
          <w:tcPr>
            <w:tcW w:w="1668" w:type="dxa"/>
            <w:vAlign w:val="center"/>
          </w:tcPr>
          <w:p w14:paraId="5B12BC49" w14:textId="77777777" w:rsidR="00045E27" w:rsidRPr="00D26534" w:rsidRDefault="00045E27" w:rsidP="00281546">
            <w:pPr>
              <w:pStyle w:val="COMTabletext"/>
            </w:pPr>
            <w:r w:rsidRPr="00D26534">
              <w:t>Intervention</w:t>
            </w:r>
          </w:p>
        </w:tc>
        <w:tc>
          <w:tcPr>
            <w:tcW w:w="7488" w:type="dxa"/>
            <w:vAlign w:val="center"/>
          </w:tcPr>
          <w:p w14:paraId="78CE3321" w14:textId="0BBF181B" w:rsidR="00045E27" w:rsidRPr="00D26534" w:rsidRDefault="00045E27" w:rsidP="007E2E03">
            <w:pPr>
              <w:pStyle w:val="COMTabletext"/>
            </w:pPr>
            <w:r>
              <w:t xml:space="preserve">Esketamine hydrochloride is to be administered in conjunction with an oral antidepressant, under the supervision of a healthcare professional. Dosing depends on age and phase of treatment.  Patients receive either 1 device (28 mg dose), 2 devices (56 mg dose) or 3 devices </w:t>
            </w:r>
            <w:r w:rsidR="74694092">
              <w:t>(</w:t>
            </w:r>
            <w:r>
              <w:t>84 mg dose)</w:t>
            </w:r>
            <w:r w:rsidR="0042370F">
              <w:t xml:space="preserve"> </w:t>
            </w:r>
            <w:r w:rsidR="5AA2C1FF">
              <w:t>and are treated twice per week (</w:t>
            </w:r>
            <w:r w:rsidR="4D12B217">
              <w:t>weeks 1-4 of treatment</w:t>
            </w:r>
            <w:r w:rsidR="5AA2C1FF">
              <w:t>),</w:t>
            </w:r>
            <w:r w:rsidR="77AD06BB">
              <w:t xml:space="preserve"> weekly (</w:t>
            </w:r>
            <w:r w:rsidR="4D12B217">
              <w:t>weeks 5-8),</w:t>
            </w:r>
            <w:r w:rsidR="5AA2C1FF">
              <w:t xml:space="preserve"> and weekly or fortnightly thereafter</w:t>
            </w:r>
            <w:r>
              <w:t xml:space="preserve">. Evidence of therapeutic benefit should be evaluated at the end of induction phase (4 weeks) to determine need for continued treatment. After depressive symptoms improve, treatment should continue for at least 6 months, with patients monitored to determine continuing response. Esketamine is discontinued once a patient relapses or when a patient recovers. </w:t>
            </w:r>
            <w:r w:rsidRPr="259D127E">
              <w:rPr>
                <w:u w:val="single"/>
              </w:rPr>
              <w:t>For most patients</w:t>
            </w:r>
            <w:r>
              <w:t xml:space="preserve">, the maximum treatment duration is 12 months per major depressive episode. </w:t>
            </w:r>
            <w:r w:rsidRPr="259D127E">
              <w:rPr>
                <w:u w:val="single"/>
              </w:rPr>
              <w:t>A proportion of patients will require treatment beyond 12 months per major depressive episode. These would generally be (but not specifically limited to) patients who were continuing to respond to treatment but had not achieved remission or recovery. Retreatment with esketamine is clinically appropriate for patients who have responded to treatment with esketamine in a previous major depressive episode, after a break of at least 4 months between esketamine treatments.</w:t>
            </w:r>
          </w:p>
        </w:tc>
      </w:tr>
      <w:tr w:rsidR="00045E27" w:rsidRPr="00D26534" w14:paraId="12E37549" w14:textId="77777777" w:rsidTr="259D127E">
        <w:tc>
          <w:tcPr>
            <w:tcW w:w="1668" w:type="dxa"/>
            <w:vAlign w:val="center"/>
          </w:tcPr>
          <w:p w14:paraId="3A68DD46" w14:textId="77777777" w:rsidR="00045E27" w:rsidRPr="00D26534" w:rsidRDefault="00045E27" w:rsidP="00281546">
            <w:pPr>
              <w:pStyle w:val="COMTabletext"/>
            </w:pPr>
            <w:r w:rsidRPr="00D26534">
              <w:t>Comparator</w:t>
            </w:r>
          </w:p>
        </w:tc>
        <w:tc>
          <w:tcPr>
            <w:tcW w:w="7488" w:type="dxa"/>
          </w:tcPr>
          <w:p w14:paraId="63FD9900" w14:textId="77777777" w:rsidR="00045E27" w:rsidRPr="00D26534" w:rsidRDefault="00045E27" w:rsidP="00281546">
            <w:pPr>
              <w:pStyle w:val="COMTabletext"/>
            </w:pPr>
            <w:r w:rsidRPr="00D26534">
              <w:t>Initiation of a new oral antidepressant.</w:t>
            </w:r>
          </w:p>
        </w:tc>
      </w:tr>
      <w:tr w:rsidR="00045E27" w:rsidRPr="00D26534" w14:paraId="6E0E4F3C" w14:textId="77777777" w:rsidTr="259D127E">
        <w:tc>
          <w:tcPr>
            <w:tcW w:w="1668" w:type="dxa"/>
            <w:vAlign w:val="center"/>
          </w:tcPr>
          <w:p w14:paraId="3B1734A8" w14:textId="77777777" w:rsidR="00045E27" w:rsidRPr="00D26534" w:rsidRDefault="00045E27" w:rsidP="00281546">
            <w:pPr>
              <w:pStyle w:val="COMTabletext"/>
            </w:pPr>
            <w:r w:rsidRPr="00D26534">
              <w:t>Outcomes</w:t>
            </w:r>
          </w:p>
        </w:tc>
        <w:tc>
          <w:tcPr>
            <w:tcW w:w="7488" w:type="dxa"/>
            <w:vAlign w:val="center"/>
          </w:tcPr>
          <w:p w14:paraId="044BE149" w14:textId="77777777" w:rsidR="00045E27" w:rsidRPr="00D26534" w:rsidRDefault="00045E27" w:rsidP="00281546">
            <w:pPr>
              <w:pStyle w:val="COMTabletext"/>
              <w:rPr>
                <w:highlight w:val="yellow"/>
              </w:rPr>
            </w:pPr>
            <w:r w:rsidRPr="00D26534">
              <w:rPr>
                <w:szCs w:val="20"/>
              </w:rPr>
              <w:t xml:space="preserve">Change in depression severity (using the Montgomery-Asberg Depression Rating Scale (MADRS) total score), incidence of clinical response and remission, </w:t>
            </w:r>
            <w:r w:rsidRPr="00D26534">
              <w:rPr>
                <w:rFonts w:cs="Arial"/>
                <w:szCs w:val="20"/>
              </w:rPr>
              <w:t>occupational, social and family functioning</w:t>
            </w:r>
            <w:r w:rsidRPr="00D26534">
              <w:rPr>
                <w:szCs w:val="20"/>
              </w:rPr>
              <w:t>, quality of life, incidence of adverse events.</w:t>
            </w:r>
          </w:p>
        </w:tc>
      </w:tr>
      <w:tr w:rsidR="00045E27" w:rsidRPr="00D26534" w14:paraId="10C5F866" w14:textId="77777777" w:rsidTr="259D127E">
        <w:tc>
          <w:tcPr>
            <w:tcW w:w="1668" w:type="dxa"/>
            <w:vAlign w:val="center"/>
          </w:tcPr>
          <w:p w14:paraId="3602A6F6" w14:textId="77777777" w:rsidR="00045E27" w:rsidRPr="00D26534" w:rsidRDefault="00045E27" w:rsidP="00281546">
            <w:pPr>
              <w:pStyle w:val="COMTabletext"/>
            </w:pPr>
            <w:r w:rsidRPr="00D26534">
              <w:t>Clinical claim</w:t>
            </w:r>
          </w:p>
        </w:tc>
        <w:tc>
          <w:tcPr>
            <w:tcW w:w="7488" w:type="dxa"/>
          </w:tcPr>
          <w:p w14:paraId="1ECBF014" w14:textId="77777777" w:rsidR="00045E27" w:rsidRPr="00D26534" w:rsidRDefault="00045E27" w:rsidP="00281546">
            <w:pPr>
              <w:pStyle w:val="COMTabletext"/>
            </w:pPr>
            <w:r w:rsidRPr="00D26534">
              <w:rPr>
                <w:szCs w:val="20"/>
              </w:rPr>
              <w:t>Esketamine nasal spray in combination with a newly initiated oral antidepressant i</w:t>
            </w:r>
            <w:r w:rsidRPr="00D26534">
              <w:rPr>
                <w:rFonts w:cs="Arial"/>
                <w:szCs w:val="20"/>
              </w:rPr>
              <w:t xml:space="preserve">s superior </w:t>
            </w:r>
            <w:r w:rsidRPr="00D26534">
              <w:rPr>
                <w:szCs w:val="20"/>
              </w:rPr>
              <w:t xml:space="preserve">in terms of </w:t>
            </w:r>
            <w:r w:rsidRPr="00D26534">
              <w:rPr>
                <w:rFonts w:cs="Arial"/>
                <w:szCs w:val="20"/>
              </w:rPr>
              <w:t xml:space="preserve">efficacy </w:t>
            </w:r>
            <w:r w:rsidRPr="00D26534">
              <w:rPr>
                <w:szCs w:val="20"/>
              </w:rPr>
              <w:t xml:space="preserve">and inferior in terms of safety </w:t>
            </w:r>
            <w:r w:rsidRPr="00D26534">
              <w:rPr>
                <w:rFonts w:cs="Arial"/>
                <w:szCs w:val="20"/>
              </w:rPr>
              <w:t>when compared to a newly initiated oral antidepressant</w:t>
            </w:r>
            <w:r w:rsidRPr="00D26534">
              <w:rPr>
                <w:szCs w:val="20"/>
              </w:rPr>
              <w:t xml:space="preserve"> alone.</w:t>
            </w:r>
          </w:p>
        </w:tc>
      </w:tr>
    </w:tbl>
    <w:p w14:paraId="15D71F53" w14:textId="0F4B15BD" w:rsidR="00045E27" w:rsidRPr="00D26534" w:rsidRDefault="00045E27" w:rsidP="00045E27">
      <w:pPr>
        <w:pStyle w:val="COMTablefooter"/>
      </w:pPr>
      <w:r w:rsidRPr="00D26534">
        <w:t>Source: Table 1-1,of the submission.</w:t>
      </w:r>
    </w:p>
    <w:p w14:paraId="78D96474" w14:textId="77777777" w:rsidR="00045E27" w:rsidRPr="00D26534" w:rsidRDefault="00045E27" w:rsidP="00045E27">
      <w:pPr>
        <w:pStyle w:val="COMTablefooter"/>
      </w:pPr>
      <w:r w:rsidRPr="00D26534">
        <w:t xml:space="preserve">Note: </w:t>
      </w:r>
      <w:r w:rsidRPr="00D26534">
        <w:rPr>
          <w:u w:val="single"/>
        </w:rPr>
        <w:t>Underlined text indicates changes/additions to the July 2023 resubmission.</w:t>
      </w:r>
      <w:r w:rsidRPr="00D26534">
        <w:t xml:space="preserve"> </w:t>
      </w:r>
    </w:p>
    <w:p w14:paraId="46EFA3E9" w14:textId="77777777" w:rsidR="00045E27" w:rsidRPr="00D26534" w:rsidRDefault="00045E27" w:rsidP="00045E27">
      <w:pPr>
        <w:pStyle w:val="COMTablefooter"/>
      </w:pPr>
      <w:r w:rsidRPr="00D26534">
        <w:t xml:space="preserve">Note: Unlike the clinical evidence presented in the resubmission and the approved TGA indication, the requested restrictions do not require concomitant treatment with an oral antidepressant to be newly initiated. </w:t>
      </w:r>
    </w:p>
    <w:p w14:paraId="6B4AB6C2" w14:textId="7F01D731" w:rsidR="005C25FF" w:rsidRPr="00043790" w:rsidRDefault="005C25FF" w:rsidP="001D5EA0">
      <w:pPr>
        <w:pStyle w:val="COMH1numbered"/>
        <w:numPr>
          <w:ilvl w:val="0"/>
          <w:numId w:val="1"/>
        </w:numPr>
      </w:pPr>
      <w:bookmarkStart w:id="3" w:name="_Toc167274365"/>
      <w:r w:rsidRPr="00043790">
        <w:lastRenderedPageBreak/>
        <w:t>Background</w:t>
      </w:r>
      <w:bookmarkEnd w:id="3"/>
    </w:p>
    <w:p w14:paraId="2C521D6D" w14:textId="78CF03EE" w:rsidR="005C25FF" w:rsidRPr="00043790" w:rsidRDefault="005C25FF" w:rsidP="004A6040">
      <w:pPr>
        <w:pStyle w:val="COMH2-non-numbered"/>
      </w:pPr>
      <w:bookmarkStart w:id="4" w:name="_Toc22897638"/>
      <w:bookmarkStart w:id="5" w:name="_Toc167274366"/>
      <w:r w:rsidRPr="00043790">
        <w:t>Registration status</w:t>
      </w:r>
      <w:bookmarkEnd w:id="4"/>
      <w:bookmarkEnd w:id="5"/>
    </w:p>
    <w:p w14:paraId="5374AD55" w14:textId="2D01EC8F" w:rsidR="005C25FF" w:rsidRPr="00F31F77" w:rsidRDefault="00930887" w:rsidP="00334ED6">
      <w:pPr>
        <w:pStyle w:val="COMexecsumnumberedpara"/>
        <w:numPr>
          <w:ilvl w:val="1"/>
          <w:numId w:val="1"/>
        </w:numPr>
        <w:ind w:left="720" w:hanging="720"/>
      </w:pPr>
      <w:r w:rsidRPr="00F31F77">
        <w:t xml:space="preserve">Esketamine nasal spray was registered on the ARTG on 9 March 2021, for </w:t>
      </w:r>
      <w:r w:rsidR="009031E5">
        <w:t>“</w:t>
      </w:r>
      <w:r w:rsidRPr="00F31F77">
        <w:t xml:space="preserve">treatment resistant depression (Major Depressive Disorder in adults who have not responded adequately to at least two different antidepressants of adequate dose and duration to treat the current moderate to severe depressive episode). </w:t>
      </w:r>
      <w:r w:rsidR="0039513B">
        <w:t xml:space="preserve"> </w:t>
      </w:r>
      <w:r w:rsidR="009031E5">
        <w:t xml:space="preserve">Spravato [esketamine] </w:t>
      </w:r>
      <w:r w:rsidRPr="00F31F77">
        <w:t>is to be initiated in conjunction with a newly initiated oral antidepressant</w:t>
      </w:r>
      <w:r w:rsidR="009031E5">
        <w:t>”</w:t>
      </w:r>
      <w:r w:rsidRPr="00F31F77">
        <w:t>.</w:t>
      </w:r>
      <w:r w:rsidR="00D43D83" w:rsidRPr="00F31F77">
        <w:t xml:space="preserve"> </w:t>
      </w:r>
    </w:p>
    <w:p w14:paraId="3E2A6EAB" w14:textId="469C8C0C" w:rsidR="005C25FF" w:rsidRPr="00043790" w:rsidRDefault="005C25FF" w:rsidP="004E18E9">
      <w:pPr>
        <w:pStyle w:val="COMH2-non-numbered"/>
      </w:pPr>
      <w:bookmarkStart w:id="6" w:name="_Toc22897639"/>
      <w:bookmarkStart w:id="7" w:name="_Toc167274367"/>
      <w:r w:rsidRPr="00043790">
        <w:t>Previous PBAC consideration</w:t>
      </w:r>
      <w:bookmarkEnd w:id="6"/>
      <w:bookmarkEnd w:id="7"/>
    </w:p>
    <w:p w14:paraId="0B724EAE" w14:textId="77777777" w:rsidR="00511CE1" w:rsidRPr="00D26534" w:rsidRDefault="00511CE1" w:rsidP="00334ED6">
      <w:pPr>
        <w:pStyle w:val="COMexecsumnumberedpara"/>
        <w:numPr>
          <w:ilvl w:val="1"/>
          <w:numId w:val="1"/>
        </w:numPr>
        <w:ind w:left="720" w:hanging="720"/>
      </w:pPr>
      <w:r w:rsidRPr="00D26534">
        <w:t>This is the fourth PBAC consideration of esketamine. Esketamine was previously considered for the treatment of patients with TRD at the July 2021, July 2022 and July 2023 PBAC meetings.</w:t>
      </w:r>
    </w:p>
    <w:p w14:paraId="3AC4C76E" w14:textId="2D1D017E" w:rsidR="005C25FF" w:rsidRPr="00D26534" w:rsidRDefault="00511CE1" w:rsidP="00334ED6">
      <w:pPr>
        <w:pStyle w:val="COMexecsumnumberedpara"/>
        <w:numPr>
          <w:ilvl w:val="1"/>
          <w:numId w:val="1"/>
        </w:numPr>
        <w:ind w:left="720" w:hanging="720"/>
      </w:pPr>
      <w:r w:rsidRPr="00D26534">
        <w:t xml:space="preserve">The matters of concern from the July 2023 meeting are summarised in </w:t>
      </w:r>
      <w:r w:rsidR="00C12EB9" w:rsidRPr="00D26534">
        <w:fldChar w:fldCharType="begin" w:fldLock="1"/>
      </w:r>
      <w:r w:rsidR="00C12EB9" w:rsidRPr="00D26534">
        <w:instrText xml:space="preserve"> REF _Ref161406522 \h  \* MERGEFORMAT </w:instrText>
      </w:r>
      <w:r w:rsidR="00C12EB9" w:rsidRPr="00D26534">
        <w:fldChar w:fldCharType="separate"/>
      </w:r>
      <w:r w:rsidR="002B3C60" w:rsidRPr="00D26534">
        <w:t xml:space="preserve">Table </w:t>
      </w:r>
      <w:r w:rsidR="002B3C60">
        <w:t>2</w:t>
      </w:r>
      <w:r w:rsidR="00C12EB9" w:rsidRPr="00D26534">
        <w:fldChar w:fldCharType="end"/>
      </w:r>
      <w:r w:rsidRPr="00D26534">
        <w:t xml:space="preserve"> below.</w:t>
      </w:r>
      <w:r w:rsidR="005C25FF" w:rsidRPr="00334ED6">
        <w:t xml:space="preserve"> </w:t>
      </w:r>
    </w:p>
    <w:p w14:paraId="2A23A49F" w14:textId="06FEBF29" w:rsidR="005C25FF" w:rsidRPr="00D26534" w:rsidRDefault="007C044E" w:rsidP="007C044E">
      <w:pPr>
        <w:pStyle w:val="COMtablefigcaption"/>
      </w:pPr>
      <w:bookmarkStart w:id="8" w:name="_Ref161406522"/>
      <w:r w:rsidRPr="00D26534">
        <w:t xml:space="preserve">Table </w:t>
      </w:r>
      <w:r w:rsidR="004E64B8">
        <w:fldChar w:fldCharType="begin" w:fldLock="1"/>
      </w:r>
      <w:r w:rsidR="004E64B8">
        <w:instrText xml:space="preserve"> SEQ Table \* ARABIC </w:instrText>
      </w:r>
      <w:r w:rsidR="004E64B8">
        <w:fldChar w:fldCharType="separate"/>
      </w:r>
      <w:r w:rsidR="002B3C60">
        <w:rPr>
          <w:noProof/>
        </w:rPr>
        <w:t>2</w:t>
      </w:r>
      <w:r w:rsidR="004E64B8">
        <w:rPr>
          <w:noProof/>
        </w:rPr>
        <w:fldChar w:fldCharType="end"/>
      </w:r>
      <w:bookmarkEnd w:id="8"/>
      <w:r w:rsidR="00696EF9" w:rsidRPr="00D26534">
        <w:t>:</w:t>
      </w:r>
      <w:r w:rsidR="005C25FF" w:rsidRPr="00D26534">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2: Summary of key matters of concern"/>
      </w:tblPr>
      <w:tblGrid>
        <w:gridCol w:w="1471"/>
        <w:gridCol w:w="3627"/>
        <w:gridCol w:w="3919"/>
      </w:tblGrid>
      <w:tr w:rsidR="005C25FF" w:rsidRPr="008217F1" w14:paraId="6747F8E1" w14:textId="77777777" w:rsidTr="259D127E">
        <w:trPr>
          <w:cantSplit/>
          <w:tblHeader/>
        </w:trPr>
        <w:tc>
          <w:tcPr>
            <w:tcW w:w="816" w:type="pct"/>
            <w:vAlign w:val="center"/>
          </w:tcPr>
          <w:p w14:paraId="346F438D" w14:textId="77777777" w:rsidR="005C25FF" w:rsidRPr="008217F1" w:rsidRDefault="005C25FF" w:rsidP="004E18E9">
            <w:pPr>
              <w:pStyle w:val="COMTableheadingrow"/>
              <w:rPr>
                <w:lang w:val="en-AU"/>
              </w:rPr>
            </w:pPr>
            <w:r w:rsidRPr="008217F1">
              <w:rPr>
                <w:lang w:val="en-AU"/>
              </w:rPr>
              <w:t>Component</w:t>
            </w:r>
          </w:p>
        </w:tc>
        <w:tc>
          <w:tcPr>
            <w:tcW w:w="2011" w:type="pct"/>
            <w:vAlign w:val="center"/>
          </w:tcPr>
          <w:p w14:paraId="2B7F3F42" w14:textId="77777777" w:rsidR="005C25FF" w:rsidRPr="008217F1" w:rsidRDefault="005C25FF" w:rsidP="004E18E9">
            <w:pPr>
              <w:pStyle w:val="COMTableheadingrow"/>
              <w:rPr>
                <w:lang w:val="en-AU"/>
              </w:rPr>
            </w:pPr>
            <w:r w:rsidRPr="008217F1">
              <w:rPr>
                <w:lang w:val="en-AU"/>
              </w:rPr>
              <w:t>Matter of concern</w:t>
            </w:r>
          </w:p>
        </w:tc>
        <w:tc>
          <w:tcPr>
            <w:tcW w:w="2173" w:type="pct"/>
            <w:vAlign w:val="center"/>
          </w:tcPr>
          <w:p w14:paraId="4BAA81F2" w14:textId="77777777" w:rsidR="005C25FF" w:rsidRPr="008217F1" w:rsidRDefault="005C25FF" w:rsidP="004E18E9">
            <w:pPr>
              <w:pStyle w:val="COMTableheadingrow"/>
              <w:rPr>
                <w:lang w:val="en-AU"/>
              </w:rPr>
            </w:pPr>
            <w:r w:rsidRPr="008217F1">
              <w:rPr>
                <w:lang w:val="en-AU"/>
              </w:rPr>
              <w:t>How the resubmission addresses it</w:t>
            </w:r>
          </w:p>
        </w:tc>
      </w:tr>
      <w:tr w:rsidR="005C25FF" w:rsidRPr="008217F1" w14:paraId="12E6A50B" w14:textId="77777777" w:rsidTr="259D127E">
        <w:trPr>
          <w:cantSplit/>
        </w:trPr>
        <w:tc>
          <w:tcPr>
            <w:tcW w:w="816" w:type="pct"/>
          </w:tcPr>
          <w:p w14:paraId="4F23B305" w14:textId="3759C36A" w:rsidR="005C25FF" w:rsidRPr="008217F1" w:rsidRDefault="00B93213" w:rsidP="0064434C">
            <w:pPr>
              <w:pStyle w:val="COMTabletext"/>
              <w:rPr>
                <w:highlight w:val="cyan"/>
              </w:rPr>
            </w:pPr>
            <w:r w:rsidRPr="008217F1">
              <w:t>Restriction</w:t>
            </w:r>
          </w:p>
        </w:tc>
        <w:tc>
          <w:tcPr>
            <w:tcW w:w="2011" w:type="pct"/>
          </w:tcPr>
          <w:p w14:paraId="27979425" w14:textId="6A9FBA5D" w:rsidR="005C25FF" w:rsidRPr="008217F1" w:rsidRDefault="005E3277" w:rsidP="0064434C">
            <w:pPr>
              <w:pStyle w:val="COMTabletext"/>
              <w:rPr>
                <w:szCs w:val="20"/>
                <w:highlight w:val="cyan"/>
              </w:rPr>
            </w:pPr>
            <w:r w:rsidRPr="008217F1">
              <w:rPr>
                <w:szCs w:val="20"/>
              </w:rPr>
              <w:t xml:space="preserve">The PBAC noted </w:t>
            </w:r>
            <w:r w:rsidR="00691BFF" w:rsidRPr="008217F1">
              <w:rPr>
                <w:szCs w:val="20"/>
              </w:rPr>
              <w:t>that</w:t>
            </w:r>
            <w:r w:rsidRPr="008217F1">
              <w:rPr>
                <w:szCs w:val="20"/>
              </w:rPr>
              <w:t xml:space="preserve"> there needed to be some flexibility regarding the maximum 12-month treatment duration and allowing retreatment may be appropriate for some patients after a reasonable period of time off treatment (para 7.</w:t>
            </w:r>
            <w:r w:rsidR="00C7510B" w:rsidRPr="008217F1">
              <w:rPr>
                <w:szCs w:val="20"/>
              </w:rPr>
              <w:t>4</w:t>
            </w:r>
            <w:r w:rsidRPr="008217F1">
              <w:rPr>
                <w:szCs w:val="20"/>
              </w:rPr>
              <w:t>, esketamine Public Summary Document (PSD), July 2023 PBAC meeting)</w:t>
            </w:r>
          </w:p>
        </w:tc>
        <w:tc>
          <w:tcPr>
            <w:tcW w:w="2173" w:type="pct"/>
            <w:vAlign w:val="center"/>
          </w:tcPr>
          <w:p w14:paraId="7D1B144C" w14:textId="46F75889" w:rsidR="002F5981" w:rsidRPr="008217F1" w:rsidRDefault="00761412" w:rsidP="00AE236E">
            <w:pPr>
              <w:pStyle w:val="COMTabletext"/>
              <w:rPr>
                <w:highlight w:val="cyan"/>
              </w:rPr>
            </w:pPr>
            <w:r w:rsidRPr="008217F1">
              <w:t>Restrictions</w:t>
            </w:r>
            <w:r w:rsidR="001255CB" w:rsidRPr="008217F1">
              <w:t xml:space="preserve"> were proposed</w:t>
            </w:r>
            <w:r w:rsidR="002F5981" w:rsidRPr="008217F1">
              <w:t xml:space="preserve"> for</w:t>
            </w:r>
            <w:r w:rsidR="00AE236E" w:rsidRPr="008217F1">
              <w:t xml:space="preserve"> patients receiving u</w:t>
            </w:r>
            <w:r w:rsidR="002F5981" w:rsidRPr="008217F1">
              <w:t>p to 12 months of treatment</w:t>
            </w:r>
            <w:r w:rsidRPr="008217F1">
              <w:t xml:space="preserve"> (majority of patients</w:t>
            </w:r>
            <w:r w:rsidR="00AE236E" w:rsidRPr="008217F1">
              <w:t>); p</w:t>
            </w:r>
            <w:r w:rsidR="00431624" w:rsidRPr="008217F1">
              <w:t xml:space="preserve">atients </w:t>
            </w:r>
            <w:r w:rsidR="00AE236E" w:rsidRPr="008217F1">
              <w:t>treated</w:t>
            </w:r>
            <w:r w:rsidR="00431624" w:rsidRPr="008217F1">
              <w:t xml:space="preserve"> beyond 12 months (new restriction)</w:t>
            </w:r>
            <w:r w:rsidR="00AE236E" w:rsidRPr="008217F1">
              <w:t>; and p</w:t>
            </w:r>
            <w:r w:rsidR="00431624" w:rsidRPr="008217F1">
              <w:t xml:space="preserve">atients who have previously responded to esketamine and require retreatment for a new </w:t>
            </w:r>
            <w:r w:rsidR="00C24BA5" w:rsidRPr="008217F1">
              <w:t>MDE (new restriction)</w:t>
            </w:r>
            <w:r w:rsidRPr="008217F1">
              <w:t xml:space="preserve"> </w:t>
            </w:r>
          </w:p>
        </w:tc>
      </w:tr>
      <w:tr w:rsidR="003534CC" w:rsidRPr="008217F1" w14:paraId="4DD73B83" w14:textId="77777777" w:rsidTr="259D127E">
        <w:trPr>
          <w:cantSplit/>
        </w:trPr>
        <w:tc>
          <w:tcPr>
            <w:tcW w:w="816" w:type="pct"/>
          </w:tcPr>
          <w:p w14:paraId="3364D8CD" w14:textId="1076A5A0" w:rsidR="003534CC" w:rsidRPr="008217F1" w:rsidRDefault="003534CC" w:rsidP="0064434C">
            <w:pPr>
              <w:pStyle w:val="COMTabletext"/>
            </w:pPr>
            <w:r w:rsidRPr="008217F1">
              <w:t>Clinical evidence</w:t>
            </w:r>
          </w:p>
        </w:tc>
        <w:tc>
          <w:tcPr>
            <w:tcW w:w="2011" w:type="pct"/>
          </w:tcPr>
          <w:p w14:paraId="3EDE07B1" w14:textId="578696F4" w:rsidR="003534CC" w:rsidRPr="008217F1" w:rsidRDefault="00D517CD" w:rsidP="00D517CD">
            <w:pPr>
              <w:pStyle w:val="COMTabletext"/>
              <w:rPr>
                <w:szCs w:val="20"/>
              </w:rPr>
            </w:pPr>
            <w:r w:rsidRPr="008217F1">
              <w:rPr>
                <w:szCs w:val="20"/>
              </w:rPr>
              <w:t>The PBAC recalled its previous view that the claim of superior comparative effectiveness may be reasonable, although the magnitude and clinical importance of the observed benefits was uncertain</w:t>
            </w:r>
            <w:r w:rsidR="002A6667" w:rsidRPr="008217F1">
              <w:rPr>
                <w:szCs w:val="20"/>
              </w:rPr>
              <w:t xml:space="preserve"> </w:t>
            </w:r>
            <w:r w:rsidR="002A6AA2" w:rsidRPr="008217F1">
              <w:rPr>
                <w:szCs w:val="20"/>
              </w:rPr>
              <w:t xml:space="preserve">(para 7.10, </w:t>
            </w:r>
            <w:r w:rsidR="00E71C49" w:rsidRPr="008217F1">
              <w:rPr>
                <w:szCs w:val="20"/>
              </w:rPr>
              <w:t>esketamine PSD</w:t>
            </w:r>
            <w:r w:rsidR="002A6AA2" w:rsidRPr="008217F1">
              <w:rPr>
                <w:szCs w:val="20"/>
              </w:rPr>
              <w:t>, July 2023 PBAC meeting)</w:t>
            </w:r>
            <w:r w:rsidRPr="008217F1">
              <w:rPr>
                <w:szCs w:val="20"/>
              </w:rPr>
              <w:t>.</w:t>
            </w:r>
          </w:p>
        </w:tc>
        <w:tc>
          <w:tcPr>
            <w:tcW w:w="2173" w:type="pct"/>
            <w:vAlign w:val="center"/>
          </w:tcPr>
          <w:p w14:paraId="66D9D542" w14:textId="5E5B57C8" w:rsidR="003534CC" w:rsidRPr="008217F1" w:rsidRDefault="00EA7D80" w:rsidP="00AE236E">
            <w:pPr>
              <w:pStyle w:val="COMTabletext"/>
            </w:pPr>
            <w:r w:rsidRPr="008217F1">
              <w:t xml:space="preserve">The </w:t>
            </w:r>
            <w:r w:rsidR="00675FC1" w:rsidRPr="008217F1">
              <w:t xml:space="preserve">comparative </w:t>
            </w:r>
            <w:r w:rsidRPr="008217F1">
              <w:t>clinical evidence is unchanged</w:t>
            </w:r>
            <w:r w:rsidR="0097032C" w:rsidRPr="008217F1">
              <w:t>.</w:t>
            </w:r>
          </w:p>
        </w:tc>
      </w:tr>
      <w:tr w:rsidR="00A72F4E" w:rsidRPr="008217F1" w14:paraId="228F2BA8" w14:textId="77777777" w:rsidTr="259D127E">
        <w:trPr>
          <w:cantSplit/>
        </w:trPr>
        <w:tc>
          <w:tcPr>
            <w:tcW w:w="816" w:type="pct"/>
            <w:vMerge w:val="restart"/>
            <w:vAlign w:val="center"/>
          </w:tcPr>
          <w:p w14:paraId="5ABE3EF1" w14:textId="0E598603" w:rsidR="00A72F4E" w:rsidRPr="008217F1" w:rsidRDefault="00A72F4E" w:rsidP="005D27DD">
            <w:pPr>
              <w:pStyle w:val="COMTabletext"/>
              <w:keepNext w:val="0"/>
              <w:rPr>
                <w:highlight w:val="cyan"/>
              </w:rPr>
            </w:pPr>
            <w:r w:rsidRPr="008217F1">
              <w:t>Economic analysis</w:t>
            </w:r>
          </w:p>
        </w:tc>
        <w:tc>
          <w:tcPr>
            <w:tcW w:w="2011" w:type="pct"/>
          </w:tcPr>
          <w:p w14:paraId="4F817F43" w14:textId="55B374C1" w:rsidR="00A72F4E" w:rsidRPr="008217F1" w:rsidRDefault="0031176B" w:rsidP="005D27DD">
            <w:pPr>
              <w:pStyle w:val="COMTabletext"/>
              <w:keepNext w:val="0"/>
              <w:rPr>
                <w:rFonts w:eastAsia="Times New Roman" w:cs="Arial"/>
                <w:bCs w:val="0"/>
                <w:snapToGrid w:val="0"/>
                <w:szCs w:val="20"/>
              </w:rPr>
            </w:pPr>
            <w:r w:rsidRPr="008217F1">
              <w:rPr>
                <w:rFonts w:eastAsia="Times New Roman" w:cs="Arial"/>
                <w:bCs w:val="0"/>
                <w:snapToGrid w:val="0"/>
                <w:szCs w:val="20"/>
              </w:rPr>
              <w:t>The PBAC</w:t>
            </w:r>
            <w:r w:rsidR="00956166" w:rsidRPr="008217F1">
              <w:rPr>
                <w:rFonts w:eastAsia="Times New Roman" w:cs="Arial"/>
                <w:bCs w:val="0"/>
                <w:snapToGrid w:val="0"/>
                <w:szCs w:val="20"/>
              </w:rPr>
              <w:t xml:space="preserve"> noted the economic model included a single course of treatment, and</w:t>
            </w:r>
            <w:r w:rsidRPr="008217F1">
              <w:rPr>
                <w:rFonts w:eastAsia="Times New Roman" w:cs="Arial"/>
                <w:bCs w:val="0"/>
                <w:snapToGrid w:val="0"/>
                <w:szCs w:val="20"/>
              </w:rPr>
              <w:t xml:space="preserve"> considered </w:t>
            </w:r>
            <w:r w:rsidR="00B24DE9" w:rsidRPr="008217F1">
              <w:rPr>
                <w:rFonts w:eastAsia="Times New Roman" w:cs="Arial"/>
                <w:bCs w:val="0"/>
                <w:snapToGrid w:val="0"/>
                <w:szCs w:val="20"/>
              </w:rPr>
              <w:t>that while it was uncertain how many patients would receive more than one course of treatment over a 5 year period, it was likely to be a high proportion of patients</w:t>
            </w:r>
            <w:r w:rsidR="00D6428C" w:rsidRPr="008217F1">
              <w:rPr>
                <w:rFonts w:eastAsia="Times New Roman" w:cs="Arial"/>
                <w:bCs w:val="0"/>
                <w:snapToGrid w:val="0"/>
                <w:szCs w:val="20"/>
              </w:rPr>
              <w:t xml:space="preserve"> </w:t>
            </w:r>
            <w:r w:rsidR="00D6428C" w:rsidRPr="008217F1">
              <w:rPr>
                <w:szCs w:val="20"/>
              </w:rPr>
              <w:t xml:space="preserve">(para 7.1, </w:t>
            </w:r>
            <w:r w:rsidR="00E71C49" w:rsidRPr="008217F1">
              <w:rPr>
                <w:szCs w:val="20"/>
              </w:rPr>
              <w:t>esketamine PSD</w:t>
            </w:r>
            <w:r w:rsidR="00D6428C" w:rsidRPr="008217F1">
              <w:rPr>
                <w:szCs w:val="20"/>
              </w:rPr>
              <w:t>, July 2023 PBAC meeting).</w:t>
            </w:r>
          </w:p>
        </w:tc>
        <w:tc>
          <w:tcPr>
            <w:tcW w:w="2173" w:type="pct"/>
          </w:tcPr>
          <w:p w14:paraId="35FC13C5" w14:textId="39B46D9E" w:rsidR="00A72F4E" w:rsidRPr="008217F1" w:rsidRDefault="00675FC1" w:rsidP="005D27DD">
            <w:pPr>
              <w:pStyle w:val="COMTabletext"/>
              <w:keepNext w:val="0"/>
              <w:rPr>
                <w:rFonts w:eastAsia="Times New Roman" w:cs="Arial"/>
                <w:bCs w:val="0"/>
                <w:snapToGrid w:val="0"/>
                <w:color w:val="0066FF"/>
                <w:szCs w:val="20"/>
                <w:highlight w:val="cyan"/>
              </w:rPr>
            </w:pPr>
            <w:r w:rsidRPr="008217F1">
              <w:rPr>
                <w:rFonts w:eastAsia="Times New Roman" w:cs="Arial"/>
                <w:bCs w:val="0"/>
                <w:snapToGrid w:val="0"/>
                <w:szCs w:val="20"/>
              </w:rPr>
              <w:t>The e</w:t>
            </w:r>
            <w:r w:rsidR="00F2003E" w:rsidRPr="008217F1">
              <w:rPr>
                <w:rFonts w:eastAsia="Times New Roman" w:cs="Arial"/>
                <w:bCs w:val="0"/>
                <w:snapToGrid w:val="0"/>
                <w:szCs w:val="20"/>
              </w:rPr>
              <w:t xml:space="preserve">conomic model allows for a proportion of patients who have responded to initial treatment to </w:t>
            </w:r>
            <w:r w:rsidRPr="008217F1">
              <w:rPr>
                <w:rFonts w:eastAsia="Times New Roman" w:cs="Arial"/>
                <w:bCs w:val="0"/>
                <w:snapToGrid w:val="0"/>
                <w:szCs w:val="20"/>
              </w:rPr>
              <w:t xml:space="preserve">be retreated </w:t>
            </w:r>
            <w:r w:rsidR="00F2003E" w:rsidRPr="008217F1">
              <w:rPr>
                <w:rFonts w:eastAsia="Times New Roman" w:cs="Arial"/>
                <w:bCs w:val="0"/>
                <w:snapToGrid w:val="0"/>
                <w:szCs w:val="20"/>
              </w:rPr>
              <w:t xml:space="preserve">if they subsequently relapse into </w:t>
            </w:r>
            <w:r w:rsidR="002564F7" w:rsidRPr="008217F1">
              <w:rPr>
                <w:rFonts w:eastAsia="Times New Roman" w:cs="Arial"/>
                <w:bCs w:val="0"/>
                <w:snapToGrid w:val="0"/>
                <w:szCs w:val="20"/>
              </w:rPr>
              <w:t>MDD provided they have had a minimum 4 month treatment break.</w:t>
            </w:r>
          </w:p>
        </w:tc>
      </w:tr>
      <w:tr w:rsidR="00A72F4E" w:rsidRPr="008217F1" w14:paraId="5104CAED" w14:textId="77777777" w:rsidTr="259D127E">
        <w:trPr>
          <w:cantSplit/>
        </w:trPr>
        <w:tc>
          <w:tcPr>
            <w:tcW w:w="816" w:type="pct"/>
            <w:vMerge/>
            <w:vAlign w:val="center"/>
          </w:tcPr>
          <w:p w14:paraId="3B009CCD" w14:textId="77777777" w:rsidR="00A72F4E" w:rsidRPr="008217F1" w:rsidRDefault="00A72F4E" w:rsidP="005D27DD">
            <w:pPr>
              <w:pStyle w:val="COMTabletext"/>
              <w:keepNext w:val="0"/>
              <w:rPr>
                <w:highlight w:val="cyan"/>
              </w:rPr>
            </w:pPr>
          </w:p>
        </w:tc>
        <w:tc>
          <w:tcPr>
            <w:tcW w:w="2011" w:type="pct"/>
          </w:tcPr>
          <w:p w14:paraId="218C2789" w14:textId="7FE0DEE7" w:rsidR="00A72F4E" w:rsidRPr="008217F1" w:rsidRDefault="00691BFF" w:rsidP="005D27DD">
            <w:pPr>
              <w:pStyle w:val="COMTabletext"/>
              <w:keepNext w:val="0"/>
              <w:rPr>
                <w:rFonts w:eastAsia="Times New Roman" w:cs="Arial"/>
                <w:bCs w:val="0"/>
                <w:snapToGrid w:val="0"/>
                <w:szCs w:val="20"/>
                <w:highlight w:val="cyan"/>
              </w:rPr>
            </w:pPr>
            <w:r w:rsidRPr="008217F1">
              <w:rPr>
                <w:rFonts w:eastAsia="Times New Roman" w:cs="Arial"/>
                <w:bCs w:val="0"/>
                <w:snapToGrid w:val="0"/>
                <w:szCs w:val="20"/>
              </w:rPr>
              <w:t>The PBAC noted that</w:t>
            </w:r>
            <w:r w:rsidR="00FE2442" w:rsidRPr="008217F1">
              <w:rPr>
                <w:rFonts w:eastAsia="Times New Roman" w:cs="Arial"/>
                <w:bCs w:val="0"/>
                <w:snapToGrid w:val="0"/>
                <w:szCs w:val="20"/>
              </w:rPr>
              <w:t xml:space="preserve"> </w:t>
            </w:r>
            <w:r w:rsidR="00292FBE" w:rsidRPr="008217F1">
              <w:rPr>
                <w:rFonts w:eastAsia="Times New Roman" w:cs="Arial"/>
                <w:bCs w:val="0"/>
                <w:snapToGrid w:val="0"/>
                <w:szCs w:val="20"/>
              </w:rPr>
              <w:t>it would be appropriate to allow for a maximum treatment duration of 12 months per patient</w:t>
            </w:r>
            <w:r w:rsidR="0044587C" w:rsidRPr="008217F1">
              <w:rPr>
                <w:rFonts w:eastAsia="Times New Roman" w:cs="Arial"/>
                <w:bCs w:val="0"/>
                <w:snapToGrid w:val="0"/>
                <w:szCs w:val="20"/>
              </w:rPr>
              <w:t xml:space="preserve">; and </w:t>
            </w:r>
            <w:r w:rsidR="00292FBE" w:rsidRPr="008217F1">
              <w:rPr>
                <w:rFonts w:eastAsia="Times New Roman" w:cs="Arial"/>
                <w:bCs w:val="0"/>
                <w:snapToGrid w:val="0"/>
                <w:szCs w:val="20"/>
              </w:rPr>
              <w:t xml:space="preserve">that stakeholders considered there needed to be some flexibility regarding the maximum treatment duration </w:t>
            </w:r>
            <w:r w:rsidR="00657B12" w:rsidRPr="008217F1">
              <w:rPr>
                <w:rFonts w:eastAsia="Times New Roman" w:cs="Arial"/>
                <w:bCs w:val="0"/>
                <w:snapToGrid w:val="0"/>
                <w:szCs w:val="20"/>
              </w:rPr>
              <w:t xml:space="preserve">(para 7.4, </w:t>
            </w:r>
            <w:r w:rsidR="00E71C49" w:rsidRPr="008217F1">
              <w:rPr>
                <w:rFonts w:eastAsia="Times New Roman" w:cs="Arial"/>
                <w:bCs w:val="0"/>
                <w:snapToGrid w:val="0"/>
                <w:szCs w:val="20"/>
              </w:rPr>
              <w:t>esketamine PSD</w:t>
            </w:r>
            <w:r w:rsidR="00657B12" w:rsidRPr="008217F1">
              <w:rPr>
                <w:rFonts w:eastAsia="Times New Roman" w:cs="Arial"/>
                <w:bCs w:val="0"/>
                <w:snapToGrid w:val="0"/>
                <w:szCs w:val="20"/>
              </w:rPr>
              <w:t>, July 2023 PBAC meeting).</w:t>
            </w:r>
          </w:p>
        </w:tc>
        <w:tc>
          <w:tcPr>
            <w:tcW w:w="2173" w:type="pct"/>
          </w:tcPr>
          <w:p w14:paraId="18D57C0D" w14:textId="0E085FB1" w:rsidR="00A72F4E" w:rsidRPr="008217F1" w:rsidRDefault="00EB0C34" w:rsidP="005D27DD">
            <w:pPr>
              <w:pStyle w:val="COMTabletext"/>
              <w:keepNext w:val="0"/>
              <w:rPr>
                <w:rFonts w:eastAsia="Times New Roman" w:cs="Arial"/>
                <w:bCs w:val="0"/>
                <w:snapToGrid w:val="0"/>
                <w:szCs w:val="20"/>
              </w:rPr>
            </w:pPr>
            <w:r w:rsidRPr="008217F1">
              <w:rPr>
                <w:rFonts w:eastAsia="Times New Roman" w:cs="Arial"/>
                <w:bCs w:val="0"/>
                <w:snapToGrid w:val="0"/>
                <w:szCs w:val="20"/>
              </w:rPr>
              <w:t xml:space="preserve">Observed Australian supply data of esketamine from the sponsor’s early access program was used to inform the proportion of patients </w:t>
            </w:r>
            <w:r w:rsidR="00A96A50" w:rsidRPr="008217F1">
              <w:rPr>
                <w:rFonts w:eastAsia="Times New Roman" w:cs="Arial"/>
                <w:bCs w:val="0"/>
                <w:snapToGrid w:val="0"/>
                <w:szCs w:val="20"/>
              </w:rPr>
              <w:t xml:space="preserve">treated beyond </w:t>
            </w:r>
            <w:r w:rsidR="00675FC1" w:rsidRPr="008217F1">
              <w:rPr>
                <w:rFonts w:eastAsia="Times New Roman" w:cs="Arial"/>
                <w:bCs w:val="0"/>
                <w:snapToGrid w:val="0"/>
                <w:szCs w:val="20"/>
              </w:rPr>
              <w:t>12 months</w:t>
            </w:r>
            <w:r w:rsidR="00A96A50" w:rsidRPr="008217F1">
              <w:rPr>
                <w:rFonts w:eastAsia="Times New Roman" w:cs="Arial"/>
                <w:bCs w:val="0"/>
                <w:snapToGrid w:val="0"/>
                <w:szCs w:val="20"/>
              </w:rPr>
              <w:t>.</w:t>
            </w:r>
          </w:p>
        </w:tc>
      </w:tr>
      <w:tr w:rsidR="00A72F4E" w:rsidRPr="008217F1" w14:paraId="79057136" w14:textId="77777777" w:rsidTr="259D127E">
        <w:trPr>
          <w:cantSplit/>
        </w:trPr>
        <w:tc>
          <w:tcPr>
            <w:tcW w:w="816" w:type="pct"/>
            <w:vMerge/>
            <w:vAlign w:val="center"/>
          </w:tcPr>
          <w:p w14:paraId="5C11EF1A" w14:textId="77777777" w:rsidR="00A72F4E" w:rsidRPr="008217F1" w:rsidRDefault="00A72F4E" w:rsidP="005D27DD">
            <w:pPr>
              <w:pStyle w:val="COMTabletext"/>
              <w:keepNext w:val="0"/>
              <w:rPr>
                <w:highlight w:val="cyan"/>
              </w:rPr>
            </w:pPr>
          </w:p>
        </w:tc>
        <w:tc>
          <w:tcPr>
            <w:tcW w:w="2011" w:type="pct"/>
          </w:tcPr>
          <w:p w14:paraId="5F4FBCB6" w14:textId="38C90DD5" w:rsidR="00A72F4E" w:rsidRPr="008217F1" w:rsidRDefault="00D92EE8" w:rsidP="005D27DD">
            <w:pPr>
              <w:pStyle w:val="COMTabletext"/>
              <w:keepNext w:val="0"/>
              <w:rPr>
                <w:rFonts w:eastAsia="Times New Roman" w:cs="Arial"/>
                <w:bCs w:val="0"/>
                <w:snapToGrid w:val="0"/>
                <w:szCs w:val="20"/>
              </w:rPr>
            </w:pPr>
            <w:r w:rsidRPr="008217F1">
              <w:rPr>
                <w:rFonts w:eastAsia="Times New Roman" w:cs="Arial"/>
                <w:bCs w:val="0"/>
                <w:snapToGrid w:val="0"/>
                <w:szCs w:val="20"/>
              </w:rPr>
              <w:t xml:space="preserve">PBAC and ESC noted that </w:t>
            </w:r>
            <w:r w:rsidR="00173831" w:rsidRPr="008217F1">
              <w:rPr>
                <w:rFonts w:eastAsia="Times New Roman" w:cs="Arial"/>
                <w:bCs w:val="0"/>
                <w:snapToGrid w:val="0"/>
                <w:szCs w:val="20"/>
              </w:rPr>
              <w:t xml:space="preserve">some inputs to the economic model </w:t>
            </w:r>
            <w:r w:rsidR="00281880" w:rsidRPr="008217F1">
              <w:rPr>
                <w:rFonts w:eastAsia="Times New Roman" w:cs="Arial"/>
                <w:bCs w:val="0"/>
                <w:snapToGrid w:val="0"/>
                <w:szCs w:val="20"/>
              </w:rPr>
              <w:t>r</w:t>
            </w:r>
            <w:r w:rsidR="00173831" w:rsidRPr="008217F1">
              <w:rPr>
                <w:rFonts w:eastAsia="Times New Roman" w:cs="Arial"/>
                <w:bCs w:val="0"/>
                <w:snapToGrid w:val="0"/>
                <w:szCs w:val="20"/>
              </w:rPr>
              <w:t>emained uncertain (para</w:t>
            </w:r>
            <w:r w:rsidR="00961E6F" w:rsidRPr="008217F1">
              <w:rPr>
                <w:rFonts w:eastAsia="Times New Roman" w:cs="Arial"/>
                <w:bCs w:val="0"/>
                <w:snapToGrid w:val="0"/>
                <w:szCs w:val="20"/>
              </w:rPr>
              <w:t>s</w:t>
            </w:r>
            <w:r w:rsidR="00173831" w:rsidRPr="008217F1">
              <w:rPr>
                <w:rFonts w:eastAsia="Times New Roman" w:cs="Arial"/>
                <w:bCs w:val="0"/>
                <w:snapToGrid w:val="0"/>
                <w:szCs w:val="20"/>
              </w:rPr>
              <w:t xml:space="preserve"> </w:t>
            </w:r>
            <w:r w:rsidR="00961E6F" w:rsidRPr="008217F1">
              <w:rPr>
                <w:rFonts w:eastAsia="Times New Roman" w:cs="Arial"/>
                <w:bCs w:val="0"/>
                <w:snapToGrid w:val="0"/>
                <w:szCs w:val="20"/>
              </w:rPr>
              <w:t xml:space="preserve">6.65, </w:t>
            </w:r>
            <w:r w:rsidR="00173831" w:rsidRPr="008217F1">
              <w:rPr>
                <w:rFonts w:eastAsia="Times New Roman" w:cs="Arial"/>
                <w:bCs w:val="0"/>
                <w:snapToGrid w:val="0"/>
                <w:szCs w:val="20"/>
              </w:rPr>
              <w:t>7.</w:t>
            </w:r>
            <w:r w:rsidR="00961E6F" w:rsidRPr="008217F1">
              <w:rPr>
                <w:rFonts w:eastAsia="Times New Roman" w:cs="Arial"/>
                <w:bCs w:val="0"/>
                <w:snapToGrid w:val="0"/>
                <w:szCs w:val="20"/>
              </w:rPr>
              <w:t>13</w:t>
            </w:r>
            <w:r w:rsidR="00173831" w:rsidRPr="008217F1">
              <w:rPr>
                <w:rFonts w:eastAsia="Times New Roman" w:cs="Arial"/>
                <w:bCs w:val="0"/>
                <w:snapToGrid w:val="0"/>
                <w:szCs w:val="20"/>
              </w:rPr>
              <w:t xml:space="preserve">, </w:t>
            </w:r>
            <w:r w:rsidR="00E71C49" w:rsidRPr="008217F1">
              <w:rPr>
                <w:rFonts w:eastAsia="Times New Roman" w:cs="Arial"/>
                <w:bCs w:val="0"/>
                <w:snapToGrid w:val="0"/>
                <w:szCs w:val="20"/>
              </w:rPr>
              <w:t>esketamine PSD</w:t>
            </w:r>
            <w:r w:rsidR="00173831" w:rsidRPr="008217F1">
              <w:rPr>
                <w:rFonts w:eastAsia="Times New Roman" w:cs="Arial"/>
                <w:bCs w:val="0"/>
                <w:snapToGrid w:val="0"/>
                <w:szCs w:val="20"/>
              </w:rPr>
              <w:t>, July 2023 PBAC meeting)</w:t>
            </w:r>
            <w:r w:rsidR="00961E6F" w:rsidRPr="008217F1">
              <w:rPr>
                <w:rFonts w:eastAsia="Times New Roman" w:cs="Arial"/>
                <w:bCs w:val="0"/>
                <w:snapToGrid w:val="0"/>
                <w:szCs w:val="20"/>
              </w:rPr>
              <w:t>:</w:t>
            </w:r>
          </w:p>
          <w:p w14:paraId="0443ABCD" w14:textId="77777777" w:rsidR="00961E6F" w:rsidRPr="008217F1" w:rsidRDefault="00961E6F" w:rsidP="005D27DD">
            <w:pPr>
              <w:pStyle w:val="COMTabletext"/>
              <w:keepNext w:val="0"/>
              <w:rPr>
                <w:rFonts w:eastAsia="Times New Roman" w:cs="Arial"/>
                <w:bCs w:val="0"/>
                <w:snapToGrid w:val="0"/>
                <w:szCs w:val="20"/>
              </w:rPr>
            </w:pPr>
          </w:p>
          <w:p w14:paraId="1D456B17" w14:textId="48177CDC" w:rsidR="00961E6F" w:rsidRPr="008217F1" w:rsidRDefault="005638BC" w:rsidP="005D27DD">
            <w:pPr>
              <w:pStyle w:val="COMTabletext"/>
              <w:keepNext w:val="0"/>
              <w:rPr>
                <w:rFonts w:eastAsia="Times New Roman" w:cs="Arial"/>
                <w:bCs w:val="0"/>
                <w:snapToGrid w:val="0"/>
                <w:szCs w:val="20"/>
              </w:rPr>
            </w:pPr>
            <w:r w:rsidRPr="008217F1">
              <w:rPr>
                <w:rFonts w:eastAsia="Times New Roman" w:cs="Arial"/>
                <w:bCs w:val="0"/>
                <w:snapToGrid w:val="0"/>
                <w:szCs w:val="20"/>
              </w:rPr>
              <w:t xml:space="preserve">- </w:t>
            </w:r>
            <w:r w:rsidR="008602A6" w:rsidRPr="008217F1">
              <w:rPr>
                <w:rFonts w:eastAsia="Times New Roman" w:cs="Arial"/>
                <w:bCs w:val="0"/>
                <w:snapToGrid w:val="0"/>
                <w:szCs w:val="20"/>
              </w:rPr>
              <w:t>a</w:t>
            </w:r>
            <w:r w:rsidR="00961E6F" w:rsidRPr="008217F1">
              <w:rPr>
                <w:rFonts w:eastAsia="Times New Roman" w:cs="Arial"/>
                <w:bCs w:val="0"/>
                <w:snapToGrid w:val="0"/>
                <w:szCs w:val="20"/>
              </w:rPr>
              <w:t>ssumed rates of hospitalisation based on UK data remained uncertain</w:t>
            </w:r>
            <w:r w:rsidR="008602A6" w:rsidRPr="008217F1">
              <w:rPr>
                <w:rFonts w:eastAsia="Times New Roman" w:cs="Arial"/>
                <w:bCs w:val="0"/>
                <w:snapToGrid w:val="0"/>
                <w:szCs w:val="20"/>
              </w:rPr>
              <w:t>;</w:t>
            </w:r>
          </w:p>
          <w:p w14:paraId="13A618AC" w14:textId="77777777" w:rsidR="00961E6F" w:rsidRPr="008217F1" w:rsidRDefault="00961E6F" w:rsidP="005D27DD">
            <w:pPr>
              <w:pStyle w:val="COMTabletext"/>
              <w:keepNext w:val="0"/>
              <w:rPr>
                <w:rFonts w:eastAsia="Times New Roman" w:cs="Arial"/>
                <w:bCs w:val="0"/>
                <w:snapToGrid w:val="0"/>
                <w:szCs w:val="20"/>
              </w:rPr>
            </w:pPr>
          </w:p>
          <w:p w14:paraId="1D1D326F" w14:textId="5E2D816A" w:rsidR="00961E6F" w:rsidRPr="008217F1" w:rsidRDefault="005638BC" w:rsidP="00961E6F">
            <w:pPr>
              <w:pStyle w:val="COMexecsumnumberedpara"/>
              <w:rPr>
                <w:rFonts w:ascii="Arial Narrow" w:hAnsi="Arial Narrow"/>
                <w:sz w:val="20"/>
                <w:szCs w:val="20"/>
              </w:rPr>
            </w:pPr>
            <w:r w:rsidRPr="008217F1">
              <w:rPr>
                <w:rFonts w:ascii="Arial Narrow" w:hAnsi="Arial Narrow"/>
                <w:sz w:val="20"/>
                <w:szCs w:val="20"/>
              </w:rPr>
              <w:t xml:space="preserve">- </w:t>
            </w:r>
            <w:r w:rsidR="008602A6" w:rsidRPr="008217F1">
              <w:rPr>
                <w:rFonts w:ascii="Arial Narrow" w:hAnsi="Arial Narrow"/>
                <w:sz w:val="20"/>
                <w:szCs w:val="20"/>
              </w:rPr>
              <w:t>u</w:t>
            </w:r>
            <w:r w:rsidR="00961E6F" w:rsidRPr="008217F1">
              <w:rPr>
                <w:rFonts w:ascii="Arial Narrow" w:hAnsi="Arial Narrow"/>
                <w:sz w:val="20"/>
                <w:szCs w:val="20"/>
              </w:rPr>
              <w:t xml:space="preserve">se of the STAR*D study to inform some of the transition probabilities given it may not reflect contemporary practice; </w:t>
            </w:r>
          </w:p>
          <w:p w14:paraId="04248BA5" w14:textId="4894DCD4" w:rsidR="00961E6F" w:rsidRPr="008217F1" w:rsidRDefault="005638BC" w:rsidP="00961E6F">
            <w:pPr>
              <w:pStyle w:val="COMexecsumnumberedpara"/>
              <w:rPr>
                <w:rFonts w:ascii="Arial Narrow" w:hAnsi="Arial Narrow"/>
                <w:sz w:val="20"/>
                <w:szCs w:val="20"/>
              </w:rPr>
            </w:pPr>
            <w:r w:rsidRPr="008217F1">
              <w:rPr>
                <w:rFonts w:ascii="Arial Narrow" w:hAnsi="Arial Narrow"/>
                <w:sz w:val="20"/>
                <w:szCs w:val="20"/>
              </w:rPr>
              <w:t xml:space="preserve">- </w:t>
            </w:r>
            <w:r w:rsidR="008602A6" w:rsidRPr="008217F1">
              <w:rPr>
                <w:rFonts w:ascii="Arial Narrow" w:hAnsi="Arial Narrow"/>
                <w:sz w:val="20"/>
                <w:szCs w:val="20"/>
              </w:rPr>
              <w:t>t</w:t>
            </w:r>
            <w:r w:rsidR="00961E6F" w:rsidRPr="008217F1">
              <w:rPr>
                <w:rFonts w:ascii="Arial Narrow" w:hAnsi="Arial Narrow"/>
                <w:sz w:val="20"/>
                <w:szCs w:val="20"/>
              </w:rPr>
              <w:t xml:space="preserve">he 5 year time horizon; </w:t>
            </w:r>
          </w:p>
          <w:p w14:paraId="090DD8B7" w14:textId="2203AF35" w:rsidR="00961E6F" w:rsidRPr="008217F1" w:rsidRDefault="005638BC" w:rsidP="00961E6F">
            <w:pPr>
              <w:pStyle w:val="COMexecsumnumberedpara"/>
              <w:rPr>
                <w:rFonts w:ascii="Arial Narrow" w:hAnsi="Arial Narrow"/>
                <w:sz w:val="20"/>
                <w:szCs w:val="20"/>
              </w:rPr>
            </w:pPr>
            <w:r w:rsidRPr="008217F1">
              <w:rPr>
                <w:rFonts w:ascii="Arial Narrow" w:hAnsi="Arial Narrow"/>
                <w:sz w:val="20"/>
                <w:szCs w:val="20"/>
              </w:rPr>
              <w:t xml:space="preserve">- </w:t>
            </w:r>
            <w:r w:rsidR="008602A6" w:rsidRPr="008217F1">
              <w:rPr>
                <w:rFonts w:ascii="Arial Narrow" w:hAnsi="Arial Narrow"/>
                <w:sz w:val="20"/>
                <w:szCs w:val="20"/>
              </w:rPr>
              <w:t>t</w:t>
            </w:r>
            <w:r w:rsidR="00961E6F" w:rsidRPr="008217F1">
              <w:rPr>
                <w:rFonts w:ascii="Arial Narrow" w:hAnsi="Arial Narrow"/>
                <w:sz w:val="20"/>
                <w:szCs w:val="20"/>
              </w:rPr>
              <w:t xml:space="preserve">he EQ-5D-5L utility values which were mapped to a UK value set; </w:t>
            </w:r>
          </w:p>
          <w:p w14:paraId="733F988E" w14:textId="5EF5FA65" w:rsidR="00961E6F" w:rsidRPr="008217F1" w:rsidRDefault="005638BC" w:rsidP="00961E6F">
            <w:pPr>
              <w:pStyle w:val="COMexecsumnumberedpara"/>
              <w:rPr>
                <w:rFonts w:ascii="Arial Narrow" w:hAnsi="Arial Narrow"/>
                <w:sz w:val="20"/>
                <w:szCs w:val="20"/>
              </w:rPr>
            </w:pPr>
            <w:r w:rsidRPr="008217F1">
              <w:rPr>
                <w:rFonts w:ascii="Arial Narrow" w:hAnsi="Arial Narrow"/>
                <w:sz w:val="20"/>
                <w:szCs w:val="20"/>
              </w:rPr>
              <w:t xml:space="preserve">- </w:t>
            </w:r>
            <w:r w:rsidR="008602A6" w:rsidRPr="008217F1">
              <w:rPr>
                <w:rFonts w:ascii="Arial Narrow" w:hAnsi="Arial Narrow"/>
                <w:sz w:val="20"/>
                <w:szCs w:val="20"/>
              </w:rPr>
              <w:t>t</w:t>
            </w:r>
            <w:r w:rsidR="00961E6F" w:rsidRPr="008217F1">
              <w:rPr>
                <w:rFonts w:ascii="Arial Narrow" w:hAnsi="Arial Narrow"/>
                <w:sz w:val="20"/>
                <w:szCs w:val="20"/>
              </w:rPr>
              <w:t>he frequency of dosing and doses likely to be used in practice; and</w:t>
            </w:r>
          </w:p>
          <w:p w14:paraId="370EA159" w14:textId="2E9D0B41" w:rsidR="00961E6F" w:rsidRPr="008217F1" w:rsidRDefault="005638BC" w:rsidP="00961E6F">
            <w:pPr>
              <w:pStyle w:val="COMTabletext"/>
              <w:keepNext w:val="0"/>
              <w:rPr>
                <w:rFonts w:eastAsia="Times New Roman" w:cs="Arial"/>
                <w:bCs w:val="0"/>
                <w:snapToGrid w:val="0"/>
                <w:szCs w:val="20"/>
              </w:rPr>
            </w:pPr>
            <w:r w:rsidRPr="008217F1">
              <w:rPr>
                <w:rFonts w:eastAsia="Times New Roman" w:cs="Arial"/>
                <w:bCs w:val="0"/>
                <w:snapToGrid w:val="0"/>
                <w:szCs w:val="20"/>
              </w:rPr>
              <w:t xml:space="preserve">- </w:t>
            </w:r>
            <w:r w:rsidR="008602A6" w:rsidRPr="008217F1">
              <w:rPr>
                <w:rFonts w:eastAsia="Times New Roman" w:cs="Arial"/>
                <w:bCs w:val="0"/>
                <w:snapToGrid w:val="0"/>
                <w:szCs w:val="20"/>
              </w:rPr>
              <w:t>t</w:t>
            </w:r>
            <w:r w:rsidR="00961E6F" w:rsidRPr="008217F1">
              <w:rPr>
                <w:rFonts w:eastAsia="Times New Roman" w:cs="Arial"/>
                <w:bCs w:val="0"/>
                <w:snapToGrid w:val="0"/>
                <w:szCs w:val="20"/>
              </w:rPr>
              <w:t xml:space="preserve">he administration and monitoring costs. </w:t>
            </w:r>
          </w:p>
        </w:tc>
        <w:tc>
          <w:tcPr>
            <w:tcW w:w="2173" w:type="pct"/>
          </w:tcPr>
          <w:p w14:paraId="4083796A" w14:textId="5838EEF3" w:rsidR="00281880" w:rsidRPr="008217F1" w:rsidRDefault="00281880" w:rsidP="00281880">
            <w:pPr>
              <w:pStyle w:val="COMTabletext"/>
              <w:rPr>
                <w:rFonts w:eastAsia="Times New Roman" w:cs="Arial"/>
                <w:bCs w:val="0"/>
                <w:snapToGrid w:val="0"/>
                <w:szCs w:val="20"/>
              </w:rPr>
            </w:pPr>
            <w:r w:rsidRPr="008217F1">
              <w:rPr>
                <w:rFonts w:eastAsia="Times New Roman" w:cs="Arial"/>
                <w:bCs w:val="0"/>
                <w:snapToGrid w:val="0"/>
                <w:szCs w:val="20"/>
              </w:rPr>
              <w:t xml:space="preserve">Australian data are used to inform health care resource use. </w:t>
            </w:r>
          </w:p>
          <w:p w14:paraId="0ED5C176" w14:textId="77777777" w:rsidR="00281880" w:rsidRPr="008217F1" w:rsidRDefault="00281880" w:rsidP="00281880">
            <w:pPr>
              <w:pStyle w:val="COMTabletext"/>
              <w:rPr>
                <w:rFonts w:eastAsia="Times New Roman" w:cs="Arial"/>
                <w:bCs w:val="0"/>
                <w:snapToGrid w:val="0"/>
                <w:szCs w:val="20"/>
              </w:rPr>
            </w:pPr>
          </w:p>
          <w:p w14:paraId="624D9EE2" w14:textId="573754A3" w:rsidR="008602A6" w:rsidRPr="008217F1" w:rsidRDefault="00281880" w:rsidP="00281880">
            <w:pPr>
              <w:pStyle w:val="COMTabletext"/>
              <w:keepNext w:val="0"/>
              <w:rPr>
                <w:rFonts w:eastAsia="Times New Roman" w:cs="Arial"/>
                <w:bCs w:val="0"/>
                <w:snapToGrid w:val="0"/>
                <w:szCs w:val="20"/>
              </w:rPr>
            </w:pPr>
            <w:r w:rsidRPr="008217F1">
              <w:rPr>
                <w:rFonts w:eastAsia="Times New Roman" w:cs="Arial"/>
                <w:bCs w:val="0"/>
                <w:snapToGrid w:val="0"/>
                <w:szCs w:val="20"/>
              </w:rPr>
              <w:t>The resubmission acknowledged concerns regarding whether the STAR*D study reflects contemporary practice, but argued that current practice has generally not changed significantly since the study was conducted and STAR*D remains the best available data to inform the economic evaluation.</w:t>
            </w:r>
          </w:p>
          <w:p w14:paraId="496B1651" w14:textId="77777777" w:rsidR="008602A6" w:rsidRPr="008217F1" w:rsidRDefault="008602A6" w:rsidP="00281880">
            <w:pPr>
              <w:pStyle w:val="COMTabletext"/>
              <w:keepNext w:val="0"/>
              <w:rPr>
                <w:rFonts w:eastAsia="Times New Roman" w:cs="Arial"/>
                <w:bCs w:val="0"/>
                <w:snapToGrid w:val="0"/>
                <w:szCs w:val="20"/>
              </w:rPr>
            </w:pPr>
          </w:p>
          <w:p w14:paraId="47509232" w14:textId="3E2C6D54" w:rsidR="00A72F4E" w:rsidRPr="008217F1" w:rsidRDefault="008602A6" w:rsidP="00281880">
            <w:pPr>
              <w:pStyle w:val="COMTabletext"/>
              <w:keepNext w:val="0"/>
              <w:rPr>
                <w:rFonts w:eastAsia="Times New Roman" w:cs="Arial"/>
                <w:bCs w:val="0"/>
                <w:snapToGrid w:val="0"/>
                <w:szCs w:val="20"/>
              </w:rPr>
            </w:pPr>
            <w:r w:rsidRPr="008217F1">
              <w:rPr>
                <w:rFonts w:eastAsia="Times New Roman" w:cs="Arial"/>
                <w:bCs w:val="0"/>
                <w:snapToGrid w:val="0"/>
                <w:szCs w:val="20"/>
              </w:rPr>
              <w:t>O</w:t>
            </w:r>
            <w:r w:rsidR="00281880" w:rsidRPr="008217F1">
              <w:rPr>
                <w:rFonts w:eastAsia="Times New Roman" w:cs="Arial"/>
                <w:bCs w:val="0"/>
                <w:snapToGrid w:val="0"/>
                <w:szCs w:val="20"/>
              </w:rPr>
              <w:t>ther ESC/PBAC concerns were not addressed in the resubmission (uncertainties regarding the time horizon, health state utilities, dosing used in clinical practice and administration and monitoring costs).</w:t>
            </w:r>
          </w:p>
        </w:tc>
      </w:tr>
      <w:tr w:rsidR="003534CC" w:rsidRPr="008217F1" w14:paraId="7F544ADE" w14:textId="77777777" w:rsidTr="259D127E">
        <w:trPr>
          <w:cantSplit/>
        </w:trPr>
        <w:tc>
          <w:tcPr>
            <w:tcW w:w="816" w:type="pct"/>
            <w:vMerge w:val="restart"/>
            <w:vAlign w:val="center"/>
          </w:tcPr>
          <w:p w14:paraId="698AA39F" w14:textId="31C5CEE4" w:rsidR="003534CC" w:rsidRPr="008217F1" w:rsidRDefault="003534CC" w:rsidP="005D27DD">
            <w:pPr>
              <w:pStyle w:val="COMTabletext"/>
              <w:keepNext w:val="0"/>
            </w:pPr>
            <w:r w:rsidRPr="008217F1">
              <w:t>Financial estimates</w:t>
            </w:r>
          </w:p>
        </w:tc>
        <w:tc>
          <w:tcPr>
            <w:tcW w:w="2011" w:type="pct"/>
          </w:tcPr>
          <w:p w14:paraId="06B3F191" w14:textId="5F8C6C77" w:rsidR="003534CC" w:rsidRPr="008217F1" w:rsidRDefault="500466CB" w:rsidP="201B6D98">
            <w:pPr>
              <w:pStyle w:val="COMTabletext"/>
              <w:keepNext w:val="0"/>
              <w:rPr>
                <w:rFonts w:eastAsia="Times New Roman" w:cs="Arial"/>
                <w:snapToGrid w:val="0"/>
              </w:rPr>
            </w:pPr>
            <w:r w:rsidRPr="201B6D98">
              <w:rPr>
                <w:rFonts w:eastAsia="Times New Roman" w:cs="Arial"/>
                <w:snapToGrid w:val="0"/>
              </w:rPr>
              <w:t xml:space="preserve">The PBAC considered the </w:t>
            </w:r>
            <w:r w:rsidR="6DDB2D2D" w:rsidRPr="201B6D98">
              <w:rPr>
                <w:rFonts w:eastAsia="Times New Roman" w:cs="Arial"/>
                <w:snapToGrid w:val="0"/>
              </w:rPr>
              <w:t xml:space="preserve">uptake of esketamine in new patients was likely overestimated </w:t>
            </w:r>
            <w:r w:rsidRPr="201B6D98">
              <w:rPr>
                <w:rFonts w:eastAsia="Times New Roman" w:cs="Arial"/>
                <w:snapToGrid w:val="0"/>
              </w:rPr>
              <w:t>(</w:t>
            </w:r>
            <w:r w:rsidR="6DDB2D2D" w:rsidRPr="201B6D98">
              <w:rPr>
                <w:rFonts w:eastAsia="Times New Roman" w:cs="Arial"/>
                <w:snapToGrid w:val="0"/>
              </w:rPr>
              <w:t xml:space="preserve">26% in </w:t>
            </w:r>
            <w:r w:rsidR="35A63531" w:rsidRPr="201B6D98">
              <w:rPr>
                <w:rFonts w:eastAsia="Times New Roman" w:cs="Arial"/>
                <w:snapToGrid w:val="0"/>
              </w:rPr>
              <w:t>Y</w:t>
            </w:r>
            <w:r w:rsidR="6DDB2D2D" w:rsidRPr="201B6D98">
              <w:rPr>
                <w:rFonts w:eastAsia="Times New Roman" w:cs="Arial"/>
                <w:snapToGrid w:val="0"/>
              </w:rPr>
              <w:t xml:space="preserve">ear 1, 45% in Year </w:t>
            </w:r>
            <w:r w:rsidR="104C484A" w:rsidRPr="201B6D98">
              <w:rPr>
                <w:rFonts w:eastAsia="Times New Roman" w:cs="Arial"/>
                <w:snapToGrid w:val="0"/>
              </w:rPr>
              <w:t>6</w:t>
            </w:r>
            <w:r w:rsidR="35A63531" w:rsidRPr="201B6D98">
              <w:rPr>
                <w:rFonts w:eastAsia="Times New Roman" w:cs="Arial"/>
                <w:snapToGrid w:val="0"/>
              </w:rPr>
              <w:t>, average 39%</w:t>
            </w:r>
            <w:r w:rsidR="104C484A" w:rsidRPr="201B6D98">
              <w:rPr>
                <w:rFonts w:eastAsia="Times New Roman" w:cs="Arial"/>
                <w:snapToGrid w:val="0"/>
              </w:rPr>
              <w:t>)</w:t>
            </w:r>
            <w:r w:rsidR="639531BA" w:rsidRPr="201B6D98">
              <w:rPr>
                <w:rFonts w:eastAsia="Times New Roman" w:cs="Arial"/>
                <w:snapToGrid w:val="0"/>
              </w:rPr>
              <w:t xml:space="preserve"> </w:t>
            </w:r>
            <w:r w:rsidR="225CC226" w:rsidRPr="201B6D98">
              <w:rPr>
                <w:rFonts w:eastAsia="Times New Roman" w:cs="Arial"/>
                <w:snapToGrid w:val="0"/>
              </w:rPr>
              <w:t xml:space="preserve">(para 7.15, </w:t>
            </w:r>
            <w:r w:rsidR="00E71C49" w:rsidRPr="201B6D98">
              <w:rPr>
                <w:rFonts w:eastAsia="Times New Roman" w:cs="Arial"/>
                <w:snapToGrid w:val="0"/>
              </w:rPr>
              <w:t>esketamine PSD</w:t>
            </w:r>
            <w:r w:rsidR="225CC226" w:rsidRPr="201B6D98">
              <w:rPr>
                <w:rFonts w:eastAsia="Times New Roman" w:cs="Arial"/>
                <w:snapToGrid w:val="0"/>
              </w:rPr>
              <w:t>, July 2023 PBAC meeting)</w:t>
            </w:r>
            <w:r w:rsidR="104C484A" w:rsidRPr="201B6D98">
              <w:rPr>
                <w:rFonts w:eastAsia="Times New Roman" w:cs="Arial"/>
                <w:snapToGrid w:val="0"/>
              </w:rPr>
              <w:t>.</w:t>
            </w:r>
          </w:p>
        </w:tc>
        <w:tc>
          <w:tcPr>
            <w:tcW w:w="2173" w:type="pct"/>
          </w:tcPr>
          <w:p w14:paraId="4047033E" w14:textId="00C4356E" w:rsidR="003534CC" w:rsidRPr="008217F1" w:rsidRDefault="11C6D3BA" w:rsidP="201B6D98">
            <w:pPr>
              <w:pStyle w:val="COMTabletext"/>
              <w:keepNext w:val="0"/>
              <w:rPr>
                <w:rFonts w:eastAsia="Times New Roman" w:cs="Arial"/>
                <w:snapToGrid w:val="0"/>
              </w:rPr>
            </w:pPr>
            <w:r w:rsidRPr="201B6D98">
              <w:rPr>
                <w:rFonts w:eastAsia="Times New Roman" w:cs="Arial"/>
                <w:snapToGrid w:val="0"/>
              </w:rPr>
              <w:t xml:space="preserve">The resubmission revised uptake rates in new patients to 31% in </w:t>
            </w:r>
            <w:r w:rsidR="35A63531" w:rsidRPr="201B6D98">
              <w:rPr>
                <w:rFonts w:eastAsia="Times New Roman" w:cs="Arial"/>
                <w:snapToGrid w:val="0"/>
              </w:rPr>
              <w:t>Y</w:t>
            </w:r>
            <w:r w:rsidRPr="201B6D98">
              <w:rPr>
                <w:rFonts w:eastAsia="Times New Roman" w:cs="Arial"/>
                <w:snapToGrid w:val="0"/>
              </w:rPr>
              <w:t>ear 1, to 3</w:t>
            </w:r>
            <w:r w:rsidR="427E532B" w:rsidRPr="201B6D98">
              <w:rPr>
                <w:rFonts w:eastAsia="Times New Roman" w:cs="Arial"/>
                <w:snapToGrid w:val="0"/>
              </w:rPr>
              <w:t>9</w:t>
            </w:r>
            <w:r w:rsidRPr="201B6D98">
              <w:rPr>
                <w:rFonts w:eastAsia="Times New Roman" w:cs="Arial"/>
                <w:snapToGrid w:val="0"/>
              </w:rPr>
              <w:t>% in year 6</w:t>
            </w:r>
            <w:r w:rsidR="35A63531" w:rsidRPr="201B6D98">
              <w:rPr>
                <w:rFonts w:eastAsia="Times New Roman" w:cs="Arial"/>
                <w:snapToGrid w:val="0"/>
              </w:rPr>
              <w:t>, an average of 36%</w:t>
            </w:r>
          </w:p>
        </w:tc>
      </w:tr>
      <w:tr w:rsidR="003534CC" w:rsidRPr="008217F1" w14:paraId="43775630" w14:textId="77777777" w:rsidTr="259D127E">
        <w:trPr>
          <w:cantSplit/>
        </w:trPr>
        <w:tc>
          <w:tcPr>
            <w:tcW w:w="816" w:type="pct"/>
            <w:vMerge/>
            <w:vAlign w:val="center"/>
          </w:tcPr>
          <w:p w14:paraId="048E0B5B" w14:textId="77777777" w:rsidR="003534CC" w:rsidRPr="008217F1" w:rsidRDefault="003534CC" w:rsidP="004E18E9">
            <w:pPr>
              <w:pStyle w:val="COMTabletext"/>
              <w:rPr>
                <w:highlight w:val="cyan"/>
              </w:rPr>
            </w:pPr>
          </w:p>
        </w:tc>
        <w:tc>
          <w:tcPr>
            <w:tcW w:w="2011" w:type="pct"/>
          </w:tcPr>
          <w:p w14:paraId="58564833" w14:textId="49B8915D" w:rsidR="003534CC" w:rsidRPr="008217F1" w:rsidRDefault="0967F2A1" w:rsidP="201B6D98">
            <w:pPr>
              <w:pStyle w:val="COMTabletext"/>
              <w:rPr>
                <w:rFonts w:eastAsia="Times New Roman" w:cs="Arial"/>
                <w:snapToGrid w:val="0"/>
                <w:color w:val="0066FF"/>
              </w:rPr>
            </w:pPr>
            <w:r w:rsidRPr="201B6D98">
              <w:rPr>
                <w:rFonts w:eastAsia="Times New Roman" w:cs="Arial"/>
                <w:snapToGrid w:val="0"/>
              </w:rPr>
              <w:t>The PBAC considered</w:t>
            </w:r>
            <w:r w:rsidR="7CC91CFA" w:rsidRPr="201B6D98">
              <w:rPr>
                <w:rFonts w:eastAsia="Times New Roman" w:cs="Arial"/>
                <w:snapToGrid w:val="0"/>
              </w:rPr>
              <w:t xml:space="preserve"> the sponsor’s assumption </w:t>
            </w:r>
            <w:r w:rsidR="1EF24102" w:rsidRPr="201B6D98">
              <w:rPr>
                <w:rFonts w:eastAsia="Times New Roman" w:cs="Arial"/>
                <w:snapToGrid w:val="0"/>
              </w:rPr>
              <w:t>of retreatment rates (</w:t>
            </w:r>
            <w:r w:rsidR="71424537" w:rsidRPr="201B6D98">
              <w:rPr>
                <w:rFonts w:eastAsia="Times New Roman" w:cs="Arial"/>
                <w:snapToGrid w:val="0"/>
              </w:rPr>
              <w:t>40%</w:t>
            </w:r>
            <w:r w:rsidR="1EF24102" w:rsidRPr="201B6D98">
              <w:rPr>
                <w:rFonts w:eastAsia="Times New Roman" w:cs="Arial"/>
                <w:snapToGrid w:val="0"/>
              </w:rPr>
              <w:t xml:space="preserve"> applied </w:t>
            </w:r>
            <w:r w:rsidR="2CF0AACF" w:rsidRPr="201B6D98">
              <w:rPr>
                <w:rFonts w:eastAsia="Times New Roman" w:cs="Arial"/>
                <w:snapToGrid w:val="0"/>
              </w:rPr>
              <w:t>to all esketamine patients</w:t>
            </w:r>
            <w:r w:rsidR="1EF24102" w:rsidRPr="201B6D98">
              <w:rPr>
                <w:rFonts w:eastAsia="Times New Roman" w:cs="Arial"/>
                <w:snapToGrid w:val="0"/>
              </w:rPr>
              <w:t>)</w:t>
            </w:r>
            <w:r w:rsidR="36C8A0D0" w:rsidRPr="201B6D98">
              <w:rPr>
                <w:rFonts w:eastAsia="Times New Roman" w:cs="Arial"/>
                <w:snapToGrid w:val="0"/>
              </w:rPr>
              <w:t xml:space="preserve"> uncertain, and</w:t>
            </w:r>
            <w:r w:rsidRPr="201B6D98">
              <w:rPr>
                <w:rFonts w:eastAsia="Times New Roman" w:cs="Arial"/>
                <w:snapToGrid w:val="0"/>
              </w:rPr>
              <w:t xml:space="preserve"> that </w:t>
            </w:r>
            <w:r w:rsidR="391EA9F9" w:rsidRPr="201B6D98">
              <w:rPr>
                <w:rFonts w:eastAsia="Times New Roman" w:cs="Arial"/>
                <w:snapToGrid w:val="0"/>
              </w:rPr>
              <w:t>retreatment should have been modelled</w:t>
            </w:r>
            <w:r w:rsidRPr="201B6D98">
              <w:rPr>
                <w:rFonts w:eastAsia="Times New Roman" w:cs="Arial"/>
                <w:snapToGrid w:val="0"/>
              </w:rPr>
              <w:t xml:space="preserve"> as a proportion of responders/remitters and risk of subsequent episodes of TRD</w:t>
            </w:r>
            <w:r w:rsidR="391EA9F9" w:rsidRPr="201B6D98">
              <w:rPr>
                <w:rFonts w:eastAsia="Times New Roman" w:cs="Arial"/>
                <w:snapToGrid w:val="0"/>
              </w:rPr>
              <w:t>, rather than added into subsequent lines of therapy with uptake rate</w:t>
            </w:r>
            <w:r w:rsidRPr="201B6D98">
              <w:rPr>
                <w:rFonts w:eastAsia="Times New Roman" w:cs="Arial"/>
                <w:snapToGrid w:val="0"/>
              </w:rPr>
              <w:t xml:space="preserve"> (Table 18, </w:t>
            </w:r>
            <w:r w:rsidR="00E71C49" w:rsidRPr="201B6D98">
              <w:rPr>
                <w:rFonts w:eastAsia="Times New Roman" w:cs="Arial"/>
                <w:snapToGrid w:val="0"/>
              </w:rPr>
              <w:t>esketamine PSD</w:t>
            </w:r>
            <w:r w:rsidRPr="201B6D98">
              <w:rPr>
                <w:rFonts w:eastAsia="Times New Roman" w:cs="Arial"/>
                <w:snapToGrid w:val="0"/>
              </w:rPr>
              <w:t>, July 2023 PBAC meeting)</w:t>
            </w:r>
          </w:p>
        </w:tc>
        <w:tc>
          <w:tcPr>
            <w:tcW w:w="2173" w:type="pct"/>
          </w:tcPr>
          <w:p w14:paraId="011CA876" w14:textId="48660601" w:rsidR="003534CC" w:rsidRPr="008217F1" w:rsidRDefault="795037CA" w:rsidP="201B6D98">
            <w:pPr>
              <w:pStyle w:val="COMTabletext"/>
              <w:rPr>
                <w:rFonts w:eastAsia="Times New Roman" w:cs="Arial"/>
                <w:snapToGrid w:val="0"/>
                <w:color w:val="0066FF"/>
              </w:rPr>
            </w:pPr>
            <w:r w:rsidRPr="201B6D98">
              <w:rPr>
                <w:rFonts w:eastAsia="Times New Roman" w:cs="Arial"/>
                <w:snapToGrid w:val="0"/>
              </w:rPr>
              <w:t xml:space="preserve">The resubmission assumed a higher retreatment rate of </w:t>
            </w:r>
            <w:r w:rsidR="2CF0AACF" w:rsidRPr="201B6D98">
              <w:rPr>
                <w:rFonts w:eastAsia="Times New Roman" w:cs="Arial"/>
                <w:snapToGrid w:val="0"/>
              </w:rPr>
              <w:t>100% but applied to a smaller patient pool of patients who responded to initial esketamine treatment</w:t>
            </w:r>
            <w:r w:rsidR="04317D5B" w:rsidRPr="201B6D98">
              <w:rPr>
                <w:rFonts w:eastAsia="Times New Roman" w:cs="Arial"/>
                <w:snapToGrid w:val="0"/>
              </w:rPr>
              <w:t xml:space="preserve"> and</w:t>
            </w:r>
            <w:r w:rsidR="2CF0AACF" w:rsidRPr="201B6D98">
              <w:rPr>
                <w:rFonts w:eastAsia="Times New Roman" w:cs="Arial"/>
                <w:snapToGrid w:val="0"/>
              </w:rPr>
              <w:t xml:space="preserve"> who</w:t>
            </w:r>
            <w:r w:rsidR="04317D5B" w:rsidRPr="201B6D98">
              <w:rPr>
                <w:rFonts w:eastAsia="Times New Roman" w:cs="Arial"/>
                <w:snapToGrid w:val="0"/>
              </w:rPr>
              <w:t xml:space="preserve"> had subsequently relapsed.</w:t>
            </w:r>
            <w:r w:rsidR="523DE918" w:rsidRPr="201B6D98">
              <w:rPr>
                <w:rFonts w:eastAsia="Times New Roman" w:cs="Arial"/>
                <w:snapToGrid w:val="0"/>
              </w:rPr>
              <w:t xml:space="preserve"> </w:t>
            </w:r>
            <w:r w:rsidR="0C270E52" w:rsidRPr="201B6D98">
              <w:rPr>
                <w:rFonts w:eastAsia="Times New Roman" w:cs="Arial"/>
                <w:snapToGrid w:val="0"/>
              </w:rPr>
              <w:t xml:space="preserve">Of patients treated in Year 1, 61% receive retreatment </w:t>
            </w:r>
            <w:r w:rsidR="00094784" w:rsidRPr="201B6D98">
              <w:rPr>
                <w:rFonts w:eastAsia="Times New Roman" w:cs="Arial"/>
                <w:snapToGrid w:val="0"/>
              </w:rPr>
              <w:t xml:space="preserve">over </w:t>
            </w:r>
            <w:r w:rsidR="0C270E52" w:rsidRPr="201B6D98">
              <w:rPr>
                <w:rFonts w:eastAsia="Times New Roman" w:cs="Arial"/>
                <w:snapToGrid w:val="0"/>
              </w:rPr>
              <w:t xml:space="preserve">6 years.  </w:t>
            </w:r>
          </w:p>
        </w:tc>
      </w:tr>
      <w:tr w:rsidR="003534CC" w:rsidRPr="008217F1" w14:paraId="48367E93" w14:textId="77777777" w:rsidTr="259D127E">
        <w:trPr>
          <w:cantSplit/>
        </w:trPr>
        <w:tc>
          <w:tcPr>
            <w:tcW w:w="816" w:type="pct"/>
            <w:vMerge/>
            <w:vAlign w:val="center"/>
          </w:tcPr>
          <w:p w14:paraId="6B29A744" w14:textId="77777777" w:rsidR="003534CC" w:rsidRPr="008217F1" w:rsidRDefault="003534CC" w:rsidP="004E18E9">
            <w:pPr>
              <w:pStyle w:val="COMTabletext"/>
              <w:rPr>
                <w:highlight w:val="cyan"/>
              </w:rPr>
            </w:pPr>
          </w:p>
        </w:tc>
        <w:tc>
          <w:tcPr>
            <w:tcW w:w="2011" w:type="pct"/>
          </w:tcPr>
          <w:p w14:paraId="3802C008" w14:textId="429E1EEF" w:rsidR="003534CC" w:rsidRPr="008217F1" w:rsidRDefault="006C293E" w:rsidP="004E18E9">
            <w:pPr>
              <w:pStyle w:val="COMTabletext"/>
              <w:rPr>
                <w:rFonts w:eastAsia="Times New Roman" w:cs="Arial"/>
                <w:bCs w:val="0"/>
                <w:snapToGrid w:val="0"/>
                <w:color w:val="0066FF"/>
                <w:szCs w:val="20"/>
                <w:highlight w:val="cyan"/>
              </w:rPr>
            </w:pPr>
            <w:r w:rsidRPr="008217F1">
              <w:rPr>
                <w:rFonts w:eastAsia="Times New Roman" w:cs="Arial"/>
                <w:bCs w:val="0"/>
                <w:snapToGrid w:val="0"/>
                <w:szCs w:val="20"/>
              </w:rPr>
              <w:t>The PBAC noted that the appropriate duration of treatment with esketamine remains uncertain but it would be appropriate to allow for a maximum treatment duration of 12 months per patient</w:t>
            </w:r>
            <w:r w:rsidR="00604556" w:rsidRPr="008217F1">
              <w:rPr>
                <w:rFonts w:eastAsia="Times New Roman" w:cs="Arial"/>
                <w:bCs w:val="0"/>
                <w:snapToGrid w:val="0"/>
                <w:szCs w:val="20"/>
              </w:rPr>
              <w:t xml:space="preserve"> </w:t>
            </w:r>
            <w:r w:rsidRPr="008217F1">
              <w:rPr>
                <w:rFonts w:eastAsia="Times New Roman" w:cs="Arial"/>
                <w:bCs w:val="0"/>
                <w:snapToGrid w:val="0"/>
                <w:szCs w:val="20"/>
              </w:rPr>
              <w:t xml:space="preserve">(para 7.4, </w:t>
            </w:r>
            <w:r w:rsidR="00E71C49" w:rsidRPr="008217F1">
              <w:rPr>
                <w:rFonts w:eastAsia="Times New Roman" w:cs="Arial"/>
                <w:bCs w:val="0"/>
                <w:snapToGrid w:val="0"/>
                <w:szCs w:val="20"/>
              </w:rPr>
              <w:t>esketamine PSD</w:t>
            </w:r>
            <w:r w:rsidRPr="008217F1">
              <w:rPr>
                <w:rFonts w:eastAsia="Times New Roman" w:cs="Arial"/>
                <w:bCs w:val="0"/>
                <w:snapToGrid w:val="0"/>
                <w:szCs w:val="20"/>
              </w:rPr>
              <w:t>, July 2023 PBAC meeting).</w:t>
            </w:r>
          </w:p>
        </w:tc>
        <w:tc>
          <w:tcPr>
            <w:tcW w:w="2173" w:type="pct"/>
          </w:tcPr>
          <w:p w14:paraId="5C8DD523" w14:textId="4CDB0A69" w:rsidR="003534CC" w:rsidRPr="008217F1" w:rsidRDefault="1BD41F2F" w:rsidP="201B6D98">
            <w:pPr>
              <w:pStyle w:val="COMTabletext"/>
              <w:rPr>
                <w:rFonts w:eastAsia="Times New Roman" w:cs="Arial"/>
                <w:snapToGrid w:val="0"/>
              </w:rPr>
            </w:pPr>
            <w:r w:rsidRPr="201B6D98">
              <w:rPr>
                <w:rFonts w:eastAsia="Times New Roman" w:cs="Arial"/>
                <w:snapToGrid w:val="0"/>
              </w:rPr>
              <w:t xml:space="preserve">The resubmission modified the financial estimates to reflect a maximum treatment duration of 12 months for </w:t>
            </w:r>
            <w:r w:rsidR="00683384" w:rsidRPr="00943214">
              <w:rPr>
                <w:rFonts w:eastAsia="Times New Roman" w:cs="Arial"/>
                <w:snapToGrid w:val="0"/>
                <w:color w:val="000000"/>
                <w:spacing w:val="52"/>
                <w:shd w:val="solid" w:color="000000" w:fill="000000"/>
                <w:fitText w:val="330" w:id="-892701184"/>
                <w14:textFill>
                  <w14:solidFill>
                    <w14:srgbClr w14:val="000000">
                      <w14:alpha w14:val="100000"/>
                    </w14:srgbClr>
                  </w14:solidFill>
                </w14:textFill>
              </w:rPr>
              <w:t>|||</w:t>
            </w:r>
            <w:r w:rsidR="00683384" w:rsidRPr="00943214">
              <w:rPr>
                <w:rFonts w:eastAsia="Times New Roman" w:cs="Arial"/>
                <w:snapToGrid w:val="0"/>
                <w:color w:val="000000"/>
                <w:spacing w:val="2"/>
                <w:shd w:val="solid" w:color="000000" w:fill="000000"/>
                <w:fitText w:val="330" w:id="-892701184"/>
                <w14:textFill>
                  <w14:solidFill>
                    <w14:srgbClr w14:val="000000">
                      <w14:alpha w14:val="100000"/>
                    </w14:srgbClr>
                  </w14:solidFill>
                </w14:textFill>
              </w:rPr>
              <w:t>|</w:t>
            </w:r>
            <w:r w:rsidRPr="002442B0">
              <w:rPr>
                <w:rFonts w:eastAsia="Times New Roman" w:cs="Arial"/>
                <w:snapToGrid w:val="0"/>
              </w:rPr>
              <w:t xml:space="preserve">% of the initial and retreated population, with </w:t>
            </w:r>
            <w:r w:rsidR="00683384" w:rsidRPr="00943214">
              <w:rPr>
                <w:rFonts w:eastAsia="Times New Roman" w:cs="Arial"/>
                <w:snapToGrid w:val="0"/>
                <w:color w:val="000000"/>
                <w:spacing w:val="52"/>
                <w:shd w:val="solid" w:color="000000" w:fill="000000"/>
                <w:fitText w:val="330" w:id="-892701183"/>
                <w14:textFill>
                  <w14:solidFill>
                    <w14:srgbClr w14:val="000000">
                      <w14:alpha w14:val="100000"/>
                    </w14:srgbClr>
                  </w14:solidFill>
                </w14:textFill>
              </w:rPr>
              <w:t>|||</w:t>
            </w:r>
            <w:r w:rsidR="00683384" w:rsidRPr="00943214">
              <w:rPr>
                <w:rFonts w:eastAsia="Times New Roman" w:cs="Arial"/>
                <w:snapToGrid w:val="0"/>
                <w:color w:val="000000"/>
                <w:spacing w:val="2"/>
                <w:shd w:val="solid" w:color="000000" w:fill="000000"/>
                <w:fitText w:val="330" w:id="-892701183"/>
                <w14:textFill>
                  <w14:solidFill>
                    <w14:srgbClr w14:val="000000">
                      <w14:alpha w14:val="100000"/>
                    </w14:srgbClr>
                  </w14:solidFill>
                </w14:textFill>
              </w:rPr>
              <w:t>|</w:t>
            </w:r>
            <w:r w:rsidRPr="008D2AC7">
              <w:rPr>
                <w:rFonts w:eastAsia="Times New Roman" w:cs="Arial"/>
                <w:snapToGrid w:val="0"/>
              </w:rPr>
              <w:t>%</w:t>
            </w:r>
            <w:r w:rsidRPr="002442B0">
              <w:rPr>
                <w:rFonts w:eastAsia="Times New Roman" w:cs="Arial"/>
                <w:snapToGrid w:val="0"/>
              </w:rPr>
              <w:t xml:space="preserve"> continuing</w:t>
            </w:r>
            <w:r w:rsidRPr="201B6D98">
              <w:rPr>
                <w:rFonts w:eastAsia="Times New Roman" w:cs="Arial"/>
                <w:snapToGrid w:val="0"/>
              </w:rPr>
              <w:t xml:space="preserve"> beyond 12 months of therapy; based on data from the sponsor’s </w:t>
            </w:r>
            <w:r w:rsidR="504B252A" w:rsidRPr="201B6D98">
              <w:rPr>
                <w:rFonts w:eastAsia="Times New Roman" w:cs="Arial"/>
                <w:snapToGrid w:val="0"/>
              </w:rPr>
              <w:t>early</w:t>
            </w:r>
            <w:r w:rsidRPr="201B6D98">
              <w:rPr>
                <w:rFonts w:eastAsia="Times New Roman" w:cs="Arial"/>
                <w:snapToGrid w:val="0"/>
              </w:rPr>
              <w:t xml:space="preserve"> access program.</w:t>
            </w:r>
          </w:p>
        </w:tc>
      </w:tr>
      <w:tr w:rsidR="002E2FD1" w:rsidRPr="008217F1" w14:paraId="4132EE22" w14:textId="77777777" w:rsidTr="259D127E">
        <w:trPr>
          <w:cantSplit/>
          <w:trHeight w:val="1359"/>
        </w:trPr>
        <w:tc>
          <w:tcPr>
            <w:tcW w:w="816" w:type="pct"/>
            <w:vMerge/>
            <w:vAlign w:val="center"/>
          </w:tcPr>
          <w:p w14:paraId="6835A562" w14:textId="77777777" w:rsidR="002E2FD1" w:rsidRPr="008217F1" w:rsidRDefault="002E2FD1" w:rsidP="004E18E9">
            <w:pPr>
              <w:pStyle w:val="COMTabletext"/>
              <w:rPr>
                <w:highlight w:val="cyan"/>
              </w:rPr>
            </w:pPr>
          </w:p>
        </w:tc>
        <w:tc>
          <w:tcPr>
            <w:tcW w:w="2011" w:type="pct"/>
          </w:tcPr>
          <w:p w14:paraId="6D168F6B" w14:textId="2127DDC2" w:rsidR="002E2FD1" w:rsidRPr="008217F1" w:rsidRDefault="004B06B9" w:rsidP="004E18E9">
            <w:pPr>
              <w:pStyle w:val="COMTabletext"/>
              <w:rPr>
                <w:rFonts w:eastAsia="Times New Roman" w:cs="Arial"/>
                <w:bCs w:val="0"/>
                <w:snapToGrid w:val="0"/>
                <w:szCs w:val="20"/>
                <w:highlight w:val="cyan"/>
              </w:rPr>
            </w:pPr>
            <w:r w:rsidRPr="008217F1">
              <w:rPr>
                <w:rFonts w:eastAsia="Times New Roman" w:cs="Arial"/>
                <w:bCs w:val="0"/>
                <w:snapToGrid w:val="0"/>
                <w:szCs w:val="20"/>
              </w:rPr>
              <w:t xml:space="preserve">The PBAC noted that uncertainties regarding the use of esketamine, which impact the cost-effectiveness and financial estimates, could potentially be addressed with a managed access program </w:t>
            </w:r>
            <w:r w:rsidR="002E2FD1" w:rsidRPr="008217F1">
              <w:rPr>
                <w:rFonts w:eastAsia="Times New Roman" w:cs="Arial"/>
                <w:bCs w:val="0"/>
                <w:snapToGrid w:val="0"/>
                <w:szCs w:val="20"/>
              </w:rPr>
              <w:t xml:space="preserve">(para 7.16, </w:t>
            </w:r>
            <w:r w:rsidR="00E71C49" w:rsidRPr="008217F1">
              <w:rPr>
                <w:rFonts w:eastAsia="Times New Roman" w:cs="Arial"/>
                <w:bCs w:val="0"/>
                <w:snapToGrid w:val="0"/>
                <w:szCs w:val="20"/>
              </w:rPr>
              <w:t>esketamine PSD</w:t>
            </w:r>
            <w:r w:rsidR="002E2FD1" w:rsidRPr="008217F1">
              <w:rPr>
                <w:rFonts w:eastAsia="Times New Roman" w:cs="Arial"/>
                <w:bCs w:val="0"/>
                <w:snapToGrid w:val="0"/>
                <w:szCs w:val="20"/>
              </w:rPr>
              <w:t>, July 2023 PBAC meeting)</w:t>
            </w:r>
          </w:p>
        </w:tc>
        <w:tc>
          <w:tcPr>
            <w:tcW w:w="2173" w:type="pct"/>
          </w:tcPr>
          <w:p w14:paraId="1588EE84" w14:textId="681074A6" w:rsidR="002E2FD1" w:rsidRPr="008217F1" w:rsidRDefault="00F2495F" w:rsidP="004E18E9">
            <w:pPr>
              <w:pStyle w:val="COMTabletext"/>
              <w:rPr>
                <w:rFonts w:eastAsia="Times New Roman" w:cs="Arial"/>
                <w:bCs w:val="0"/>
                <w:snapToGrid w:val="0"/>
                <w:szCs w:val="20"/>
                <w:highlight w:val="cyan"/>
              </w:rPr>
            </w:pPr>
            <w:r w:rsidRPr="008217F1">
              <w:rPr>
                <w:rFonts w:eastAsia="Times New Roman" w:cs="Arial"/>
                <w:bCs w:val="0"/>
                <w:snapToGrid w:val="0"/>
                <w:szCs w:val="20"/>
              </w:rPr>
              <w:t>The resubmission argued that a managed access p</w:t>
            </w:r>
            <w:r w:rsidR="009C4191" w:rsidRPr="008217F1">
              <w:rPr>
                <w:rFonts w:eastAsia="Times New Roman" w:cs="Arial"/>
                <w:bCs w:val="0"/>
                <w:snapToGrid w:val="0"/>
                <w:szCs w:val="20"/>
              </w:rPr>
              <w:t>rogram</w:t>
            </w:r>
            <w:r w:rsidRPr="008217F1">
              <w:rPr>
                <w:rFonts w:eastAsia="Times New Roman" w:cs="Arial"/>
                <w:bCs w:val="0"/>
                <w:snapToGrid w:val="0"/>
                <w:szCs w:val="20"/>
              </w:rPr>
              <w:t xml:space="preserve"> for esketamine is not feasible or practical, and instead sought to address outstanding uncertainties through revised hospitalisation inputs in the economic model base case, and a revised risk shar</w:t>
            </w:r>
            <w:r w:rsidR="009C4191" w:rsidRPr="008217F1">
              <w:rPr>
                <w:rFonts w:eastAsia="Times New Roman" w:cs="Arial"/>
                <w:bCs w:val="0"/>
                <w:snapToGrid w:val="0"/>
                <w:szCs w:val="20"/>
              </w:rPr>
              <w:t>ing</w:t>
            </w:r>
            <w:r w:rsidRPr="008217F1">
              <w:rPr>
                <w:rFonts w:eastAsia="Times New Roman" w:cs="Arial"/>
                <w:bCs w:val="0"/>
                <w:snapToGrid w:val="0"/>
                <w:szCs w:val="20"/>
              </w:rPr>
              <w:t xml:space="preserve"> arrangement with a higher rebate </w:t>
            </w:r>
            <w:r w:rsidR="00683384" w:rsidRPr="00943214">
              <w:rPr>
                <w:rFonts w:eastAsia="Times New Roman" w:cs="Arial"/>
                <w:bCs w:val="0"/>
                <w:snapToGrid w:val="0"/>
                <w:color w:val="000000"/>
                <w:spacing w:val="52"/>
                <w:szCs w:val="20"/>
                <w:shd w:val="solid" w:color="000000" w:fill="000000"/>
                <w:fitText w:val="330" w:id="-892701182"/>
                <w14:textFill>
                  <w14:solidFill>
                    <w14:srgbClr w14:val="000000">
                      <w14:alpha w14:val="100000"/>
                    </w14:srgbClr>
                  </w14:solidFill>
                </w14:textFill>
              </w:rPr>
              <w:t>|||</w:t>
            </w:r>
            <w:r w:rsidR="00683384" w:rsidRPr="00943214">
              <w:rPr>
                <w:rFonts w:eastAsia="Times New Roman" w:cs="Arial"/>
                <w:bCs w:val="0"/>
                <w:snapToGrid w:val="0"/>
                <w:color w:val="000000"/>
                <w:spacing w:val="2"/>
                <w:szCs w:val="20"/>
                <w:shd w:val="solid" w:color="000000" w:fill="000000"/>
                <w:fitText w:val="330" w:id="-892701182"/>
                <w14:textFill>
                  <w14:solidFill>
                    <w14:srgbClr w14:val="000000">
                      <w14:alpha w14:val="100000"/>
                    </w14:srgbClr>
                  </w14:solidFill>
                </w14:textFill>
              </w:rPr>
              <w:t>|</w:t>
            </w:r>
            <w:r w:rsidRPr="008217F1">
              <w:rPr>
                <w:rFonts w:eastAsia="Times New Roman" w:cs="Arial"/>
                <w:bCs w:val="0"/>
                <w:snapToGrid w:val="0"/>
                <w:szCs w:val="20"/>
              </w:rPr>
              <w:t xml:space="preserve">% compared to </w:t>
            </w:r>
            <w:r w:rsidR="00683384" w:rsidRPr="00943214">
              <w:rPr>
                <w:rFonts w:eastAsia="Times New Roman" w:cs="Arial"/>
                <w:bCs w:val="0"/>
                <w:snapToGrid w:val="0"/>
                <w:color w:val="000000"/>
                <w:spacing w:val="52"/>
                <w:szCs w:val="20"/>
                <w:shd w:val="solid" w:color="000000" w:fill="000000"/>
                <w:fitText w:val="330" w:id="-892701181"/>
                <w14:textFill>
                  <w14:solidFill>
                    <w14:srgbClr w14:val="000000">
                      <w14:alpha w14:val="100000"/>
                    </w14:srgbClr>
                  </w14:solidFill>
                </w14:textFill>
              </w:rPr>
              <w:t>|||</w:t>
            </w:r>
            <w:r w:rsidR="00683384" w:rsidRPr="00943214">
              <w:rPr>
                <w:rFonts w:eastAsia="Times New Roman" w:cs="Arial"/>
                <w:bCs w:val="0"/>
                <w:snapToGrid w:val="0"/>
                <w:color w:val="000000"/>
                <w:spacing w:val="2"/>
                <w:szCs w:val="20"/>
                <w:shd w:val="solid" w:color="000000" w:fill="000000"/>
                <w:fitText w:val="330" w:id="-892701181"/>
                <w14:textFill>
                  <w14:solidFill>
                    <w14:srgbClr w14:val="000000">
                      <w14:alpha w14:val="100000"/>
                    </w14:srgbClr>
                  </w14:solidFill>
                </w14:textFill>
              </w:rPr>
              <w:t>|</w:t>
            </w:r>
            <w:r w:rsidRPr="008217F1">
              <w:rPr>
                <w:rFonts w:eastAsia="Times New Roman" w:cs="Arial"/>
                <w:bCs w:val="0"/>
                <w:snapToGrid w:val="0"/>
                <w:szCs w:val="20"/>
              </w:rPr>
              <w:t>% in the July 2023 resubmission) for any use above the subsidisation caps.</w:t>
            </w:r>
          </w:p>
        </w:tc>
      </w:tr>
    </w:tbl>
    <w:p w14:paraId="451D7156" w14:textId="3FF07590" w:rsidR="005C25FF" w:rsidRPr="00D26534" w:rsidRDefault="005C25FF" w:rsidP="004E18E9">
      <w:pPr>
        <w:pStyle w:val="COMTablefooter"/>
      </w:pPr>
      <w:r w:rsidRPr="00D26534">
        <w:t>Source: Table</w:t>
      </w:r>
      <w:r w:rsidR="00B34F6A" w:rsidRPr="00D26534">
        <w:t xml:space="preserve"> (unlabelled)</w:t>
      </w:r>
      <w:r w:rsidRPr="00D26534">
        <w:t>of the submission.</w:t>
      </w:r>
    </w:p>
    <w:p w14:paraId="0F4957A4" w14:textId="057C32E1" w:rsidR="00B70703" w:rsidRPr="00D26534" w:rsidRDefault="00B70703" w:rsidP="00B70703">
      <w:pPr>
        <w:pStyle w:val="COMTablefooter"/>
      </w:pPr>
      <w:r w:rsidRPr="00D26534">
        <w:t xml:space="preserve">Abbreviations: </w:t>
      </w:r>
      <w:r w:rsidR="0044587C" w:rsidRPr="00D26534">
        <w:t>MDD, major depressive disorder; MDE, major depressive e</w:t>
      </w:r>
      <w:r w:rsidR="005D27DD" w:rsidRPr="00D26534">
        <w:t>pisode</w:t>
      </w:r>
      <w:r w:rsidR="0044587C" w:rsidRPr="00D26534">
        <w:t>; TRD, treatment resistant depression</w:t>
      </w:r>
    </w:p>
    <w:p w14:paraId="453FEB65" w14:textId="40631C0B" w:rsidR="00760ED5" w:rsidRPr="008217F1" w:rsidRDefault="005638BC" w:rsidP="00760ED5">
      <w:pPr>
        <w:pStyle w:val="ListParagraph"/>
        <w:numPr>
          <w:ilvl w:val="1"/>
          <w:numId w:val="1"/>
        </w:numPr>
        <w:ind w:hanging="720"/>
        <w:contextualSpacing w:val="0"/>
      </w:pPr>
      <w:bookmarkStart w:id="9" w:name="_Toc107902078"/>
      <w:bookmarkStart w:id="10" w:name="_Toc167274368"/>
      <w:bookmarkEnd w:id="9"/>
      <w:r w:rsidRPr="008217F1">
        <w:t xml:space="preserve">The </w:t>
      </w:r>
      <w:r w:rsidR="001E3B1D" w:rsidRPr="001E3B1D">
        <w:rPr>
          <w:iCs/>
        </w:rPr>
        <w:t xml:space="preserve">Pre-Sub-Committee Response </w:t>
      </w:r>
      <w:r w:rsidR="001E3B1D">
        <w:rPr>
          <w:iCs/>
        </w:rPr>
        <w:t>(</w:t>
      </w:r>
      <w:r w:rsidRPr="008217F1">
        <w:t>PSCR</w:t>
      </w:r>
      <w:r w:rsidR="001E3B1D">
        <w:t>)</w:t>
      </w:r>
      <w:r w:rsidRPr="008217F1">
        <w:t xml:space="preserve"> raised, and t</w:t>
      </w:r>
      <w:r w:rsidR="00760ED5" w:rsidRPr="008217F1">
        <w:t xml:space="preserve">he ESC noted that, </w:t>
      </w:r>
      <w:r w:rsidR="00AA6D0A" w:rsidRPr="008217F1">
        <w:t>following</w:t>
      </w:r>
      <w:r w:rsidR="00760ED5" w:rsidRPr="008217F1">
        <w:t xml:space="preserve"> the July 2023 PBAC meeting, the sponsor present</w:t>
      </w:r>
      <w:r w:rsidR="00AA6D0A" w:rsidRPr="008217F1">
        <w:t>ed its approach for a resubmission</w:t>
      </w:r>
      <w:r w:rsidR="00753C5D">
        <w:t xml:space="preserve"> to the Chairs of the PBAC and Department staff</w:t>
      </w:r>
      <w:r w:rsidR="00AA6D0A" w:rsidRPr="008217F1">
        <w:t xml:space="preserve">, </w:t>
      </w:r>
      <w:r w:rsidR="00760ED5" w:rsidRPr="008217F1">
        <w:t>focus</w:t>
      </w:r>
      <w:r w:rsidR="00AA6D0A" w:rsidRPr="008217F1">
        <w:t>ing</w:t>
      </w:r>
      <w:r w:rsidR="00760ED5" w:rsidRPr="008217F1">
        <w:t xml:space="preserve"> on:</w:t>
      </w:r>
    </w:p>
    <w:p w14:paraId="18163BBA" w14:textId="497392F7" w:rsidR="00760ED5" w:rsidRPr="008217F1" w:rsidRDefault="00AA6D0A" w:rsidP="00346E75">
      <w:pPr>
        <w:pStyle w:val="ListParagraph"/>
        <w:numPr>
          <w:ilvl w:val="1"/>
          <w:numId w:val="6"/>
        </w:numPr>
        <w:spacing w:after="120"/>
        <w:contextualSpacing w:val="0"/>
      </w:pPr>
      <w:r w:rsidRPr="008217F1">
        <w:lastRenderedPageBreak/>
        <w:t>the</w:t>
      </w:r>
      <w:r w:rsidR="00760ED5" w:rsidRPr="008217F1">
        <w:t xml:space="preserve"> available </w:t>
      </w:r>
      <w:r w:rsidRPr="008217F1">
        <w:t xml:space="preserve">data </w:t>
      </w:r>
      <w:r w:rsidR="00760ED5" w:rsidRPr="008217F1">
        <w:t xml:space="preserve">to support retreatment and use beyond 12 months; </w:t>
      </w:r>
    </w:p>
    <w:p w14:paraId="4BCBD225" w14:textId="5856E183" w:rsidR="00760ED5" w:rsidRPr="008217F1" w:rsidRDefault="00760ED5" w:rsidP="00346E75">
      <w:pPr>
        <w:pStyle w:val="ListParagraph"/>
        <w:numPr>
          <w:ilvl w:val="1"/>
          <w:numId w:val="6"/>
        </w:numPr>
        <w:spacing w:after="120"/>
        <w:contextualSpacing w:val="0"/>
      </w:pPr>
      <w:r w:rsidRPr="008217F1">
        <w:rPr>
          <w:lang w:val="en-GB"/>
        </w:rPr>
        <w:t>the appropriate economic model structure to capture the cost-effectiveness of retreatment and use beyond 12 months;</w:t>
      </w:r>
    </w:p>
    <w:p w14:paraId="79553A72" w14:textId="11CDBF7C" w:rsidR="00760ED5" w:rsidRPr="008217F1" w:rsidRDefault="00AA6D0A" w:rsidP="00346E75">
      <w:pPr>
        <w:pStyle w:val="ListParagraph"/>
        <w:numPr>
          <w:ilvl w:val="1"/>
          <w:numId w:val="6"/>
        </w:numPr>
        <w:spacing w:after="120"/>
        <w:contextualSpacing w:val="0"/>
      </w:pPr>
      <w:r w:rsidRPr="008217F1">
        <w:rPr>
          <w:lang w:val="en-GB"/>
        </w:rPr>
        <w:t>potential</w:t>
      </w:r>
      <w:r w:rsidR="00760ED5" w:rsidRPr="008217F1">
        <w:rPr>
          <w:lang w:val="en-GB"/>
        </w:rPr>
        <w:t xml:space="preserve"> alternative data source for </w:t>
      </w:r>
      <w:r w:rsidRPr="008217F1">
        <w:rPr>
          <w:lang w:val="en-GB"/>
        </w:rPr>
        <w:t xml:space="preserve">the </w:t>
      </w:r>
      <w:r w:rsidR="00760ED5" w:rsidRPr="008217F1">
        <w:rPr>
          <w:lang w:val="en-GB"/>
        </w:rPr>
        <w:t>rate of hospitalisation; and</w:t>
      </w:r>
    </w:p>
    <w:p w14:paraId="232DDE05" w14:textId="45961F7A" w:rsidR="009E6034" w:rsidRPr="00346E75" w:rsidRDefault="00760ED5" w:rsidP="00346E75">
      <w:pPr>
        <w:pStyle w:val="ListParagraph"/>
        <w:numPr>
          <w:ilvl w:val="1"/>
          <w:numId w:val="6"/>
        </w:numPr>
        <w:spacing w:after="120"/>
        <w:ind w:left="1434" w:hanging="357"/>
        <w:contextualSpacing w:val="0"/>
      </w:pPr>
      <w:r w:rsidRPr="008217F1">
        <w:rPr>
          <w:lang w:val="en-GB"/>
        </w:rPr>
        <w:t>the feasibility of a Managed Access Program and/ or a Risk-Sharing Arrangement to address outstanding uncertainties.</w:t>
      </w:r>
    </w:p>
    <w:p w14:paraId="2EB91F10" w14:textId="60340C6C" w:rsidR="009E6034" w:rsidRPr="00346E75" w:rsidRDefault="009E6034" w:rsidP="00346E75">
      <w:pPr>
        <w:ind w:firstLine="709"/>
        <w:rPr>
          <w:rFonts w:asciiTheme="minorHAnsi" w:hAnsiTheme="minorHAnsi"/>
          <w:i/>
        </w:rPr>
      </w:pPr>
      <w:bookmarkStart w:id="11" w:name="_Hlk76375324"/>
      <w:r w:rsidRPr="00C33D30">
        <w:rPr>
          <w:rFonts w:asciiTheme="minorHAnsi" w:hAnsiTheme="minorHAnsi"/>
          <w:i/>
        </w:rPr>
        <w:t>For more detail on PBAC’s view, see section 7 PBAC outcome.</w:t>
      </w:r>
      <w:bookmarkEnd w:id="11"/>
    </w:p>
    <w:p w14:paraId="79673BB3" w14:textId="0D5D1658" w:rsidR="00ED1376" w:rsidRDefault="00B50DB8" w:rsidP="001D5EA0">
      <w:pPr>
        <w:pStyle w:val="COMH1numbered"/>
        <w:numPr>
          <w:ilvl w:val="0"/>
          <w:numId w:val="1"/>
        </w:numPr>
      </w:pPr>
      <w:r w:rsidRPr="00043790">
        <w:t>Requested listing</w:t>
      </w:r>
      <w:bookmarkEnd w:id="10"/>
    </w:p>
    <w:p w14:paraId="1F522416" w14:textId="73BF464D" w:rsidR="002B6AF5" w:rsidRDefault="002B6AF5" w:rsidP="00334ED6">
      <w:pPr>
        <w:pStyle w:val="ListParagraph"/>
        <w:numPr>
          <w:ilvl w:val="1"/>
          <w:numId w:val="1"/>
        </w:numPr>
        <w:spacing w:after="120"/>
        <w:ind w:hanging="720"/>
        <w:contextualSpacing w:val="0"/>
        <w:rPr>
          <w:rFonts w:cs="Calibri"/>
          <w:bCs/>
          <w:iCs/>
        </w:rPr>
      </w:pPr>
      <w:bookmarkStart w:id="12" w:name="_Ref174008969"/>
      <w:r w:rsidRPr="00334ED6">
        <w:rPr>
          <w:rFonts w:cs="Calibri"/>
          <w:bCs/>
          <w:iCs/>
        </w:rPr>
        <w:t>Five separate restrictions were requested (i) initial induction treatment (weeks 1-4) (ii) initial maintenance treatment (weeks 5-52) (iii) treatment beyond 12 months (for either initial</w:t>
      </w:r>
      <w:r w:rsidR="005D5EE9" w:rsidRPr="00334ED6">
        <w:rPr>
          <w:rFonts w:cs="Calibri"/>
          <w:bCs/>
          <w:iCs/>
        </w:rPr>
        <w:t xml:space="preserve"> treatment</w:t>
      </w:r>
      <w:r w:rsidRPr="00334ED6">
        <w:rPr>
          <w:rFonts w:cs="Calibri"/>
          <w:bCs/>
          <w:iCs/>
        </w:rPr>
        <w:t xml:space="preserve"> or retreatment, weeks 53 onwards) (iv) retreatment induction (weeks 1-4), and (v) retreatment maintenance (weeks 5-52).</w:t>
      </w:r>
      <w:bookmarkEnd w:id="12"/>
      <w:r w:rsidR="00BF5C28" w:rsidRPr="00334ED6">
        <w:rPr>
          <w:rFonts w:cs="Calibri"/>
          <w:bCs/>
          <w:iCs/>
        </w:rPr>
        <w:t xml:space="preserve"> </w:t>
      </w:r>
    </w:p>
    <w:p w14:paraId="5903977A" w14:textId="46CB0F6C" w:rsidR="002B6AF5" w:rsidRPr="00D26534" w:rsidRDefault="00DB5D07" w:rsidP="004D7C24">
      <w:pPr>
        <w:pStyle w:val="ListParagraph"/>
        <w:numPr>
          <w:ilvl w:val="1"/>
          <w:numId w:val="1"/>
        </w:numPr>
        <w:spacing w:after="120"/>
        <w:ind w:hanging="720"/>
        <w:contextualSpacing w:val="0"/>
      </w:pPr>
      <w:r w:rsidRPr="00317042">
        <w:rPr>
          <w:rFonts w:cs="Calibri"/>
          <w:bCs/>
          <w:iCs/>
        </w:rPr>
        <w:t xml:space="preserve">The criteria below incorporates changes </w:t>
      </w:r>
      <w:r w:rsidR="001C7664" w:rsidRPr="00317042">
        <w:rPr>
          <w:rFonts w:cs="Calibri"/>
          <w:bCs/>
          <w:iCs/>
        </w:rPr>
        <w:t xml:space="preserve">proposed </w:t>
      </w:r>
      <w:r w:rsidRPr="00317042">
        <w:rPr>
          <w:rFonts w:cs="Calibri"/>
          <w:bCs/>
          <w:iCs/>
        </w:rPr>
        <w:t>by the Secretariat</w:t>
      </w:r>
      <w:r w:rsidR="001C7664" w:rsidRPr="00317042">
        <w:rPr>
          <w:rFonts w:cs="Calibri"/>
          <w:bCs/>
          <w:iCs/>
        </w:rPr>
        <w:t xml:space="preserve"> with additions in italics and deletions in strikethrough.</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3685"/>
        <w:gridCol w:w="801"/>
        <w:gridCol w:w="801"/>
        <w:gridCol w:w="801"/>
        <w:gridCol w:w="802"/>
      </w:tblGrid>
      <w:tr w:rsidR="00BD0542" w:rsidRPr="00D26534" w14:paraId="23C6C612" w14:textId="77777777" w:rsidTr="00317042">
        <w:trPr>
          <w:trHeight w:val="20"/>
        </w:trPr>
        <w:tc>
          <w:tcPr>
            <w:tcW w:w="2127" w:type="dxa"/>
            <w:vAlign w:val="center"/>
          </w:tcPr>
          <w:p w14:paraId="7A9644FC" w14:textId="77777777" w:rsidR="00BD0542" w:rsidRPr="00D26534" w:rsidRDefault="00BD0542" w:rsidP="00006A1C">
            <w:pPr>
              <w:keepNext/>
              <w:rPr>
                <w:rFonts w:ascii="Arial Narrow" w:hAnsi="Arial Narrow"/>
                <w:b/>
                <w:bCs/>
                <w:sz w:val="20"/>
                <w:szCs w:val="20"/>
              </w:rPr>
            </w:pPr>
            <w:r w:rsidRPr="00D26534">
              <w:rPr>
                <w:rFonts w:ascii="Arial Narrow" w:hAnsi="Arial Narrow"/>
                <w:b/>
                <w:bCs/>
                <w:sz w:val="20"/>
                <w:szCs w:val="20"/>
              </w:rPr>
              <w:t>MEDICINAL PRODUCT</w:t>
            </w:r>
          </w:p>
          <w:p w14:paraId="71E183BC" w14:textId="77777777" w:rsidR="00BD0542" w:rsidRPr="00D26534" w:rsidRDefault="00BD0542" w:rsidP="00006A1C">
            <w:pPr>
              <w:pStyle w:val="COMTabletext"/>
            </w:pPr>
            <w:r w:rsidRPr="00D26534">
              <w:rPr>
                <w:b/>
                <w:szCs w:val="20"/>
              </w:rPr>
              <w:t>medicinal product pack</w:t>
            </w:r>
          </w:p>
        </w:tc>
        <w:tc>
          <w:tcPr>
            <w:tcW w:w="3685" w:type="dxa"/>
            <w:vAlign w:val="center"/>
          </w:tcPr>
          <w:p w14:paraId="7387C957" w14:textId="55F90BC9" w:rsidR="00BD0542" w:rsidRPr="00D26534" w:rsidRDefault="00BD0542" w:rsidP="00006A1C">
            <w:pPr>
              <w:pStyle w:val="COMTabletext"/>
              <w:jc w:val="center"/>
              <w:rPr>
                <w:szCs w:val="20"/>
              </w:rPr>
            </w:pPr>
            <w:r w:rsidRPr="00D26534">
              <w:rPr>
                <w:b/>
                <w:bCs w:val="0"/>
                <w:snapToGrid w:val="0"/>
              </w:rPr>
              <w:t xml:space="preserve">Published (effective) </w:t>
            </w:r>
            <w:r w:rsidR="00E1183C" w:rsidRPr="00D26534">
              <w:rPr>
                <w:b/>
                <w:bCs w:val="0"/>
                <w:snapToGrid w:val="0"/>
              </w:rPr>
              <w:t>D</w:t>
            </w:r>
            <w:r w:rsidRPr="00D26534">
              <w:rPr>
                <w:b/>
                <w:bCs w:val="0"/>
                <w:snapToGrid w:val="0"/>
              </w:rPr>
              <w:t xml:space="preserve">ispensed Price for Max. Qty </w:t>
            </w:r>
          </w:p>
        </w:tc>
        <w:tc>
          <w:tcPr>
            <w:tcW w:w="801" w:type="dxa"/>
            <w:vAlign w:val="center"/>
          </w:tcPr>
          <w:p w14:paraId="3B440D29" w14:textId="77777777" w:rsidR="00BD0542" w:rsidRPr="00D26534" w:rsidRDefault="00BD0542" w:rsidP="00006A1C">
            <w:pPr>
              <w:keepNext/>
              <w:jc w:val="center"/>
              <w:rPr>
                <w:rFonts w:ascii="Arial Narrow" w:hAnsi="Arial Narrow"/>
                <w:sz w:val="20"/>
                <w:szCs w:val="20"/>
              </w:rPr>
            </w:pPr>
            <w:r w:rsidRPr="00D26534">
              <w:rPr>
                <w:rFonts w:ascii="Arial Narrow" w:hAnsi="Arial Narrow"/>
                <w:b/>
                <w:sz w:val="20"/>
                <w:szCs w:val="20"/>
              </w:rPr>
              <w:t>Max. qty packs</w:t>
            </w:r>
          </w:p>
        </w:tc>
        <w:tc>
          <w:tcPr>
            <w:tcW w:w="801" w:type="dxa"/>
            <w:vAlign w:val="center"/>
          </w:tcPr>
          <w:p w14:paraId="3CB9AFCB" w14:textId="77777777" w:rsidR="00BD0542" w:rsidRPr="00D26534" w:rsidRDefault="00BD0542" w:rsidP="00006A1C">
            <w:pPr>
              <w:keepNext/>
              <w:jc w:val="center"/>
              <w:rPr>
                <w:rFonts w:ascii="Arial Narrow" w:hAnsi="Arial Narrow"/>
                <w:sz w:val="20"/>
                <w:szCs w:val="20"/>
              </w:rPr>
            </w:pPr>
            <w:r w:rsidRPr="00D26534">
              <w:rPr>
                <w:rFonts w:ascii="Arial Narrow" w:hAnsi="Arial Narrow"/>
                <w:b/>
                <w:sz w:val="20"/>
                <w:szCs w:val="20"/>
              </w:rPr>
              <w:t>Max. qty units</w:t>
            </w:r>
          </w:p>
        </w:tc>
        <w:tc>
          <w:tcPr>
            <w:tcW w:w="801" w:type="dxa"/>
            <w:vAlign w:val="center"/>
          </w:tcPr>
          <w:p w14:paraId="3A99C6AE" w14:textId="4375BFAB" w:rsidR="00BD0542" w:rsidRPr="00D26534" w:rsidRDefault="00BD0542" w:rsidP="00006A1C">
            <w:pPr>
              <w:keepNext/>
              <w:jc w:val="center"/>
              <w:rPr>
                <w:rFonts w:ascii="Arial Narrow" w:hAnsi="Arial Narrow"/>
                <w:b/>
                <w:sz w:val="20"/>
                <w:szCs w:val="20"/>
              </w:rPr>
            </w:pPr>
            <w:r w:rsidRPr="00D26534">
              <w:rPr>
                <w:rFonts w:ascii="Arial Narrow" w:hAnsi="Arial Narrow"/>
                <w:b/>
                <w:sz w:val="20"/>
                <w:szCs w:val="20"/>
              </w:rPr>
              <w:t>№.of</w:t>
            </w:r>
          </w:p>
          <w:p w14:paraId="3867C313" w14:textId="77777777" w:rsidR="00BD0542" w:rsidRPr="00D26534" w:rsidRDefault="00BD0542" w:rsidP="00006A1C">
            <w:pPr>
              <w:keepNext/>
              <w:jc w:val="center"/>
              <w:rPr>
                <w:rFonts w:ascii="Arial Narrow" w:hAnsi="Arial Narrow"/>
                <w:sz w:val="20"/>
                <w:szCs w:val="20"/>
              </w:rPr>
            </w:pPr>
            <w:r w:rsidRPr="00D26534">
              <w:rPr>
                <w:rFonts w:ascii="Arial Narrow" w:hAnsi="Arial Narrow"/>
                <w:b/>
                <w:sz w:val="20"/>
                <w:szCs w:val="20"/>
              </w:rPr>
              <w:t>Rpts</w:t>
            </w:r>
          </w:p>
        </w:tc>
        <w:tc>
          <w:tcPr>
            <w:tcW w:w="802" w:type="dxa"/>
            <w:vAlign w:val="center"/>
          </w:tcPr>
          <w:p w14:paraId="7FB37CC6" w14:textId="77777777" w:rsidR="00BD0542" w:rsidRPr="00D26534" w:rsidRDefault="00BD0542" w:rsidP="00006A1C">
            <w:pPr>
              <w:keepNext/>
              <w:rPr>
                <w:rFonts w:ascii="Arial Narrow" w:hAnsi="Arial Narrow"/>
                <w:color w:val="0066FF"/>
                <w:sz w:val="20"/>
                <w:szCs w:val="20"/>
              </w:rPr>
            </w:pPr>
            <w:r w:rsidRPr="00D26534">
              <w:rPr>
                <w:rFonts w:ascii="Arial Narrow" w:hAnsi="Arial Narrow"/>
                <w:b/>
                <w:sz w:val="20"/>
                <w:szCs w:val="20"/>
              </w:rPr>
              <w:t>Available brands</w:t>
            </w:r>
          </w:p>
        </w:tc>
      </w:tr>
      <w:tr w:rsidR="00BD0542" w:rsidRPr="00D26534" w14:paraId="4D56091A" w14:textId="77777777" w:rsidTr="259D127E">
        <w:trPr>
          <w:trHeight w:val="20"/>
        </w:trPr>
        <w:tc>
          <w:tcPr>
            <w:tcW w:w="9017" w:type="dxa"/>
            <w:gridSpan w:val="6"/>
            <w:vAlign w:val="center"/>
          </w:tcPr>
          <w:p w14:paraId="1BA96A0C" w14:textId="77777777" w:rsidR="00BD0542" w:rsidRPr="00D26534" w:rsidRDefault="00BD0542" w:rsidP="00006A1C">
            <w:pPr>
              <w:keepNext/>
              <w:rPr>
                <w:rFonts w:ascii="Arial Narrow" w:hAnsi="Arial Narrow"/>
                <w:color w:val="0066FF"/>
                <w:sz w:val="20"/>
                <w:szCs w:val="20"/>
              </w:rPr>
            </w:pPr>
            <w:r w:rsidRPr="00D26534">
              <w:rPr>
                <w:rFonts w:ascii="Arial Narrow" w:hAnsi="Arial Narrow"/>
                <w:smallCaps/>
                <w:sz w:val="20"/>
                <w:szCs w:val="20"/>
              </w:rPr>
              <w:t>ESKETAMINE</w:t>
            </w:r>
            <w:r w:rsidRPr="00D26534">
              <w:rPr>
                <w:rFonts w:ascii="Arial Narrow" w:hAnsi="Arial Narrow"/>
                <w:color w:val="0066FF"/>
                <w:sz w:val="20"/>
                <w:szCs w:val="20"/>
              </w:rPr>
              <w:t xml:space="preserve"> </w:t>
            </w:r>
          </w:p>
        </w:tc>
      </w:tr>
      <w:tr w:rsidR="00BD0542" w:rsidRPr="00D26534" w14:paraId="630F1B4A" w14:textId="77777777" w:rsidTr="259D127E">
        <w:trPr>
          <w:trHeight w:val="20"/>
        </w:trPr>
        <w:tc>
          <w:tcPr>
            <w:tcW w:w="9017" w:type="dxa"/>
            <w:gridSpan w:val="6"/>
            <w:vAlign w:val="center"/>
          </w:tcPr>
          <w:p w14:paraId="78A813DE" w14:textId="19FEABBE" w:rsidR="00BD0542" w:rsidRPr="00D26534" w:rsidRDefault="00BD0542" w:rsidP="00006A1C">
            <w:pPr>
              <w:keepNext/>
              <w:rPr>
                <w:rFonts w:ascii="Arial Narrow" w:hAnsi="Arial Narrow"/>
                <w:color w:val="0066FF"/>
                <w:sz w:val="20"/>
                <w:szCs w:val="20"/>
              </w:rPr>
            </w:pPr>
            <w:r w:rsidRPr="00D26534">
              <w:rPr>
                <w:rFonts w:ascii="Arial Narrow" w:hAnsi="Arial Narrow"/>
                <w:b/>
                <w:bCs/>
                <w:sz w:val="20"/>
                <w:szCs w:val="20"/>
              </w:rPr>
              <w:t>Initial treatment/induction (Treatment weeks 1-4) and retreatment (weeks 1-4)</w:t>
            </w:r>
          </w:p>
        </w:tc>
      </w:tr>
      <w:tr w:rsidR="00BD0542" w:rsidRPr="00D26534" w14:paraId="58EF7EE4" w14:textId="77777777" w:rsidTr="00317042">
        <w:trPr>
          <w:trHeight w:val="20"/>
        </w:trPr>
        <w:tc>
          <w:tcPr>
            <w:tcW w:w="2127" w:type="dxa"/>
            <w:vAlign w:val="center"/>
          </w:tcPr>
          <w:p w14:paraId="5596D899" w14:textId="05FE188A" w:rsidR="00BD0542" w:rsidRPr="00D26534" w:rsidRDefault="00BD0542" w:rsidP="00006A1C">
            <w:pPr>
              <w:pStyle w:val="COMTabletext"/>
            </w:pPr>
            <w:r w:rsidRPr="00D26534">
              <w:t xml:space="preserve">Nasal spray device </w:t>
            </w:r>
            <w:r w:rsidR="000C049B" w:rsidRPr="00D26534">
              <w:t>28 mg</w:t>
            </w:r>
            <w:r w:rsidRPr="00D26534">
              <w:t>, 1</w:t>
            </w:r>
          </w:p>
        </w:tc>
        <w:tc>
          <w:tcPr>
            <w:tcW w:w="3685" w:type="dxa"/>
          </w:tcPr>
          <w:p w14:paraId="0014FDD5" w14:textId="0525A55D" w:rsidR="00BD0542" w:rsidRPr="00D26534" w:rsidRDefault="00BD0542" w:rsidP="00006A1C">
            <w:pPr>
              <w:pStyle w:val="COMTabletext"/>
              <w:jc w:val="center"/>
            </w:pPr>
            <w:r w:rsidRPr="00D26534">
              <w:t>Public Hospital:</w:t>
            </w:r>
            <w:r w:rsidR="00031AC3" w:rsidRPr="00D26534">
              <w:t xml:space="preserve"> </w:t>
            </w:r>
            <w:r w:rsidRPr="00D26534">
              <w:t>$</w:t>
            </w:r>
            <w:r w:rsidR="00683384" w:rsidRPr="00683384">
              <w:rPr>
                <w:color w:val="000000"/>
                <w:shd w:val="solid" w:color="000000" w:fill="000000"/>
                <w14:textFill>
                  <w14:solidFill>
                    <w14:srgbClr w14:val="000000">
                      <w14:alpha w14:val="100000"/>
                    </w14:srgbClr>
                  </w14:solidFill>
                </w14:textFill>
              </w:rPr>
              <w:t>|</w:t>
            </w:r>
            <w:r w:rsidR="00A60C7B" w:rsidRPr="00A60C7B">
              <w:t xml:space="preserve"> </w:t>
            </w:r>
            <w:r w:rsidRPr="00D26534">
              <w:t>($</w:t>
            </w:r>
            <w:r w:rsidR="00683384" w:rsidRPr="00683384">
              <w:rPr>
                <w:color w:val="000000"/>
                <w:shd w:val="solid" w:color="000000" w:fill="000000"/>
                <w14:textFill>
                  <w14:solidFill>
                    <w14:srgbClr w14:val="000000">
                      <w14:alpha w14:val="100000"/>
                    </w14:srgbClr>
                  </w14:solidFill>
                </w14:textFill>
              </w:rPr>
              <w:t>|</w:t>
            </w:r>
            <w:r w:rsidRPr="00D26534">
              <w:t>)</w:t>
            </w:r>
          </w:p>
          <w:p w14:paraId="6BC1923D" w14:textId="2D99EF26" w:rsidR="00BD0542" w:rsidRPr="00D26534" w:rsidRDefault="00BD0542" w:rsidP="00006A1C">
            <w:pPr>
              <w:pStyle w:val="COMTabletext"/>
              <w:jc w:val="center"/>
            </w:pPr>
            <w:r w:rsidRPr="00D26534">
              <w:t>Private Hospital/Community access:</w:t>
            </w:r>
            <w:r w:rsidR="00031AC3" w:rsidRPr="00D26534">
              <w:t xml:space="preserve"> </w:t>
            </w:r>
            <w:r w:rsidRPr="00764368">
              <w:t>$</w:t>
            </w:r>
            <w:r w:rsidR="00683384" w:rsidRPr="00683384">
              <w:rPr>
                <w:rFonts w:hint="eastAsia"/>
                <w:color w:val="000000"/>
                <w:w w:val="22"/>
                <w:shd w:val="solid" w:color="000000" w:fill="000000"/>
                <w:fitText w:val="100" w:id="-892701180"/>
                <w14:textFill>
                  <w14:solidFill>
                    <w14:srgbClr w14:val="000000">
                      <w14:alpha w14:val="100000"/>
                    </w14:srgbClr>
                  </w14:solidFill>
                </w14:textFill>
              </w:rPr>
              <w:t xml:space="preserve">　</w:t>
            </w:r>
            <w:r w:rsidR="00683384" w:rsidRPr="00683384">
              <w:rPr>
                <w:color w:val="000000"/>
                <w:w w:val="22"/>
                <w:shd w:val="solid" w:color="000000" w:fill="000000"/>
                <w:fitText w:val="100" w:id="-892701180"/>
                <w14:textFill>
                  <w14:solidFill>
                    <w14:srgbClr w14:val="000000">
                      <w14:alpha w14:val="100000"/>
                    </w14:srgbClr>
                  </w14:solidFill>
                </w14:textFill>
              </w:rPr>
              <w:t>|</w:t>
            </w:r>
            <w:r w:rsidR="00683384" w:rsidRPr="00683384">
              <w:rPr>
                <w:rFonts w:hint="eastAsia"/>
                <w:color w:val="000000"/>
                <w:spacing w:val="3"/>
                <w:w w:val="22"/>
                <w:shd w:val="solid" w:color="000000" w:fill="000000"/>
                <w:fitText w:val="100" w:id="-892701180"/>
                <w14:textFill>
                  <w14:solidFill>
                    <w14:srgbClr w14:val="000000">
                      <w14:alpha w14:val="100000"/>
                    </w14:srgbClr>
                  </w14:solidFill>
                </w14:textFill>
              </w:rPr>
              <w:t xml:space="preserve">　</w:t>
            </w:r>
            <w:r w:rsidRPr="00D26534">
              <w:t xml:space="preserve"> ($</w:t>
            </w:r>
            <w:r w:rsidR="00683384" w:rsidRPr="00683384">
              <w:rPr>
                <w:color w:val="000000"/>
                <w:shd w:val="solid" w:color="000000" w:fill="000000"/>
                <w14:textFill>
                  <w14:solidFill>
                    <w14:srgbClr w14:val="000000">
                      <w14:alpha w14:val="100000"/>
                    </w14:srgbClr>
                  </w14:solidFill>
                </w14:textFill>
              </w:rPr>
              <w:t>|</w:t>
            </w:r>
            <w:r w:rsidRPr="00D26534">
              <w:t>)</w:t>
            </w:r>
          </w:p>
        </w:tc>
        <w:tc>
          <w:tcPr>
            <w:tcW w:w="801" w:type="dxa"/>
            <w:vAlign w:val="center"/>
          </w:tcPr>
          <w:p w14:paraId="7C1421D9" w14:textId="77777777" w:rsidR="00BD0542" w:rsidRPr="00D26534" w:rsidRDefault="00BD0542" w:rsidP="00006A1C">
            <w:pPr>
              <w:keepNext/>
              <w:jc w:val="center"/>
              <w:rPr>
                <w:rFonts w:ascii="Arial Narrow" w:hAnsi="Arial Narrow"/>
                <w:sz w:val="20"/>
              </w:rPr>
            </w:pPr>
            <w:r w:rsidRPr="00D26534">
              <w:rPr>
                <w:rFonts w:ascii="Arial Narrow" w:hAnsi="Arial Narrow"/>
                <w:sz w:val="20"/>
              </w:rPr>
              <w:t>8</w:t>
            </w:r>
          </w:p>
        </w:tc>
        <w:tc>
          <w:tcPr>
            <w:tcW w:w="801" w:type="dxa"/>
            <w:vAlign w:val="center"/>
          </w:tcPr>
          <w:p w14:paraId="2B636D0E" w14:textId="77777777" w:rsidR="00BD0542" w:rsidRPr="00D26534" w:rsidRDefault="00BD0542" w:rsidP="00006A1C">
            <w:pPr>
              <w:keepNext/>
              <w:jc w:val="center"/>
              <w:rPr>
                <w:rFonts w:ascii="Arial Narrow" w:hAnsi="Arial Narrow"/>
                <w:sz w:val="20"/>
              </w:rPr>
            </w:pPr>
            <w:r w:rsidRPr="00D26534">
              <w:rPr>
                <w:rFonts w:ascii="Arial Narrow" w:hAnsi="Arial Narrow"/>
                <w:sz w:val="20"/>
              </w:rPr>
              <w:t>8</w:t>
            </w:r>
          </w:p>
        </w:tc>
        <w:tc>
          <w:tcPr>
            <w:tcW w:w="801" w:type="dxa"/>
            <w:vAlign w:val="center"/>
          </w:tcPr>
          <w:p w14:paraId="205B893B" w14:textId="77777777" w:rsidR="00BD0542" w:rsidRPr="00D26534" w:rsidRDefault="00BD0542" w:rsidP="00006A1C">
            <w:pPr>
              <w:keepNext/>
              <w:jc w:val="center"/>
              <w:rPr>
                <w:rFonts w:ascii="Arial Narrow" w:hAnsi="Arial Narrow"/>
                <w:sz w:val="20"/>
              </w:rPr>
            </w:pPr>
            <w:r w:rsidRPr="00D26534">
              <w:rPr>
                <w:rFonts w:ascii="Arial Narrow" w:hAnsi="Arial Narrow"/>
                <w:sz w:val="20"/>
              </w:rPr>
              <w:t>0</w:t>
            </w:r>
          </w:p>
        </w:tc>
        <w:tc>
          <w:tcPr>
            <w:tcW w:w="802" w:type="dxa"/>
            <w:vAlign w:val="center"/>
          </w:tcPr>
          <w:p w14:paraId="72AC596C" w14:textId="77777777" w:rsidR="00BD0542" w:rsidRPr="00D26534" w:rsidRDefault="00BD0542" w:rsidP="00006A1C">
            <w:pPr>
              <w:keepNext/>
              <w:rPr>
                <w:rFonts w:ascii="Arial Narrow" w:hAnsi="Arial Narrow"/>
                <w:sz w:val="20"/>
                <w:szCs w:val="20"/>
              </w:rPr>
            </w:pPr>
            <w:r w:rsidRPr="00D26534">
              <w:rPr>
                <w:rFonts w:ascii="Arial Narrow" w:hAnsi="Arial Narrow"/>
                <w:sz w:val="20"/>
                <w:szCs w:val="20"/>
              </w:rPr>
              <w:t>Spravato</w:t>
            </w:r>
          </w:p>
        </w:tc>
      </w:tr>
      <w:tr w:rsidR="00BD0542" w:rsidRPr="00D26534" w14:paraId="39BBE407" w14:textId="77777777" w:rsidTr="00317042">
        <w:trPr>
          <w:trHeight w:val="20"/>
        </w:trPr>
        <w:tc>
          <w:tcPr>
            <w:tcW w:w="2127" w:type="dxa"/>
            <w:vAlign w:val="center"/>
          </w:tcPr>
          <w:p w14:paraId="76E3D800" w14:textId="1F19F063" w:rsidR="00BD0542" w:rsidRPr="00D26534" w:rsidRDefault="00BD0542" w:rsidP="00031AC3">
            <w:pPr>
              <w:jc w:val="left"/>
              <w:rPr>
                <w:rFonts w:ascii="Arial Narrow" w:hAnsi="Arial Narrow"/>
                <w:sz w:val="20"/>
                <w:szCs w:val="20"/>
              </w:rPr>
            </w:pPr>
            <w:r w:rsidRPr="00D26534">
              <w:rPr>
                <w:rFonts w:ascii="Arial Narrow" w:hAnsi="Arial Narrow"/>
                <w:sz w:val="20"/>
                <w:szCs w:val="20"/>
              </w:rPr>
              <w:t xml:space="preserve">Nasal spray device </w:t>
            </w:r>
            <w:r w:rsidR="000C049B" w:rsidRPr="00D26534">
              <w:rPr>
                <w:rFonts w:ascii="Arial Narrow" w:hAnsi="Arial Narrow"/>
                <w:sz w:val="20"/>
                <w:szCs w:val="20"/>
              </w:rPr>
              <w:t>28 mg</w:t>
            </w:r>
            <w:r w:rsidRPr="00D26534">
              <w:rPr>
                <w:rFonts w:ascii="Arial Narrow" w:hAnsi="Arial Narrow"/>
                <w:sz w:val="20"/>
                <w:szCs w:val="20"/>
              </w:rPr>
              <w:t>, 2</w:t>
            </w:r>
          </w:p>
        </w:tc>
        <w:tc>
          <w:tcPr>
            <w:tcW w:w="3685" w:type="dxa"/>
          </w:tcPr>
          <w:p w14:paraId="14D98CAD" w14:textId="7B31D43B" w:rsidR="00BD0542" w:rsidRPr="00D26534" w:rsidRDefault="00BD0542" w:rsidP="0009748E">
            <w:pPr>
              <w:pStyle w:val="COMTabletext"/>
              <w:jc w:val="center"/>
            </w:pPr>
            <w:r w:rsidRPr="00D26534">
              <w:t>Public Hospital</w:t>
            </w:r>
            <w:r w:rsidRPr="00764368">
              <w:t>:</w:t>
            </w:r>
            <w:r w:rsidR="00006A1C" w:rsidRPr="00764368">
              <w:t xml:space="preserve"> </w:t>
            </w:r>
            <w:r w:rsidRPr="00764368">
              <w:t>$</w:t>
            </w:r>
            <w:r w:rsidR="00683384" w:rsidRPr="00683384">
              <w:rPr>
                <w:color w:val="000000"/>
                <w:shd w:val="solid" w:color="000000" w:fill="000000"/>
                <w14:textFill>
                  <w14:solidFill>
                    <w14:srgbClr w14:val="000000">
                      <w14:alpha w14:val="100000"/>
                    </w14:srgbClr>
                  </w14:solidFill>
                </w14:textFill>
              </w:rPr>
              <w:t>|</w:t>
            </w:r>
            <w:r w:rsidRPr="00D26534">
              <w:t xml:space="preserve"> ($</w:t>
            </w:r>
            <w:r w:rsidR="00683384" w:rsidRPr="00683384">
              <w:rPr>
                <w:color w:val="000000"/>
                <w:shd w:val="solid" w:color="000000" w:fill="000000"/>
                <w14:textFill>
                  <w14:solidFill>
                    <w14:srgbClr w14:val="000000">
                      <w14:alpha w14:val="100000"/>
                    </w14:srgbClr>
                  </w14:solidFill>
                </w14:textFill>
              </w:rPr>
              <w:t>|</w:t>
            </w:r>
            <w:r w:rsidRPr="00D26534">
              <w:t>)</w:t>
            </w:r>
          </w:p>
          <w:p w14:paraId="258D50FD" w14:textId="446E6579" w:rsidR="00BD0542" w:rsidRPr="00D26534" w:rsidRDefault="00BD0542" w:rsidP="00006A1C">
            <w:pPr>
              <w:pStyle w:val="COMTabletext"/>
              <w:jc w:val="center"/>
              <w:rPr>
                <w:szCs w:val="20"/>
              </w:rPr>
            </w:pPr>
            <w:r w:rsidRPr="00D26534">
              <w:t>Private Hospital/Community access:</w:t>
            </w:r>
            <w:r w:rsidR="00006A1C" w:rsidRPr="00D26534">
              <w:t xml:space="preserve"> </w:t>
            </w:r>
            <w:r w:rsidRPr="00764368">
              <w:t>$</w:t>
            </w:r>
            <w:r w:rsidR="00683384" w:rsidRPr="00683384">
              <w:rPr>
                <w:rFonts w:hint="eastAsia"/>
                <w:color w:val="000000"/>
                <w:w w:val="22"/>
                <w:shd w:val="solid" w:color="000000" w:fill="000000"/>
                <w:fitText w:val="100" w:id="-892701179"/>
                <w14:textFill>
                  <w14:solidFill>
                    <w14:srgbClr w14:val="000000">
                      <w14:alpha w14:val="100000"/>
                    </w14:srgbClr>
                  </w14:solidFill>
                </w14:textFill>
              </w:rPr>
              <w:t xml:space="preserve">　</w:t>
            </w:r>
            <w:r w:rsidR="00683384" w:rsidRPr="00683384">
              <w:rPr>
                <w:color w:val="000000"/>
                <w:w w:val="22"/>
                <w:shd w:val="solid" w:color="000000" w:fill="000000"/>
                <w:fitText w:val="100" w:id="-892701179"/>
                <w14:textFill>
                  <w14:solidFill>
                    <w14:srgbClr w14:val="000000">
                      <w14:alpha w14:val="100000"/>
                    </w14:srgbClr>
                  </w14:solidFill>
                </w14:textFill>
              </w:rPr>
              <w:t>|</w:t>
            </w:r>
            <w:r w:rsidR="00683384" w:rsidRPr="00683384">
              <w:rPr>
                <w:rFonts w:hint="eastAsia"/>
                <w:color w:val="000000"/>
                <w:spacing w:val="3"/>
                <w:w w:val="22"/>
                <w:shd w:val="solid" w:color="000000" w:fill="000000"/>
                <w:fitText w:val="100" w:id="-892701179"/>
                <w14:textFill>
                  <w14:solidFill>
                    <w14:srgbClr w14:val="000000">
                      <w14:alpha w14:val="100000"/>
                    </w14:srgbClr>
                  </w14:solidFill>
                </w14:textFill>
              </w:rPr>
              <w:t xml:space="preserve">　</w:t>
            </w:r>
            <w:r w:rsidRPr="00D26534">
              <w:t xml:space="preserve"> ($</w:t>
            </w:r>
            <w:r w:rsidR="00683384" w:rsidRPr="00683384">
              <w:rPr>
                <w:color w:val="000000"/>
                <w:shd w:val="solid" w:color="000000" w:fill="000000"/>
                <w14:textFill>
                  <w14:solidFill>
                    <w14:srgbClr w14:val="000000">
                      <w14:alpha w14:val="100000"/>
                    </w14:srgbClr>
                  </w14:solidFill>
                </w14:textFill>
              </w:rPr>
              <w:t>|</w:t>
            </w:r>
            <w:r w:rsidRPr="00D26534">
              <w:t>)</w:t>
            </w:r>
          </w:p>
        </w:tc>
        <w:tc>
          <w:tcPr>
            <w:tcW w:w="801" w:type="dxa"/>
            <w:vAlign w:val="center"/>
          </w:tcPr>
          <w:p w14:paraId="3968AEBC" w14:textId="77777777" w:rsidR="00BD0542" w:rsidRPr="00D26534" w:rsidRDefault="00BD0542" w:rsidP="001B6D77">
            <w:pPr>
              <w:jc w:val="center"/>
              <w:rPr>
                <w:rFonts w:ascii="Arial Narrow" w:hAnsi="Arial Narrow"/>
                <w:sz w:val="20"/>
                <w:szCs w:val="20"/>
              </w:rPr>
            </w:pPr>
            <w:r w:rsidRPr="00D26534">
              <w:rPr>
                <w:rFonts w:ascii="Arial Narrow" w:hAnsi="Arial Narrow"/>
                <w:sz w:val="20"/>
              </w:rPr>
              <w:t>8</w:t>
            </w:r>
          </w:p>
        </w:tc>
        <w:tc>
          <w:tcPr>
            <w:tcW w:w="801" w:type="dxa"/>
            <w:vAlign w:val="center"/>
          </w:tcPr>
          <w:p w14:paraId="00043E50" w14:textId="77777777" w:rsidR="00BD0542" w:rsidRPr="00D26534" w:rsidRDefault="00BD0542" w:rsidP="001B6D77">
            <w:pPr>
              <w:jc w:val="center"/>
              <w:rPr>
                <w:rFonts w:ascii="Arial Narrow" w:hAnsi="Arial Narrow"/>
                <w:sz w:val="20"/>
                <w:szCs w:val="20"/>
              </w:rPr>
            </w:pPr>
            <w:r w:rsidRPr="00D26534">
              <w:rPr>
                <w:rFonts w:ascii="Arial Narrow" w:hAnsi="Arial Narrow"/>
                <w:sz w:val="20"/>
              </w:rPr>
              <w:t>16</w:t>
            </w:r>
          </w:p>
        </w:tc>
        <w:tc>
          <w:tcPr>
            <w:tcW w:w="801" w:type="dxa"/>
            <w:vAlign w:val="center"/>
          </w:tcPr>
          <w:p w14:paraId="3DD738A3" w14:textId="77777777" w:rsidR="00BD0542" w:rsidRPr="00D26534" w:rsidRDefault="00BD0542" w:rsidP="001B6D77">
            <w:pPr>
              <w:jc w:val="center"/>
              <w:rPr>
                <w:rFonts w:ascii="Arial Narrow" w:hAnsi="Arial Narrow"/>
                <w:sz w:val="20"/>
                <w:szCs w:val="20"/>
              </w:rPr>
            </w:pPr>
            <w:r w:rsidRPr="00D26534">
              <w:rPr>
                <w:rFonts w:ascii="Arial Narrow" w:hAnsi="Arial Narrow"/>
                <w:sz w:val="20"/>
              </w:rPr>
              <w:t>0</w:t>
            </w:r>
          </w:p>
        </w:tc>
        <w:tc>
          <w:tcPr>
            <w:tcW w:w="802" w:type="dxa"/>
            <w:vAlign w:val="center"/>
          </w:tcPr>
          <w:p w14:paraId="04A49A30" w14:textId="77777777" w:rsidR="00BD0542" w:rsidRPr="00D26534" w:rsidRDefault="00BD0542" w:rsidP="001B6D77">
            <w:pPr>
              <w:rPr>
                <w:rFonts w:ascii="Arial Narrow" w:hAnsi="Arial Narrow"/>
                <w:color w:val="0066FF"/>
                <w:sz w:val="20"/>
                <w:szCs w:val="20"/>
              </w:rPr>
            </w:pPr>
            <w:r w:rsidRPr="00D26534">
              <w:rPr>
                <w:rFonts w:ascii="Arial Narrow" w:hAnsi="Arial Narrow"/>
                <w:sz w:val="20"/>
                <w:szCs w:val="20"/>
              </w:rPr>
              <w:t>Spravato</w:t>
            </w:r>
          </w:p>
        </w:tc>
      </w:tr>
      <w:tr w:rsidR="00BD0542" w:rsidRPr="00D26534" w14:paraId="04B866F7" w14:textId="77777777" w:rsidTr="00317042">
        <w:trPr>
          <w:trHeight w:val="20"/>
        </w:trPr>
        <w:tc>
          <w:tcPr>
            <w:tcW w:w="2127" w:type="dxa"/>
            <w:vAlign w:val="center"/>
          </w:tcPr>
          <w:p w14:paraId="7827AA0B" w14:textId="2CC1B4E4" w:rsidR="00BD0542" w:rsidRPr="00D26534" w:rsidRDefault="00BD0542" w:rsidP="00031AC3">
            <w:pPr>
              <w:tabs>
                <w:tab w:val="left" w:pos="1077"/>
              </w:tabs>
              <w:jc w:val="left"/>
              <w:rPr>
                <w:rFonts w:ascii="Arial Narrow" w:hAnsi="Arial Narrow"/>
                <w:sz w:val="20"/>
                <w:szCs w:val="20"/>
              </w:rPr>
            </w:pPr>
            <w:r w:rsidRPr="00D26534">
              <w:rPr>
                <w:rFonts w:ascii="Arial Narrow" w:hAnsi="Arial Narrow"/>
                <w:sz w:val="20"/>
                <w:szCs w:val="20"/>
              </w:rPr>
              <w:t xml:space="preserve">Nasal spray device </w:t>
            </w:r>
            <w:r w:rsidR="000C049B" w:rsidRPr="00D26534">
              <w:rPr>
                <w:rFonts w:ascii="Arial Narrow" w:hAnsi="Arial Narrow"/>
                <w:sz w:val="20"/>
                <w:szCs w:val="20"/>
              </w:rPr>
              <w:t>28 mg</w:t>
            </w:r>
            <w:r w:rsidRPr="00D26534">
              <w:rPr>
                <w:rFonts w:ascii="Arial Narrow" w:hAnsi="Arial Narrow"/>
                <w:sz w:val="20"/>
                <w:szCs w:val="20"/>
              </w:rPr>
              <w:t>, 3</w:t>
            </w:r>
          </w:p>
        </w:tc>
        <w:tc>
          <w:tcPr>
            <w:tcW w:w="3685" w:type="dxa"/>
            <w:vAlign w:val="center"/>
          </w:tcPr>
          <w:p w14:paraId="4500ABB9" w14:textId="1002E245" w:rsidR="00A60C7B" w:rsidRPr="00A60C7B" w:rsidRDefault="00BD0542" w:rsidP="0009748E">
            <w:pPr>
              <w:pStyle w:val="COMTabletext"/>
              <w:jc w:val="center"/>
              <w:rPr>
                <w:szCs w:val="20"/>
              </w:rPr>
            </w:pPr>
            <w:r w:rsidRPr="00D26534">
              <w:rPr>
                <w:szCs w:val="20"/>
              </w:rPr>
              <w:t>Public Hospital:</w:t>
            </w:r>
            <w:r w:rsidR="00006A1C" w:rsidRPr="00D26534">
              <w:rPr>
                <w:szCs w:val="20"/>
              </w:rPr>
              <w:t xml:space="preserve"> </w:t>
            </w:r>
            <w:r w:rsidRPr="00764368">
              <w:rPr>
                <w:szCs w:val="20"/>
              </w:rPr>
              <w:t>$</w:t>
            </w:r>
            <w:r w:rsidR="00683384" w:rsidRPr="00683384">
              <w:rPr>
                <w:color w:val="000000"/>
                <w:szCs w:val="20"/>
                <w:shd w:val="solid" w:color="000000" w:fill="000000"/>
                <w14:textFill>
                  <w14:solidFill>
                    <w14:srgbClr w14:val="000000">
                      <w14:alpha w14:val="100000"/>
                    </w14:srgbClr>
                  </w14:solidFill>
                </w14:textFill>
              </w:rPr>
              <w:t>|</w:t>
            </w:r>
            <w:r w:rsidRPr="00D26534">
              <w:rPr>
                <w:szCs w:val="20"/>
              </w:rPr>
              <w:t xml:space="preserve"> (</w:t>
            </w:r>
            <w:r w:rsidR="0099522C" w:rsidRPr="00D26534">
              <w:rPr>
                <w:szCs w:val="20"/>
              </w:rPr>
              <w:t>$</w:t>
            </w:r>
            <w:r w:rsidR="00683384" w:rsidRPr="00683384">
              <w:rPr>
                <w:color w:val="000000"/>
                <w:szCs w:val="20"/>
                <w:shd w:val="solid" w:color="000000" w:fill="000000"/>
                <w14:textFill>
                  <w14:solidFill>
                    <w14:srgbClr w14:val="000000">
                      <w14:alpha w14:val="100000"/>
                    </w14:srgbClr>
                  </w14:solidFill>
                </w14:textFill>
              </w:rPr>
              <w:t>|</w:t>
            </w:r>
          </w:p>
          <w:p w14:paraId="3D098044" w14:textId="0AEDEC01" w:rsidR="00BD0542" w:rsidRPr="00D26534" w:rsidRDefault="00BD0542" w:rsidP="00006A1C">
            <w:pPr>
              <w:pStyle w:val="COMTabletext"/>
              <w:jc w:val="center"/>
              <w:rPr>
                <w:szCs w:val="20"/>
              </w:rPr>
            </w:pPr>
            <w:r w:rsidRPr="00764368">
              <w:rPr>
                <w:szCs w:val="20"/>
              </w:rPr>
              <w:t>Private Hospital/Community Access:</w:t>
            </w:r>
            <w:r w:rsidR="00006A1C" w:rsidRPr="00764368">
              <w:rPr>
                <w:szCs w:val="20"/>
              </w:rPr>
              <w:t xml:space="preserve"> </w:t>
            </w:r>
            <w:r w:rsidRPr="00764368">
              <w:rPr>
                <w:szCs w:val="20"/>
              </w:rPr>
              <w:t>$</w:t>
            </w:r>
            <w:r w:rsidR="00683384" w:rsidRPr="00683384">
              <w:rPr>
                <w:rFonts w:hint="eastAsia"/>
                <w:color w:val="000000"/>
                <w:w w:val="24"/>
                <w:szCs w:val="20"/>
                <w:shd w:val="solid" w:color="000000" w:fill="000000"/>
                <w:fitText w:val="110" w:id="-892701178"/>
                <w14:textFill>
                  <w14:solidFill>
                    <w14:srgbClr w14:val="000000">
                      <w14:alpha w14:val="100000"/>
                    </w14:srgbClr>
                  </w14:solidFill>
                </w14:textFill>
              </w:rPr>
              <w:t xml:space="preserve">　</w:t>
            </w:r>
            <w:r w:rsidR="00683384" w:rsidRPr="00683384">
              <w:rPr>
                <w:color w:val="000000"/>
                <w:w w:val="24"/>
                <w:szCs w:val="20"/>
                <w:shd w:val="solid" w:color="000000" w:fill="000000"/>
                <w:fitText w:val="110" w:id="-892701178"/>
                <w14:textFill>
                  <w14:solidFill>
                    <w14:srgbClr w14:val="000000">
                      <w14:alpha w14:val="100000"/>
                    </w14:srgbClr>
                  </w14:solidFill>
                </w14:textFill>
              </w:rPr>
              <w:t>|</w:t>
            </w:r>
            <w:r w:rsidR="00683384" w:rsidRPr="00683384">
              <w:rPr>
                <w:rFonts w:hint="eastAsia"/>
                <w:color w:val="000000"/>
                <w:spacing w:val="6"/>
                <w:w w:val="24"/>
                <w:szCs w:val="20"/>
                <w:shd w:val="solid" w:color="000000" w:fill="000000"/>
                <w:fitText w:val="110" w:id="-892701178"/>
                <w14:textFill>
                  <w14:solidFill>
                    <w14:srgbClr w14:val="000000">
                      <w14:alpha w14:val="100000"/>
                    </w14:srgbClr>
                  </w14:solidFill>
                </w14:textFill>
              </w:rPr>
              <w:t xml:space="preserve">　</w:t>
            </w:r>
            <w:r w:rsidR="00DA2855" w:rsidRPr="00D26534">
              <w:rPr>
                <w:szCs w:val="20"/>
              </w:rPr>
              <w:t xml:space="preserve"> </w:t>
            </w:r>
            <w:r w:rsidRPr="00D26534">
              <w:rPr>
                <w:szCs w:val="20"/>
              </w:rPr>
              <w:t>($</w:t>
            </w:r>
            <w:r w:rsidR="00683384" w:rsidRPr="00683384">
              <w:rPr>
                <w:color w:val="000000"/>
                <w:szCs w:val="20"/>
                <w:shd w:val="solid" w:color="000000" w:fill="000000"/>
                <w14:textFill>
                  <w14:solidFill>
                    <w14:srgbClr w14:val="000000">
                      <w14:alpha w14:val="100000"/>
                    </w14:srgbClr>
                  </w14:solidFill>
                </w14:textFill>
              </w:rPr>
              <w:t>|</w:t>
            </w:r>
            <w:r w:rsidRPr="00D26534">
              <w:rPr>
                <w:szCs w:val="20"/>
              </w:rPr>
              <w:t>)</w:t>
            </w:r>
          </w:p>
        </w:tc>
        <w:tc>
          <w:tcPr>
            <w:tcW w:w="801" w:type="dxa"/>
            <w:vAlign w:val="center"/>
          </w:tcPr>
          <w:p w14:paraId="308A8021" w14:textId="77777777" w:rsidR="00BD0542" w:rsidRPr="00D26534" w:rsidRDefault="00BD0542" w:rsidP="001B6D77">
            <w:pPr>
              <w:jc w:val="center"/>
              <w:rPr>
                <w:rFonts w:ascii="Arial Narrow" w:hAnsi="Arial Narrow"/>
                <w:sz w:val="20"/>
                <w:szCs w:val="20"/>
              </w:rPr>
            </w:pPr>
            <w:r w:rsidRPr="00D26534">
              <w:rPr>
                <w:rFonts w:ascii="Arial Narrow" w:hAnsi="Arial Narrow"/>
                <w:sz w:val="20"/>
              </w:rPr>
              <w:t>8</w:t>
            </w:r>
          </w:p>
        </w:tc>
        <w:tc>
          <w:tcPr>
            <w:tcW w:w="801" w:type="dxa"/>
            <w:vAlign w:val="center"/>
          </w:tcPr>
          <w:p w14:paraId="4C623A25" w14:textId="77777777" w:rsidR="00BD0542" w:rsidRPr="00D26534" w:rsidRDefault="00BD0542" w:rsidP="001B6D77">
            <w:pPr>
              <w:jc w:val="center"/>
              <w:rPr>
                <w:rFonts w:ascii="Arial Narrow" w:hAnsi="Arial Narrow"/>
                <w:sz w:val="20"/>
                <w:szCs w:val="20"/>
              </w:rPr>
            </w:pPr>
            <w:r w:rsidRPr="00D26534">
              <w:rPr>
                <w:rFonts w:ascii="Arial Narrow" w:hAnsi="Arial Narrow"/>
                <w:sz w:val="20"/>
              </w:rPr>
              <w:t>24</w:t>
            </w:r>
          </w:p>
        </w:tc>
        <w:tc>
          <w:tcPr>
            <w:tcW w:w="801" w:type="dxa"/>
            <w:vAlign w:val="center"/>
          </w:tcPr>
          <w:p w14:paraId="6F5D7435" w14:textId="77777777" w:rsidR="00BD0542" w:rsidRPr="00D26534" w:rsidRDefault="00BD0542" w:rsidP="001B6D77">
            <w:pPr>
              <w:jc w:val="center"/>
              <w:rPr>
                <w:rFonts w:ascii="Arial Narrow" w:hAnsi="Arial Narrow"/>
                <w:sz w:val="20"/>
                <w:szCs w:val="20"/>
              </w:rPr>
            </w:pPr>
            <w:r w:rsidRPr="00D26534">
              <w:rPr>
                <w:rFonts w:ascii="Arial Narrow" w:hAnsi="Arial Narrow"/>
                <w:sz w:val="20"/>
              </w:rPr>
              <w:t>0</w:t>
            </w:r>
          </w:p>
        </w:tc>
        <w:tc>
          <w:tcPr>
            <w:tcW w:w="802" w:type="dxa"/>
            <w:vAlign w:val="center"/>
          </w:tcPr>
          <w:p w14:paraId="6F3FFC21" w14:textId="77777777" w:rsidR="00BD0542" w:rsidRPr="00D26534" w:rsidRDefault="00BD0542" w:rsidP="001B6D77">
            <w:pPr>
              <w:rPr>
                <w:rFonts w:ascii="Arial Narrow" w:hAnsi="Arial Narrow"/>
                <w:sz w:val="20"/>
                <w:szCs w:val="20"/>
              </w:rPr>
            </w:pPr>
            <w:r w:rsidRPr="00D26534">
              <w:rPr>
                <w:rFonts w:ascii="Arial Narrow" w:hAnsi="Arial Narrow"/>
                <w:sz w:val="20"/>
                <w:szCs w:val="20"/>
              </w:rPr>
              <w:t>Spravato</w:t>
            </w:r>
          </w:p>
        </w:tc>
      </w:tr>
      <w:tr w:rsidR="00BD0542" w:rsidRPr="00D26534" w14:paraId="5227741C" w14:textId="77777777" w:rsidTr="259D127E">
        <w:trPr>
          <w:trHeight w:val="20"/>
        </w:trPr>
        <w:tc>
          <w:tcPr>
            <w:tcW w:w="9017" w:type="dxa"/>
            <w:gridSpan w:val="6"/>
            <w:vAlign w:val="center"/>
          </w:tcPr>
          <w:p w14:paraId="3152D7A4" w14:textId="1417B591" w:rsidR="00BD0542" w:rsidRPr="00D26534" w:rsidRDefault="00BD0542" w:rsidP="0009748E">
            <w:pPr>
              <w:pStyle w:val="COMTabletext"/>
              <w:rPr>
                <w:b/>
                <w:szCs w:val="20"/>
              </w:rPr>
            </w:pPr>
            <w:r w:rsidRPr="00D26534">
              <w:rPr>
                <w:b/>
                <w:szCs w:val="20"/>
              </w:rPr>
              <w:t>Continuing treatment (weeks 5-52)</w:t>
            </w:r>
            <w:r w:rsidR="00D01C72" w:rsidRPr="00D26534">
              <w:rPr>
                <w:b/>
                <w:szCs w:val="20"/>
              </w:rPr>
              <w:t>,</w:t>
            </w:r>
            <w:r w:rsidR="0033789E" w:rsidRPr="00D26534">
              <w:rPr>
                <w:b/>
                <w:szCs w:val="20"/>
              </w:rPr>
              <w:t xml:space="preserve"> retreatment (weeks 5-52)</w:t>
            </w:r>
            <w:r w:rsidR="00BA0B20" w:rsidRPr="00D26534">
              <w:rPr>
                <w:b/>
                <w:szCs w:val="20"/>
              </w:rPr>
              <w:t>, and use beyond 12 months (weeks 53 and beyond)</w:t>
            </w:r>
          </w:p>
        </w:tc>
      </w:tr>
      <w:tr w:rsidR="00BD0542" w:rsidRPr="00D26534" w14:paraId="12849710" w14:textId="77777777" w:rsidTr="00317042">
        <w:trPr>
          <w:trHeight w:val="20"/>
        </w:trPr>
        <w:tc>
          <w:tcPr>
            <w:tcW w:w="2127" w:type="dxa"/>
            <w:vAlign w:val="center"/>
          </w:tcPr>
          <w:p w14:paraId="4E9E4597" w14:textId="6668C9D4" w:rsidR="00BD0542" w:rsidRPr="00D26534" w:rsidRDefault="00BD0542" w:rsidP="00031AC3">
            <w:pPr>
              <w:pStyle w:val="COMTabletext"/>
              <w:rPr>
                <w:szCs w:val="20"/>
              </w:rPr>
            </w:pPr>
            <w:r w:rsidRPr="00D26534">
              <w:t xml:space="preserve">Nasal spray device </w:t>
            </w:r>
            <w:r w:rsidR="000C049B" w:rsidRPr="00D26534">
              <w:t>28 mg</w:t>
            </w:r>
            <w:r w:rsidRPr="00D26534">
              <w:t>, 1</w:t>
            </w:r>
          </w:p>
        </w:tc>
        <w:tc>
          <w:tcPr>
            <w:tcW w:w="3685" w:type="dxa"/>
            <w:vAlign w:val="center"/>
          </w:tcPr>
          <w:p w14:paraId="49EE96BD" w14:textId="6B4ECD25" w:rsidR="00BD0542" w:rsidRPr="00D26534" w:rsidRDefault="00BD0542" w:rsidP="0009748E">
            <w:pPr>
              <w:pStyle w:val="COMTabletext"/>
              <w:jc w:val="center"/>
            </w:pPr>
            <w:r w:rsidRPr="00D26534">
              <w:t>Public Hospital:</w:t>
            </w:r>
            <w:r w:rsidR="00006A1C" w:rsidRPr="00D26534">
              <w:t xml:space="preserve"> </w:t>
            </w:r>
            <w:r w:rsidRPr="00764368">
              <w:t>$</w:t>
            </w:r>
            <w:r w:rsidR="00683384" w:rsidRPr="00683384">
              <w:rPr>
                <w:color w:val="000000"/>
                <w:shd w:val="solid" w:color="000000" w:fill="000000"/>
                <w14:textFill>
                  <w14:solidFill>
                    <w14:srgbClr w14:val="000000">
                      <w14:alpha w14:val="100000"/>
                    </w14:srgbClr>
                  </w14:solidFill>
                </w14:textFill>
              </w:rPr>
              <w:t>|</w:t>
            </w:r>
            <w:r w:rsidRPr="00D26534">
              <w:t xml:space="preserve"> ($</w:t>
            </w:r>
            <w:r w:rsidR="00683384" w:rsidRPr="00683384">
              <w:rPr>
                <w:color w:val="000000"/>
                <w:shd w:val="solid" w:color="000000" w:fill="000000"/>
                <w14:textFill>
                  <w14:solidFill>
                    <w14:srgbClr w14:val="000000">
                      <w14:alpha w14:val="100000"/>
                    </w14:srgbClr>
                  </w14:solidFill>
                </w14:textFill>
              </w:rPr>
              <w:t>|</w:t>
            </w:r>
            <w:r w:rsidRPr="00D26534">
              <w:t>)</w:t>
            </w:r>
          </w:p>
          <w:p w14:paraId="339D006B" w14:textId="7CFE9DB4" w:rsidR="00BD0542" w:rsidRPr="00D26534" w:rsidRDefault="00BD0542" w:rsidP="00006A1C">
            <w:pPr>
              <w:pStyle w:val="COMTabletext"/>
              <w:jc w:val="center"/>
              <w:rPr>
                <w:szCs w:val="20"/>
              </w:rPr>
            </w:pPr>
            <w:r w:rsidRPr="00D26534">
              <w:t>Private Hospital/Community Access:</w:t>
            </w:r>
            <w:r w:rsidR="00006A1C" w:rsidRPr="00D26534">
              <w:t xml:space="preserve"> </w:t>
            </w:r>
            <w:r w:rsidRPr="00764368">
              <w:t>$</w:t>
            </w:r>
            <w:r w:rsidR="00683384" w:rsidRPr="00683384">
              <w:rPr>
                <w:rFonts w:hint="eastAsia"/>
                <w:color w:val="000000"/>
                <w:w w:val="24"/>
                <w:shd w:val="solid" w:color="000000" w:fill="000000"/>
                <w:fitText w:val="110" w:id="-892701177"/>
                <w14:textFill>
                  <w14:solidFill>
                    <w14:srgbClr w14:val="000000">
                      <w14:alpha w14:val="100000"/>
                    </w14:srgbClr>
                  </w14:solidFill>
                </w14:textFill>
              </w:rPr>
              <w:t xml:space="preserve">　</w:t>
            </w:r>
            <w:r w:rsidR="00683384" w:rsidRPr="00683384">
              <w:rPr>
                <w:color w:val="000000"/>
                <w:w w:val="24"/>
                <w:shd w:val="solid" w:color="000000" w:fill="000000"/>
                <w:fitText w:val="110" w:id="-892701177"/>
                <w14:textFill>
                  <w14:solidFill>
                    <w14:srgbClr w14:val="000000">
                      <w14:alpha w14:val="100000"/>
                    </w14:srgbClr>
                  </w14:solidFill>
                </w14:textFill>
              </w:rPr>
              <w:t>|</w:t>
            </w:r>
            <w:r w:rsidR="00683384" w:rsidRPr="00683384">
              <w:rPr>
                <w:rFonts w:hint="eastAsia"/>
                <w:color w:val="000000"/>
                <w:spacing w:val="6"/>
                <w:w w:val="24"/>
                <w:shd w:val="solid" w:color="000000" w:fill="000000"/>
                <w:fitText w:val="110" w:id="-892701177"/>
                <w14:textFill>
                  <w14:solidFill>
                    <w14:srgbClr w14:val="000000">
                      <w14:alpha w14:val="100000"/>
                    </w14:srgbClr>
                  </w14:solidFill>
                </w14:textFill>
              </w:rPr>
              <w:t xml:space="preserve">　</w:t>
            </w:r>
            <w:r w:rsidRPr="00D26534">
              <w:t xml:space="preserve"> ($</w:t>
            </w:r>
            <w:r w:rsidR="00683384" w:rsidRPr="00683384">
              <w:rPr>
                <w:color w:val="000000"/>
                <w:shd w:val="solid" w:color="000000" w:fill="000000"/>
                <w14:textFill>
                  <w14:solidFill>
                    <w14:srgbClr w14:val="000000">
                      <w14:alpha w14:val="100000"/>
                    </w14:srgbClr>
                  </w14:solidFill>
                </w14:textFill>
              </w:rPr>
              <w:t>|</w:t>
            </w:r>
            <w:r w:rsidRPr="00D26534">
              <w:t>)</w:t>
            </w:r>
          </w:p>
        </w:tc>
        <w:tc>
          <w:tcPr>
            <w:tcW w:w="801" w:type="dxa"/>
            <w:vAlign w:val="center"/>
          </w:tcPr>
          <w:p w14:paraId="2925E0D7" w14:textId="77777777" w:rsidR="00BD0542" w:rsidRPr="00D26534" w:rsidRDefault="00BD0542" w:rsidP="001B6D77">
            <w:pPr>
              <w:jc w:val="center"/>
              <w:rPr>
                <w:rFonts w:ascii="Arial Narrow" w:hAnsi="Arial Narrow"/>
                <w:sz w:val="20"/>
              </w:rPr>
            </w:pPr>
            <w:r w:rsidRPr="00D26534">
              <w:rPr>
                <w:rFonts w:ascii="Arial Narrow" w:hAnsi="Arial Narrow"/>
                <w:sz w:val="20"/>
              </w:rPr>
              <w:t>4</w:t>
            </w:r>
          </w:p>
        </w:tc>
        <w:tc>
          <w:tcPr>
            <w:tcW w:w="801" w:type="dxa"/>
            <w:vAlign w:val="center"/>
          </w:tcPr>
          <w:p w14:paraId="2D2F5506" w14:textId="77777777" w:rsidR="00BD0542" w:rsidRPr="00D26534" w:rsidRDefault="00BD0542" w:rsidP="001B6D77">
            <w:pPr>
              <w:jc w:val="center"/>
              <w:rPr>
                <w:rFonts w:ascii="Arial Narrow" w:hAnsi="Arial Narrow"/>
                <w:sz w:val="20"/>
              </w:rPr>
            </w:pPr>
            <w:r w:rsidRPr="00D26534">
              <w:rPr>
                <w:rFonts w:ascii="Arial Narrow" w:hAnsi="Arial Narrow"/>
                <w:sz w:val="20"/>
              </w:rPr>
              <w:t>4</w:t>
            </w:r>
          </w:p>
        </w:tc>
        <w:tc>
          <w:tcPr>
            <w:tcW w:w="801" w:type="dxa"/>
            <w:vAlign w:val="center"/>
          </w:tcPr>
          <w:p w14:paraId="0BDD9482" w14:textId="77777777" w:rsidR="00BD0542" w:rsidRPr="00D26534" w:rsidRDefault="00BD0542" w:rsidP="001B6D77">
            <w:pPr>
              <w:jc w:val="center"/>
              <w:rPr>
                <w:rFonts w:ascii="Arial Narrow" w:hAnsi="Arial Narrow"/>
                <w:sz w:val="20"/>
              </w:rPr>
            </w:pPr>
            <w:r w:rsidRPr="00D26534">
              <w:rPr>
                <w:rFonts w:ascii="Arial Narrow" w:hAnsi="Arial Narrow"/>
                <w:sz w:val="20"/>
              </w:rPr>
              <w:t>2</w:t>
            </w:r>
          </w:p>
        </w:tc>
        <w:tc>
          <w:tcPr>
            <w:tcW w:w="802" w:type="dxa"/>
            <w:vAlign w:val="center"/>
          </w:tcPr>
          <w:p w14:paraId="4E970416" w14:textId="77777777" w:rsidR="00BD0542" w:rsidRPr="00D26534" w:rsidRDefault="00BD0542" w:rsidP="001B6D77">
            <w:pPr>
              <w:rPr>
                <w:rFonts w:ascii="Arial Narrow" w:hAnsi="Arial Narrow"/>
                <w:sz w:val="20"/>
                <w:szCs w:val="20"/>
              </w:rPr>
            </w:pPr>
            <w:r w:rsidRPr="00D26534">
              <w:rPr>
                <w:rFonts w:ascii="Arial Narrow" w:hAnsi="Arial Narrow"/>
                <w:sz w:val="20"/>
                <w:szCs w:val="20"/>
              </w:rPr>
              <w:t>Spravato</w:t>
            </w:r>
          </w:p>
        </w:tc>
      </w:tr>
      <w:tr w:rsidR="00BD0542" w:rsidRPr="00D26534" w14:paraId="421D74B7" w14:textId="77777777" w:rsidTr="00317042">
        <w:trPr>
          <w:trHeight w:val="20"/>
        </w:trPr>
        <w:tc>
          <w:tcPr>
            <w:tcW w:w="2127" w:type="dxa"/>
            <w:vAlign w:val="center"/>
          </w:tcPr>
          <w:p w14:paraId="03A3F6D7" w14:textId="574805CC" w:rsidR="00BD0542" w:rsidRPr="00D26534" w:rsidRDefault="00BD0542" w:rsidP="00031AC3">
            <w:pPr>
              <w:tabs>
                <w:tab w:val="left" w:pos="1077"/>
              </w:tabs>
              <w:jc w:val="left"/>
              <w:rPr>
                <w:rFonts w:ascii="Arial Narrow" w:hAnsi="Arial Narrow"/>
                <w:sz w:val="20"/>
                <w:szCs w:val="20"/>
              </w:rPr>
            </w:pPr>
            <w:r w:rsidRPr="00D26534">
              <w:rPr>
                <w:rFonts w:ascii="Arial Narrow" w:hAnsi="Arial Narrow"/>
                <w:sz w:val="20"/>
                <w:szCs w:val="20"/>
              </w:rPr>
              <w:t xml:space="preserve">Nasal spray device </w:t>
            </w:r>
            <w:r w:rsidR="000C049B" w:rsidRPr="00D26534">
              <w:rPr>
                <w:rFonts w:ascii="Arial Narrow" w:hAnsi="Arial Narrow"/>
                <w:sz w:val="20"/>
                <w:szCs w:val="20"/>
              </w:rPr>
              <w:t>28 mg</w:t>
            </w:r>
            <w:r w:rsidRPr="00D26534">
              <w:rPr>
                <w:rFonts w:ascii="Arial Narrow" w:hAnsi="Arial Narrow"/>
                <w:sz w:val="20"/>
                <w:szCs w:val="20"/>
              </w:rPr>
              <w:t>, 2</w:t>
            </w:r>
          </w:p>
        </w:tc>
        <w:tc>
          <w:tcPr>
            <w:tcW w:w="3685" w:type="dxa"/>
            <w:vAlign w:val="center"/>
          </w:tcPr>
          <w:p w14:paraId="177A0D43" w14:textId="4A856B9C" w:rsidR="00BD0542" w:rsidRPr="00D26534" w:rsidRDefault="14746757" w:rsidP="0009748E">
            <w:pPr>
              <w:pStyle w:val="COMTabletext"/>
              <w:jc w:val="center"/>
            </w:pPr>
            <w:r>
              <w:t>Public Hospital:</w:t>
            </w:r>
            <w:r w:rsidR="72D6E7E2">
              <w:t xml:space="preserve"> </w:t>
            </w:r>
            <w:r>
              <w:t>$</w:t>
            </w:r>
            <w:r w:rsidR="00683384" w:rsidRPr="00683384">
              <w:rPr>
                <w:color w:val="000000"/>
                <w:shd w:val="solid" w:color="000000" w:fill="000000"/>
                <w14:textFill>
                  <w14:solidFill>
                    <w14:srgbClr w14:val="000000">
                      <w14:alpha w14:val="100000"/>
                    </w14:srgbClr>
                  </w14:solidFill>
                </w14:textFill>
              </w:rPr>
              <w:t>|</w:t>
            </w:r>
            <w:r>
              <w:t xml:space="preserve"> ($1</w:t>
            </w:r>
            <w:r w:rsidR="00683384" w:rsidRPr="00683384">
              <w:rPr>
                <w:color w:val="000000"/>
                <w:shd w:val="solid" w:color="000000" w:fill="000000"/>
                <w14:textFill>
                  <w14:solidFill>
                    <w14:srgbClr w14:val="000000">
                      <w14:alpha w14:val="100000"/>
                    </w14:srgbClr>
                  </w14:solidFill>
                </w14:textFill>
              </w:rPr>
              <w:t>|</w:t>
            </w:r>
            <w:r>
              <w:t>)</w:t>
            </w:r>
          </w:p>
          <w:p w14:paraId="10151FA9" w14:textId="7DC1AAA3" w:rsidR="00BD0542" w:rsidRPr="00D26534" w:rsidRDefault="00BD0542" w:rsidP="00006A1C">
            <w:pPr>
              <w:pStyle w:val="COMTabletext"/>
              <w:jc w:val="center"/>
              <w:rPr>
                <w:szCs w:val="20"/>
              </w:rPr>
            </w:pPr>
            <w:r w:rsidRPr="00D26534">
              <w:t>Private Hospital/Community Access:</w:t>
            </w:r>
            <w:r w:rsidR="00006A1C" w:rsidRPr="00D26534">
              <w:t xml:space="preserve"> </w:t>
            </w:r>
            <w:r w:rsidRPr="00D26534">
              <w:t>$</w:t>
            </w:r>
            <w:r w:rsidR="00683384" w:rsidRPr="00683384">
              <w:rPr>
                <w:rFonts w:hint="eastAsia"/>
                <w:color w:val="000000"/>
                <w:w w:val="24"/>
                <w:shd w:val="solid" w:color="000000" w:fill="000000"/>
                <w:fitText w:val="110" w:id="-892701176"/>
                <w14:textFill>
                  <w14:solidFill>
                    <w14:srgbClr w14:val="000000">
                      <w14:alpha w14:val="100000"/>
                    </w14:srgbClr>
                  </w14:solidFill>
                </w14:textFill>
              </w:rPr>
              <w:t xml:space="preserve">　</w:t>
            </w:r>
            <w:r w:rsidR="00683384" w:rsidRPr="00683384">
              <w:rPr>
                <w:color w:val="000000"/>
                <w:w w:val="24"/>
                <w:shd w:val="solid" w:color="000000" w:fill="000000"/>
                <w:fitText w:val="110" w:id="-892701176"/>
                <w14:textFill>
                  <w14:solidFill>
                    <w14:srgbClr w14:val="000000">
                      <w14:alpha w14:val="100000"/>
                    </w14:srgbClr>
                  </w14:solidFill>
                </w14:textFill>
              </w:rPr>
              <w:t>|</w:t>
            </w:r>
            <w:r w:rsidR="00683384" w:rsidRPr="00683384">
              <w:rPr>
                <w:rFonts w:hint="eastAsia"/>
                <w:color w:val="000000"/>
                <w:spacing w:val="6"/>
                <w:w w:val="24"/>
                <w:shd w:val="solid" w:color="000000" w:fill="000000"/>
                <w:fitText w:val="110" w:id="-892701176"/>
                <w14:textFill>
                  <w14:solidFill>
                    <w14:srgbClr w14:val="000000">
                      <w14:alpha w14:val="100000"/>
                    </w14:srgbClr>
                  </w14:solidFill>
                </w14:textFill>
              </w:rPr>
              <w:t xml:space="preserve">　</w:t>
            </w:r>
            <w:r w:rsidRPr="00D26534">
              <w:t xml:space="preserve"> ($</w:t>
            </w:r>
            <w:r w:rsidR="00683384" w:rsidRPr="00683384">
              <w:rPr>
                <w:color w:val="000000"/>
                <w:shd w:val="solid" w:color="000000" w:fill="000000"/>
                <w14:textFill>
                  <w14:solidFill>
                    <w14:srgbClr w14:val="000000">
                      <w14:alpha w14:val="100000"/>
                    </w14:srgbClr>
                  </w14:solidFill>
                </w14:textFill>
              </w:rPr>
              <w:t>|</w:t>
            </w:r>
            <w:r w:rsidRPr="00D26534">
              <w:t>)</w:t>
            </w:r>
          </w:p>
        </w:tc>
        <w:tc>
          <w:tcPr>
            <w:tcW w:w="801" w:type="dxa"/>
            <w:vAlign w:val="center"/>
          </w:tcPr>
          <w:p w14:paraId="156C5856" w14:textId="77777777" w:rsidR="00BD0542" w:rsidRPr="00D26534" w:rsidRDefault="00BD0542" w:rsidP="001B6D77">
            <w:pPr>
              <w:jc w:val="center"/>
              <w:rPr>
                <w:rFonts w:ascii="Arial Narrow" w:hAnsi="Arial Narrow"/>
                <w:sz w:val="20"/>
              </w:rPr>
            </w:pPr>
            <w:r w:rsidRPr="00D26534">
              <w:rPr>
                <w:rFonts w:ascii="Arial Narrow" w:hAnsi="Arial Narrow"/>
                <w:sz w:val="20"/>
              </w:rPr>
              <w:t>4</w:t>
            </w:r>
          </w:p>
        </w:tc>
        <w:tc>
          <w:tcPr>
            <w:tcW w:w="801" w:type="dxa"/>
            <w:vAlign w:val="center"/>
          </w:tcPr>
          <w:p w14:paraId="788588B8" w14:textId="77777777" w:rsidR="00BD0542" w:rsidRPr="00D26534" w:rsidRDefault="00BD0542" w:rsidP="001B6D77">
            <w:pPr>
              <w:jc w:val="center"/>
              <w:rPr>
                <w:rFonts w:ascii="Arial Narrow" w:hAnsi="Arial Narrow"/>
                <w:sz w:val="20"/>
              </w:rPr>
            </w:pPr>
            <w:r w:rsidRPr="00D26534">
              <w:rPr>
                <w:rFonts w:ascii="Arial Narrow" w:hAnsi="Arial Narrow"/>
                <w:sz w:val="20"/>
              </w:rPr>
              <w:t>8</w:t>
            </w:r>
          </w:p>
        </w:tc>
        <w:tc>
          <w:tcPr>
            <w:tcW w:w="801" w:type="dxa"/>
            <w:vAlign w:val="center"/>
          </w:tcPr>
          <w:p w14:paraId="35DB04DD" w14:textId="77777777" w:rsidR="00BD0542" w:rsidRPr="00D26534" w:rsidRDefault="00BD0542" w:rsidP="001B6D77">
            <w:pPr>
              <w:jc w:val="center"/>
              <w:rPr>
                <w:rFonts w:ascii="Arial Narrow" w:hAnsi="Arial Narrow"/>
                <w:sz w:val="20"/>
              </w:rPr>
            </w:pPr>
            <w:r w:rsidRPr="00D26534">
              <w:rPr>
                <w:rFonts w:ascii="Arial Narrow" w:hAnsi="Arial Narrow"/>
                <w:sz w:val="20"/>
              </w:rPr>
              <w:t>2</w:t>
            </w:r>
          </w:p>
        </w:tc>
        <w:tc>
          <w:tcPr>
            <w:tcW w:w="802" w:type="dxa"/>
            <w:vAlign w:val="center"/>
          </w:tcPr>
          <w:p w14:paraId="2E565C3E" w14:textId="77777777" w:rsidR="00BD0542" w:rsidRPr="00D26534" w:rsidRDefault="00BD0542" w:rsidP="001B6D77">
            <w:pPr>
              <w:rPr>
                <w:rFonts w:ascii="Arial Narrow" w:hAnsi="Arial Narrow"/>
                <w:sz w:val="20"/>
                <w:szCs w:val="20"/>
              </w:rPr>
            </w:pPr>
            <w:r w:rsidRPr="00D26534">
              <w:rPr>
                <w:rFonts w:ascii="Arial Narrow" w:hAnsi="Arial Narrow"/>
                <w:sz w:val="20"/>
                <w:szCs w:val="20"/>
              </w:rPr>
              <w:t>Spravato</w:t>
            </w:r>
          </w:p>
        </w:tc>
      </w:tr>
      <w:tr w:rsidR="00BD0542" w:rsidRPr="00D26534" w14:paraId="3C007CB7" w14:textId="77777777" w:rsidTr="00317042">
        <w:trPr>
          <w:trHeight w:val="20"/>
        </w:trPr>
        <w:tc>
          <w:tcPr>
            <w:tcW w:w="2127" w:type="dxa"/>
            <w:tcBorders>
              <w:bottom w:val="single" w:sz="4" w:space="0" w:color="auto"/>
            </w:tcBorders>
            <w:vAlign w:val="center"/>
          </w:tcPr>
          <w:p w14:paraId="7F13612D" w14:textId="5A2D06EA" w:rsidR="00BD0542" w:rsidRPr="00D26534" w:rsidRDefault="00BD0542" w:rsidP="00031AC3">
            <w:pPr>
              <w:tabs>
                <w:tab w:val="left" w:pos="1077"/>
              </w:tabs>
              <w:jc w:val="left"/>
              <w:rPr>
                <w:rFonts w:ascii="Arial Narrow" w:hAnsi="Arial Narrow"/>
                <w:sz w:val="20"/>
                <w:szCs w:val="20"/>
              </w:rPr>
            </w:pPr>
            <w:r w:rsidRPr="00D26534">
              <w:rPr>
                <w:rFonts w:ascii="Arial Narrow" w:hAnsi="Arial Narrow"/>
                <w:sz w:val="20"/>
                <w:szCs w:val="20"/>
              </w:rPr>
              <w:t xml:space="preserve">Nasal spray device </w:t>
            </w:r>
            <w:r w:rsidR="000C049B" w:rsidRPr="00D26534">
              <w:rPr>
                <w:rFonts w:ascii="Arial Narrow" w:hAnsi="Arial Narrow"/>
                <w:sz w:val="20"/>
                <w:szCs w:val="20"/>
              </w:rPr>
              <w:t>28 mg</w:t>
            </w:r>
            <w:r w:rsidRPr="00D26534">
              <w:rPr>
                <w:rFonts w:ascii="Arial Narrow" w:hAnsi="Arial Narrow"/>
                <w:sz w:val="20"/>
                <w:szCs w:val="20"/>
              </w:rPr>
              <w:t>, 3</w:t>
            </w:r>
          </w:p>
        </w:tc>
        <w:tc>
          <w:tcPr>
            <w:tcW w:w="3685" w:type="dxa"/>
            <w:tcBorders>
              <w:bottom w:val="single" w:sz="4" w:space="0" w:color="auto"/>
            </w:tcBorders>
            <w:vAlign w:val="center"/>
          </w:tcPr>
          <w:p w14:paraId="51311A98" w14:textId="587D98DA" w:rsidR="00BD0542" w:rsidRPr="00D26534" w:rsidRDefault="14746757" w:rsidP="0009748E">
            <w:pPr>
              <w:pStyle w:val="COMTabletext"/>
              <w:jc w:val="center"/>
            </w:pPr>
            <w:r>
              <w:t>Public Hospital:</w:t>
            </w:r>
            <w:r w:rsidR="72D6E7E2">
              <w:t xml:space="preserve"> </w:t>
            </w:r>
            <w:r>
              <w:t>$</w:t>
            </w:r>
            <w:r w:rsidR="00683384" w:rsidRPr="00683384">
              <w:rPr>
                <w:color w:val="000000"/>
                <w:shd w:val="solid" w:color="000000" w:fill="000000"/>
                <w14:textFill>
                  <w14:solidFill>
                    <w14:srgbClr w14:val="000000">
                      <w14:alpha w14:val="100000"/>
                    </w14:srgbClr>
                  </w14:solidFill>
                </w14:textFill>
              </w:rPr>
              <w:t>|</w:t>
            </w:r>
            <w:r>
              <w:t xml:space="preserve"> ($</w:t>
            </w:r>
            <w:r w:rsidR="00683384" w:rsidRPr="00683384">
              <w:rPr>
                <w:color w:val="000000"/>
                <w:shd w:val="solid" w:color="000000" w:fill="000000"/>
                <w14:textFill>
                  <w14:solidFill>
                    <w14:srgbClr w14:val="000000">
                      <w14:alpha w14:val="100000"/>
                    </w14:srgbClr>
                  </w14:solidFill>
                </w14:textFill>
              </w:rPr>
              <w:t>|</w:t>
            </w:r>
            <w:r>
              <w:t>)</w:t>
            </w:r>
          </w:p>
          <w:p w14:paraId="298E76A1" w14:textId="0402627F" w:rsidR="00BD0542" w:rsidRPr="00D26534" w:rsidRDefault="00BD0542" w:rsidP="00006A1C">
            <w:pPr>
              <w:pStyle w:val="COMTabletext"/>
              <w:jc w:val="center"/>
              <w:rPr>
                <w:szCs w:val="20"/>
              </w:rPr>
            </w:pPr>
            <w:r w:rsidRPr="00D26534">
              <w:t>Private Hospital/Community Access:</w:t>
            </w:r>
            <w:r w:rsidR="00006A1C" w:rsidRPr="00D26534">
              <w:t xml:space="preserve"> </w:t>
            </w:r>
            <w:r w:rsidRPr="00764368">
              <w:t>$</w:t>
            </w:r>
            <w:r w:rsidR="00683384" w:rsidRPr="00683384">
              <w:rPr>
                <w:rFonts w:hint="eastAsia"/>
                <w:color w:val="000000"/>
                <w:w w:val="24"/>
                <w:shd w:val="solid" w:color="000000" w:fill="000000"/>
                <w:fitText w:val="110" w:id="-892701175"/>
                <w14:textFill>
                  <w14:solidFill>
                    <w14:srgbClr w14:val="000000">
                      <w14:alpha w14:val="100000"/>
                    </w14:srgbClr>
                  </w14:solidFill>
                </w14:textFill>
              </w:rPr>
              <w:t xml:space="preserve">　</w:t>
            </w:r>
            <w:r w:rsidR="00683384" w:rsidRPr="00683384">
              <w:rPr>
                <w:color w:val="000000"/>
                <w:w w:val="24"/>
                <w:shd w:val="solid" w:color="000000" w:fill="000000"/>
                <w:fitText w:val="110" w:id="-892701175"/>
                <w14:textFill>
                  <w14:solidFill>
                    <w14:srgbClr w14:val="000000">
                      <w14:alpha w14:val="100000"/>
                    </w14:srgbClr>
                  </w14:solidFill>
                </w14:textFill>
              </w:rPr>
              <w:t>|</w:t>
            </w:r>
            <w:r w:rsidR="00683384" w:rsidRPr="00683384">
              <w:rPr>
                <w:rFonts w:hint="eastAsia"/>
                <w:color w:val="000000"/>
                <w:spacing w:val="6"/>
                <w:w w:val="24"/>
                <w:shd w:val="solid" w:color="000000" w:fill="000000"/>
                <w:fitText w:val="110" w:id="-892701175"/>
                <w14:textFill>
                  <w14:solidFill>
                    <w14:srgbClr w14:val="000000">
                      <w14:alpha w14:val="100000"/>
                    </w14:srgbClr>
                  </w14:solidFill>
                </w14:textFill>
              </w:rPr>
              <w:t xml:space="preserve">　</w:t>
            </w:r>
            <w:r w:rsidR="0009473D" w:rsidRPr="00D26534">
              <w:t xml:space="preserve"> </w:t>
            </w:r>
            <w:r w:rsidRPr="00D26534">
              <w:t>($</w:t>
            </w:r>
            <w:r w:rsidR="00683384" w:rsidRPr="00683384">
              <w:rPr>
                <w:color w:val="000000"/>
                <w:shd w:val="solid" w:color="000000" w:fill="000000"/>
                <w14:textFill>
                  <w14:solidFill>
                    <w14:srgbClr w14:val="000000">
                      <w14:alpha w14:val="100000"/>
                    </w14:srgbClr>
                  </w14:solidFill>
                </w14:textFill>
              </w:rPr>
              <w:t>|</w:t>
            </w:r>
            <w:r w:rsidRPr="00D26534">
              <w:t>)</w:t>
            </w:r>
          </w:p>
        </w:tc>
        <w:tc>
          <w:tcPr>
            <w:tcW w:w="801" w:type="dxa"/>
            <w:tcBorders>
              <w:bottom w:val="single" w:sz="4" w:space="0" w:color="auto"/>
            </w:tcBorders>
            <w:vAlign w:val="center"/>
          </w:tcPr>
          <w:p w14:paraId="5969B855" w14:textId="77777777" w:rsidR="00BD0542" w:rsidRPr="00D26534" w:rsidRDefault="00BD0542" w:rsidP="001B6D77">
            <w:pPr>
              <w:jc w:val="center"/>
              <w:rPr>
                <w:rFonts w:ascii="Arial Narrow" w:hAnsi="Arial Narrow"/>
                <w:sz w:val="20"/>
              </w:rPr>
            </w:pPr>
            <w:r w:rsidRPr="00D26534">
              <w:rPr>
                <w:rFonts w:ascii="Arial Narrow" w:hAnsi="Arial Narrow"/>
                <w:sz w:val="20"/>
              </w:rPr>
              <w:t>4</w:t>
            </w:r>
          </w:p>
        </w:tc>
        <w:tc>
          <w:tcPr>
            <w:tcW w:w="801" w:type="dxa"/>
            <w:tcBorders>
              <w:bottom w:val="single" w:sz="4" w:space="0" w:color="auto"/>
            </w:tcBorders>
            <w:vAlign w:val="center"/>
          </w:tcPr>
          <w:p w14:paraId="47D17769" w14:textId="77777777" w:rsidR="00BD0542" w:rsidRPr="00D26534" w:rsidRDefault="00BD0542" w:rsidP="001B6D77">
            <w:pPr>
              <w:jc w:val="center"/>
              <w:rPr>
                <w:rFonts w:ascii="Arial Narrow" w:hAnsi="Arial Narrow"/>
                <w:sz w:val="20"/>
              </w:rPr>
            </w:pPr>
            <w:r w:rsidRPr="00D26534">
              <w:rPr>
                <w:rFonts w:ascii="Arial Narrow" w:hAnsi="Arial Narrow"/>
                <w:sz w:val="20"/>
              </w:rPr>
              <w:t>12</w:t>
            </w:r>
          </w:p>
        </w:tc>
        <w:tc>
          <w:tcPr>
            <w:tcW w:w="801" w:type="dxa"/>
            <w:tcBorders>
              <w:bottom w:val="single" w:sz="4" w:space="0" w:color="auto"/>
            </w:tcBorders>
            <w:vAlign w:val="center"/>
          </w:tcPr>
          <w:p w14:paraId="49DECB83" w14:textId="77777777" w:rsidR="00BD0542" w:rsidRPr="00D26534" w:rsidRDefault="00BD0542" w:rsidP="001B6D77">
            <w:pPr>
              <w:jc w:val="center"/>
              <w:rPr>
                <w:rFonts w:ascii="Arial Narrow" w:hAnsi="Arial Narrow"/>
                <w:sz w:val="20"/>
              </w:rPr>
            </w:pPr>
            <w:r w:rsidRPr="00D26534">
              <w:rPr>
                <w:rFonts w:ascii="Arial Narrow" w:hAnsi="Arial Narrow"/>
                <w:sz w:val="20"/>
              </w:rPr>
              <w:t>2</w:t>
            </w:r>
          </w:p>
        </w:tc>
        <w:tc>
          <w:tcPr>
            <w:tcW w:w="802" w:type="dxa"/>
            <w:tcBorders>
              <w:bottom w:val="single" w:sz="4" w:space="0" w:color="auto"/>
            </w:tcBorders>
            <w:vAlign w:val="center"/>
          </w:tcPr>
          <w:p w14:paraId="03324EAA" w14:textId="77777777" w:rsidR="00BD0542" w:rsidRPr="00D26534" w:rsidRDefault="00BD0542" w:rsidP="001B6D77">
            <w:pPr>
              <w:rPr>
                <w:rFonts w:ascii="Arial Narrow" w:hAnsi="Arial Narrow"/>
                <w:sz w:val="20"/>
                <w:szCs w:val="20"/>
              </w:rPr>
            </w:pPr>
            <w:r w:rsidRPr="00D26534">
              <w:rPr>
                <w:rFonts w:ascii="Arial Narrow" w:hAnsi="Arial Narrow"/>
                <w:sz w:val="20"/>
                <w:szCs w:val="20"/>
              </w:rPr>
              <w:t>Spravato</w:t>
            </w:r>
          </w:p>
        </w:tc>
      </w:tr>
    </w:tbl>
    <w:p w14:paraId="2A158EFA" w14:textId="77777777" w:rsidR="003A7739" w:rsidRDefault="003A773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3A7739" w:rsidRPr="008E76AB" w14:paraId="3E3BD412"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7B7D95D5" w14:textId="77777777" w:rsidR="003A7739" w:rsidRPr="008E76AB" w:rsidRDefault="003A7739" w:rsidP="002A0ED1">
            <w:pPr>
              <w:rPr>
                <w:rFonts w:ascii="Arial Narrow" w:hAnsi="Arial Narrow"/>
                <w:sz w:val="20"/>
                <w:szCs w:val="20"/>
              </w:rPr>
            </w:pPr>
            <w:r w:rsidRPr="008E76AB">
              <w:rPr>
                <w:rFonts w:ascii="Arial Narrow" w:hAnsi="Arial Narrow"/>
                <w:b/>
                <w:sz w:val="20"/>
                <w:szCs w:val="20"/>
              </w:rPr>
              <w:t xml:space="preserve">Category / Program:   </w:t>
            </w:r>
          </w:p>
          <w:p w14:paraId="7E41D2AB" w14:textId="74513820" w:rsidR="003A7739" w:rsidRPr="008E76AB" w:rsidRDefault="003A7739" w:rsidP="002A0ED1">
            <w:pPr>
              <w:rPr>
                <w:rFonts w:ascii="Arial Narrow" w:hAnsi="Arial Narrow"/>
                <w:sz w:val="20"/>
                <w:szCs w:val="20"/>
              </w:rPr>
            </w:pPr>
            <w:r w:rsidRPr="008E76AB">
              <w:rPr>
                <w:rFonts w:ascii="Arial Narrow" w:hAnsi="Arial Narrow"/>
                <w:sz w:val="20"/>
                <w:szCs w:val="20"/>
              </w:rPr>
              <w:t>Section 100 – Highly Specialised Drugs Program {Public and Private Hospitals; Community Access}</w:t>
            </w:r>
          </w:p>
        </w:tc>
      </w:tr>
      <w:tr w:rsidR="003A7739" w:rsidRPr="008E76AB" w14:paraId="7220B541"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18438A63" w14:textId="77777777" w:rsidR="003A7739" w:rsidRPr="008E76AB" w:rsidRDefault="003A7739" w:rsidP="002A0ED1">
            <w:pPr>
              <w:rPr>
                <w:rFonts w:ascii="Arial Narrow" w:hAnsi="Arial Narrow"/>
                <w:sz w:val="20"/>
                <w:szCs w:val="20"/>
              </w:rPr>
            </w:pPr>
            <w:r w:rsidRPr="008E76AB">
              <w:rPr>
                <w:rFonts w:ascii="Arial Narrow" w:hAnsi="Arial Narrow"/>
                <w:b/>
                <w:sz w:val="20"/>
                <w:szCs w:val="20"/>
              </w:rPr>
              <w:t xml:space="preserve">Prescriber type:  </w:t>
            </w:r>
            <w:r w:rsidRPr="008E76AB">
              <w:rPr>
                <w:rFonts w:ascii="Arial Narrow" w:hAnsi="Arial Narrow"/>
                <w:sz w:val="20"/>
                <w:szCs w:val="20"/>
              </w:rPr>
              <w:fldChar w:fldCharType="begin" w:fldLock="1">
                <w:ffData>
                  <w:name w:val=""/>
                  <w:enabled/>
                  <w:calcOnExit w:val="0"/>
                  <w:checkBox>
                    <w:sizeAuto/>
                    <w:default w:val="0"/>
                  </w:checkBox>
                </w:ffData>
              </w:fldChar>
            </w:r>
            <w:r w:rsidRPr="008E76AB">
              <w:rPr>
                <w:rFonts w:ascii="Arial Narrow" w:hAnsi="Arial Narrow"/>
                <w:sz w:val="20"/>
                <w:szCs w:val="20"/>
              </w:rPr>
              <w:instrText xml:space="preserve"> FORMCHECKBOX </w:instrText>
            </w:r>
            <w:r w:rsidR="00A34B18">
              <w:rPr>
                <w:rFonts w:ascii="Arial Narrow" w:hAnsi="Arial Narrow"/>
                <w:sz w:val="20"/>
                <w:szCs w:val="20"/>
              </w:rPr>
            </w:r>
            <w:r w:rsidR="00A34B18">
              <w:rPr>
                <w:rFonts w:ascii="Arial Narrow" w:hAnsi="Arial Narrow"/>
                <w:sz w:val="20"/>
                <w:szCs w:val="20"/>
              </w:rPr>
              <w:fldChar w:fldCharType="separate"/>
            </w:r>
            <w:r w:rsidRPr="008E76AB">
              <w:rPr>
                <w:rFonts w:ascii="Arial Narrow" w:hAnsi="Arial Narrow"/>
                <w:sz w:val="20"/>
                <w:szCs w:val="20"/>
              </w:rPr>
              <w:fldChar w:fldCharType="end"/>
            </w:r>
            <w:r w:rsidRPr="008E76AB">
              <w:rPr>
                <w:rFonts w:ascii="Arial Narrow" w:hAnsi="Arial Narrow"/>
                <w:sz w:val="20"/>
                <w:szCs w:val="20"/>
              </w:rPr>
              <w:t xml:space="preserve">Medical Practitioners  </w:t>
            </w:r>
          </w:p>
        </w:tc>
      </w:tr>
      <w:tr w:rsidR="003A7739" w:rsidRPr="008E76AB" w14:paraId="60F3C750"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6BD66EC7" w14:textId="77777777" w:rsidR="003A7739" w:rsidRPr="008E76AB" w:rsidRDefault="003A7739" w:rsidP="002A0ED1">
            <w:pPr>
              <w:rPr>
                <w:rFonts w:ascii="Arial Narrow" w:hAnsi="Arial Narrow"/>
                <w:b/>
                <w:sz w:val="20"/>
                <w:szCs w:val="20"/>
              </w:rPr>
            </w:pPr>
            <w:r w:rsidRPr="008E76AB">
              <w:rPr>
                <w:rFonts w:ascii="Arial Narrow" w:hAnsi="Arial Narrow"/>
                <w:b/>
                <w:sz w:val="20"/>
                <w:szCs w:val="20"/>
              </w:rPr>
              <w:t>Restriction Level / Method:</w:t>
            </w:r>
          </w:p>
          <w:p w14:paraId="1C64C55A" w14:textId="77777777" w:rsidR="003A7739" w:rsidRPr="008E76AB" w:rsidRDefault="003A7739" w:rsidP="002A0ED1">
            <w:pPr>
              <w:rPr>
                <w:rFonts w:ascii="Arial Narrow" w:hAnsi="Arial Narrow"/>
                <w:sz w:val="20"/>
                <w:szCs w:val="20"/>
              </w:rPr>
            </w:pPr>
            <w:r w:rsidRPr="008E76AB">
              <w:rPr>
                <w:rFonts w:ascii="Arial Narrow" w:hAnsi="Arial Narrow"/>
                <w:sz w:val="20"/>
                <w:szCs w:val="20"/>
              </w:rPr>
              <w:fldChar w:fldCharType="begin" w:fldLock="1">
                <w:ffData>
                  <w:name w:val="Check3"/>
                  <w:enabled/>
                  <w:calcOnExit w:val="0"/>
                  <w:checkBox>
                    <w:sizeAuto/>
                    <w:default w:val="0"/>
                  </w:checkBox>
                </w:ffData>
              </w:fldChar>
            </w:r>
            <w:r w:rsidRPr="008E76AB">
              <w:rPr>
                <w:rFonts w:ascii="Arial Narrow" w:hAnsi="Arial Narrow"/>
                <w:sz w:val="20"/>
                <w:szCs w:val="20"/>
              </w:rPr>
              <w:instrText xml:space="preserve"> FORMCHECKBOX </w:instrText>
            </w:r>
            <w:r w:rsidR="00A34B18">
              <w:rPr>
                <w:rFonts w:ascii="Arial Narrow" w:hAnsi="Arial Narrow"/>
                <w:sz w:val="20"/>
                <w:szCs w:val="20"/>
              </w:rPr>
            </w:r>
            <w:r w:rsidR="00A34B18">
              <w:rPr>
                <w:rFonts w:ascii="Arial Narrow" w:hAnsi="Arial Narrow"/>
                <w:sz w:val="20"/>
                <w:szCs w:val="20"/>
              </w:rPr>
              <w:fldChar w:fldCharType="separate"/>
            </w:r>
            <w:r w:rsidRPr="008E76AB">
              <w:rPr>
                <w:rFonts w:ascii="Arial Narrow" w:hAnsi="Arial Narrow"/>
                <w:sz w:val="20"/>
                <w:szCs w:val="20"/>
              </w:rPr>
              <w:fldChar w:fldCharType="end"/>
            </w:r>
            <w:r w:rsidRPr="008E76AB">
              <w:rPr>
                <w:rFonts w:ascii="Arial Narrow" w:hAnsi="Arial Narrow"/>
                <w:sz w:val="20"/>
                <w:szCs w:val="20"/>
              </w:rPr>
              <w:t>Authority Required – Telephone/Electronic/Emergency</w:t>
            </w:r>
          </w:p>
        </w:tc>
      </w:tr>
      <w:tr w:rsidR="003A7739" w:rsidRPr="008E76AB" w14:paraId="7F901216" w14:textId="77777777" w:rsidTr="00317042">
        <w:trPr>
          <w:trHeight w:val="20"/>
        </w:trPr>
        <w:tc>
          <w:tcPr>
            <w:tcW w:w="5000" w:type="pct"/>
            <w:vAlign w:val="center"/>
          </w:tcPr>
          <w:p w14:paraId="03323C0E"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Administrative Advice:</w:t>
            </w:r>
          </w:p>
          <w:p w14:paraId="39369F75"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 xml:space="preserve">Care must be taken to comply with the provisions of the state/territory law for prescribing this drug </w:t>
            </w:r>
          </w:p>
        </w:tc>
      </w:tr>
      <w:tr w:rsidR="003A7739" w:rsidRPr="008E76AB" w14:paraId="47872EA4" w14:textId="77777777" w:rsidTr="00317042">
        <w:trPr>
          <w:trHeight w:val="20"/>
        </w:trPr>
        <w:tc>
          <w:tcPr>
            <w:tcW w:w="5000" w:type="pct"/>
            <w:vAlign w:val="center"/>
          </w:tcPr>
          <w:p w14:paraId="5512CAE1"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Administrative Advice:</w:t>
            </w:r>
          </w:p>
          <w:p w14:paraId="4CFE015D" w14:textId="77777777" w:rsidR="003A7739" w:rsidRPr="008E76AB" w:rsidRDefault="003A7739" w:rsidP="002A0ED1">
            <w:pPr>
              <w:rPr>
                <w:rFonts w:ascii="Arial Narrow" w:hAnsi="Arial Narrow"/>
                <w:b/>
                <w:bCs/>
                <w:color w:val="333333"/>
                <w:sz w:val="20"/>
                <w:szCs w:val="20"/>
              </w:rPr>
            </w:pPr>
            <w:r w:rsidRPr="008E76AB">
              <w:rPr>
                <w:rFonts w:ascii="Arial Narrow" w:hAnsi="Arial Narrow"/>
                <w:color w:val="333333"/>
                <w:sz w:val="20"/>
                <w:szCs w:val="20"/>
              </w:rPr>
              <w:t>No increases quantity or repeats will be authorised</w:t>
            </w:r>
          </w:p>
        </w:tc>
      </w:tr>
      <w:tr w:rsidR="003A7739" w:rsidRPr="008E76AB" w14:paraId="08C3826D" w14:textId="77777777" w:rsidTr="00317042">
        <w:trPr>
          <w:trHeight w:val="20"/>
        </w:trPr>
        <w:tc>
          <w:tcPr>
            <w:tcW w:w="5000" w:type="pct"/>
            <w:vAlign w:val="center"/>
          </w:tcPr>
          <w:p w14:paraId="28152BF6"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Administrative Advice:</w:t>
            </w:r>
          </w:p>
          <w:p w14:paraId="4F4442CD" w14:textId="77777777" w:rsidR="003A7739" w:rsidRPr="008E76AB" w:rsidRDefault="003A7739" w:rsidP="002A0ED1">
            <w:pPr>
              <w:rPr>
                <w:rFonts w:ascii="Arial Narrow" w:hAnsi="Arial Narrow"/>
                <w:b/>
                <w:bCs/>
                <w:color w:val="333333"/>
                <w:sz w:val="20"/>
                <w:szCs w:val="20"/>
              </w:rPr>
            </w:pPr>
            <w:r w:rsidRPr="008E76AB">
              <w:rPr>
                <w:rFonts w:ascii="Arial Narrow" w:hAnsi="Arial Narrow"/>
                <w:color w:val="333333"/>
                <w:sz w:val="20"/>
                <w:szCs w:val="20"/>
              </w:rPr>
              <w:t>Special Pricing Arrangements apply</w:t>
            </w:r>
          </w:p>
        </w:tc>
      </w:tr>
      <w:tr w:rsidR="003A7739" w:rsidRPr="008E76AB" w14:paraId="17CC878B" w14:textId="77777777" w:rsidTr="00317042">
        <w:trPr>
          <w:trHeight w:val="20"/>
        </w:trPr>
        <w:tc>
          <w:tcPr>
            <w:tcW w:w="5000" w:type="pct"/>
            <w:vAlign w:val="center"/>
          </w:tcPr>
          <w:p w14:paraId="6F151B7D"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 xml:space="preserve">Condition: </w:t>
            </w:r>
            <w:r w:rsidRPr="008E76AB">
              <w:rPr>
                <w:rFonts w:ascii="Arial Narrow" w:hAnsi="Arial Narrow"/>
                <w:bCs/>
                <w:color w:val="333333"/>
                <w:sz w:val="20"/>
                <w:szCs w:val="20"/>
              </w:rPr>
              <w:t>Major depressive disorder</w:t>
            </w:r>
          </w:p>
        </w:tc>
      </w:tr>
      <w:tr w:rsidR="003A7739" w:rsidRPr="008E76AB" w14:paraId="5AA5155E" w14:textId="77777777" w:rsidTr="00317042">
        <w:trPr>
          <w:trHeight w:val="20"/>
        </w:trPr>
        <w:tc>
          <w:tcPr>
            <w:tcW w:w="5000" w:type="pct"/>
            <w:vAlign w:val="center"/>
            <w:hideMark/>
          </w:tcPr>
          <w:p w14:paraId="1C78A029"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lastRenderedPageBreak/>
              <w:t xml:space="preserve">Indication: </w:t>
            </w:r>
            <w:r w:rsidRPr="008E76AB">
              <w:rPr>
                <w:rFonts w:ascii="Arial Narrow" w:hAnsi="Arial Narrow"/>
                <w:strike/>
                <w:color w:val="333333"/>
                <w:sz w:val="20"/>
                <w:szCs w:val="20"/>
              </w:rPr>
              <w:t>Major depression</w:t>
            </w:r>
            <w:r w:rsidRPr="008E76AB">
              <w:rPr>
                <w:rFonts w:ascii="Arial Narrow" w:hAnsi="Arial Narrow"/>
                <w:color w:val="333333"/>
                <w:sz w:val="20"/>
                <w:szCs w:val="20"/>
              </w:rPr>
              <w:t xml:space="preserve"> </w:t>
            </w:r>
            <w:r w:rsidRPr="008E76AB">
              <w:rPr>
                <w:rFonts w:ascii="Arial Narrow" w:hAnsi="Arial Narrow"/>
                <w:i/>
                <w:iCs/>
                <w:color w:val="333333"/>
                <w:sz w:val="20"/>
                <w:szCs w:val="20"/>
              </w:rPr>
              <w:t>Major depressive disorder</w:t>
            </w:r>
          </w:p>
        </w:tc>
      </w:tr>
      <w:tr w:rsidR="003A7739" w:rsidRPr="008E76AB" w14:paraId="2B0CC627" w14:textId="77777777" w:rsidTr="00317042">
        <w:trPr>
          <w:trHeight w:val="20"/>
        </w:trPr>
        <w:tc>
          <w:tcPr>
            <w:tcW w:w="5000" w:type="pct"/>
            <w:vAlign w:val="center"/>
            <w:hideMark/>
          </w:tcPr>
          <w:p w14:paraId="0A319423"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Treatment Phase:</w:t>
            </w:r>
            <w:r w:rsidRPr="008E76AB">
              <w:rPr>
                <w:rFonts w:ascii="Arial Narrow" w:hAnsi="Arial Narrow"/>
                <w:color w:val="333333"/>
                <w:sz w:val="20"/>
                <w:szCs w:val="20"/>
              </w:rPr>
              <w:t xml:space="preserve"> Induction treatment </w:t>
            </w:r>
            <w:r w:rsidRPr="008E76AB">
              <w:rPr>
                <w:rFonts w:ascii="Arial Narrow" w:hAnsi="Arial Narrow"/>
                <w:i/>
                <w:iCs/>
                <w:color w:val="333333"/>
                <w:sz w:val="20"/>
                <w:szCs w:val="20"/>
              </w:rPr>
              <w:t>– first use in a major depressive disorder episode</w:t>
            </w:r>
            <w:r w:rsidRPr="008E76AB">
              <w:rPr>
                <w:rFonts w:ascii="Arial Narrow" w:hAnsi="Arial Narrow"/>
                <w:color w:val="333333"/>
                <w:sz w:val="20"/>
                <w:szCs w:val="20"/>
              </w:rPr>
              <w:t xml:space="preserve"> </w:t>
            </w:r>
            <w:r w:rsidRPr="008E76AB">
              <w:rPr>
                <w:rFonts w:ascii="Arial Narrow" w:hAnsi="Arial Narrow"/>
                <w:strike/>
                <w:color w:val="333333"/>
                <w:sz w:val="20"/>
                <w:szCs w:val="20"/>
              </w:rPr>
              <w:t>(weeks 1-4 of treatment with this drug) where the intended administered dose is [28 mg / 56 mg / 84 mg]</w:t>
            </w:r>
          </w:p>
        </w:tc>
      </w:tr>
      <w:tr w:rsidR="003A7739" w:rsidRPr="008E76AB" w14:paraId="2976E10F" w14:textId="77777777" w:rsidTr="00317042">
        <w:trPr>
          <w:trHeight w:val="20"/>
        </w:trPr>
        <w:tc>
          <w:tcPr>
            <w:tcW w:w="5000" w:type="pct"/>
            <w:vAlign w:val="center"/>
            <w:hideMark/>
          </w:tcPr>
          <w:p w14:paraId="241A8BEE"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Clinical criteria:</w:t>
            </w:r>
          </w:p>
        </w:tc>
      </w:tr>
      <w:tr w:rsidR="003A7739" w:rsidRPr="008E76AB" w14:paraId="5D75F54C" w14:textId="77777777" w:rsidTr="00317042">
        <w:trPr>
          <w:trHeight w:val="20"/>
        </w:trPr>
        <w:tc>
          <w:tcPr>
            <w:tcW w:w="5000" w:type="pct"/>
            <w:vAlign w:val="center"/>
            <w:hideMark/>
          </w:tcPr>
          <w:p w14:paraId="50A4CDBF"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The condition must be inadequately responsive</w:t>
            </w:r>
            <w:r w:rsidRPr="008E76AB">
              <w:rPr>
                <w:rFonts w:ascii="Arial Narrow" w:hAnsi="Arial Narrow"/>
                <w:strike/>
                <w:color w:val="333333"/>
                <w:sz w:val="20"/>
                <w:szCs w:val="20"/>
              </w:rPr>
              <w:t>(see Note)</w:t>
            </w:r>
            <w:r w:rsidRPr="008E76AB">
              <w:rPr>
                <w:rFonts w:ascii="Arial Narrow" w:hAnsi="Arial Narrow"/>
                <w:color w:val="333333"/>
                <w:sz w:val="20"/>
                <w:szCs w:val="20"/>
              </w:rPr>
              <w:t xml:space="preserve"> to at least two anti-depressant drug therapies from different pharmacological classes prior to the first administered dose of this drug</w:t>
            </w:r>
          </w:p>
        </w:tc>
      </w:tr>
      <w:tr w:rsidR="003A7739" w:rsidRPr="008E76AB" w14:paraId="4FD183EE" w14:textId="77777777" w:rsidTr="00317042">
        <w:trPr>
          <w:trHeight w:val="20"/>
        </w:trPr>
        <w:tc>
          <w:tcPr>
            <w:tcW w:w="5000" w:type="pct"/>
            <w:vAlign w:val="center"/>
            <w:hideMark/>
          </w:tcPr>
          <w:p w14:paraId="11504771"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4616E42E" w14:textId="77777777" w:rsidTr="00317042">
        <w:trPr>
          <w:trHeight w:val="20"/>
        </w:trPr>
        <w:tc>
          <w:tcPr>
            <w:tcW w:w="5000" w:type="pct"/>
            <w:vAlign w:val="center"/>
            <w:hideMark/>
          </w:tcPr>
          <w:p w14:paraId="33BF1F0C"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Clinical criteria:</w:t>
            </w:r>
          </w:p>
        </w:tc>
      </w:tr>
      <w:tr w:rsidR="003A7739" w:rsidRPr="008E76AB" w14:paraId="679B963E" w14:textId="77777777" w:rsidTr="00317042">
        <w:trPr>
          <w:trHeight w:val="20"/>
        </w:trPr>
        <w:tc>
          <w:tcPr>
            <w:tcW w:w="5000" w:type="pct"/>
            <w:vAlign w:val="center"/>
            <w:hideMark/>
          </w:tcPr>
          <w:p w14:paraId="773C83DC"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The treatment must be for a new episode of active, major depression</w:t>
            </w:r>
          </w:p>
        </w:tc>
      </w:tr>
      <w:tr w:rsidR="003A7739" w:rsidRPr="008E76AB" w14:paraId="5CA9985A" w14:textId="77777777" w:rsidTr="00317042">
        <w:trPr>
          <w:trHeight w:val="20"/>
        </w:trPr>
        <w:tc>
          <w:tcPr>
            <w:tcW w:w="5000" w:type="pct"/>
            <w:vAlign w:val="center"/>
            <w:hideMark/>
          </w:tcPr>
          <w:p w14:paraId="56DFA429"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3D329449" w14:textId="77777777" w:rsidTr="00317042">
        <w:trPr>
          <w:trHeight w:val="20"/>
        </w:trPr>
        <w:tc>
          <w:tcPr>
            <w:tcW w:w="5000" w:type="pct"/>
            <w:vAlign w:val="center"/>
            <w:hideMark/>
          </w:tcPr>
          <w:p w14:paraId="71469E44"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Clinical criteria:</w:t>
            </w:r>
          </w:p>
        </w:tc>
      </w:tr>
      <w:tr w:rsidR="003A7739" w:rsidRPr="008E76AB" w14:paraId="476DD6DB" w14:textId="77777777" w:rsidTr="00317042">
        <w:trPr>
          <w:trHeight w:val="20"/>
        </w:trPr>
        <w:tc>
          <w:tcPr>
            <w:tcW w:w="5000" w:type="pct"/>
            <w:vAlign w:val="center"/>
            <w:hideMark/>
          </w:tcPr>
          <w:p w14:paraId="586F787A"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 xml:space="preserve">The treatment must not exceed each of: (i) An administered dose beyond 84 mg; (ii) a quantity </w:t>
            </w:r>
            <w:r w:rsidRPr="008E76AB">
              <w:rPr>
                <w:rFonts w:ascii="Arial Narrow" w:hAnsi="Arial Narrow"/>
                <w:i/>
                <w:iCs/>
                <w:color w:val="333333"/>
                <w:sz w:val="20"/>
                <w:szCs w:val="20"/>
              </w:rPr>
              <w:t>that</w:t>
            </w:r>
            <w:r w:rsidRPr="008E76AB">
              <w:rPr>
                <w:rFonts w:ascii="Arial Narrow" w:hAnsi="Arial Narrow"/>
                <w:color w:val="333333"/>
                <w:sz w:val="20"/>
                <w:szCs w:val="20"/>
              </w:rPr>
              <w:t xml:space="preserve"> </w:t>
            </w:r>
            <w:r w:rsidRPr="008E76AB">
              <w:rPr>
                <w:rFonts w:ascii="Arial Narrow" w:hAnsi="Arial Narrow"/>
                <w:strike/>
                <w:color w:val="333333"/>
                <w:sz w:val="20"/>
                <w:szCs w:val="20"/>
              </w:rPr>
              <w:t>of drug after accounting for repeat prescriptions plus different pack sizes where prescribed, that would</w:t>
            </w:r>
            <w:r w:rsidRPr="008E76AB">
              <w:rPr>
                <w:rFonts w:ascii="Arial Narrow" w:hAnsi="Arial Narrow"/>
                <w:color w:val="333333"/>
                <w:sz w:val="20"/>
                <w:szCs w:val="20"/>
              </w:rPr>
              <w:t xml:space="preserve"> exceed</w:t>
            </w:r>
            <w:r w:rsidRPr="008E76AB">
              <w:rPr>
                <w:rFonts w:ascii="Arial Narrow" w:hAnsi="Arial Narrow"/>
                <w:i/>
                <w:iCs/>
                <w:color w:val="333333"/>
                <w:sz w:val="20"/>
                <w:szCs w:val="20"/>
              </w:rPr>
              <w:t>s</w:t>
            </w:r>
            <w:r w:rsidRPr="008E76AB">
              <w:rPr>
                <w:rFonts w:ascii="Arial Narrow" w:hAnsi="Arial Narrow"/>
                <w:color w:val="333333"/>
                <w:sz w:val="20"/>
                <w:szCs w:val="20"/>
              </w:rPr>
              <w:t xml:space="preserve"> 8 doses over a period of 4 weeks of treatment when dosed within the Product Information recommended dosage</w:t>
            </w:r>
          </w:p>
        </w:tc>
      </w:tr>
      <w:tr w:rsidR="003A7739" w:rsidRPr="008E76AB" w14:paraId="1A5B6831" w14:textId="77777777" w:rsidTr="00317042">
        <w:trPr>
          <w:trHeight w:val="20"/>
        </w:trPr>
        <w:tc>
          <w:tcPr>
            <w:tcW w:w="5000" w:type="pct"/>
            <w:vAlign w:val="center"/>
            <w:hideMark/>
          </w:tcPr>
          <w:p w14:paraId="5BD87708"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3311FF7F" w14:textId="77777777" w:rsidTr="00317042">
        <w:trPr>
          <w:trHeight w:val="20"/>
        </w:trPr>
        <w:tc>
          <w:tcPr>
            <w:tcW w:w="5000" w:type="pct"/>
            <w:vAlign w:val="center"/>
          </w:tcPr>
          <w:p w14:paraId="3FB8E410"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Clinical criteria:</w:t>
            </w:r>
          </w:p>
        </w:tc>
      </w:tr>
      <w:tr w:rsidR="003A7739" w:rsidRPr="008E76AB" w14:paraId="54240168" w14:textId="77777777" w:rsidTr="00317042">
        <w:trPr>
          <w:trHeight w:val="20"/>
        </w:trPr>
        <w:tc>
          <w:tcPr>
            <w:tcW w:w="5000" w:type="pct"/>
            <w:vAlign w:val="center"/>
          </w:tcPr>
          <w:p w14:paraId="54838221"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 xml:space="preserve">Patient must be undergoing concomitant treatment with </w:t>
            </w:r>
            <w:r w:rsidRPr="008E76AB">
              <w:rPr>
                <w:rFonts w:ascii="Arial Narrow" w:hAnsi="Arial Narrow"/>
                <w:strike/>
                <w:color w:val="333333"/>
                <w:sz w:val="20"/>
                <w:szCs w:val="20"/>
              </w:rPr>
              <w:t>an</w:t>
            </w:r>
            <w:r w:rsidRPr="008E76AB">
              <w:rPr>
                <w:rFonts w:ascii="Arial Narrow" w:hAnsi="Arial Narrow"/>
                <w:color w:val="333333"/>
                <w:sz w:val="20"/>
                <w:szCs w:val="20"/>
              </w:rPr>
              <w:t xml:space="preserve"> oral anti-depressant drug therapy</w:t>
            </w:r>
          </w:p>
        </w:tc>
      </w:tr>
      <w:tr w:rsidR="003A7739" w:rsidRPr="008E76AB" w14:paraId="115C3CC8" w14:textId="77777777" w:rsidTr="00317042">
        <w:trPr>
          <w:trHeight w:val="20"/>
        </w:trPr>
        <w:tc>
          <w:tcPr>
            <w:tcW w:w="5000" w:type="pct"/>
            <w:vAlign w:val="center"/>
          </w:tcPr>
          <w:p w14:paraId="0456CF52"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AND</w:t>
            </w:r>
          </w:p>
        </w:tc>
      </w:tr>
      <w:tr w:rsidR="003A7739" w:rsidRPr="008E76AB" w14:paraId="4D83BA01" w14:textId="77777777" w:rsidTr="00317042">
        <w:trPr>
          <w:trHeight w:val="20"/>
        </w:trPr>
        <w:tc>
          <w:tcPr>
            <w:tcW w:w="5000" w:type="pct"/>
            <w:vAlign w:val="center"/>
          </w:tcPr>
          <w:p w14:paraId="1A947CC8" w14:textId="77777777" w:rsidR="003A7739" w:rsidRPr="008E76AB" w:rsidRDefault="003A7739" w:rsidP="002A0ED1">
            <w:pPr>
              <w:rPr>
                <w:rFonts w:ascii="Arial Narrow" w:hAnsi="Arial Narrow"/>
                <w:b/>
                <w:bCs/>
                <w:strike/>
                <w:color w:val="333333"/>
                <w:sz w:val="20"/>
                <w:szCs w:val="20"/>
              </w:rPr>
            </w:pPr>
            <w:r w:rsidRPr="008E76AB">
              <w:rPr>
                <w:rFonts w:ascii="Arial Narrow" w:hAnsi="Arial Narrow"/>
                <w:b/>
                <w:bCs/>
                <w:strike/>
                <w:color w:val="333333"/>
                <w:sz w:val="20"/>
                <w:szCs w:val="20"/>
              </w:rPr>
              <w:t>Clinical criteria:</w:t>
            </w:r>
          </w:p>
        </w:tc>
      </w:tr>
      <w:tr w:rsidR="003A7739" w:rsidRPr="008E76AB" w14:paraId="416F90D6" w14:textId="77777777" w:rsidTr="00317042">
        <w:trPr>
          <w:trHeight w:val="20"/>
        </w:trPr>
        <w:tc>
          <w:tcPr>
            <w:tcW w:w="5000" w:type="pct"/>
            <w:vAlign w:val="center"/>
          </w:tcPr>
          <w:p w14:paraId="51839ECA" w14:textId="77777777" w:rsidR="003A7739" w:rsidRPr="008E76AB" w:rsidRDefault="003A7739" w:rsidP="002A0ED1">
            <w:pPr>
              <w:rPr>
                <w:rFonts w:ascii="Arial Narrow" w:hAnsi="Arial Narrow" w:cstheme="minorHAnsi"/>
                <w:b/>
                <w:strike/>
                <w:color w:val="333333"/>
                <w:sz w:val="20"/>
                <w:szCs w:val="20"/>
              </w:rPr>
            </w:pPr>
            <w:r w:rsidRPr="008E76AB">
              <w:rPr>
                <w:rFonts w:ascii="Arial Narrow" w:hAnsi="Arial Narrow" w:cstheme="minorHAnsi"/>
                <w:b/>
                <w:strike/>
                <w:sz w:val="20"/>
                <w:szCs w:val="20"/>
              </w:rPr>
              <w:t xml:space="preserve">[Section 100 Public Hospital only] </w:t>
            </w:r>
            <w:r w:rsidRPr="008E76AB">
              <w:rPr>
                <w:rFonts w:ascii="Arial Narrow" w:hAnsi="Arial Narrow" w:cstheme="minorHAnsi"/>
                <w:bCs/>
                <w:strike/>
                <w:sz w:val="20"/>
                <w:szCs w:val="20"/>
              </w:rPr>
              <w:t>Must be treated in a public hospital outpatient clinic</w:t>
            </w:r>
          </w:p>
        </w:tc>
      </w:tr>
      <w:tr w:rsidR="003A7739" w:rsidRPr="008E76AB" w14:paraId="52E858AE" w14:textId="77777777" w:rsidTr="00317042">
        <w:trPr>
          <w:trHeight w:val="20"/>
        </w:trPr>
        <w:tc>
          <w:tcPr>
            <w:tcW w:w="5000" w:type="pct"/>
            <w:vAlign w:val="center"/>
          </w:tcPr>
          <w:p w14:paraId="70143955" w14:textId="77777777" w:rsidR="003A7739" w:rsidRPr="008E76AB" w:rsidRDefault="003A7739" w:rsidP="002A0ED1">
            <w:pPr>
              <w:rPr>
                <w:rFonts w:ascii="Arial Narrow" w:hAnsi="Arial Narrow" w:cstheme="minorHAnsi"/>
                <w:b/>
                <w:strike/>
                <w:color w:val="333333"/>
                <w:sz w:val="20"/>
                <w:szCs w:val="20"/>
              </w:rPr>
            </w:pPr>
            <w:r w:rsidRPr="008E76AB">
              <w:rPr>
                <w:rFonts w:ascii="Arial Narrow" w:hAnsi="Arial Narrow" w:cstheme="minorHAnsi"/>
                <w:b/>
                <w:strike/>
                <w:sz w:val="20"/>
                <w:szCs w:val="20"/>
              </w:rPr>
              <w:t xml:space="preserve">[Section 100 Private Hospital only] </w:t>
            </w:r>
            <w:r w:rsidRPr="008E76AB">
              <w:rPr>
                <w:rFonts w:ascii="Arial Narrow" w:hAnsi="Arial Narrow" w:cstheme="minorHAnsi"/>
                <w:bCs/>
                <w:strike/>
                <w:sz w:val="20"/>
                <w:szCs w:val="20"/>
              </w:rPr>
              <w:t>Must be treated in a hospital that is not a public hospital</w:t>
            </w:r>
          </w:p>
        </w:tc>
      </w:tr>
      <w:tr w:rsidR="003A7739" w:rsidRPr="008E76AB" w14:paraId="09FC676E" w14:textId="77777777" w:rsidTr="00317042">
        <w:trPr>
          <w:trHeight w:val="20"/>
        </w:trPr>
        <w:tc>
          <w:tcPr>
            <w:tcW w:w="5000" w:type="pct"/>
            <w:vAlign w:val="center"/>
          </w:tcPr>
          <w:p w14:paraId="369EED25"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AND</w:t>
            </w:r>
          </w:p>
        </w:tc>
      </w:tr>
      <w:tr w:rsidR="003A7739" w:rsidRPr="008E76AB" w14:paraId="5422B2C0" w14:textId="77777777" w:rsidTr="00317042">
        <w:trPr>
          <w:trHeight w:val="20"/>
        </w:trPr>
        <w:tc>
          <w:tcPr>
            <w:tcW w:w="5000" w:type="pct"/>
            <w:vAlign w:val="center"/>
            <w:hideMark/>
          </w:tcPr>
          <w:p w14:paraId="3318A946"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Treatment criteria:</w:t>
            </w:r>
          </w:p>
        </w:tc>
      </w:tr>
      <w:tr w:rsidR="003A7739" w:rsidRPr="008E76AB" w14:paraId="25A5C7F0" w14:textId="77777777" w:rsidTr="00317042">
        <w:trPr>
          <w:trHeight w:val="20"/>
        </w:trPr>
        <w:tc>
          <w:tcPr>
            <w:tcW w:w="5000" w:type="pct"/>
            <w:vAlign w:val="center"/>
            <w:hideMark/>
          </w:tcPr>
          <w:p w14:paraId="52306529" w14:textId="77777777" w:rsidR="003A7739" w:rsidRPr="008E76AB" w:rsidRDefault="003A7739" w:rsidP="002A0ED1">
            <w:pPr>
              <w:autoSpaceDE w:val="0"/>
              <w:autoSpaceDN w:val="0"/>
              <w:adjustRightInd w:val="0"/>
              <w:rPr>
                <w:rFonts w:ascii="Arial Narrow" w:hAnsi="Arial Narrow" w:cs="Arial Narrow"/>
                <w:sz w:val="20"/>
                <w:szCs w:val="20"/>
              </w:rPr>
            </w:pPr>
            <w:r w:rsidRPr="008E76AB">
              <w:rPr>
                <w:rFonts w:ascii="Arial Narrow" w:hAnsi="Arial Narrow" w:cs="Arial Narrow"/>
                <w:sz w:val="20"/>
                <w:szCs w:val="20"/>
              </w:rPr>
              <w:t>Must be treated by a psychiatrist</w:t>
            </w:r>
          </w:p>
        </w:tc>
      </w:tr>
      <w:tr w:rsidR="003A7739" w:rsidRPr="008E76AB" w14:paraId="23C4EE2B" w14:textId="77777777" w:rsidTr="00317042">
        <w:trPr>
          <w:trHeight w:val="20"/>
        </w:trPr>
        <w:tc>
          <w:tcPr>
            <w:tcW w:w="5000" w:type="pct"/>
            <w:vAlign w:val="center"/>
          </w:tcPr>
          <w:p w14:paraId="63F40732" w14:textId="77777777" w:rsidR="003A7739" w:rsidRPr="008E76AB" w:rsidRDefault="003A7739" w:rsidP="002A0ED1">
            <w:pPr>
              <w:autoSpaceDE w:val="0"/>
              <w:autoSpaceDN w:val="0"/>
              <w:adjustRightInd w:val="0"/>
              <w:rPr>
                <w:rFonts w:ascii="Arial Narrow" w:hAnsi="Arial Narrow" w:cs="Arial Narrow"/>
                <w:i/>
                <w:iCs/>
                <w:sz w:val="20"/>
                <w:szCs w:val="20"/>
              </w:rPr>
            </w:pPr>
            <w:r w:rsidRPr="008E76AB">
              <w:rPr>
                <w:rFonts w:ascii="Arial Narrow" w:hAnsi="Arial Narrow"/>
                <w:b/>
                <w:bCs/>
                <w:color w:val="333333"/>
                <w:sz w:val="20"/>
                <w:szCs w:val="20"/>
              </w:rPr>
              <w:t>AND</w:t>
            </w:r>
          </w:p>
        </w:tc>
      </w:tr>
      <w:tr w:rsidR="003A7739" w:rsidRPr="008E76AB" w14:paraId="58BD275E" w14:textId="77777777" w:rsidTr="00317042">
        <w:trPr>
          <w:trHeight w:val="20"/>
        </w:trPr>
        <w:tc>
          <w:tcPr>
            <w:tcW w:w="5000" w:type="pct"/>
            <w:vAlign w:val="center"/>
          </w:tcPr>
          <w:p w14:paraId="54F1BBC4" w14:textId="77777777" w:rsidR="003A7739" w:rsidRPr="008E76AB" w:rsidRDefault="003A7739" w:rsidP="002A0ED1">
            <w:pPr>
              <w:autoSpaceDE w:val="0"/>
              <w:autoSpaceDN w:val="0"/>
              <w:adjustRightInd w:val="0"/>
              <w:rPr>
                <w:rFonts w:ascii="Arial Narrow" w:hAnsi="Arial Narrow" w:cs="Arial Narrow"/>
                <w:i/>
                <w:iCs/>
                <w:strike/>
                <w:sz w:val="20"/>
                <w:szCs w:val="20"/>
              </w:rPr>
            </w:pPr>
            <w:r w:rsidRPr="008E76AB">
              <w:rPr>
                <w:rFonts w:ascii="Arial Narrow" w:hAnsi="Arial Narrow"/>
                <w:b/>
                <w:bCs/>
                <w:strike/>
                <w:color w:val="333333"/>
                <w:sz w:val="20"/>
                <w:szCs w:val="20"/>
              </w:rPr>
              <w:t>Treatment criteria:</w:t>
            </w:r>
          </w:p>
        </w:tc>
      </w:tr>
      <w:tr w:rsidR="003A7739" w:rsidRPr="008E76AB" w14:paraId="4089C9FE" w14:textId="77777777" w:rsidTr="00317042">
        <w:trPr>
          <w:trHeight w:val="20"/>
        </w:trPr>
        <w:tc>
          <w:tcPr>
            <w:tcW w:w="5000" w:type="pct"/>
            <w:vAlign w:val="center"/>
          </w:tcPr>
          <w:p w14:paraId="6B9C20D4" w14:textId="77777777" w:rsidR="003A7739" w:rsidRPr="008E76AB" w:rsidRDefault="003A7739" w:rsidP="002A0ED1">
            <w:pPr>
              <w:autoSpaceDE w:val="0"/>
              <w:autoSpaceDN w:val="0"/>
              <w:adjustRightInd w:val="0"/>
              <w:rPr>
                <w:rFonts w:ascii="Arial Narrow" w:hAnsi="Arial Narrow" w:cs="Arial Narrow"/>
                <w:i/>
                <w:iCs/>
                <w:sz w:val="20"/>
                <w:szCs w:val="20"/>
              </w:rPr>
            </w:pPr>
            <w:r w:rsidRPr="008E76AB">
              <w:rPr>
                <w:rFonts w:ascii="Arial Narrow" w:hAnsi="Arial Narrow"/>
                <w:b/>
                <w:bCs/>
                <w:i/>
                <w:iCs/>
                <w:color w:val="333333"/>
                <w:sz w:val="20"/>
                <w:szCs w:val="20"/>
              </w:rPr>
              <w:t>Prescribing Instructions:</w:t>
            </w:r>
          </w:p>
          <w:p w14:paraId="5FA4637E" w14:textId="77777777" w:rsidR="003A7739" w:rsidRPr="008E76AB" w:rsidRDefault="003A7739" w:rsidP="002A0ED1">
            <w:pPr>
              <w:autoSpaceDE w:val="0"/>
              <w:autoSpaceDN w:val="0"/>
              <w:adjustRightInd w:val="0"/>
              <w:rPr>
                <w:rFonts w:ascii="Arial Narrow" w:hAnsi="Arial Narrow" w:cs="Arial Narrow"/>
                <w:sz w:val="20"/>
                <w:szCs w:val="20"/>
              </w:rPr>
            </w:pPr>
            <w:r w:rsidRPr="008E76AB">
              <w:rPr>
                <w:rFonts w:ascii="Arial Narrow" w:hAnsi="Arial Narrow" w:cs="Arial Narrow"/>
                <w:sz w:val="20"/>
                <w:szCs w:val="20"/>
              </w:rPr>
              <w:t>Patient must be undergoing supervision by a healthcare professional at the time the drug is administered</w:t>
            </w:r>
          </w:p>
        </w:tc>
      </w:tr>
      <w:tr w:rsidR="003A7739" w:rsidRPr="008E76AB" w14:paraId="64C3C107" w14:textId="77777777" w:rsidTr="00317042">
        <w:trPr>
          <w:trHeight w:val="20"/>
        </w:trPr>
        <w:tc>
          <w:tcPr>
            <w:tcW w:w="5000" w:type="pct"/>
            <w:vAlign w:val="center"/>
            <w:hideMark/>
          </w:tcPr>
          <w:p w14:paraId="0116DA5D"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25C2D277" w14:textId="77777777" w:rsidTr="00317042">
        <w:trPr>
          <w:trHeight w:val="20"/>
        </w:trPr>
        <w:tc>
          <w:tcPr>
            <w:tcW w:w="5000" w:type="pct"/>
            <w:vAlign w:val="center"/>
            <w:hideMark/>
          </w:tcPr>
          <w:p w14:paraId="44D11FEE"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Population criteria:</w:t>
            </w:r>
          </w:p>
        </w:tc>
      </w:tr>
      <w:tr w:rsidR="003A7739" w:rsidRPr="008E76AB" w14:paraId="2B55830B" w14:textId="77777777" w:rsidTr="00317042">
        <w:trPr>
          <w:trHeight w:val="20"/>
        </w:trPr>
        <w:tc>
          <w:tcPr>
            <w:tcW w:w="5000" w:type="pct"/>
            <w:vAlign w:val="center"/>
            <w:hideMark/>
          </w:tcPr>
          <w:p w14:paraId="3E10F360"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Patient must be at least 18 years of age</w:t>
            </w:r>
          </w:p>
        </w:tc>
      </w:tr>
      <w:tr w:rsidR="003A7739" w:rsidRPr="008E76AB" w14:paraId="4F1FF08D" w14:textId="77777777" w:rsidTr="00317042">
        <w:trPr>
          <w:trHeight w:val="20"/>
        </w:trPr>
        <w:tc>
          <w:tcPr>
            <w:tcW w:w="5000" w:type="pct"/>
            <w:vAlign w:val="center"/>
            <w:hideMark/>
          </w:tcPr>
          <w:p w14:paraId="0A90F652" w14:textId="77777777" w:rsidR="003A7739" w:rsidRPr="008E76AB" w:rsidRDefault="003A7739" w:rsidP="002A0ED1">
            <w:pPr>
              <w:rPr>
                <w:rFonts w:ascii="Arial Narrow" w:hAnsi="Arial Narrow"/>
                <w:bCs/>
                <w:strike/>
                <w:color w:val="333333"/>
                <w:sz w:val="20"/>
                <w:szCs w:val="20"/>
              </w:rPr>
            </w:pPr>
            <w:r w:rsidRPr="008E76AB">
              <w:rPr>
                <w:rFonts w:ascii="Arial Narrow" w:hAnsi="Arial Narrow"/>
                <w:b/>
                <w:bCs/>
                <w:color w:val="333333"/>
                <w:sz w:val="20"/>
                <w:szCs w:val="20"/>
              </w:rPr>
              <w:t xml:space="preserve">Prescribing Instructions: </w:t>
            </w:r>
            <w:r w:rsidRPr="008E76AB">
              <w:rPr>
                <w:rFonts w:ascii="Arial Narrow" w:hAnsi="Arial Narrow"/>
                <w:bCs/>
                <w:strike/>
                <w:color w:val="333333"/>
                <w:sz w:val="20"/>
                <w:szCs w:val="20"/>
              </w:rPr>
              <w:t xml:space="preserve">optional (free text) </w:t>
            </w:r>
          </w:p>
          <w:p w14:paraId="7646598A" w14:textId="77777777" w:rsidR="003A7739" w:rsidRPr="008E76AB" w:rsidRDefault="003A7739" w:rsidP="002A0ED1">
            <w:pPr>
              <w:rPr>
                <w:rFonts w:ascii="Arial Narrow" w:hAnsi="Arial Narrow"/>
                <w:bCs/>
                <w:strike/>
                <w:color w:val="333333"/>
                <w:sz w:val="20"/>
                <w:szCs w:val="20"/>
              </w:rPr>
            </w:pPr>
          </w:p>
          <w:p w14:paraId="03E5F45A" w14:textId="77777777" w:rsidR="003A7739" w:rsidRPr="008E76AB" w:rsidRDefault="003A7739" w:rsidP="002A0ED1">
            <w:pPr>
              <w:rPr>
                <w:rFonts w:ascii="Arial Narrow" w:hAnsi="Arial Narrow"/>
                <w:strike/>
                <w:color w:val="333333"/>
                <w:sz w:val="20"/>
                <w:szCs w:val="20"/>
              </w:rPr>
            </w:pPr>
            <w:r w:rsidRPr="008E76AB">
              <w:rPr>
                <w:rFonts w:ascii="Arial Narrow" w:hAnsi="Arial Narrow"/>
                <w:strike/>
                <w:color w:val="333333"/>
                <w:sz w:val="20"/>
                <w:szCs w:val="20"/>
              </w:rPr>
              <w:t>Prescribing Instructions: [Section 100 Public Hospital] The psychiatrist must complete the authority application on  each and every occasion. By seeking an authority application, the psychiatrist is declaring each of:</w:t>
            </w:r>
          </w:p>
          <w:p w14:paraId="27DBE5DB" w14:textId="77777777" w:rsidR="003A7739" w:rsidRPr="008E76AB" w:rsidRDefault="003A7739" w:rsidP="002A0ED1">
            <w:pPr>
              <w:rPr>
                <w:rFonts w:ascii="Arial Narrow" w:hAnsi="Arial Narrow"/>
                <w:strike/>
                <w:color w:val="333333"/>
                <w:sz w:val="20"/>
                <w:szCs w:val="20"/>
              </w:rPr>
            </w:pPr>
            <w:r w:rsidRPr="008E76AB">
              <w:rPr>
                <w:rFonts w:ascii="Arial Narrow" w:hAnsi="Arial Narrow"/>
                <w:strike/>
                <w:color w:val="333333"/>
                <w:sz w:val="20"/>
                <w:szCs w:val="20"/>
              </w:rPr>
              <w:t xml:space="preserve">(i) they are affiliated with the public hospital at which the patient is receiving treatment at, </w:t>
            </w:r>
          </w:p>
          <w:p w14:paraId="3A0DCF23" w14:textId="77777777" w:rsidR="003A7739" w:rsidRPr="008E76AB" w:rsidRDefault="003A7739" w:rsidP="002A0ED1">
            <w:pPr>
              <w:rPr>
                <w:rFonts w:ascii="Arial Narrow" w:hAnsi="Arial Narrow"/>
                <w:strike/>
                <w:color w:val="333333"/>
                <w:sz w:val="20"/>
                <w:szCs w:val="20"/>
              </w:rPr>
            </w:pPr>
            <w:r w:rsidRPr="008E76AB">
              <w:rPr>
                <w:rFonts w:ascii="Arial Narrow" w:hAnsi="Arial Narrow"/>
                <w:strike/>
                <w:color w:val="333333"/>
                <w:sz w:val="20"/>
                <w:szCs w:val="20"/>
              </w:rPr>
              <w:t>(ii) has completed prescribing accreditation required by the pharmaceutical manufacturer of this drug,</w:t>
            </w:r>
          </w:p>
          <w:p w14:paraId="3ED03D9E" w14:textId="77777777" w:rsidR="003A7739" w:rsidRPr="008E76AB" w:rsidRDefault="003A7739" w:rsidP="002A0ED1">
            <w:pPr>
              <w:rPr>
                <w:rFonts w:ascii="Arial Narrow" w:hAnsi="Arial Narrow"/>
                <w:strike/>
                <w:color w:val="333333"/>
                <w:sz w:val="20"/>
                <w:szCs w:val="20"/>
              </w:rPr>
            </w:pPr>
            <w:r w:rsidRPr="008E76AB">
              <w:rPr>
                <w:rFonts w:ascii="Arial Narrow" w:hAnsi="Arial Narrow"/>
                <w:strike/>
                <w:color w:val="333333"/>
                <w:sz w:val="20"/>
                <w:szCs w:val="20"/>
              </w:rPr>
              <w:t xml:space="preserve">(iii) understands prior to prescribing this drug that these prescription details are to be provided only to the public hospital’s pharmacy where it is known to have completed dispensing accreditation required by the pharmaceutical manufacturer </w:t>
            </w:r>
          </w:p>
          <w:p w14:paraId="55D8B050" w14:textId="77777777" w:rsidR="003A7739" w:rsidRPr="008E76AB" w:rsidRDefault="003A7739" w:rsidP="002A0ED1">
            <w:pPr>
              <w:rPr>
                <w:rFonts w:ascii="Arial Narrow" w:hAnsi="Arial Narrow"/>
                <w:strike/>
                <w:color w:val="333333"/>
                <w:sz w:val="20"/>
                <w:szCs w:val="20"/>
              </w:rPr>
            </w:pPr>
            <w:r w:rsidRPr="008E76AB">
              <w:rPr>
                <w:rFonts w:ascii="Arial Narrow" w:hAnsi="Arial Narrow"/>
                <w:strike/>
                <w:color w:val="333333"/>
                <w:sz w:val="20"/>
                <w:szCs w:val="20"/>
              </w:rPr>
              <w:t xml:space="preserve">(iv) has made suitable arrangements to forward the prescription directly to the public hospital’s pharmacy, but only where it is an accredited dispenser, </w:t>
            </w:r>
          </w:p>
          <w:p w14:paraId="74F0C5B3" w14:textId="77777777" w:rsidR="003A7739" w:rsidRPr="008E76AB" w:rsidRDefault="003A7739" w:rsidP="002A0ED1">
            <w:pPr>
              <w:rPr>
                <w:rFonts w:ascii="Arial Narrow" w:hAnsi="Arial Narrow"/>
                <w:strike/>
                <w:color w:val="333333"/>
                <w:sz w:val="20"/>
                <w:szCs w:val="20"/>
              </w:rPr>
            </w:pPr>
            <w:r w:rsidRPr="008E76AB">
              <w:rPr>
                <w:rFonts w:ascii="Arial Narrow" w:hAnsi="Arial Narrow"/>
                <w:strike/>
                <w:color w:val="333333"/>
                <w:sz w:val="20"/>
                <w:szCs w:val="20"/>
              </w:rPr>
              <w:t xml:space="preserve">(v) has provided written direction on the prescription for the drug to be supplied directly to the healthcare professional who will supervise drug administration, at a prescribed frequency </w:t>
            </w:r>
          </w:p>
          <w:p w14:paraId="53DD5FA8" w14:textId="77777777" w:rsidR="003A7739" w:rsidRPr="008E76AB" w:rsidRDefault="003A7739" w:rsidP="002A0ED1">
            <w:pPr>
              <w:rPr>
                <w:rFonts w:ascii="Arial Narrow" w:hAnsi="Arial Narrow"/>
                <w:strike/>
                <w:color w:val="333333"/>
                <w:sz w:val="20"/>
                <w:szCs w:val="20"/>
              </w:rPr>
            </w:pPr>
            <w:r w:rsidRPr="008E76AB">
              <w:rPr>
                <w:rFonts w:ascii="Arial Narrow" w:hAnsi="Arial Narrow"/>
                <w:strike/>
                <w:color w:val="333333"/>
                <w:sz w:val="20"/>
                <w:szCs w:val="20"/>
              </w:rPr>
              <w:t>(vi) has provided written direction on the prescription to store/retain any un-administered drug/repeat prescriptions on the premises of the pharmacy</w:t>
            </w:r>
          </w:p>
          <w:p w14:paraId="6EABA524" w14:textId="77777777" w:rsidR="003A7739" w:rsidRPr="008E76AB" w:rsidRDefault="003A7739" w:rsidP="002A0ED1">
            <w:pPr>
              <w:rPr>
                <w:rFonts w:ascii="Arial Narrow" w:hAnsi="Arial Narrow"/>
                <w:strike/>
                <w:color w:val="333333"/>
                <w:sz w:val="20"/>
                <w:szCs w:val="20"/>
              </w:rPr>
            </w:pPr>
          </w:p>
          <w:p w14:paraId="49EB529C" w14:textId="77777777" w:rsidR="003A7739" w:rsidRPr="008E76AB" w:rsidRDefault="003A7739" w:rsidP="002A0ED1">
            <w:pPr>
              <w:rPr>
                <w:rFonts w:ascii="Arial Narrow" w:hAnsi="Arial Narrow"/>
                <w:strike/>
                <w:color w:val="333333"/>
                <w:sz w:val="20"/>
                <w:szCs w:val="20"/>
              </w:rPr>
            </w:pPr>
            <w:r w:rsidRPr="008E76AB">
              <w:rPr>
                <w:rFonts w:ascii="Arial Narrow" w:hAnsi="Arial Narrow"/>
                <w:strike/>
                <w:color w:val="333333"/>
                <w:sz w:val="20"/>
                <w:szCs w:val="20"/>
              </w:rPr>
              <w:t>[Section 100 Private Hospital] The psychiatrist must complete the authority application on each and every occasion. By seeking an authority application, the psychiatrist is declaring each of:</w:t>
            </w:r>
          </w:p>
          <w:p w14:paraId="63CD0050" w14:textId="77777777" w:rsidR="003A7739" w:rsidRPr="008E76AB" w:rsidRDefault="003A7739" w:rsidP="002A0ED1">
            <w:pPr>
              <w:rPr>
                <w:rFonts w:ascii="Arial Narrow" w:hAnsi="Arial Narrow"/>
                <w:strike/>
                <w:color w:val="333333"/>
                <w:sz w:val="20"/>
                <w:szCs w:val="20"/>
              </w:rPr>
            </w:pPr>
            <w:r w:rsidRPr="008E76AB">
              <w:rPr>
                <w:rFonts w:ascii="Arial Narrow" w:hAnsi="Arial Narrow"/>
                <w:strike/>
                <w:color w:val="333333"/>
                <w:sz w:val="20"/>
                <w:szCs w:val="20"/>
              </w:rPr>
              <w:t>(i) has completed prescribing accreditation required by the pharmaceutical manufacturer of this drug,</w:t>
            </w:r>
          </w:p>
          <w:p w14:paraId="4A91EE81" w14:textId="77777777" w:rsidR="003A7739" w:rsidRPr="008E76AB" w:rsidRDefault="003A7739" w:rsidP="002A0ED1">
            <w:pPr>
              <w:rPr>
                <w:rFonts w:ascii="Arial Narrow" w:hAnsi="Arial Narrow"/>
                <w:strike/>
                <w:color w:val="333333"/>
                <w:sz w:val="20"/>
                <w:szCs w:val="20"/>
              </w:rPr>
            </w:pPr>
            <w:r w:rsidRPr="008E76AB">
              <w:rPr>
                <w:rFonts w:ascii="Arial Narrow" w:hAnsi="Arial Narrow"/>
                <w:strike/>
                <w:color w:val="333333"/>
                <w:sz w:val="20"/>
                <w:szCs w:val="20"/>
              </w:rPr>
              <w:lastRenderedPageBreak/>
              <w:t xml:space="preserve">(ii) understands prior to prescribing this drug that these prescription details are to be provided only to the private hospital’s pharmacy (or approved pharmacy provider) where it is known to have completed dispensing accreditation required by the pharmaceutical manufacturer </w:t>
            </w:r>
          </w:p>
          <w:p w14:paraId="5B77A4DA" w14:textId="77777777" w:rsidR="003A7739" w:rsidRPr="008E76AB" w:rsidRDefault="003A7739" w:rsidP="002A0ED1">
            <w:pPr>
              <w:rPr>
                <w:rFonts w:ascii="Arial Narrow" w:hAnsi="Arial Narrow"/>
                <w:strike/>
                <w:color w:val="333333"/>
                <w:sz w:val="20"/>
                <w:szCs w:val="20"/>
              </w:rPr>
            </w:pPr>
            <w:r w:rsidRPr="008E76AB">
              <w:rPr>
                <w:rFonts w:ascii="Arial Narrow" w:hAnsi="Arial Narrow"/>
                <w:strike/>
                <w:color w:val="333333"/>
                <w:sz w:val="20"/>
                <w:szCs w:val="20"/>
              </w:rPr>
              <w:t xml:space="preserve">(iii) has made suitable arrangements to forward the prescription directly to the private hospital’s pharmacy (or approved pharmacy provider), but only where it is an accredited dispenser, </w:t>
            </w:r>
          </w:p>
          <w:p w14:paraId="17FC1ECE" w14:textId="77777777" w:rsidR="003A7739" w:rsidRPr="008E76AB" w:rsidRDefault="003A7739" w:rsidP="002A0ED1">
            <w:pPr>
              <w:rPr>
                <w:rFonts w:ascii="Arial Narrow" w:hAnsi="Arial Narrow"/>
                <w:strike/>
                <w:color w:val="333333"/>
                <w:sz w:val="20"/>
                <w:szCs w:val="20"/>
              </w:rPr>
            </w:pPr>
            <w:r w:rsidRPr="008E76AB">
              <w:rPr>
                <w:rFonts w:ascii="Arial Narrow" w:hAnsi="Arial Narrow"/>
                <w:strike/>
                <w:color w:val="333333"/>
                <w:sz w:val="20"/>
                <w:szCs w:val="20"/>
              </w:rPr>
              <w:t xml:space="preserve">(iv) has provided written direction on the prescription for the drug to be supplied directly to the healthcare professional who will supervise drug administration, at a prescribed frequency </w:t>
            </w:r>
          </w:p>
          <w:p w14:paraId="3E3695FC" w14:textId="77777777" w:rsidR="003A7739" w:rsidRPr="008E76AB" w:rsidRDefault="003A7739" w:rsidP="002A0ED1">
            <w:pPr>
              <w:rPr>
                <w:rFonts w:ascii="Arial Narrow" w:hAnsi="Arial Narrow"/>
                <w:strike/>
                <w:color w:val="333333"/>
                <w:sz w:val="20"/>
                <w:szCs w:val="20"/>
              </w:rPr>
            </w:pPr>
            <w:r w:rsidRPr="008E76AB">
              <w:rPr>
                <w:rFonts w:ascii="Arial Narrow" w:hAnsi="Arial Narrow"/>
                <w:strike/>
                <w:color w:val="333333"/>
                <w:sz w:val="20"/>
                <w:szCs w:val="20"/>
              </w:rPr>
              <w:t xml:space="preserve">(v) has provided written direction on the prescription to store/retain any un-administered drug/repeat prescriptions on the premises of the pharmacy </w:t>
            </w:r>
          </w:p>
          <w:p w14:paraId="4F24B385" w14:textId="77777777" w:rsidR="003A7739" w:rsidRPr="008E76AB" w:rsidRDefault="003A7739" w:rsidP="002A0ED1">
            <w:pPr>
              <w:rPr>
                <w:rFonts w:ascii="Arial Narrow" w:hAnsi="Arial Narrow"/>
                <w:color w:val="333333"/>
                <w:sz w:val="20"/>
                <w:szCs w:val="20"/>
              </w:rPr>
            </w:pPr>
          </w:p>
          <w:p w14:paraId="4E07E063" w14:textId="77777777" w:rsidR="003A7739" w:rsidRPr="008E76AB" w:rsidRDefault="003A7739" w:rsidP="002A0ED1">
            <w:pPr>
              <w:rPr>
                <w:rFonts w:ascii="Arial Narrow" w:hAnsi="Arial Narrow"/>
                <w:color w:val="333333"/>
                <w:sz w:val="20"/>
                <w:szCs w:val="20"/>
              </w:rPr>
            </w:pPr>
            <w:r w:rsidRPr="008E76AB">
              <w:rPr>
                <w:rFonts w:ascii="Arial Narrow" w:hAnsi="Arial Narrow"/>
                <w:strike/>
                <w:color w:val="333333"/>
                <w:sz w:val="20"/>
                <w:szCs w:val="20"/>
              </w:rPr>
              <w:t>[Section 100 Community Access]</w:t>
            </w:r>
            <w:r w:rsidRPr="008E76AB">
              <w:rPr>
                <w:rFonts w:ascii="Arial Narrow" w:hAnsi="Arial Narrow"/>
                <w:color w:val="333333"/>
                <w:sz w:val="20"/>
                <w:szCs w:val="20"/>
              </w:rPr>
              <w:t xml:space="preserve"> The psychiatrist must complete the authority application on each and every occasion. By seeking an authority application, the psychiatrist is declaring each of:</w:t>
            </w:r>
          </w:p>
          <w:p w14:paraId="1F382576"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(i) has completed prescribing accreditation required by the pharmaceutical manufacturer of this drug,</w:t>
            </w:r>
          </w:p>
          <w:p w14:paraId="4801DE22"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(ii) understands prior to prescribing this drug that these prescription details are to be provided only to a pharmacy where it is known to have completed dispensing accreditation required by the pharmaceutical manufacturer</w:t>
            </w:r>
            <w:r w:rsidRPr="008E76AB">
              <w:rPr>
                <w:rFonts w:ascii="Arial Narrow" w:hAnsi="Arial Narrow"/>
                <w:i/>
                <w:iCs/>
                <w:color w:val="333333"/>
                <w:sz w:val="20"/>
                <w:szCs w:val="20"/>
              </w:rPr>
              <w:t xml:space="preserve">, including an appropriate hospital based pharmacy to the prescribing setting, if relevant. </w:t>
            </w:r>
            <w:r w:rsidRPr="008E76AB">
              <w:rPr>
                <w:rFonts w:ascii="Arial Narrow" w:hAnsi="Arial Narrow"/>
                <w:color w:val="333333"/>
                <w:sz w:val="20"/>
                <w:szCs w:val="20"/>
              </w:rPr>
              <w:t xml:space="preserve"> </w:t>
            </w:r>
          </w:p>
          <w:p w14:paraId="0AB39605"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 xml:space="preserve">(iii) has made suitable arrangements to forward the prescription directly to a pharmacy, but only where it is an accredited dispenser, </w:t>
            </w:r>
          </w:p>
          <w:p w14:paraId="268F053A"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 xml:space="preserve">(iv) has provided written direction on the prescription for the drug to be supplied directly to the healthcare professional who will supervise drug administration, at a prescribed frequency </w:t>
            </w:r>
          </w:p>
          <w:p w14:paraId="581C4214" w14:textId="6465ED01"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 xml:space="preserve">(v) has provided written direction on the prescription to store/retain any un-administered drug/repeat prescriptions on the premises of the pharmacy </w:t>
            </w:r>
          </w:p>
        </w:tc>
      </w:tr>
      <w:tr w:rsidR="003A7739" w:rsidRPr="008E76AB" w14:paraId="62D9916B" w14:textId="77777777" w:rsidTr="00317042">
        <w:trPr>
          <w:trHeight w:val="20"/>
        </w:trPr>
        <w:tc>
          <w:tcPr>
            <w:tcW w:w="5000" w:type="pct"/>
            <w:vAlign w:val="center"/>
            <w:hideMark/>
          </w:tcPr>
          <w:p w14:paraId="175C31A8" w14:textId="77777777" w:rsidR="003A7739" w:rsidRPr="008E76AB" w:rsidRDefault="003A7739" w:rsidP="002A0ED1">
            <w:pPr>
              <w:rPr>
                <w:rFonts w:ascii="Arial Narrow" w:hAnsi="Arial Narrow"/>
                <w:bCs/>
                <w:color w:val="333333"/>
                <w:sz w:val="20"/>
                <w:szCs w:val="20"/>
              </w:rPr>
            </w:pPr>
            <w:r w:rsidRPr="008E76AB">
              <w:rPr>
                <w:rFonts w:ascii="Arial Narrow" w:hAnsi="Arial Narrow"/>
                <w:b/>
                <w:bCs/>
                <w:color w:val="333333"/>
                <w:sz w:val="20"/>
                <w:szCs w:val="20"/>
              </w:rPr>
              <w:lastRenderedPageBreak/>
              <w:t xml:space="preserve">Administrative Advice: </w:t>
            </w:r>
          </w:p>
          <w:p w14:paraId="46E9CB1B"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 xml:space="preserve">For the purposes of this restriction, ‘inadequately responsive’ means: </w:t>
            </w:r>
          </w:p>
          <w:p w14:paraId="122192D1"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(i) the therapies are listed on the Australian Register of Therapeutic Goods and the approved Product Information list ‘Major depression/depressive disorders’ in the indications section;</w:t>
            </w:r>
          </w:p>
          <w:p w14:paraId="2D0A24C2"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(ii) the prescribed anti-depressants have at least 2 different pharmacological mechanisms of action (e.g. a serotonin-selective reuptake inhibitor and a tricyclic antidepressant meets this requirement);</w:t>
            </w:r>
          </w:p>
          <w:p w14:paraId="7930EF3B"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(iii) patient non-compliance with treatment has been excluded as a cause of treatment non-response/inadequate response;</w:t>
            </w:r>
          </w:p>
          <w:p w14:paraId="65569295"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(iv) the prescribed anti-depressants have been prescribed at a therapeutic dose;</w:t>
            </w:r>
          </w:p>
          <w:p w14:paraId="45424A8D"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(v) the prescribed anti-depressants have been prescribed for at least 4-6 continuous weeks</w:t>
            </w:r>
          </w:p>
          <w:p w14:paraId="1B32D6B2"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(vi) the prescribed anti-depressants have been prescribed concomitantly with psychological therapy where psychological therapy is/has been considered clinically appropriate by the prescriber</w:t>
            </w:r>
          </w:p>
          <w:p w14:paraId="08632B7B"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No increase in the maximum quantity or number of units may be authorised.</w:t>
            </w:r>
          </w:p>
          <w:p w14:paraId="5F87C5BA"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No increase in the maximum number of repeats may be authorised.</w:t>
            </w:r>
          </w:p>
          <w:p w14:paraId="76B96BAD"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Special Pricing Arrangements apply.</w:t>
            </w:r>
          </w:p>
          <w:p w14:paraId="2CB625EC" w14:textId="35423E25"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r w:rsidR="003A7739" w:rsidRPr="008E76AB" w14:paraId="0A961EB2" w14:textId="77777777" w:rsidTr="00317042">
        <w:trPr>
          <w:trHeight w:val="20"/>
        </w:trPr>
        <w:tc>
          <w:tcPr>
            <w:tcW w:w="5000" w:type="pct"/>
            <w:vAlign w:val="center"/>
          </w:tcPr>
          <w:p w14:paraId="4FACA909" w14:textId="77777777" w:rsidR="003A7739" w:rsidRPr="008E76AB" w:rsidRDefault="003A7739" w:rsidP="002A0ED1">
            <w:pPr>
              <w:rPr>
                <w:rFonts w:ascii="Arial Narrow" w:hAnsi="Arial Narrow"/>
                <w:b/>
                <w:bCs/>
                <w:i/>
                <w:color w:val="333333"/>
                <w:sz w:val="20"/>
                <w:szCs w:val="20"/>
              </w:rPr>
            </w:pPr>
            <w:r w:rsidRPr="008E76AB">
              <w:rPr>
                <w:rFonts w:ascii="Arial Narrow" w:hAnsi="Arial Narrow"/>
                <w:b/>
                <w:bCs/>
                <w:i/>
                <w:color w:val="333333"/>
                <w:sz w:val="20"/>
                <w:szCs w:val="20"/>
              </w:rPr>
              <w:t>Prescriber Instruction:</w:t>
            </w:r>
          </w:p>
          <w:p w14:paraId="2DDD9F14" w14:textId="77777777" w:rsidR="003A7739" w:rsidRPr="008E76AB" w:rsidRDefault="003A7739" w:rsidP="002A0ED1">
            <w:pPr>
              <w:rPr>
                <w:rFonts w:ascii="Arial Narrow" w:hAnsi="Arial Narrow"/>
                <w:bCs/>
                <w:i/>
                <w:color w:val="333333"/>
                <w:sz w:val="20"/>
                <w:szCs w:val="20"/>
              </w:rPr>
            </w:pPr>
            <w:r w:rsidRPr="008E76AB">
              <w:rPr>
                <w:rFonts w:ascii="Arial Narrow" w:hAnsi="Arial Narrow"/>
                <w:bCs/>
                <w:i/>
                <w:color w:val="333333"/>
                <w:sz w:val="20"/>
                <w:szCs w:val="20"/>
              </w:rPr>
              <w:t>Authority required (telephone and online) – General PBS administration Concept ID 25796</w:t>
            </w:r>
          </w:p>
          <w:p w14:paraId="2A2C8FD1" w14:textId="021245C5" w:rsidR="003A7739" w:rsidRPr="008E76AB" w:rsidRDefault="003A7739" w:rsidP="002A0ED1">
            <w:pPr>
              <w:rPr>
                <w:rFonts w:ascii="Arial Narrow" w:hAnsi="Arial Narrow"/>
                <w:b/>
                <w:bCs/>
                <w:i/>
                <w:color w:val="333333"/>
                <w:sz w:val="20"/>
                <w:szCs w:val="20"/>
              </w:rPr>
            </w:pPr>
            <w:r w:rsidRPr="008E76AB">
              <w:rPr>
                <w:rFonts w:ascii="Arial Narrow" w:hAnsi="Arial Narrow"/>
                <w:bCs/>
                <w:i/>
                <w:color w:val="333333"/>
                <w:sz w:val="20"/>
                <w:szCs w:val="20"/>
              </w:rPr>
              <w:t xml:space="preserve">Applications for authorisation under this restriction may be made in real time using the Online PBS Authorities system (see www.servicesaustralia.gov.au/HPOS) or by telephone by contacting Services Australia. </w:t>
            </w:r>
          </w:p>
        </w:tc>
      </w:tr>
    </w:tbl>
    <w:p w14:paraId="163097E5" w14:textId="77777777" w:rsidR="003A7739" w:rsidRPr="008E76AB" w:rsidRDefault="003A7739" w:rsidP="003A7739">
      <w:pP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3A7739" w:rsidRPr="008E76AB" w14:paraId="73BEB88A"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613FEDE7" w14:textId="77777777" w:rsidR="003A7739" w:rsidRPr="008E76AB" w:rsidRDefault="003A7739" w:rsidP="002A0ED1">
            <w:pPr>
              <w:rPr>
                <w:rFonts w:ascii="Arial Narrow" w:hAnsi="Arial Narrow"/>
                <w:sz w:val="20"/>
                <w:szCs w:val="20"/>
              </w:rPr>
            </w:pPr>
            <w:r w:rsidRPr="008E76AB">
              <w:rPr>
                <w:rFonts w:ascii="Arial Narrow" w:hAnsi="Arial Narrow"/>
                <w:b/>
                <w:sz w:val="20"/>
                <w:szCs w:val="20"/>
              </w:rPr>
              <w:t xml:space="preserve">Category / Program:   </w:t>
            </w:r>
          </w:p>
          <w:p w14:paraId="68F4005C" w14:textId="5586276F" w:rsidR="003A7739" w:rsidRPr="008E76AB" w:rsidRDefault="003A7739" w:rsidP="002A0ED1">
            <w:pPr>
              <w:rPr>
                <w:rFonts w:ascii="Arial Narrow" w:hAnsi="Arial Narrow"/>
                <w:sz w:val="20"/>
                <w:szCs w:val="20"/>
              </w:rPr>
            </w:pPr>
            <w:r w:rsidRPr="008E76AB">
              <w:rPr>
                <w:rFonts w:ascii="Arial Narrow" w:hAnsi="Arial Narrow"/>
                <w:sz w:val="20"/>
                <w:szCs w:val="20"/>
              </w:rPr>
              <w:t>Section 100 – Highly Specialised Drugs Program {Public and Private Hospitals; Community Access}</w:t>
            </w:r>
          </w:p>
        </w:tc>
      </w:tr>
      <w:tr w:rsidR="003A7739" w:rsidRPr="008E76AB" w14:paraId="6925AC93"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76BA6E48" w14:textId="77777777" w:rsidR="003A7739" w:rsidRPr="008E76AB" w:rsidRDefault="003A7739" w:rsidP="002A0ED1">
            <w:pPr>
              <w:rPr>
                <w:rFonts w:ascii="Arial Narrow" w:hAnsi="Arial Narrow"/>
                <w:sz w:val="20"/>
                <w:szCs w:val="20"/>
              </w:rPr>
            </w:pPr>
            <w:r w:rsidRPr="008E76AB">
              <w:rPr>
                <w:rFonts w:ascii="Arial Narrow" w:hAnsi="Arial Narrow"/>
                <w:b/>
                <w:sz w:val="20"/>
                <w:szCs w:val="20"/>
              </w:rPr>
              <w:t xml:space="preserve">Prescriber type:  </w:t>
            </w:r>
            <w:r w:rsidRPr="008E76AB">
              <w:rPr>
                <w:rFonts w:ascii="Arial Narrow" w:hAnsi="Arial Narrow"/>
                <w:sz w:val="20"/>
                <w:szCs w:val="20"/>
              </w:rPr>
              <w:fldChar w:fldCharType="begin" w:fldLock="1">
                <w:ffData>
                  <w:name w:val=""/>
                  <w:enabled/>
                  <w:calcOnExit w:val="0"/>
                  <w:checkBox>
                    <w:sizeAuto/>
                    <w:default w:val="0"/>
                  </w:checkBox>
                </w:ffData>
              </w:fldChar>
            </w:r>
            <w:r w:rsidRPr="008E76AB">
              <w:rPr>
                <w:rFonts w:ascii="Arial Narrow" w:hAnsi="Arial Narrow"/>
                <w:sz w:val="20"/>
                <w:szCs w:val="20"/>
              </w:rPr>
              <w:instrText xml:space="preserve"> FORMCHECKBOX </w:instrText>
            </w:r>
            <w:r w:rsidR="00A34B18">
              <w:rPr>
                <w:rFonts w:ascii="Arial Narrow" w:hAnsi="Arial Narrow"/>
                <w:sz w:val="20"/>
                <w:szCs w:val="20"/>
              </w:rPr>
            </w:r>
            <w:r w:rsidR="00A34B18">
              <w:rPr>
                <w:rFonts w:ascii="Arial Narrow" w:hAnsi="Arial Narrow"/>
                <w:sz w:val="20"/>
                <w:szCs w:val="20"/>
              </w:rPr>
              <w:fldChar w:fldCharType="separate"/>
            </w:r>
            <w:r w:rsidRPr="008E76AB">
              <w:rPr>
                <w:rFonts w:ascii="Arial Narrow" w:hAnsi="Arial Narrow"/>
                <w:sz w:val="20"/>
                <w:szCs w:val="20"/>
              </w:rPr>
              <w:fldChar w:fldCharType="end"/>
            </w:r>
            <w:r w:rsidRPr="008E76AB">
              <w:rPr>
                <w:rFonts w:ascii="Arial Narrow" w:hAnsi="Arial Narrow"/>
                <w:sz w:val="20"/>
                <w:szCs w:val="20"/>
              </w:rPr>
              <w:t xml:space="preserve">Medical Practitioners  </w:t>
            </w:r>
          </w:p>
        </w:tc>
      </w:tr>
      <w:tr w:rsidR="003A7739" w:rsidRPr="008E76AB" w14:paraId="459991C2"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655A7D4F" w14:textId="77777777" w:rsidR="003A7739" w:rsidRPr="008E76AB" w:rsidRDefault="003A7739" w:rsidP="002A0ED1">
            <w:pPr>
              <w:rPr>
                <w:rFonts w:ascii="Arial Narrow" w:hAnsi="Arial Narrow"/>
                <w:b/>
                <w:sz w:val="20"/>
                <w:szCs w:val="20"/>
              </w:rPr>
            </w:pPr>
            <w:r w:rsidRPr="008E76AB">
              <w:rPr>
                <w:rFonts w:ascii="Arial Narrow" w:hAnsi="Arial Narrow"/>
                <w:b/>
                <w:sz w:val="20"/>
                <w:szCs w:val="20"/>
              </w:rPr>
              <w:t>Restriction Level / Method:</w:t>
            </w:r>
          </w:p>
          <w:p w14:paraId="5B862DD8" w14:textId="77777777" w:rsidR="003A7739" w:rsidRPr="008E76AB" w:rsidRDefault="003A7739" w:rsidP="002A0ED1">
            <w:pPr>
              <w:rPr>
                <w:rFonts w:ascii="Arial Narrow" w:hAnsi="Arial Narrow"/>
                <w:sz w:val="20"/>
                <w:szCs w:val="20"/>
              </w:rPr>
            </w:pPr>
            <w:r w:rsidRPr="008E76AB">
              <w:rPr>
                <w:rFonts w:ascii="Arial Narrow" w:hAnsi="Arial Narrow"/>
                <w:sz w:val="20"/>
                <w:szCs w:val="20"/>
              </w:rPr>
              <w:fldChar w:fldCharType="begin" w:fldLock="1">
                <w:ffData>
                  <w:name w:val="Check3"/>
                  <w:enabled/>
                  <w:calcOnExit w:val="0"/>
                  <w:checkBox>
                    <w:sizeAuto/>
                    <w:default w:val="0"/>
                  </w:checkBox>
                </w:ffData>
              </w:fldChar>
            </w:r>
            <w:r w:rsidRPr="008E76AB">
              <w:rPr>
                <w:rFonts w:ascii="Arial Narrow" w:hAnsi="Arial Narrow"/>
                <w:sz w:val="20"/>
                <w:szCs w:val="20"/>
              </w:rPr>
              <w:instrText xml:space="preserve"> FORMCHECKBOX </w:instrText>
            </w:r>
            <w:r w:rsidR="00A34B18">
              <w:rPr>
                <w:rFonts w:ascii="Arial Narrow" w:hAnsi="Arial Narrow"/>
                <w:sz w:val="20"/>
                <w:szCs w:val="20"/>
              </w:rPr>
            </w:r>
            <w:r w:rsidR="00A34B18">
              <w:rPr>
                <w:rFonts w:ascii="Arial Narrow" w:hAnsi="Arial Narrow"/>
                <w:sz w:val="20"/>
                <w:szCs w:val="20"/>
              </w:rPr>
              <w:fldChar w:fldCharType="separate"/>
            </w:r>
            <w:r w:rsidRPr="008E76AB">
              <w:rPr>
                <w:rFonts w:ascii="Arial Narrow" w:hAnsi="Arial Narrow"/>
                <w:sz w:val="20"/>
                <w:szCs w:val="20"/>
              </w:rPr>
              <w:fldChar w:fldCharType="end"/>
            </w:r>
            <w:r w:rsidRPr="008E76AB">
              <w:rPr>
                <w:rFonts w:ascii="Arial Narrow" w:hAnsi="Arial Narrow"/>
                <w:sz w:val="20"/>
                <w:szCs w:val="20"/>
              </w:rPr>
              <w:t>Authority Required – Telephone/Electronic/Emergency</w:t>
            </w:r>
          </w:p>
        </w:tc>
      </w:tr>
      <w:tr w:rsidR="003A7739" w:rsidRPr="008E76AB" w14:paraId="3799AB5C" w14:textId="77777777" w:rsidTr="00317042">
        <w:trPr>
          <w:trHeight w:val="20"/>
        </w:trPr>
        <w:tc>
          <w:tcPr>
            <w:tcW w:w="5000" w:type="pct"/>
            <w:vAlign w:val="center"/>
          </w:tcPr>
          <w:p w14:paraId="2F799499"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Administrative Advice:</w:t>
            </w:r>
          </w:p>
          <w:p w14:paraId="6646723E"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Insert administrative notes here that may apply across multiple restrictions; otherwise delete this row</w:t>
            </w:r>
          </w:p>
        </w:tc>
      </w:tr>
      <w:tr w:rsidR="003A7739" w:rsidRPr="008E76AB" w14:paraId="002CFB1B" w14:textId="77777777" w:rsidTr="00317042">
        <w:trPr>
          <w:trHeight w:val="20"/>
        </w:trPr>
        <w:tc>
          <w:tcPr>
            <w:tcW w:w="5000" w:type="pct"/>
            <w:vAlign w:val="center"/>
          </w:tcPr>
          <w:p w14:paraId="6DDE31E4"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 xml:space="preserve">Condition: </w:t>
            </w:r>
            <w:r w:rsidRPr="008E76AB">
              <w:rPr>
                <w:rFonts w:ascii="Arial Narrow" w:hAnsi="Arial Narrow"/>
                <w:bCs/>
                <w:color w:val="333333"/>
                <w:sz w:val="20"/>
                <w:szCs w:val="20"/>
              </w:rPr>
              <w:t>Major depressive disorder</w:t>
            </w:r>
          </w:p>
        </w:tc>
      </w:tr>
      <w:tr w:rsidR="003A7739" w:rsidRPr="008E76AB" w14:paraId="0B8028AD" w14:textId="77777777" w:rsidTr="00317042">
        <w:trPr>
          <w:trHeight w:val="20"/>
        </w:trPr>
        <w:tc>
          <w:tcPr>
            <w:tcW w:w="5000" w:type="pct"/>
            <w:vAlign w:val="center"/>
            <w:hideMark/>
          </w:tcPr>
          <w:p w14:paraId="58A9F746"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 xml:space="preserve">Indication: </w:t>
            </w:r>
            <w:r w:rsidRPr="008E76AB">
              <w:rPr>
                <w:rFonts w:ascii="Arial Narrow" w:hAnsi="Arial Narrow"/>
                <w:strike/>
                <w:color w:val="333333"/>
                <w:sz w:val="20"/>
                <w:szCs w:val="20"/>
              </w:rPr>
              <w:t>Major depression</w:t>
            </w:r>
            <w:r w:rsidRPr="008E76AB">
              <w:rPr>
                <w:rFonts w:ascii="Arial Narrow" w:hAnsi="Arial Narrow"/>
                <w:color w:val="333333"/>
                <w:sz w:val="20"/>
                <w:szCs w:val="20"/>
              </w:rPr>
              <w:t xml:space="preserve"> </w:t>
            </w:r>
            <w:r w:rsidRPr="008E76AB">
              <w:rPr>
                <w:rFonts w:ascii="Arial Narrow" w:hAnsi="Arial Narrow"/>
                <w:i/>
                <w:iCs/>
                <w:color w:val="333333"/>
                <w:sz w:val="20"/>
                <w:szCs w:val="20"/>
              </w:rPr>
              <w:t>Major depressive disorder</w:t>
            </w:r>
          </w:p>
        </w:tc>
      </w:tr>
      <w:tr w:rsidR="003A7739" w:rsidRPr="008E76AB" w14:paraId="33C06A87" w14:textId="77777777" w:rsidTr="00317042">
        <w:trPr>
          <w:trHeight w:val="20"/>
        </w:trPr>
        <w:tc>
          <w:tcPr>
            <w:tcW w:w="5000" w:type="pct"/>
            <w:vAlign w:val="center"/>
            <w:hideMark/>
          </w:tcPr>
          <w:p w14:paraId="4EA53A75"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lastRenderedPageBreak/>
              <w:t>Treatment Phase:</w:t>
            </w:r>
            <w:r w:rsidRPr="008E76AB">
              <w:rPr>
                <w:rFonts w:ascii="Arial Narrow" w:hAnsi="Arial Narrow"/>
                <w:color w:val="333333"/>
                <w:sz w:val="20"/>
                <w:szCs w:val="20"/>
              </w:rPr>
              <w:t xml:space="preserve"> Continuing treatment </w:t>
            </w:r>
            <w:r w:rsidRPr="008E76AB">
              <w:rPr>
                <w:rFonts w:ascii="Arial Narrow" w:hAnsi="Arial Narrow"/>
                <w:i/>
                <w:iCs/>
                <w:color w:val="333333"/>
                <w:sz w:val="20"/>
                <w:szCs w:val="20"/>
              </w:rPr>
              <w:t>– up to week 52</w:t>
            </w:r>
            <w:r w:rsidRPr="008E76AB">
              <w:rPr>
                <w:rFonts w:ascii="Arial Narrow" w:hAnsi="Arial Narrow"/>
                <w:color w:val="333333"/>
                <w:sz w:val="20"/>
                <w:szCs w:val="20"/>
              </w:rPr>
              <w:t xml:space="preserve"> </w:t>
            </w:r>
            <w:r w:rsidRPr="008E76AB">
              <w:rPr>
                <w:rFonts w:ascii="Arial Narrow" w:hAnsi="Arial Narrow"/>
                <w:strike/>
                <w:color w:val="333333"/>
                <w:sz w:val="20"/>
                <w:szCs w:val="20"/>
              </w:rPr>
              <w:t>(weeks 5-52 of the same treatment episode) where the intended administered dose is  [28 mg / 56 mg / 84 mg]</w:t>
            </w:r>
          </w:p>
        </w:tc>
      </w:tr>
      <w:tr w:rsidR="003A7739" w:rsidRPr="008E76AB" w14:paraId="2574AE4B" w14:textId="77777777" w:rsidTr="00317042">
        <w:trPr>
          <w:trHeight w:val="20"/>
        </w:trPr>
        <w:tc>
          <w:tcPr>
            <w:tcW w:w="5000" w:type="pct"/>
            <w:vAlign w:val="center"/>
            <w:hideMark/>
          </w:tcPr>
          <w:p w14:paraId="77C39694"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Clinical criteria:</w:t>
            </w:r>
          </w:p>
        </w:tc>
      </w:tr>
      <w:tr w:rsidR="003A7739" w:rsidRPr="008E76AB" w14:paraId="10191E12" w14:textId="77777777" w:rsidTr="00317042">
        <w:trPr>
          <w:trHeight w:val="20"/>
        </w:trPr>
        <w:tc>
          <w:tcPr>
            <w:tcW w:w="5000" w:type="pct"/>
            <w:vAlign w:val="center"/>
            <w:hideMark/>
          </w:tcPr>
          <w:p w14:paraId="084F36E9"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The treatment must be to continue existing PBS-subsidised treatment for the same episode of major depression</w:t>
            </w:r>
          </w:p>
          <w:p w14:paraId="61FA3CF1" w14:textId="77777777" w:rsidR="003A7739" w:rsidRPr="008E76AB" w:rsidRDefault="003A7739" w:rsidP="002A0ED1">
            <w:pPr>
              <w:rPr>
                <w:rFonts w:ascii="Arial Narrow" w:hAnsi="Arial Narrow"/>
                <w:color w:val="333333"/>
                <w:sz w:val="20"/>
                <w:szCs w:val="20"/>
              </w:rPr>
            </w:pPr>
          </w:p>
          <w:p w14:paraId="5800E183"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 xml:space="preserve">OR </w:t>
            </w:r>
          </w:p>
          <w:p w14:paraId="34D83103" w14:textId="77777777" w:rsidR="003A7739" w:rsidRPr="008E76AB" w:rsidRDefault="003A7739" w:rsidP="002A0ED1">
            <w:pPr>
              <w:rPr>
                <w:rFonts w:ascii="Arial Narrow" w:hAnsi="Arial Narrow"/>
                <w:color w:val="333333"/>
                <w:sz w:val="20"/>
                <w:szCs w:val="20"/>
              </w:rPr>
            </w:pPr>
          </w:p>
          <w:p w14:paraId="64DD126F"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 xml:space="preserve">The treatment must be to transition once only a patient from non-PBS to PBS-subsidised supply, where each of the following is true: (i) the condition has been inadequately responsive </w:t>
            </w:r>
            <w:r w:rsidRPr="008E76AB">
              <w:rPr>
                <w:rFonts w:ascii="Arial Narrow" w:hAnsi="Arial Narrow"/>
                <w:strike/>
                <w:color w:val="333333"/>
                <w:sz w:val="20"/>
                <w:szCs w:val="20"/>
              </w:rPr>
              <w:t>(see Note)</w:t>
            </w:r>
            <w:r w:rsidRPr="008E76AB">
              <w:rPr>
                <w:rFonts w:ascii="Arial Narrow" w:hAnsi="Arial Narrow"/>
                <w:color w:val="333333"/>
                <w:sz w:val="20"/>
                <w:szCs w:val="20"/>
              </w:rPr>
              <w:t xml:space="preserve"> to at least two anti-depressant drug therapies from different pharmacological classes prior to the first administered dose of this drug, (ii) non-PBS supply was prescribed by a psychiatrist when the patient was at least 18 years of age</w:t>
            </w:r>
          </w:p>
        </w:tc>
      </w:tr>
      <w:tr w:rsidR="003A7739" w:rsidRPr="008E76AB" w14:paraId="481B58F9" w14:textId="77777777" w:rsidTr="00317042">
        <w:trPr>
          <w:trHeight w:val="20"/>
        </w:trPr>
        <w:tc>
          <w:tcPr>
            <w:tcW w:w="5000" w:type="pct"/>
            <w:vAlign w:val="center"/>
            <w:hideMark/>
          </w:tcPr>
          <w:p w14:paraId="2EA341AD"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62E99BB2" w14:textId="77777777" w:rsidTr="00317042">
        <w:trPr>
          <w:trHeight w:val="20"/>
        </w:trPr>
        <w:tc>
          <w:tcPr>
            <w:tcW w:w="5000" w:type="pct"/>
            <w:vAlign w:val="center"/>
            <w:hideMark/>
          </w:tcPr>
          <w:p w14:paraId="5C311B1A"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Clinical criteria:</w:t>
            </w:r>
          </w:p>
        </w:tc>
      </w:tr>
      <w:tr w:rsidR="003A7739" w:rsidRPr="008E76AB" w14:paraId="1DF4339F" w14:textId="77777777" w:rsidTr="00317042">
        <w:trPr>
          <w:trHeight w:val="20"/>
        </w:trPr>
        <w:tc>
          <w:tcPr>
            <w:tcW w:w="5000" w:type="pct"/>
            <w:vAlign w:val="center"/>
            <w:hideMark/>
          </w:tcPr>
          <w:p w14:paraId="3706E10B"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 xml:space="preserve">The treatment must not exceed each of: (i) an administered dose beyond 84 mg, (ii) a quantity of drug, after accounting for repeat prescriptions plus different pack sizes where prescribed, that would exceed a quantity sufficient to treat the patient for 12 weeks </w:t>
            </w:r>
            <w:r w:rsidRPr="008E76AB">
              <w:rPr>
                <w:rFonts w:ascii="Arial Narrow" w:hAnsi="Arial Narrow"/>
                <w:strike/>
                <w:color w:val="333333"/>
                <w:sz w:val="20"/>
                <w:szCs w:val="20"/>
              </w:rPr>
              <w:t>(i.e. the listed maximum quantity is based on once weekly dosing – where fortnightly dosing is prescribed, the authority application is to seek no more than half the listed maximum quantity of this listing)</w:t>
            </w:r>
          </w:p>
        </w:tc>
      </w:tr>
      <w:tr w:rsidR="003A7739" w:rsidRPr="008E76AB" w14:paraId="41576E59" w14:textId="77777777" w:rsidTr="00317042">
        <w:trPr>
          <w:trHeight w:val="20"/>
        </w:trPr>
        <w:tc>
          <w:tcPr>
            <w:tcW w:w="5000" w:type="pct"/>
            <w:vAlign w:val="center"/>
            <w:hideMark/>
          </w:tcPr>
          <w:p w14:paraId="3C6D1F52"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3FAC9906" w14:textId="77777777" w:rsidTr="00317042">
        <w:trPr>
          <w:trHeight w:val="20"/>
        </w:trPr>
        <w:tc>
          <w:tcPr>
            <w:tcW w:w="5000" w:type="pct"/>
            <w:vAlign w:val="center"/>
            <w:hideMark/>
          </w:tcPr>
          <w:p w14:paraId="523112D7"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Treatment criteria:</w:t>
            </w:r>
          </w:p>
        </w:tc>
      </w:tr>
      <w:tr w:rsidR="003A7739" w:rsidRPr="008E76AB" w14:paraId="0A508626" w14:textId="77777777" w:rsidTr="00317042">
        <w:trPr>
          <w:trHeight w:val="20"/>
        </w:trPr>
        <w:tc>
          <w:tcPr>
            <w:tcW w:w="5000" w:type="pct"/>
            <w:vAlign w:val="center"/>
            <w:hideMark/>
          </w:tcPr>
          <w:p w14:paraId="5B7749A1" w14:textId="77777777" w:rsidR="003A7739" w:rsidRPr="008E76AB" w:rsidRDefault="003A7739" w:rsidP="002A0ED1">
            <w:pPr>
              <w:autoSpaceDE w:val="0"/>
              <w:autoSpaceDN w:val="0"/>
              <w:adjustRightInd w:val="0"/>
              <w:rPr>
                <w:rFonts w:ascii="Arial Narrow" w:hAnsi="Arial Narrow" w:cs="Arial Narrow"/>
                <w:sz w:val="20"/>
                <w:szCs w:val="20"/>
              </w:rPr>
            </w:pPr>
            <w:r w:rsidRPr="008E76AB">
              <w:rPr>
                <w:rFonts w:ascii="Arial Narrow" w:hAnsi="Arial Narrow" w:cs="Arial Narrow"/>
                <w:sz w:val="20"/>
                <w:szCs w:val="20"/>
              </w:rPr>
              <w:t xml:space="preserve">Patient must be undergoing concomitant treatment with </w:t>
            </w:r>
            <w:r w:rsidRPr="008E76AB">
              <w:rPr>
                <w:rFonts w:ascii="Arial Narrow" w:hAnsi="Arial Narrow" w:cs="Arial Narrow"/>
                <w:strike/>
                <w:sz w:val="20"/>
                <w:szCs w:val="20"/>
              </w:rPr>
              <w:t xml:space="preserve">an </w:t>
            </w:r>
            <w:r w:rsidRPr="008E76AB">
              <w:rPr>
                <w:rFonts w:ascii="Arial Narrow" w:hAnsi="Arial Narrow" w:cs="Arial Narrow"/>
                <w:sz w:val="20"/>
                <w:szCs w:val="20"/>
              </w:rPr>
              <w:t>oral anti-depressant drug therapy</w:t>
            </w:r>
          </w:p>
        </w:tc>
      </w:tr>
      <w:tr w:rsidR="003A7739" w:rsidRPr="008E76AB" w14:paraId="33BD2DE1" w14:textId="77777777" w:rsidTr="00317042">
        <w:trPr>
          <w:trHeight w:val="20"/>
        </w:trPr>
        <w:tc>
          <w:tcPr>
            <w:tcW w:w="5000" w:type="pct"/>
            <w:vAlign w:val="center"/>
            <w:hideMark/>
          </w:tcPr>
          <w:p w14:paraId="4E371F6B"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3EF39CDB" w14:textId="77777777" w:rsidTr="00317042">
        <w:trPr>
          <w:trHeight w:val="20"/>
        </w:trPr>
        <w:tc>
          <w:tcPr>
            <w:tcW w:w="5000" w:type="pct"/>
            <w:vAlign w:val="center"/>
          </w:tcPr>
          <w:p w14:paraId="7B95DAB0"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Treatment criteria:</w:t>
            </w:r>
          </w:p>
        </w:tc>
      </w:tr>
      <w:tr w:rsidR="003A7739" w:rsidRPr="008E76AB" w14:paraId="6C2DC53E" w14:textId="77777777" w:rsidTr="00317042">
        <w:trPr>
          <w:trHeight w:val="20"/>
        </w:trPr>
        <w:tc>
          <w:tcPr>
            <w:tcW w:w="5000" w:type="pct"/>
            <w:vAlign w:val="center"/>
          </w:tcPr>
          <w:p w14:paraId="22D54E69" w14:textId="77777777" w:rsidR="003A7739" w:rsidRPr="008E76AB" w:rsidRDefault="003A7739" w:rsidP="002A0ED1">
            <w:pPr>
              <w:rPr>
                <w:rFonts w:ascii="Arial Narrow" w:hAnsi="Arial Narrow"/>
                <w:i/>
                <w:iCs/>
                <w:color w:val="333333"/>
                <w:sz w:val="20"/>
                <w:szCs w:val="20"/>
              </w:rPr>
            </w:pPr>
            <w:r w:rsidRPr="008E76AB">
              <w:rPr>
                <w:rFonts w:ascii="Arial Narrow" w:hAnsi="Arial Narrow"/>
                <w:strike/>
                <w:color w:val="333333"/>
                <w:sz w:val="20"/>
                <w:szCs w:val="20"/>
              </w:rPr>
              <w:t>Patient must not be undergoing PBS-subsidised treatment with this drug beyond week 52 of the same episode of major depression</w:t>
            </w:r>
            <w:r w:rsidRPr="008E76AB">
              <w:rPr>
                <w:rFonts w:ascii="Arial Narrow" w:hAnsi="Arial Narrow"/>
                <w:i/>
                <w:iCs/>
                <w:color w:val="333333"/>
                <w:sz w:val="20"/>
                <w:szCs w:val="20"/>
              </w:rPr>
              <w:t xml:space="preserve"> Treatment must not exceed a total of 48 weeks’ treatment under this restriction.  </w:t>
            </w:r>
          </w:p>
        </w:tc>
      </w:tr>
      <w:tr w:rsidR="003A7739" w:rsidRPr="008E76AB" w14:paraId="75EC0855" w14:textId="77777777" w:rsidTr="00317042">
        <w:trPr>
          <w:trHeight w:val="20"/>
        </w:trPr>
        <w:tc>
          <w:tcPr>
            <w:tcW w:w="5000" w:type="pct"/>
            <w:vAlign w:val="center"/>
          </w:tcPr>
          <w:p w14:paraId="32F4D715" w14:textId="77777777" w:rsidR="003A7739" w:rsidRPr="008E76AB" w:rsidRDefault="003A7739" w:rsidP="002A0ED1">
            <w:pPr>
              <w:rPr>
                <w:rFonts w:ascii="Arial Narrow" w:hAnsi="Arial Narrow"/>
                <w:b/>
                <w:bCs/>
                <w:strike/>
                <w:color w:val="333333"/>
                <w:sz w:val="20"/>
                <w:szCs w:val="20"/>
              </w:rPr>
            </w:pPr>
            <w:r w:rsidRPr="008E76AB">
              <w:rPr>
                <w:rFonts w:ascii="Arial Narrow" w:hAnsi="Arial Narrow"/>
                <w:b/>
                <w:bCs/>
                <w:strike/>
                <w:color w:val="333333"/>
                <w:sz w:val="20"/>
                <w:szCs w:val="20"/>
              </w:rPr>
              <w:t>AND</w:t>
            </w:r>
          </w:p>
        </w:tc>
      </w:tr>
      <w:tr w:rsidR="003A7739" w:rsidRPr="008E76AB" w14:paraId="14B7D38E" w14:textId="77777777" w:rsidTr="00317042">
        <w:trPr>
          <w:trHeight w:val="20"/>
        </w:trPr>
        <w:tc>
          <w:tcPr>
            <w:tcW w:w="5000" w:type="pct"/>
            <w:vAlign w:val="center"/>
          </w:tcPr>
          <w:p w14:paraId="7B089E8F" w14:textId="77777777" w:rsidR="003A7739" w:rsidRPr="008E76AB" w:rsidRDefault="003A7739" w:rsidP="002A0ED1">
            <w:pPr>
              <w:rPr>
                <w:rFonts w:ascii="Arial Narrow" w:hAnsi="Arial Narrow"/>
                <w:b/>
                <w:bCs/>
                <w:strike/>
                <w:color w:val="333333"/>
                <w:sz w:val="20"/>
                <w:szCs w:val="20"/>
              </w:rPr>
            </w:pPr>
            <w:r w:rsidRPr="008E76AB">
              <w:rPr>
                <w:rFonts w:ascii="Arial Narrow" w:hAnsi="Arial Narrow"/>
                <w:b/>
                <w:bCs/>
                <w:strike/>
                <w:color w:val="333333"/>
                <w:sz w:val="20"/>
                <w:szCs w:val="20"/>
              </w:rPr>
              <w:t>Treatment criteria:</w:t>
            </w:r>
          </w:p>
        </w:tc>
      </w:tr>
      <w:tr w:rsidR="003A7739" w:rsidRPr="008E76AB" w14:paraId="6BB37B3D" w14:textId="77777777" w:rsidTr="00317042">
        <w:trPr>
          <w:trHeight w:val="20"/>
        </w:trPr>
        <w:tc>
          <w:tcPr>
            <w:tcW w:w="5000" w:type="pct"/>
            <w:vAlign w:val="center"/>
          </w:tcPr>
          <w:p w14:paraId="6B3BAEF2" w14:textId="77777777" w:rsidR="003A7739" w:rsidRPr="008E76AB" w:rsidRDefault="003A7739" w:rsidP="002A0ED1">
            <w:pPr>
              <w:rPr>
                <w:rFonts w:ascii="Arial Narrow" w:hAnsi="Arial Narrow"/>
                <w:b/>
                <w:bCs/>
                <w:strike/>
                <w:color w:val="333333"/>
                <w:sz w:val="20"/>
                <w:szCs w:val="20"/>
              </w:rPr>
            </w:pPr>
            <w:r w:rsidRPr="008E76AB">
              <w:rPr>
                <w:rFonts w:ascii="Arial Narrow" w:hAnsi="Arial Narrow"/>
                <w:b/>
                <w:strike/>
                <w:sz w:val="20"/>
                <w:szCs w:val="20"/>
              </w:rPr>
              <w:t xml:space="preserve">[Section 100 Public Hospital only] </w:t>
            </w:r>
            <w:r w:rsidRPr="008E76AB">
              <w:rPr>
                <w:rFonts w:ascii="Arial Narrow" w:hAnsi="Arial Narrow"/>
                <w:strike/>
                <w:sz w:val="20"/>
                <w:szCs w:val="20"/>
              </w:rPr>
              <w:t>Must be treated in a public hospital outpatient clinic</w:t>
            </w:r>
          </w:p>
        </w:tc>
      </w:tr>
      <w:tr w:rsidR="003A7739" w:rsidRPr="008E76AB" w14:paraId="0F6F889C" w14:textId="77777777" w:rsidTr="00317042">
        <w:trPr>
          <w:trHeight w:val="20"/>
        </w:trPr>
        <w:tc>
          <w:tcPr>
            <w:tcW w:w="5000" w:type="pct"/>
            <w:vAlign w:val="center"/>
          </w:tcPr>
          <w:p w14:paraId="5F8BC0C7" w14:textId="77777777" w:rsidR="003A7739" w:rsidRPr="008E76AB" w:rsidRDefault="003A7739" w:rsidP="002A0ED1">
            <w:pPr>
              <w:rPr>
                <w:rFonts w:ascii="Arial Narrow" w:hAnsi="Arial Narrow"/>
                <w:strike/>
                <w:color w:val="333333"/>
                <w:sz w:val="20"/>
                <w:szCs w:val="20"/>
              </w:rPr>
            </w:pPr>
            <w:r w:rsidRPr="008E76AB">
              <w:rPr>
                <w:rFonts w:ascii="Arial Narrow" w:hAnsi="Arial Narrow"/>
                <w:b/>
                <w:strike/>
                <w:sz w:val="20"/>
                <w:szCs w:val="20"/>
              </w:rPr>
              <w:t xml:space="preserve">[Section 100 Private Hospital only] </w:t>
            </w:r>
            <w:r w:rsidRPr="008E76AB">
              <w:rPr>
                <w:rFonts w:ascii="Arial Narrow" w:hAnsi="Arial Narrow"/>
                <w:strike/>
                <w:sz w:val="20"/>
                <w:szCs w:val="20"/>
              </w:rPr>
              <w:t>Must be treated in a hospital that is not a public hospital</w:t>
            </w:r>
          </w:p>
        </w:tc>
      </w:tr>
      <w:tr w:rsidR="003A7739" w:rsidRPr="008E76AB" w14:paraId="3F08BC06" w14:textId="77777777" w:rsidTr="00317042">
        <w:trPr>
          <w:trHeight w:val="20"/>
        </w:trPr>
        <w:tc>
          <w:tcPr>
            <w:tcW w:w="5000" w:type="pct"/>
            <w:vAlign w:val="center"/>
          </w:tcPr>
          <w:p w14:paraId="44D874E1"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AND</w:t>
            </w:r>
          </w:p>
        </w:tc>
      </w:tr>
      <w:tr w:rsidR="003A7739" w:rsidRPr="008E76AB" w14:paraId="2ACCF4AD" w14:textId="77777777" w:rsidTr="00317042">
        <w:trPr>
          <w:trHeight w:val="20"/>
        </w:trPr>
        <w:tc>
          <w:tcPr>
            <w:tcW w:w="5000" w:type="pct"/>
            <w:vAlign w:val="center"/>
          </w:tcPr>
          <w:p w14:paraId="4D21F551"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Treatment criteria:</w:t>
            </w:r>
          </w:p>
        </w:tc>
      </w:tr>
      <w:tr w:rsidR="003A7739" w:rsidRPr="008E76AB" w14:paraId="2E077243" w14:textId="77777777" w:rsidTr="00317042">
        <w:trPr>
          <w:trHeight w:val="20"/>
        </w:trPr>
        <w:tc>
          <w:tcPr>
            <w:tcW w:w="5000" w:type="pct"/>
            <w:vAlign w:val="center"/>
          </w:tcPr>
          <w:p w14:paraId="13D358EF"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Must be treated by a psychiatrist</w:t>
            </w:r>
          </w:p>
        </w:tc>
      </w:tr>
      <w:tr w:rsidR="003A7739" w:rsidRPr="008E76AB" w14:paraId="061190FC" w14:textId="77777777" w:rsidTr="00317042">
        <w:trPr>
          <w:trHeight w:val="20"/>
        </w:trPr>
        <w:tc>
          <w:tcPr>
            <w:tcW w:w="5000" w:type="pct"/>
            <w:vAlign w:val="center"/>
          </w:tcPr>
          <w:p w14:paraId="6EB738F9" w14:textId="77777777" w:rsidR="003A7739" w:rsidRPr="008E76AB" w:rsidRDefault="003A7739" w:rsidP="002A0ED1">
            <w:pPr>
              <w:rPr>
                <w:rFonts w:ascii="Arial Narrow" w:hAnsi="Arial Narrow"/>
                <w:b/>
                <w:bCs/>
                <w:strike/>
                <w:color w:val="333333"/>
                <w:sz w:val="20"/>
                <w:szCs w:val="20"/>
              </w:rPr>
            </w:pPr>
            <w:r w:rsidRPr="008E76AB">
              <w:rPr>
                <w:rFonts w:ascii="Arial Narrow" w:hAnsi="Arial Narrow"/>
                <w:b/>
                <w:bCs/>
                <w:strike/>
                <w:color w:val="333333"/>
                <w:sz w:val="20"/>
                <w:szCs w:val="20"/>
              </w:rPr>
              <w:t>AND</w:t>
            </w:r>
          </w:p>
        </w:tc>
      </w:tr>
      <w:tr w:rsidR="003A7739" w:rsidRPr="008E76AB" w14:paraId="2765E8FD" w14:textId="77777777" w:rsidTr="00317042">
        <w:trPr>
          <w:trHeight w:val="20"/>
        </w:trPr>
        <w:tc>
          <w:tcPr>
            <w:tcW w:w="5000" w:type="pct"/>
            <w:vAlign w:val="center"/>
          </w:tcPr>
          <w:p w14:paraId="6AF3D602" w14:textId="77777777" w:rsidR="003A7739" w:rsidRPr="008E76AB" w:rsidRDefault="003A7739" w:rsidP="002A0ED1">
            <w:pPr>
              <w:rPr>
                <w:rFonts w:ascii="Arial Narrow" w:hAnsi="Arial Narrow"/>
                <w:b/>
                <w:bCs/>
                <w:strike/>
                <w:color w:val="333333"/>
                <w:sz w:val="20"/>
                <w:szCs w:val="20"/>
              </w:rPr>
            </w:pPr>
            <w:r w:rsidRPr="008E76AB">
              <w:rPr>
                <w:rFonts w:ascii="Arial Narrow" w:hAnsi="Arial Narrow"/>
                <w:b/>
                <w:bCs/>
                <w:strike/>
                <w:color w:val="333333"/>
                <w:sz w:val="20"/>
                <w:szCs w:val="20"/>
              </w:rPr>
              <w:t>Treatment criteria:</w:t>
            </w:r>
          </w:p>
        </w:tc>
      </w:tr>
      <w:tr w:rsidR="003A7739" w:rsidRPr="008E76AB" w14:paraId="04624A2E" w14:textId="77777777" w:rsidTr="00317042">
        <w:trPr>
          <w:trHeight w:val="20"/>
        </w:trPr>
        <w:tc>
          <w:tcPr>
            <w:tcW w:w="5000" w:type="pct"/>
            <w:vAlign w:val="center"/>
          </w:tcPr>
          <w:p w14:paraId="0BA7F8DF" w14:textId="77777777" w:rsidR="003A7739" w:rsidRPr="008E76AB" w:rsidRDefault="003A7739" w:rsidP="002A0ED1">
            <w:pPr>
              <w:autoSpaceDE w:val="0"/>
              <w:autoSpaceDN w:val="0"/>
              <w:adjustRightInd w:val="0"/>
              <w:rPr>
                <w:rFonts w:ascii="Arial Narrow" w:hAnsi="Arial Narrow" w:cs="Arial Narrow"/>
                <w:i/>
                <w:iCs/>
                <w:sz w:val="20"/>
                <w:szCs w:val="20"/>
              </w:rPr>
            </w:pPr>
            <w:r w:rsidRPr="008E76AB">
              <w:rPr>
                <w:rFonts w:ascii="Arial Narrow" w:hAnsi="Arial Narrow"/>
                <w:b/>
                <w:bCs/>
                <w:i/>
                <w:iCs/>
                <w:color w:val="333333"/>
                <w:sz w:val="20"/>
                <w:szCs w:val="20"/>
              </w:rPr>
              <w:t>Prescribing Instructions:</w:t>
            </w:r>
          </w:p>
          <w:p w14:paraId="46033703" w14:textId="77777777" w:rsidR="003A7739" w:rsidRPr="008E76AB" w:rsidRDefault="003A7739" w:rsidP="002A0ED1">
            <w:pPr>
              <w:rPr>
                <w:rFonts w:ascii="Arial Narrow" w:hAnsi="Arial Narrow"/>
                <w:b/>
                <w:bCs/>
                <w:color w:val="333333"/>
                <w:sz w:val="20"/>
                <w:szCs w:val="20"/>
              </w:rPr>
            </w:pPr>
            <w:r w:rsidRPr="008E76AB">
              <w:rPr>
                <w:rFonts w:ascii="Arial Narrow" w:hAnsi="Arial Narrow"/>
                <w:color w:val="333333"/>
                <w:sz w:val="20"/>
                <w:szCs w:val="20"/>
              </w:rPr>
              <w:t>Patient must be undergoing supervision by a healthcare professional at the time the drug is administered</w:t>
            </w:r>
          </w:p>
        </w:tc>
      </w:tr>
      <w:tr w:rsidR="003A7739" w:rsidRPr="008E76AB" w14:paraId="12EC2577" w14:textId="77777777" w:rsidTr="00317042">
        <w:trPr>
          <w:trHeight w:val="20"/>
        </w:trPr>
        <w:tc>
          <w:tcPr>
            <w:tcW w:w="5000" w:type="pct"/>
            <w:vAlign w:val="center"/>
          </w:tcPr>
          <w:p w14:paraId="49C48341"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AND</w:t>
            </w:r>
          </w:p>
        </w:tc>
      </w:tr>
      <w:tr w:rsidR="003A7739" w:rsidRPr="008E76AB" w14:paraId="4B1B0712" w14:textId="77777777" w:rsidTr="00317042">
        <w:trPr>
          <w:trHeight w:val="20"/>
        </w:trPr>
        <w:tc>
          <w:tcPr>
            <w:tcW w:w="5000" w:type="pct"/>
            <w:vAlign w:val="center"/>
            <w:hideMark/>
          </w:tcPr>
          <w:p w14:paraId="0865F956"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Population criteria:</w:t>
            </w:r>
          </w:p>
        </w:tc>
      </w:tr>
      <w:tr w:rsidR="003A7739" w:rsidRPr="008E76AB" w14:paraId="66F1F31F" w14:textId="77777777" w:rsidTr="00317042">
        <w:trPr>
          <w:trHeight w:val="20"/>
        </w:trPr>
        <w:tc>
          <w:tcPr>
            <w:tcW w:w="5000" w:type="pct"/>
            <w:vAlign w:val="center"/>
            <w:hideMark/>
          </w:tcPr>
          <w:p w14:paraId="66EB2B88"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Patient must be at least 18 years of age</w:t>
            </w:r>
          </w:p>
        </w:tc>
      </w:tr>
      <w:tr w:rsidR="003A7739" w:rsidRPr="008E76AB" w14:paraId="62910382" w14:textId="77777777" w:rsidTr="00317042">
        <w:trPr>
          <w:trHeight w:val="20"/>
        </w:trPr>
        <w:tc>
          <w:tcPr>
            <w:tcW w:w="5000" w:type="pct"/>
            <w:vAlign w:val="center"/>
          </w:tcPr>
          <w:p w14:paraId="6B08C99F" w14:textId="77777777" w:rsidR="003A7739" w:rsidRPr="008E76AB" w:rsidRDefault="003A7739" w:rsidP="002A0ED1">
            <w:pPr>
              <w:rPr>
                <w:rFonts w:ascii="Arial Narrow" w:hAnsi="Arial Narrow"/>
                <w:b/>
                <w:bCs/>
                <w:i/>
                <w:color w:val="333333"/>
                <w:sz w:val="20"/>
                <w:szCs w:val="20"/>
              </w:rPr>
            </w:pPr>
            <w:r w:rsidRPr="008E76AB">
              <w:rPr>
                <w:rFonts w:ascii="Arial Narrow" w:hAnsi="Arial Narrow"/>
                <w:b/>
                <w:bCs/>
                <w:i/>
                <w:color w:val="333333"/>
                <w:sz w:val="20"/>
                <w:szCs w:val="20"/>
              </w:rPr>
              <w:t>Prescriber Instruction:</w:t>
            </w:r>
          </w:p>
          <w:p w14:paraId="4B2BBF0A" w14:textId="77777777" w:rsidR="003A7739" w:rsidRPr="008E76AB" w:rsidRDefault="003A7739" w:rsidP="002A0ED1">
            <w:pPr>
              <w:rPr>
                <w:rFonts w:ascii="Arial Narrow" w:hAnsi="Arial Narrow"/>
                <w:bCs/>
                <w:i/>
                <w:color w:val="333333"/>
                <w:sz w:val="20"/>
                <w:szCs w:val="20"/>
              </w:rPr>
            </w:pPr>
            <w:r w:rsidRPr="008E76AB">
              <w:rPr>
                <w:rFonts w:ascii="Arial Narrow" w:hAnsi="Arial Narrow"/>
                <w:bCs/>
                <w:i/>
                <w:color w:val="333333"/>
                <w:sz w:val="20"/>
                <w:szCs w:val="20"/>
              </w:rPr>
              <w:t>Authority required (telephone and online) – General PBS administration Concept ID 25796</w:t>
            </w:r>
          </w:p>
          <w:p w14:paraId="684CBA39" w14:textId="120B59EE" w:rsidR="003A7739" w:rsidRPr="008E76AB" w:rsidRDefault="003A7739" w:rsidP="002A0ED1">
            <w:pPr>
              <w:rPr>
                <w:rFonts w:ascii="Arial Narrow" w:hAnsi="Arial Narrow"/>
                <w:i/>
                <w:color w:val="333333"/>
                <w:sz w:val="20"/>
                <w:szCs w:val="20"/>
              </w:rPr>
            </w:pPr>
            <w:r w:rsidRPr="008E76AB">
              <w:rPr>
                <w:rFonts w:ascii="Arial Narrow" w:hAnsi="Arial Narrow"/>
                <w:bCs/>
                <w:i/>
                <w:color w:val="333333"/>
                <w:sz w:val="20"/>
                <w:szCs w:val="20"/>
              </w:rPr>
              <w:t xml:space="preserve">Applications for authorisation under this restriction may be made in real time using the Online PBS Authorities system (see www.servicesaustralia.gov.au/HPOS) or by telephone by contacting Services Australia. </w:t>
            </w:r>
          </w:p>
        </w:tc>
      </w:tr>
      <w:tr w:rsidR="003A7739" w:rsidRPr="008E76AB" w14:paraId="03959F91" w14:textId="77777777" w:rsidTr="00317042">
        <w:trPr>
          <w:trHeight w:val="20"/>
        </w:trPr>
        <w:tc>
          <w:tcPr>
            <w:tcW w:w="5000" w:type="pct"/>
            <w:vAlign w:val="center"/>
            <w:hideMark/>
          </w:tcPr>
          <w:p w14:paraId="73B50BE1" w14:textId="16A3AAC3"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 xml:space="preserve">Administrative Advice: </w:t>
            </w:r>
            <w:r w:rsidRPr="008E76AB">
              <w:rPr>
                <w:rFonts w:ascii="Arial Narrow" w:hAnsi="Arial Narrow"/>
                <w:bCs/>
                <w:i/>
                <w:iCs/>
                <w:color w:val="333333"/>
                <w:sz w:val="20"/>
                <w:szCs w:val="20"/>
              </w:rPr>
              <w:t>Where treatment exceeding a total of 52 weeks’ is required in the current major depressive episode, further continuing authority and prescribing must be sought under the relevant PBS item.</w:t>
            </w:r>
          </w:p>
        </w:tc>
      </w:tr>
    </w:tbl>
    <w:p w14:paraId="7B71EF14" w14:textId="3AE1B4AD" w:rsidR="003A7739" w:rsidRPr="008E76AB" w:rsidRDefault="003A7739" w:rsidP="003A7739">
      <w:pP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3A7739" w:rsidRPr="008E76AB" w14:paraId="76AD3262"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5CEDC0EF" w14:textId="77777777" w:rsidR="003A7739" w:rsidRPr="008E76AB" w:rsidRDefault="003A7739" w:rsidP="00317042">
            <w:pPr>
              <w:rPr>
                <w:rFonts w:ascii="Arial Narrow" w:hAnsi="Arial Narrow"/>
                <w:sz w:val="20"/>
                <w:szCs w:val="20"/>
              </w:rPr>
            </w:pPr>
            <w:r w:rsidRPr="008E76AB">
              <w:rPr>
                <w:rFonts w:ascii="Arial Narrow" w:hAnsi="Arial Narrow"/>
                <w:b/>
                <w:sz w:val="20"/>
                <w:szCs w:val="20"/>
              </w:rPr>
              <w:t xml:space="preserve">Category / Program:   </w:t>
            </w:r>
          </w:p>
          <w:p w14:paraId="741F7A8C" w14:textId="2646A99B" w:rsidR="003A7739" w:rsidRPr="008E76AB" w:rsidRDefault="003A7739" w:rsidP="00317042">
            <w:pPr>
              <w:rPr>
                <w:rFonts w:ascii="Arial Narrow" w:hAnsi="Arial Narrow"/>
                <w:sz w:val="20"/>
                <w:szCs w:val="20"/>
              </w:rPr>
            </w:pPr>
            <w:r w:rsidRPr="008E76AB">
              <w:rPr>
                <w:rFonts w:ascii="Arial Narrow" w:hAnsi="Arial Narrow"/>
                <w:sz w:val="20"/>
                <w:szCs w:val="20"/>
              </w:rPr>
              <w:t>Section 100 – Highly Specialised Drugs Program {Public and Private Hospitals; Community Access}</w:t>
            </w:r>
          </w:p>
        </w:tc>
      </w:tr>
      <w:tr w:rsidR="003A7739" w:rsidRPr="008E76AB" w14:paraId="6AD27D4E"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6D72DE99" w14:textId="77777777" w:rsidR="003A7739" w:rsidRPr="008E76AB" w:rsidRDefault="003A7739" w:rsidP="00317042">
            <w:pPr>
              <w:rPr>
                <w:rFonts w:ascii="Arial Narrow" w:hAnsi="Arial Narrow"/>
                <w:sz w:val="20"/>
                <w:szCs w:val="20"/>
              </w:rPr>
            </w:pPr>
            <w:r w:rsidRPr="008E76AB">
              <w:rPr>
                <w:rFonts w:ascii="Arial Narrow" w:hAnsi="Arial Narrow"/>
                <w:b/>
                <w:sz w:val="20"/>
                <w:szCs w:val="20"/>
              </w:rPr>
              <w:t xml:space="preserve">Prescriber type:  </w:t>
            </w:r>
            <w:r w:rsidRPr="008E76AB">
              <w:rPr>
                <w:rFonts w:ascii="Arial Narrow" w:hAnsi="Arial Narrow"/>
                <w:sz w:val="20"/>
                <w:szCs w:val="20"/>
              </w:rPr>
              <w:fldChar w:fldCharType="begin" w:fldLock="1">
                <w:ffData>
                  <w:name w:val=""/>
                  <w:enabled/>
                  <w:calcOnExit w:val="0"/>
                  <w:checkBox>
                    <w:sizeAuto/>
                    <w:default w:val="0"/>
                  </w:checkBox>
                </w:ffData>
              </w:fldChar>
            </w:r>
            <w:r w:rsidRPr="008E76AB">
              <w:rPr>
                <w:rFonts w:ascii="Arial Narrow" w:hAnsi="Arial Narrow"/>
                <w:sz w:val="20"/>
                <w:szCs w:val="20"/>
              </w:rPr>
              <w:instrText xml:space="preserve"> FORMCHECKBOX </w:instrText>
            </w:r>
            <w:r w:rsidR="00A34B18">
              <w:rPr>
                <w:rFonts w:ascii="Arial Narrow" w:hAnsi="Arial Narrow"/>
                <w:sz w:val="20"/>
                <w:szCs w:val="20"/>
              </w:rPr>
            </w:r>
            <w:r w:rsidR="00A34B18">
              <w:rPr>
                <w:rFonts w:ascii="Arial Narrow" w:hAnsi="Arial Narrow"/>
                <w:sz w:val="20"/>
                <w:szCs w:val="20"/>
              </w:rPr>
              <w:fldChar w:fldCharType="separate"/>
            </w:r>
            <w:r w:rsidRPr="008E76AB">
              <w:rPr>
                <w:rFonts w:ascii="Arial Narrow" w:hAnsi="Arial Narrow"/>
                <w:sz w:val="20"/>
                <w:szCs w:val="20"/>
              </w:rPr>
              <w:fldChar w:fldCharType="end"/>
            </w:r>
            <w:r w:rsidRPr="008E76AB">
              <w:rPr>
                <w:rFonts w:ascii="Arial Narrow" w:hAnsi="Arial Narrow"/>
                <w:sz w:val="20"/>
                <w:szCs w:val="20"/>
              </w:rPr>
              <w:t xml:space="preserve">Medical Practitioners  </w:t>
            </w:r>
          </w:p>
        </w:tc>
      </w:tr>
      <w:tr w:rsidR="003A7739" w:rsidRPr="008E76AB" w14:paraId="3B457375"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281DFE91" w14:textId="77777777" w:rsidR="003A7739" w:rsidRPr="008E76AB" w:rsidRDefault="003A7739" w:rsidP="00317042">
            <w:pPr>
              <w:rPr>
                <w:rFonts w:ascii="Arial Narrow" w:hAnsi="Arial Narrow"/>
                <w:b/>
                <w:sz w:val="20"/>
                <w:szCs w:val="20"/>
              </w:rPr>
            </w:pPr>
            <w:r w:rsidRPr="008E76AB">
              <w:rPr>
                <w:rFonts w:ascii="Arial Narrow" w:hAnsi="Arial Narrow"/>
                <w:b/>
                <w:sz w:val="20"/>
                <w:szCs w:val="20"/>
              </w:rPr>
              <w:t>Restriction Level / Method:</w:t>
            </w:r>
          </w:p>
          <w:p w14:paraId="21BBC370" w14:textId="77777777" w:rsidR="003A7739" w:rsidRPr="008E76AB" w:rsidRDefault="003A7739" w:rsidP="00317042">
            <w:pPr>
              <w:rPr>
                <w:rFonts w:ascii="Arial Narrow" w:hAnsi="Arial Narrow"/>
                <w:sz w:val="20"/>
                <w:szCs w:val="20"/>
              </w:rPr>
            </w:pPr>
            <w:r w:rsidRPr="008E76AB">
              <w:rPr>
                <w:rFonts w:ascii="Arial Narrow" w:hAnsi="Arial Narrow"/>
                <w:sz w:val="20"/>
                <w:szCs w:val="20"/>
              </w:rPr>
              <w:fldChar w:fldCharType="begin" w:fldLock="1">
                <w:ffData>
                  <w:name w:val="Check3"/>
                  <w:enabled/>
                  <w:calcOnExit w:val="0"/>
                  <w:checkBox>
                    <w:sizeAuto/>
                    <w:default w:val="0"/>
                  </w:checkBox>
                </w:ffData>
              </w:fldChar>
            </w:r>
            <w:r w:rsidRPr="008E76AB">
              <w:rPr>
                <w:rFonts w:ascii="Arial Narrow" w:hAnsi="Arial Narrow"/>
                <w:sz w:val="20"/>
                <w:szCs w:val="20"/>
              </w:rPr>
              <w:instrText xml:space="preserve"> FORMCHECKBOX </w:instrText>
            </w:r>
            <w:r w:rsidR="00A34B18">
              <w:rPr>
                <w:rFonts w:ascii="Arial Narrow" w:hAnsi="Arial Narrow"/>
                <w:sz w:val="20"/>
                <w:szCs w:val="20"/>
              </w:rPr>
            </w:r>
            <w:r w:rsidR="00A34B18">
              <w:rPr>
                <w:rFonts w:ascii="Arial Narrow" w:hAnsi="Arial Narrow"/>
                <w:sz w:val="20"/>
                <w:szCs w:val="20"/>
              </w:rPr>
              <w:fldChar w:fldCharType="separate"/>
            </w:r>
            <w:r w:rsidRPr="008E76AB">
              <w:rPr>
                <w:rFonts w:ascii="Arial Narrow" w:hAnsi="Arial Narrow"/>
                <w:sz w:val="20"/>
                <w:szCs w:val="20"/>
              </w:rPr>
              <w:fldChar w:fldCharType="end"/>
            </w:r>
            <w:r w:rsidRPr="008E76AB">
              <w:rPr>
                <w:rFonts w:ascii="Arial Narrow" w:hAnsi="Arial Narrow"/>
                <w:sz w:val="20"/>
                <w:szCs w:val="20"/>
              </w:rPr>
              <w:t>Authority Required – Telephone/Electronic/Emergency</w:t>
            </w:r>
          </w:p>
        </w:tc>
      </w:tr>
      <w:tr w:rsidR="003A7739" w:rsidRPr="008E76AB" w14:paraId="3899B2D0" w14:textId="77777777" w:rsidTr="00317042">
        <w:trPr>
          <w:trHeight w:val="20"/>
        </w:trPr>
        <w:tc>
          <w:tcPr>
            <w:tcW w:w="5000" w:type="pct"/>
            <w:vAlign w:val="center"/>
          </w:tcPr>
          <w:p w14:paraId="726B2C30" w14:textId="77777777" w:rsidR="003A7739" w:rsidRPr="008E76AB" w:rsidRDefault="003A7739" w:rsidP="00317042">
            <w:pPr>
              <w:rPr>
                <w:rFonts w:ascii="Arial Narrow" w:hAnsi="Arial Narrow"/>
                <w:color w:val="333333"/>
                <w:sz w:val="20"/>
                <w:szCs w:val="20"/>
              </w:rPr>
            </w:pPr>
            <w:r w:rsidRPr="008E76AB">
              <w:rPr>
                <w:rFonts w:ascii="Arial Narrow" w:hAnsi="Arial Narrow"/>
                <w:b/>
                <w:bCs/>
                <w:color w:val="333333"/>
                <w:sz w:val="20"/>
                <w:szCs w:val="20"/>
              </w:rPr>
              <w:lastRenderedPageBreak/>
              <w:t>Administrative Advice:</w:t>
            </w:r>
          </w:p>
          <w:p w14:paraId="148B21BB" w14:textId="77777777" w:rsidR="003A7739" w:rsidRPr="008E76AB" w:rsidRDefault="003A7739" w:rsidP="00317042">
            <w:pPr>
              <w:rPr>
                <w:rFonts w:ascii="Arial Narrow" w:hAnsi="Arial Narrow"/>
                <w:color w:val="333333"/>
                <w:sz w:val="20"/>
                <w:szCs w:val="20"/>
              </w:rPr>
            </w:pPr>
            <w:r w:rsidRPr="008E76AB">
              <w:rPr>
                <w:rFonts w:ascii="Arial Narrow" w:hAnsi="Arial Narrow"/>
                <w:color w:val="333333"/>
                <w:sz w:val="20"/>
                <w:szCs w:val="20"/>
              </w:rPr>
              <w:t>Insert administrative notes here that may apply across multiple restrictions; otherwise delete this row</w:t>
            </w:r>
          </w:p>
        </w:tc>
      </w:tr>
      <w:tr w:rsidR="003A7739" w:rsidRPr="008E76AB" w14:paraId="77007149" w14:textId="77777777" w:rsidTr="00317042">
        <w:trPr>
          <w:trHeight w:val="20"/>
        </w:trPr>
        <w:tc>
          <w:tcPr>
            <w:tcW w:w="5000" w:type="pct"/>
            <w:vAlign w:val="center"/>
          </w:tcPr>
          <w:p w14:paraId="2516CE98" w14:textId="77777777" w:rsidR="003A7739" w:rsidRPr="008E76AB" w:rsidRDefault="003A7739" w:rsidP="00317042">
            <w:pPr>
              <w:rPr>
                <w:rFonts w:ascii="Arial Narrow" w:hAnsi="Arial Narrow"/>
                <w:b/>
                <w:bCs/>
                <w:color w:val="333333"/>
                <w:sz w:val="20"/>
                <w:szCs w:val="20"/>
              </w:rPr>
            </w:pPr>
            <w:r w:rsidRPr="008E76AB">
              <w:rPr>
                <w:rFonts w:ascii="Arial Narrow" w:hAnsi="Arial Narrow"/>
                <w:b/>
                <w:bCs/>
                <w:color w:val="333333"/>
                <w:sz w:val="20"/>
                <w:szCs w:val="20"/>
              </w:rPr>
              <w:t xml:space="preserve">Condition: </w:t>
            </w:r>
            <w:r w:rsidRPr="008E76AB">
              <w:rPr>
                <w:rFonts w:ascii="Arial Narrow" w:hAnsi="Arial Narrow"/>
                <w:bCs/>
                <w:color w:val="333333"/>
                <w:sz w:val="20"/>
                <w:szCs w:val="20"/>
              </w:rPr>
              <w:t>Major depressive disorder</w:t>
            </w:r>
          </w:p>
        </w:tc>
      </w:tr>
      <w:tr w:rsidR="003A7739" w:rsidRPr="008E76AB" w14:paraId="111B4126" w14:textId="77777777" w:rsidTr="00317042">
        <w:trPr>
          <w:trHeight w:val="20"/>
        </w:trPr>
        <w:tc>
          <w:tcPr>
            <w:tcW w:w="5000" w:type="pct"/>
            <w:vAlign w:val="center"/>
            <w:hideMark/>
          </w:tcPr>
          <w:p w14:paraId="6706F614" w14:textId="77777777" w:rsidR="003A7739" w:rsidRPr="008E76AB" w:rsidRDefault="003A7739" w:rsidP="00317042">
            <w:pPr>
              <w:rPr>
                <w:rFonts w:ascii="Arial Narrow" w:hAnsi="Arial Narrow"/>
                <w:color w:val="333333"/>
                <w:sz w:val="20"/>
                <w:szCs w:val="20"/>
              </w:rPr>
            </w:pPr>
            <w:r w:rsidRPr="008E76AB">
              <w:rPr>
                <w:rFonts w:ascii="Arial Narrow" w:hAnsi="Arial Narrow"/>
                <w:b/>
                <w:bCs/>
                <w:color w:val="333333"/>
                <w:sz w:val="20"/>
                <w:szCs w:val="20"/>
              </w:rPr>
              <w:t xml:space="preserve">Indication: </w:t>
            </w:r>
            <w:r w:rsidRPr="008E76AB">
              <w:rPr>
                <w:rFonts w:ascii="Arial Narrow" w:hAnsi="Arial Narrow"/>
                <w:strike/>
                <w:color w:val="333333"/>
                <w:sz w:val="20"/>
                <w:szCs w:val="20"/>
              </w:rPr>
              <w:t>Major depression</w:t>
            </w:r>
            <w:r w:rsidRPr="008E76AB">
              <w:rPr>
                <w:rFonts w:ascii="Arial Narrow" w:hAnsi="Arial Narrow"/>
                <w:color w:val="333333"/>
                <w:sz w:val="20"/>
                <w:szCs w:val="20"/>
              </w:rPr>
              <w:t xml:space="preserve"> </w:t>
            </w:r>
            <w:r w:rsidRPr="008E76AB">
              <w:rPr>
                <w:rFonts w:ascii="Arial Narrow" w:hAnsi="Arial Narrow"/>
                <w:i/>
                <w:iCs/>
                <w:color w:val="333333"/>
                <w:sz w:val="20"/>
                <w:szCs w:val="20"/>
              </w:rPr>
              <w:t>Major depressive disorder</w:t>
            </w:r>
          </w:p>
        </w:tc>
      </w:tr>
      <w:tr w:rsidR="003A7739" w:rsidRPr="008E76AB" w14:paraId="38E22D6C" w14:textId="77777777" w:rsidTr="00317042">
        <w:trPr>
          <w:trHeight w:val="20"/>
        </w:trPr>
        <w:tc>
          <w:tcPr>
            <w:tcW w:w="5000" w:type="pct"/>
            <w:vAlign w:val="center"/>
            <w:hideMark/>
          </w:tcPr>
          <w:p w14:paraId="5D9F0726" w14:textId="77777777" w:rsidR="003A7739" w:rsidRPr="008E76AB" w:rsidRDefault="003A7739" w:rsidP="00317042">
            <w:pPr>
              <w:rPr>
                <w:rFonts w:ascii="Arial Narrow" w:hAnsi="Arial Narrow"/>
                <w:color w:val="333333"/>
                <w:sz w:val="20"/>
                <w:szCs w:val="20"/>
              </w:rPr>
            </w:pPr>
            <w:r w:rsidRPr="008E76AB">
              <w:rPr>
                <w:rFonts w:ascii="Arial Narrow" w:hAnsi="Arial Narrow"/>
                <w:b/>
                <w:bCs/>
                <w:color w:val="333333"/>
                <w:sz w:val="20"/>
                <w:szCs w:val="20"/>
              </w:rPr>
              <w:t>Treatment Phase:</w:t>
            </w:r>
            <w:r w:rsidRPr="008E76AB">
              <w:rPr>
                <w:rFonts w:ascii="Arial Narrow" w:hAnsi="Arial Narrow"/>
                <w:i/>
                <w:iCs/>
                <w:color w:val="333333"/>
                <w:sz w:val="20"/>
                <w:szCs w:val="20"/>
              </w:rPr>
              <w:t xml:space="preserve"> Extended</w:t>
            </w:r>
            <w:r w:rsidRPr="008E76AB">
              <w:rPr>
                <w:rFonts w:ascii="Arial Narrow" w:hAnsi="Arial Narrow"/>
                <w:color w:val="333333"/>
                <w:sz w:val="20"/>
                <w:szCs w:val="20"/>
              </w:rPr>
              <w:t xml:space="preserve"> continuing treatment – </w:t>
            </w:r>
            <w:r w:rsidRPr="008E76AB">
              <w:rPr>
                <w:rFonts w:ascii="Arial Narrow" w:hAnsi="Arial Narrow"/>
                <w:i/>
                <w:iCs/>
                <w:color w:val="333333"/>
                <w:sz w:val="20"/>
                <w:szCs w:val="20"/>
              </w:rPr>
              <w:t>beyond 52 weeks’ treatment</w:t>
            </w:r>
            <w:r w:rsidRPr="008E76AB">
              <w:rPr>
                <w:rFonts w:ascii="Arial Narrow" w:hAnsi="Arial Narrow"/>
                <w:color w:val="333333"/>
                <w:sz w:val="20"/>
                <w:szCs w:val="20"/>
              </w:rPr>
              <w:t xml:space="preserve"> </w:t>
            </w:r>
            <w:r w:rsidRPr="008E76AB">
              <w:rPr>
                <w:rFonts w:ascii="Arial Narrow" w:hAnsi="Arial Narrow"/>
                <w:strike/>
                <w:color w:val="333333"/>
                <w:sz w:val="20"/>
                <w:szCs w:val="20"/>
              </w:rPr>
              <w:t>(weeks 53 and beyond of the same treatment episode) where the intended administered dose is [28 mg / 56 mg / 84 mg]</w:t>
            </w:r>
          </w:p>
        </w:tc>
      </w:tr>
      <w:tr w:rsidR="003A7739" w:rsidRPr="008E76AB" w14:paraId="7BC8E42F" w14:textId="77777777" w:rsidTr="00317042">
        <w:trPr>
          <w:trHeight w:val="20"/>
        </w:trPr>
        <w:tc>
          <w:tcPr>
            <w:tcW w:w="5000" w:type="pct"/>
            <w:vAlign w:val="center"/>
            <w:hideMark/>
          </w:tcPr>
          <w:p w14:paraId="57F5624C" w14:textId="77777777" w:rsidR="003A7739" w:rsidRPr="008E76AB" w:rsidRDefault="003A7739" w:rsidP="00317042">
            <w:pPr>
              <w:rPr>
                <w:rFonts w:ascii="Arial Narrow" w:hAnsi="Arial Narrow"/>
                <w:color w:val="333333"/>
                <w:sz w:val="20"/>
                <w:szCs w:val="20"/>
              </w:rPr>
            </w:pPr>
            <w:r w:rsidRPr="008E76AB">
              <w:rPr>
                <w:rFonts w:ascii="Arial Narrow" w:hAnsi="Arial Narrow"/>
                <w:b/>
                <w:bCs/>
                <w:color w:val="333333"/>
                <w:sz w:val="20"/>
                <w:szCs w:val="20"/>
              </w:rPr>
              <w:t>Clinical criteria:</w:t>
            </w:r>
          </w:p>
        </w:tc>
      </w:tr>
      <w:tr w:rsidR="003A7739" w:rsidRPr="008E76AB" w14:paraId="0624EE95" w14:textId="77777777" w:rsidTr="00317042">
        <w:trPr>
          <w:trHeight w:val="20"/>
        </w:trPr>
        <w:tc>
          <w:tcPr>
            <w:tcW w:w="5000" w:type="pct"/>
            <w:vAlign w:val="center"/>
            <w:hideMark/>
          </w:tcPr>
          <w:p w14:paraId="64E6D276" w14:textId="77777777" w:rsidR="003A7739" w:rsidRPr="008E76AB" w:rsidRDefault="003A7739" w:rsidP="00317042">
            <w:pPr>
              <w:rPr>
                <w:rFonts w:ascii="Arial Narrow" w:hAnsi="Arial Narrow"/>
                <w:color w:val="333333"/>
                <w:sz w:val="20"/>
                <w:szCs w:val="20"/>
              </w:rPr>
            </w:pPr>
            <w:r w:rsidRPr="008E76AB">
              <w:rPr>
                <w:rFonts w:ascii="Arial Narrow" w:hAnsi="Arial Narrow"/>
                <w:color w:val="333333"/>
                <w:sz w:val="20"/>
                <w:szCs w:val="20"/>
              </w:rPr>
              <w:t xml:space="preserve">The treatment must be to continue existing PBS-subsidised treatment for the same episode of major depression in patients who have received </w:t>
            </w:r>
            <w:r w:rsidRPr="008E76AB">
              <w:rPr>
                <w:rFonts w:ascii="Arial Narrow" w:hAnsi="Arial Narrow"/>
                <w:strike/>
                <w:color w:val="333333"/>
                <w:sz w:val="20"/>
                <w:szCs w:val="20"/>
              </w:rPr>
              <w:t xml:space="preserve">12 </w:t>
            </w:r>
            <w:r w:rsidRPr="008E76AB">
              <w:rPr>
                <w:rFonts w:ascii="Arial Narrow" w:hAnsi="Arial Narrow"/>
                <w:i/>
                <w:iCs/>
                <w:strike/>
                <w:color w:val="333333"/>
                <w:sz w:val="20"/>
                <w:szCs w:val="20"/>
              </w:rPr>
              <w:t>months</w:t>
            </w:r>
            <w:r w:rsidRPr="008E76AB">
              <w:rPr>
                <w:rFonts w:ascii="Arial Narrow" w:hAnsi="Arial Narrow"/>
                <w:i/>
                <w:iCs/>
                <w:color w:val="333333"/>
                <w:sz w:val="20"/>
                <w:szCs w:val="20"/>
              </w:rPr>
              <w:t xml:space="preserve"> 52 weeks</w:t>
            </w:r>
            <w:r w:rsidRPr="008E76AB">
              <w:rPr>
                <w:rFonts w:ascii="Arial Narrow" w:hAnsi="Arial Narrow"/>
                <w:color w:val="333333"/>
                <w:sz w:val="20"/>
                <w:szCs w:val="20"/>
              </w:rPr>
              <w:t xml:space="preserve"> of treatment with esketamine</w:t>
            </w:r>
          </w:p>
        </w:tc>
      </w:tr>
      <w:tr w:rsidR="003A7739" w:rsidRPr="008E76AB" w14:paraId="54AA7D50" w14:textId="77777777" w:rsidTr="00317042">
        <w:trPr>
          <w:trHeight w:val="20"/>
        </w:trPr>
        <w:tc>
          <w:tcPr>
            <w:tcW w:w="5000" w:type="pct"/>
            <w:vAlign w:val="center"/>
            <w:hideMark/>
          </w:tcPr>
          <w:p w14:paraId="51E18B51" w14:textId="77777777" w:rsidR="003A7739" w:rsidRPr="008E76AB" w:rsidRDefault="003A7739" w:rsidP="00317042">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40041CBC" w14:textId="77777777" w:rsidTr="00317042">
        <w:trPr>
          <w:trHeight w:val="20"/>
        </w:trPr>
        <w:tc>
          <w:tcPr>
            <w:tcW w:w="5000" w:type="pct"/>
            <w:vAlign w:val="center"/>
            <w:hideMark/>
          </w:tcPr>
          <w:p w14:paraId="2B964C91" w14:textId="77777777" w:rsidR="003A7739" w:rsidRPr="008E76AB" w:rsidRDefault="003A7739" w:rsidP="00317042">
            <w:pPr>
              <w:rPr>
                <w:rFonts w:ascii="Arial Narrow" w:hAnsi="Arial Narrow"/>
                <w:color w:val="333333"/>
                <w:sz w:val="20"/>
                <w:szCs w:val="20"/>
              </w:rPr>
            </w:pPr>
            <w:r w:rsidRPr="008E76AB">
              <w:rPr>
                <w:rFonts w:ascii="Arial Narrow" w:hAnsi="Arial Narrow"/>
                <w:b/>
                <w:bCs/>
                <w:color w:val="333333"/>
                <w:sz w:val="20"/>
                <w:szCs w:val="20"/>
              </w:rPr>
              <w:t>Clinical criteria:</w:t>
            </w:r>
          </w:p>
        </w:tc>
      </w:tr>
      <w:tr w:rsidR="003A7739" w:rsidRPr="008E76AB" w14:paraId="3ECEE561" w14:textId="77777777" w:rsidTr="00317042">
        <w:trPr>
          <w:trHeight w:val="20"/>
        </w:trPr>
        <w:tc>
          <w:tcPr>
            <w:tcW w:w="5000" w:type="pct"/>
            <w:vAlign w:val="center"/>
            <w:hideMark/>
          </w:tcPr>
          <w:p w14:paraId="78CF2BC4" w14:textId="77777777" w:rsidR="003A7739" w:rsidRPr="008E76AB" w:rsidRDefault="003A7739" w:rsidP="00317042">
            <w:pPr>
              <w:rPr>
                <w:rFonts w:ascii="Arial Narrow" w:hAnsi="Arial Narrow"/>
                <w:color w:val="333333"/>
                <w:sz w:val="20"/>
                <w:szCs w:val="20"/>
              </w:rPr>
            </w:pPr>
            <w:r w:rsidRPr="008E76AB">
              <w:rPr>
                <w:rFonts w:ascii="Arial Narrow" w:hAnsi="Arial Narrow"/>
                <w:color w:val="333333"/>
                <w:sz w:val="20"/>
                <w:szCs w:val="20"/>
              </w:rPr>
              <w:t xml:space="preserve">The treatment must not exceed each of: (i) an administered dose beyond 84 mg, (ii) a quantity of drug, after accounting for repeat prescriptions plus different pack sizes where prescribed, that would exceed a quantity sufficient to treat the patient for 12 weeks </w:t>
            </w:r>
            <w:r w:rsidRPr="008E76AB">
              <w:rPr>
                <w:rFonts w:ascii="Arial Narrow" w:hAnsi="Arial Narrow"/>
                <w:strike/>
                <w:color w:val="333333"/>
                <w:sz w:val="20"/>
                <w:szCs w:val="20"/>
              </w:rPr>
              <w:t>(i.e. the listed maximum quantity is based on once weekly dosing – where fortnightly dosing is prescribed, the authority application is to seek no more than half the listed maximum quantity of this listing)</w:t>
            </w:r>
          </w:p>
        </w:tc>
      </w:tr>
      <w:tr w:rsidR="003A7739" w:rsidRPr="008E76AB" w14:paraId="6FE9CCEB" w14:textId="77777777" w:rsidTr="00317042">
        <w:trPr>
          <w:trHeight w:val="20"/>
        </w:trPr>
        <w:tc>
          <w:tcPr>
            <w:tcW w:w="5000" w:type="pct"/>
            <w:vAlign w:val="center"/>
            <w:hideMark/>
          </w:tcPr>
          <w:p w14:paraId="224298BA" w14:textId="77777777" w:rsidR="003A7739" w:rsidRPr="008E76AB" w:rsidRDefault="003A7739" w:rsidP="00317042">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4E212CA3" w14:textId="77777777" w:rsidTr="00317042">
        <w:trPr>
          <w:trHeight w:val="20"/>
        </w:trPr>
        <w:tc>
          <w:tcPr>
            <w:tcW w:w="5000" w:type="pct"/>
            <w:vAlign w:val="center"/>
          </w:tcPr>
          <w:p w14:paraId="776739CC" w14:textId="77777777" w:rsidR="003A7739" w:rsidRPr="008E76AB" w:rsidRDefault="003A7739" w:rsidP="00317042">
            <w:pPr>
              <w:rPr>
                <w:rFonts w:ascii="Arial Narrow" w:hAnsi="Arial Narrow"/>
                <w:b/>
                <w:bCs/>
                <w:color w:val="333333"/>
                <w:sz w:val="20"/>
                <w:szCs w:val="20"/>
              </w:rPr>
            </w:pPr>
            <w:r w:rsidRPr="008E76AB">
              <w:rPr>
                <w:rFonts w:ascii="Arial Narrow" w:hAnsi="Arial Narrow"/>
                <w:b/>
                <w:bCs/>
                <w:color w:val="333333"/>
                <w:sz w:val="20"/>
                <w:szCs w:val="20"/>
              </w:rPr>
              <w:t>Treatment criteria:</w:t>
            </w:r>
          </w:p>
        </w:tc>
      </w:tr>
      <w:tr w:rsidR="003A7739" w:rsidRPr="008E76AB" w14:paraId="2A63397C" w14:textId="77777777" w:rsidTr="00317042">
        <w:trPr>
          <w:trHeight w:val="20"/>
        </w:trPr>
        <w:tc>
          <w:tcPr>
            <w:tcW w:w="5000" w:type="pct"/>
            <w:vAlign w:val="center"/>
          </w:tcPr>
          <w:p w14:paraId="69BA47D9" w14:textId="77777777" w:rsidR="003A7739" w:rsidRPr="008E76AB" w:rsidRDefault="003A7739" w:rsidP="00317042">
            <w:pPr>
              <w:rPr>
                <w:rFonts w:ascii="Arial Narrow" w:hAnsi="Arial Narrow"/>
                <w:b/>
                <w:bCs/>
                <w:color w:val="333333"/>
                <w:sz w:val="20"/>
                <w:szCs w:val="20"/>
              </w:rPr>
            </w:pPr>
            <w:r w:rsidRPr="008E76AB">
              <w:rPr>
                <w:rFonts w:ascii="Arial Narrow" w:hAnsi="Arial Narrow" w:cs="Arial Narrow"/>
                <w:sz w:val="20"/>
                <w:szCs w:val="20"/>
              </w:rPr>
              <w:t xml:space="preserve">Patient must be undergoing concomitant treatment with </w:t>
            </w:r>
            <w:r w:rsidRPr="008E76AB">
              <w:rPr>
                <w:rFonts w:ascii="Arial Narrow" w:hAnsi="Arial Narrow" w:cs="Arial Narrow"/>
                <w:strike/>
                <w:sz w:val="20"/>
                <w:szCs w:val="20"/>
              </w:rPr>
              <w:t>an</w:t>
            </w:r>
            <w:r w:rsidRPr="008E76AB">
              <w:rPr>
                <w:rFonts w:ascii="Arial Narrow" w:hAnsi="Arial Narrow" w:cs="Arial Narrow"/>
                <w:sz w:val="20"/>
                <w:szCs w:val="20"/>
              </w:rPr>
              <w:t xml:space="preserve"> oral anti-depressant drug therapy</w:t>
            </w:r>
          </w:p>
        </w:tc>
      </w:tr>
      <w:tr w:rsidR="003A7739" w:rsidRPr="008E76AB" w14:paraId="2AD187DA" w14:textId="77777777" w:rsidTr="00317042">
        <w:trPr>
          <w:trHeight w:val="20"/>
        </w:trPr>
        <w:tc>
          <w:tcPr>
            <w:tcW w:w="5000" w:type="pct"/>
            <w:vAlign w:val="center"/>
          </w:tcPr>
          <w:p w14:paraId="3BA101DE" w14:textId="77777777" w:rsidR="003A7739" w:rsidRPr="008E76AB" w:rsidRDefault="003A7739" w:rsidP="00317042">
            <w:pPr>
              <w:rPr>
                <w:rFonts w:ascii="Arial Narrow" w:hAnsi="Arial Narrow"/>
                <w:b/>
                <w:bCs/>
                <w:strike/>
                <w:color w:val="333333"/>
                <w:sz w:val="20"/>
                <w:szCs w:val="20"/>
              </w:rPr>
            </w:pPr>
            <w:r w:rsidRPr="008E76AB">
              <w:rPr>
                <w:rFonts w:ascii="Arial Narrow" w:hAnsi="Arial Narrow"/>
                <w:b/>
                <w:bCs/>
                <w:strike/>
                <w:color w:val="333333"/>
                <w:sz w:val="20"/>
                <w:szCs w:val="20"/>
              </w:rPr>
              <w:t>AND</w:t>
            </w:r>
          </w:p>
        </w:tc>
      </w:tr>
      <w:tr w:rsidR="003A7739" w:rsidRPr="008E76AB" w14:paraId="431F0AFA" w14:textId="77777777" w:rsidTr="00317042">
        <w:trPr>
          <w:trHeight w:val="20"/>
        </w:trPr>
        <w:tc>
          <w:tcPr>
            <w:tcW w:w="5000" w:type="pct"/>
            <w:vAlign w:val="center"/>
          </w:tcPr>
          <w:p w14:paraId="435586BE" w14:textId="77777777" w:rsidR="003A7739" w:rsidRPr="008E76AB" w:rsidRDefault="003A7739" w:rsidP="00317042">
            <w:pPr>
              <w:rPr>
                <w:rFonts w:ascii="Arial Narrow" w:hAnsi="Arial Narrow"/>
                <w:b/>
                <w:bCs/>
                <w:strike/>
                <w:color w:val="333333"/>
                <w:sz w:val="20"/>
                <w:szCs w:val="20"/>
              </w:rPr>
            </w:pPr>
            <w:r w:rsidRPr="008E76AB">
              <w:rPr>
                <w:rFonts w:ascii="Arial Narrow" w:hAnsi="Arial Narrow"/>
                <w:b/>
                <w:bCs/>
                <w:strike/>
                <w:color w:val="333333"/>
                <w:sz w:val="20"/>
                <w:szCs w:val="20"/>
              </w:rPr>
              <w:t>Treatment criteria:</w:t>
            </w:r>
          </w:p>
        </w:tc>
      </w:tr>
      <w:tr w:rsidR="003A7739" w:rsidRPr="008E76AB" w14:paraId="09D43AA3" w14:textId="77777777" w:rsidTr="00317042">
        <w:trPr>
          <w:trHeight w:val="20"/>
        </w:trPr>
        <w:tc>
          <w:tcPr>
            <w:tcW w:w="5000" w:type="pct"/>
            <w:vAlign w:val="center"/>
          </w:tcPr>
          <w:p w14:paraId="18F4FE80" w14:textId="77777777" w:rsidR="003A7739" w:rsidRPr="008E76AB" w:rsidRDefault="003A7739" w:rsidP="00317042">
            <w:pPr>
              <w:rPr>
                <w:rFonts w:ascii="Arial Narrow" w:hAnsi="Arial Narrow"/>
                <w:b/>
                <w:bCs/>
                <w:strike/>
                <w:color w:val="333333"/>
                <w:sz w:val="20"/>
                <w:szCs w:val="20"/>
              </w:rPr>
            </w:pPr>
            <w:r w:rsidRPr="008E76AB">
              <w:rPr>
                <w:rFonts w:ascii="Arial Narrow" w:hAnsi="Arial Narrow"/>
                <w:b/>
                <w:strike/>
                <w:sz w:val="20"/>
                <w:szCs w:val="20"/>
              </w:rPr>
              <w:t xml:space="preserve">[Section 100 Public Hospital only] </w:t>
            </w:r>
            <w:r w:rsidRPr="008E76AB">
              <w:rPr>
                <w:rFonts w:ascii="Arial Narrow" w:hAnsi="Arial Narrow"/>
                <w:strike/>
                <w:sz w:val="20"/>
                <w:szCs w:val="20"/>
              </w:rPr>
              <w:t>Must be treated in a public hospital outpatient clinic</w:t>
            </w:r>
          </w:p>
        </w:tc>
      </w:tr>
      <w:tr w:rsidR="003A7739" w:rsidRPr="008E76AB" w14:paraId="26EE80F1" w14:textId="77777777" w:rsidTr="00317042">
        <w:trPr>
          <w:trHeight w:val="20"/>
        </w:trPr>
        <w:tc>
          <w:tcPr>
            <w:tcW w:w="5000" w:type="pct"/>
            <w:vAlign w:val="center"/>
          </w:tcPr>
          <w:p w14:paraId="2DDA334B" w14:textId="77777777" w:rsidR="003A7739" w:rsidRPr="008E76AB" w:rsidRDefault="003A7739" w:rsidP="00317042">
            <w:pPr>
              <w:rPr>
                <w:rFonts w:ascii="Arial Narrow" w:hAnsi="Arial Narrow"/>
                <w:b/>
                <w:bCs/>
                <w:strike/>
                <w:color w:val="333333"/>
                <w:sz w:val="20"/>
                <w:szCs w:val="20"/>
              </w:rPr>
            </w:pPr>
            <w:r w:rsidRPr="008E76AB">
              <w:rPr>
                <w:rFonts w:ascii="Arial Narrow" w:hAnsi="Arial Narrow"/>
                <w:b/>
                <w:strike/>
                <w:sz w:val="20"/>
                <w:szCs w:val="20"/>
              </w:rPr>
              <w:t xml:space="preserve">[Section 100 Private Hospital only] </w:t>
            </w:r>
            <w:r w:rsidRPr="008E76AB">
              <w:rPr>
                <w:rFonts w:ascii="Arial Narrow" w:hAnsi="Arial Narrow"/>
                <w:strike/>
                <w:sz w:val="20"/>
                <w:szCs w:val="20"/>
              </w:rPr>
              <w:t>Must be treated in a hospital that is not a public hospital</w:t>
            </w:r>
          </w:p>
        </w:tc>
      </w:tr>
      <w:tr w:rsidR="003A7739" w:rsidRPr="008E76AB" w14:paraId="615002AD" w14:textId="77777777" w:rsidTr="00317042">
        <w:trPr>
          <w:trHeight w:val="20"/>
        </w:trPr>
        <w:tc>
          <w:tcPr>
            <w:tcW w:w="5000" w:type="pct"/>
            <w:vAlign w:val="center"/>
          </w:tcPr>
          <w:p w14:paraId="26D555F9" w14:textId="77777777" w:rsidR="003A7739" w:rsidRPr="008E76AB" w:rsidRDefault="003A7739" w:rsidP="00317042">
            <w:pPr>
              <w:rPr>
                <w:rFonts w:ascii="Arial Narrow" w:hAnsi="Arial Narrow"/>
                <w:b/>
                <w:bCs/>
                <w:color w:val="333333"/>
                <w:sz w:val="20"/>
                <w:szCs w:val="20"/>
              </w:rPr>
            </w:pPr>
            <w:r w:rsidRPr="008E76AB">
              <w:rPr>
                <w:rFonts w:ascii="Arial Narrow" w:hAnsi="Arial Narrow"/>
                <w:b/>
                <w:bCs/>
                <w:color w:val="333333"/>
                <w:sz w:val="20"/>
                <w:szCs w:val="20"/>
              </w:rPr>
              <w:t>AND</w:t>
            </w:r>
          </w:p>
        </w:tc>
      </w:tr>
      <w:tr w:rsidR="003A7739" w:rsidRPr="008E76AB" w14:paraId="3616F61F" w14:textId="77777777" w:rsidTr="00317042">
        <w:trPr>
          <w:trHeight w:val="20"/>
        </w:trPr>
        <w:tc>
          <w:tcPr>
            <w:tcW w:w="5000" w:type="pct"/>
            <w:vAlign w:val="center"/>
          </w:tcPr>
          <w:p w14:paraId="5583A327" w14:textId="77777777" w:rsidR="003A7739" w:rsidRPr="008E76AB" w:rsidRDefault="003A7739" w:rsidP="00317042">
            <w:pPr>
              <w:rPr>
                <w:rFonts w:ascii="Arial Narrow" w:hAnsi="Arial Narrow"/>
                <w:b/>
                <w:bCs/>
                <w:color w:val="333333"/>
                <w:sz w:val="20"/>
                <w:szCs w:val="20"/>
              </w:rPr>
            </w:pPr>
            <w:r w:rsidRPr="008E76AB">
              <w:rPr>
                <w:rFonts w:ascii="Arial Narrow" w:hAnsi="Arial Narrow"/>
                <w:b/>
                <w:bCs/>
                <w:color w:val="333333"/>
                <w:sz w:val="20"/>
                <w:szCs w:val="20"/>
              </w:rPr>
              <w:t>Treatment criteria:</w:t>
            </w:r>
          </w:p>
        </w:tc>
      </w:tr>
      <w:tr w:rsidR="003A7739" w:rsidRPr="008E76AB" w14:paraId="7C785C4F" w14:textId="77777777" w:rsidTr="00317042">
        <w:trPr>
          <w:trHeight w:val="20"/>
        </w:trPr>
        <w:tc>
          <w:tcPr>
            <w:tcW w:w="5000" w:type="pct"/>
            <w:vAlign w:val="center"/>
          </w:tcPr>
          <w:p w14:paraId="29ECCCC5" w14:textId="77777777" w:rsidR="003A7739" w:rsidRPr="008E76AB" w:rsidRDefault="003A7739" w:rsidP="00317042">
            <w:pPr>
              <w:rPr>
                <w:rFonts w:ascii="Arial Narrow" w:hAnsi="Arial Narrow"/>
                <w:b/>
                <w:bCs/>
                <w:color w:val="333333"/>
                <w:sz w:val="20"/>
                <w:szCs w:val="20"/>
              </w:rPr>
            </w:pPr>
            <w:r w:rsidRPr="008E76AB">
              <w:rPr>
                <w:rFonts w:ascii="Arial Narrow" w:hAnsi="Arial Narrow"/>
                <w:color w:val="333333"/>
                <w:sz w:val="20"/>
                <w:szCs w:val="20"/>
              </w:rPr>
              <w:t>Must be treated by a psychiatrist</w:t>
            </w:r>
          </w:p>
        </w:tc>
      </w:tr>
      <w:tr w:rsidR="003A7739" w:rsidRPr="008E76AB" w14:paraId="59FB90FB" w14:textId="77777777" w:rsidTr="00317042">
        <w:trPr>
          <w:trHeight w:val="20"/>
        </w:trPr>
        <w:tc>
          <w:tcPr>
            <w:tcW w:w="5000" w:type="pct"/>
            <w:vAlign w:val="center"/>
          </w:tcPr>
          <w:p w14:paraId="307A2C20" w14:textId="77777777" w:rsidR="003A7739" w:rsidRPr="008E76AB" w:rsidRDefault="003A7739" w:rsidP="00317042">
            <w:pPr>
              <w:rPr>
                <w:rFonts w:ascii="Arial Narrow" w:hAnsi="Arial Narrow"/>
                <w:b/>
                <w:bCs/>
                <w:strike/>
                <w:color w:val="333333"/>
                <w:sz w:val="20"/>
                <w:szCs w:val="20"/>
              </w:rPr>
            </w:pPr>
            <w:r w:rsidRPr="008E76AB">
              <w:rPr>
                <w:rFonts w:ascii="Arial Narrow" w:hAnsi="Arial Narrow"/>
                <w:b/>
                <w:bCs/>
                <w:strike/>
                <w:color w:val="333333"/>
                <w:sz w:val="20"/>
                <w:szCs w:val="20"/>
              </w:rPr>
              <w:t>AND</w:t>
            </w:r>
          </w:p>
        </w:tc>
      </w:tr>
      <w:tr w:rsidR="003A7739" w:rsidRPr="008E76AB" w14:paraId="48E12E5C" w14:textId="77777777" w:rsidTr="00317042">
        <w:trPr>
          <w:trHeight w:val="20"/>
        </w:trPr>
        <w:tc>
          <w:tcPr>
            <w:tcW w:w="5000" w:type="pct"/>
            <w:vAlign w:val="center"/>
          </w:tcPr>
          <w:p w14:paraId="22F5C05B" w14:textId="77777777" w:rsidR="003A7739" w:rsidRPr="008E76AB" w:rsidRDefault="003A7739" w:rsidP="00317042">
            <w:pPr>
              <w:rPr>
                <w:rFonts w:ascii="Arial Narrow" w:hAnsi="Arial Narrow"/>
                <w:b/>
                <w:bCs/>
                <w:strike/>
                <w:color w:val="333333"/>
                <w:sz w:val="20"/>
                <w:szCs w:val="20"/>
              </w:rPr>
            </w:pPr>
            <w:r w:rsidRPr="008E76AB">
              <w:rPr>
                <w:rFonts w:ascii="Arial Narrow" w:hAnsi="Arial Narrow"/>
                <w:b/>
                <w:bCs/>
                <w:strike/>
                <w:color w:val="333333"/>
                <w:sz w:val="20"/>
                <w:szCs w:val="20"/>
              </w:rPr>
              <w:t>Treatment criteria:</w:t>
            </w:r>
          </w:p>
        </w:tc>
      </w:tr>
      <w:tr w:rsidR="003A7739" w:rsidRPr="008E76AB" w14:paraId="33E454C2" w14:textId="77777777" w:rsidTr="00317042">
        <w:trPr>
          <w:trHeight w:val="20"/>
        </w:trPr>
        <w:tc>
          <w:tcPr>
            <w:tcW w:w="5000" w:type="pct"/>
            <w:vAlign w:val="center"/>
          </w:tcPr>
          <w:p w14:paraId="01BC6E52" w14:textId="77777777" w:rsidR="003A7739" w:rsidRPr="008E76AB" w:rsidRDefault="003A7739" w:rsidP="00317042">
            <w:pPr>
              <w:autoSpaceDE w:val="0"/>
              <w:autoSpaceDN w:val="0"/>
              <w:adjustRightInd w:val="0"/>
              <w:rPr>
                <w:rFonts w:ascii="Arial Narrow" w:hAnsi="Arial Narrow" w:cs="Arial Narrow"/>
                <w:i/>
                <w:iCs/>
                <w:sz w:val="20"/>
                <w:szCs w:val="20"/>
              </w:rPr>
            </w:pPr>
            <w:r w:rsidRPr="008E76AB">
              <w:rPr>
                <w:rFonts w:ascii="Arial Narrow" w:hAnsi="Arial Narrow"/>
                <w:b/>
                <w:bCs/>
                <w:i/>
                <w:iCs/>
                <w:color w:val="333333"/>
                <w:sz w:val="20"/>
                <w:szCs w:val="20"/>
              </w:rPr>
              <w:t>Prescribing Instructions:</w:t>
            </w:r>
          </w:p>
          <w:p w14:paraId="34E0ECAC" w14:textId="77777777" w:rsidR="003A7739" w:rsidRPr="008E76AB" w:rsidRDefault="003A7739" w:rsidP="00317042">
            <w:pPr>
              <w:rPr>
                <w:rFonts w:ascii="Arial Narrow" w:hAnsi="Arial Narrow"/>
                <w:b/>
                <w:bCs/>
                <w:color w:val="333333"/>
                <w:sz w:val="20"/>
                <w:szCs w:val="20"/>
              </w:rPr>
            </w:pPr>
            <w:r w:rsidRPr="008E76AB">
              <w:rPr>
                <w:rFonts w:ascii="Arial Narrow" w:hAnsi="Arial Narrow"/>
                <w:color w:val="333333"/>
                <w:sz w:val="20"/>
                <w:szCs w:val="20"/>
              </w:rPr>
              <w:t>Patient must be undergoing supervision by a healthcare professional at the time the drug is administered</w:t>
            </w:r>
          </w:p>
        </w:tc>
      </w:tr>
      <w:tr w:rsidR="003A7739" w:rsidRPr="008E76AB" w14:paraId="2EE20262" w14:textId="77777777" w:rsidTr="00317042">
        <w:trPr>
          <w:trHeight w:val="20"/>
        </w:trPr>
        <w:tc>
          <w:tcPr>
            <w:tcW w:w="5000" w:type="pct"/>
            <w:vAlign w:val="center"/>
          </w:tcPr>
          <w:p w14:paraId="599471E3" w14:textId="77777777" w:rsidR="003A7739" w:rsidRPr="008E76AB" w:rsidRDefault="003A7739" w:rsidP="00317042">
            <w:pPr>
              <w:rPr>
                <w:rFonts w:ascii="Arial Narrow" w:hAnsi="Arial Narrow"/>
                <w:b/>
                <w:bCs/>
                <w:color w:val="333333"/>
                <w:sz w:val="20"/>
                <w:szCs w:val="20"/>
              </w:rPr>
            </w:pPr>
            <w:r w:rsidRPr="008E76AB">
              <w:rPr>
                <w:rFonts w:ascii="Arial Narrow" w:hAnsi="Arial Narrow"/>
                <w:b/>
                <w:bCs/>
                <w:color w:val="333333"/>
                <w:sz w:val="20"/>
                <w:szCs w:val="20"/>
              </w:rPr>
              <w:t>AND</w:t>
            </w:r>
          </w:p>
        </w:tc>
      </w:tr>
      <w:tr w:rsidR="003A7739" w:rsidRPr="008E76AB" w14:paraId="31D84971" w14:textId="77777777" w:rsidTr="00317042">
        <w:trPr>
          <w:trHeight w:val="20"/>
        </w:trPr>
        <w:tc>
          <w:tcPr>
            <w:tcW w:w="5000" w:type="pct"/>
            <w:vAlign w:val="center"/>
          </w:tcPr>
          <w:p w14:paraId="2F82392D" w14:textId="77777777" w:rsidR="003A7739" w:rsidRPr="008E76AB" w:rsidRDefault="003A7739" w:rsidP="00317042">
            <w:pPr>
              <w:rPr>
                <w:rFonts w:ascii="Arial Narrow" w:hAnsi="Arial Narrow"/>
                <w:b/>
                <w:bCs/>
                <w:color w:val="333333"/>
                <w:sz w:val="20"/>
                <w:szCs w:val="20"/>
              </w:rPr>
            </w:pPr>
            <w:r w:rsidRPr="008E76AB">
              <w:rPr>
                <w:rFonts w:ascii="Arial Narrow" w:hAnsi="Arial Narrow"/>
                <w:b/>
                <w:bCs/>
                <w:color w:val="333333"/>
                <w:sz w:val="20"/>
                <w:szCs w:val="20"/>
              </w:rPr>
              <w:t>Population criteria:</w:t>
            </w:r>
          </w:p>
        </w:tc>
      </w:tr>
      <w:tr w:rsidR="003A7739" w:rsidRPr="008E76AB" w14:paraId="26B4E908" w14:textId="77777777" w:rsidTr="00317042">
        <w:trPr>
          <w:trHeight w:val="20"/>
        </w:trPr>
        <w:tc>
          <w:tcPr>
            <w:tcW w:w="5000" w:type="pct"/>
            <w:vAlign w:val="center"/>
          </w:tcPr>
          <w:p w14:paraId="51864293" w14:textId="77777777" w:rsidR="003A7739" w:rsidRPr="008E76AB" w:rsidRDefault="003A7739" w:rsidP="00317042">
            <w:pPr>
              <w:rPr>
                <w:rFonts w:ascii="Arial Narrow" w:hAnsi="Arial Narrow"/>
                <w:b/>
                <w:bCs/>
                <w:color w:val="333333"/>
                <w:sz w:val="20"/>
                <w:szCs w:val="20"/>
              </w:rPr>
            </w:pPr>
            <w:r w:rsidRPr="008E76AB">
              <w:rPr>
                <w:rFonts w:ascii="Arial Narrow" w:hAnsi="Arial Narrow"/>
                <w:color w:val="333333"/>
                <w:sz w:val="20"/>
                <w:szCs w:val="20"/>
              </w:rPr>
              <w:t>Patient must be at least 18 years of age</w:t>
            </w:r>
          </w:p>
        </w:tc>
      </w:tr>
      <w:tr w:rsidR="003A7739" w:rsidRPr="008E76AB" w14:paraId="188C0A37" w14:textId="77777777" w:rsidTr="00317042">
        <w:trPr>
          <w:trHeight w:val="20"/>
        </w:trPr>
        <w:tc>
          <w:tcPr>
            <w:tcW w:w="5000" w:type="pct"/>
            <w:vAlign w:val="center"/>
          </w:tcPr>
          <w:p w14:paraId="055C9367" w14:textId="77777777" w:rsidR="003A7739" w:rsidRPr="008E76AB" w:rsidRDefault="003A7739" w:rsidP="00317042">
            <w:pPr>
              <w:rPr>
                <w:rFonts w:ascii="Arial Narrow" w:hAnsi="Arial Narrow"/>
                <w:b/>
                <w:bCs/>
                <w:i/>
                <w:color w:val="333333"/>
                <w:sz w:val="20"/>
                <w:szCs w:val="20"/>
              </w:rPr>
            </w:pPr>
            <w:r w:rsidRPr="008E76AB">
              <w:rPr>
                <w:rFonts w:ascii="Arial Narrow" w:hAnsi="Arial Narrow"/>
                <w:b/>
                <w:bCs/>
                <w:i/>
                <w:color w:val="333333"/>
                <w:sz w:val="20"/>
                <w:szCs w:val="20"/>
              </w:rPr>
              <w:t>Prescriber Instruction:</w:t>
            </w:r>
          </w:p>
          <w:p w14:paraId="4B8F926F" w14:textId="77777777" w:rsidR="003A7739" w:rsidRPr="008E76AB" w:rsidRDefault="003A7739" w:rsidP="00317042">
            <w:pPr>
              <w:rPr>
                <w:rFonts w:ascii="Arial Narrow" w:hAnsi="Arial Narrow"/>
                <w:bCs/>
                <w:i/>
                <w:color w:val="333333"/>
                <w:sz w:val="20"/>
                <w:szCs w:val="20"/>
              </w:rPr>
            </w:pPr>
            <w:r w:rsidRPr="008E76AB">
              <w:rPr>
                <w:rFonts w:ascii="Arial Narrow" w:hAnsi="Arial Narrow"/>
                <w:bCs/>
                <w:i/>
                <w:color w:val="333333"/>
                <w:sz w:val="20"/>
                <w:szCs w:val="20"/>
              </w:rPr>
              <w:t>Authority required (telephone and online) – General PBS administration Concept ID 25796</w:t>
            </w:r>
          </w:p>
          <w:p w14:paraId="5DF1991E" w14:textId="0FA4AAE0" w:rsidR="003A7739" w:rsidRPr="008E76AB" w:rsidRDefault="003A7739" w:rsidP="00317042">
            <w:pPr>
              <w:rPr>
                <w:rFonts w:ascii="Arial Narrow" w:hAnsi="Arial Narrow"/>
                <w:b/>
                <w:bCs/>
                <w:i/>
                <w:color w:val="333333"/>
                <w:sz w:val="20"/>
                <w:szCs w:val="20"/>
              </w:rPr>
            </w:pPr>
            <w:r w:rsidRPr="008E76AB">
              <w:rPr>
                <w:rFonts w:ascii="Arial Narrow" w:hAnsi="Arial Narrow"/>
                <w:bCs/>
                <w:i/>
                <w:color w:val="333333"/>
                <w:sz w:val="20"/>
                <w:szCs w:val="20"/>
              </w:rPr>
              <w:t xml:space="preserve">Applications for authorisation under this restriction may be made in real time using the Online PBS Authorities system (see </w:t>
            </w:r>
            <w:r w:rsidR="007A7EF7" w:rsidRPr="008E76AB">
              <w:rPr>
                <w:rFonts w:ascii="Arial Narrow" w:hAnsi="Arial Narrow"/>
                <w:bCs/>
                <w:i/>
                <w:color w:val="333333"/>
                <w:sz w:val="20"/>
                <w:szCs w:val="20"/>
              </w:rPr>
              <w:t>www.servicesaustralia.gov.au/HPOS) or</w:t>
            </w:r>
            <w:r w:rsidRPr="008E76AB">
              <w:rPr>
                <w:rFonts w:ascii="Arial Narrow" w:hAnsi="Arial Narrow"/>
                <w:bCs/>
                <w:i/>
                <w:color w:val="333333"/>
                <w:sz w:val="20"/>
                <w:szCs w:val="20"/>
              </w:rPr>
              <w:t xml:space="preserve"> by telephone by contacting Services Australia. </w:t>
            </w:r>
          </w:p>
        </w:tc>
      </w:tr>
    </w:tbl>
    <w:p w14:paraId="2BBEEDB9" w14:textId="09A1AAA9" w:rsidR="003A7739" w:rsidRPr="008E76AB" w:rsidRDefault="003A7739" w:rsidP="003A7739">
      <w:pPr>
        <w:rPr>
          <w:rFonts w:ascii="Arial Narrow" w:hAnsi="Arial Narrow"/>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3A7739" w:rsidRPr="008E76AB" w14:paraId="14A50A66"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56B29557" w14:textId="77777777" w:rsidR="003A7739" w:rsidRPr="008E76AB" w:rsidRDefault="003A7739" w:rsidP="002A0ED1">
            <w:pPr>
              <w:rPr>
                <w:rFonts w:ascii="Arial Narrow" w:hAnsi="Arial Narrow"/>
                <w:sz w:val="20"/>
                <w:szCs w:val="20"/>
              </w:rPr>
            </w:pPr>
            <w:r w:rsidRPr="008E76AB">
              <w:rPr>
                <w:rFonts w:ascii="Arial Narrow" w:hAnsi="Arial Narrow"/>
                <w:b/>
                <w:sz w:val="20"/>
                <w:szCs w:val="20"/>
              </w:rPr>
              <w:t xml:space="preserve">Category / Program:   </w:t>
            </w:r>
          </w:p>
          <w:p w14:paraId="64BF296C" w14:textId="1C9A0FB3" w:rsidR="003A7739" w:rsidRPr="008E76AB" w:rsidRDefault="003A7739" w:rsidP="002A0ED1">
            <w:pPr>
              <w:rPr>
                <w:rFonts w:ascii="Arial Narrow" w:hAnsi="Arial Narrow"/>
                <w:sz w:val="20"/>
                <w:szCs w:val="20"/>
              </w:rPr>
            </w:pPr>
            <w:r w:rsidRPr="008E76AB">
              <w:rPr>
                <w:rFonts w:ascii="Arial Narrow" w:hAnsi="Arial Narrow"/>
                <w:sz w:val="20"/>
                <w:szCs w:val="20"/>
              </w:rPr>
              <w:t>Section 100 – Highly Specialised Drugs Program {Public and Private Hospitals; Community Access}</w:t>
            </w:r>
          </w:p>
        </w:tc>
      </w:tr>
      <w:tr w:rsidR="003A7739" w:rsidRPr="008E76AB" w14:paraId="223CDB77"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1A8CAFB1" w14:textId="77777777" w:rsidR="003A7739" w:rsidRPr="008E76AB" w:rsidRDefault="003A7739" w:rsidP="002A0ED1">
            <w:pPr>
              <w:rPr>
                <w:rFonts w:ascii="Arial Narrow" w:hAnsi="Arial Narrow"/>
                <w:sz w:val="20"/>
                <w:szCs w:val="20"/>
              </w:rPr>
            </w:pPr>
            <w:r w:rsidRPr="008E76AB">
              <w:rPr>
                <w:rFonts w:ascii="Arial Narrow" w:hAnsi="Arial Narrow"/>
                <w:b/>
                <w:sz w:val="20"/>
                <w:szCs w:val="20"/>
              </w:rPr>
              <w:t xml:space="preserve">Prescriber type:  </w:t>
            </w:r>
            <w:r w:rsidRPr="008E76AB">
              <w:rPr>
                <w:rFonts w:ascii="Arial Narrow" w:hAnsi="Arial Narrow"/>
                <w:sz w:val="20"/>
                <w:szCs w:val="20"/>
              </w:rPr>
              <w:fldChar w:fldCharType="begin" w:fldLock="1">
                <w:ffData>
                  <w:name w:val=""/>
                  <w:enabled/>
                  <w:calcOnExit w:val="0"/>
                  <w:checkBox>
                    <w:sizeAuto/>
                    <w:default w:val="0"/>
                  </w:checkBox>
                </w:ffData>
              </w:fldChar>
            </w:r>
            <w:r w:rsidRPr="008E76AB">
              <w:rPr>
                <w:rFonts w:ascii="Arial Narrow" w:hAnsi="Arial Narrow"/>
                <w:sz w:val="20"/>
                <w:szCs w:val="20"/>
              </w:rPr>
              <w:instrText xml:space="preserve"> FORMCHECKBOX </w:instrText>
            </w:r>
            <w:r w:rsidR="00A34B18">
              <w:rPr>
                <w:rFonts w:ascii="Arial Narrow" w:hAnsi="Arial Narrow"/>
                <w:sz w:val="20"/>
                <w:szCs w:val="20"/>
              </w:rPr>
            </w:r>
            <w:r w:rsidR="00A34B18">
              <w:rPr>
                <w:rFonts w:ascii="Arial Narrow" w:hAnsi="Arial Narrow"/>
                <w:sz w:val="20"/>
                <w:szCs w:val="20"/>
              </w:rPr>
              <w:fldChar w:fldCharType="separate"/>
            </w:r>
            <w:r w:rsidRPr="008E76AB">
              <w:rPr>
                <w:rFonts w:ascii="Arial Narrow" w:hAnsi="Arial Narrow"/>
                <w:sz w:val="20"/>
                <w:szCs w:val="20"/>
              </w:rPr>
              <w:fldChar w:fldCharType="end"/>
            </w:r>
            <w:r w:rsidRPr="008E76AB">
              <w:rPr>
                <w:rFonts w:ascii="Arial Narrow" w:hAnsi="Arial Narrow"/>
                <w:sz w:val="20"/>
                <w:szCs w:val="20"/>
              </w:rPr>
              <w:t xml:space="preserve">Medical Practitioners  </w:t>
            </w:r>
          </w:p>
        </w:tc>
      </w:tr>
      <w:tr w:rsidR="003A7739" w:rsidRPr="008E76AB" w14:paraId="23CB1B3B"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13BC269F" w14:textId="77777777" w:rsidR="003A7739" w:rsidRPr="008E76AB" w:rsidRDefault="003A7739" w:rsidP="002A0ED1">
            <w:pPr>
              <w:rPr>
                <w:rFonts w:ascii="Arial Narrow" w:hAnsi="Arial Narrow"/>
                <w:b/>
                <w:sz w:val="20"/>
                <w:szCs w:val="20"/>
              </w:rPr>
            </w:pPr>
            <w:r w:rsidRPr="008E76AB">
              <w:rPr>
                <w:rFonts w:ascii="Arial Narrow" w:hAnsi="Arial Narrow"/>
                <w:b/>
                <w:sz w:val="20"/>
                <w:szCs w:val="20"/>
              </w:rPr>
              <w:t>Restriction Level / Method:</w:t>
            </w:r>
          </w:p>
          <w:p w14:paraId="342252B1" w14:textId="77777777" w:rsidR="003A7739" w:rsidRPr="008E76AB" w:rsidRDefault="003A7739" w:rsidP="002A0ED1">
            <w:pPr>
              <w:rPr>
                <w:rFonts w:ascii="Arial Narrow" w:hAnsi="Arial Narrow"/>
                <w:sz w:val="20"/>
                <w:szCs w:val="20"/>
              </w:rPr>
            </w:pPr>
            <w:r w:rsidRPr="008E76AB">
              <w:rPr>
                <w:rFonts w:ascii="Arial Narrow" w:hAnsi="Arial Narrow"/>
                <w:sz w:val="20"/>
                <w:szCs w:val="20"/>
              </w:rPr>
              <w:fldChar w:fldCharType="begin" w:fldLock="1">
                <w:ffData>
                  <w:name w:val="Check3"/>
                  <w:enabled/>
                  <w:calcOnExit w:val="0"/>
                  <w:checkBox>
                    <w:sizeAuto/>
                    <w:default w:val="0"/>
                  </w:checkBox>
                </w:ffData>
              </w:fldChar>
            </w:r>
            <w:r w:rsidRPr="008E76AB">
              <w:rPr>
                <w:rFonts w:ascii="Arial Narrow" w:hAnsi="Arial Narrow"/>
                <w:sz w:val="20"/>
                <w:szCs w:val="20"/>
              </w:rPr>
              <w:instrText xml:space="preserve"> FORMCHECKBOX </w:instrText>
            </w:r>
            <w:r w:rsidR="00A34B18">
              <w:rPr>
                <w:rFonts w:ascii="Arial Narrow" w:hAnsi="Arial Narrow"/>
                <w:sz w:val="20"/>
                <w:szCs w:val="20"/>
              </w:rPr>
            </w:r>
            <w:r w:rsidR="00A34B18">
              <w:rPr>
                <w:rFonts w:ascii="Arial Narrow" w:hAnsi="Arial Narrow"/>
                <w:sz w:val="20"/>
                <w:szCs w:val="20"/>
              </w:rPr>
              <w:fldChar w:fldCharType="separate"/>
            </w:r>
            <w:r w:rsidRPr="008E76AB">
              <w:rPr>
                <w:rFonts w:ascii="Arial Narrow" w:hAnsi="Arial Narrow"/>
                <w:sz w:val="20"/>
                <w:szCs w:val="20"/>
              </w:rPr>
              <w:fldChar w:fldCharType="end"/>
            </w:r>
            <w:r w:rsidRPr="008E76AB">
              <w:rPr>
                <w:rFonts w:ascii="Arial Narrow" w:hAnsi="Arial Narrow"/>
                <w:sz w:val="20"/>
                <w:szCs w:val="20"/>
              </w:rPr>
              <w:t>Authority Required – Telephone/Electronic/Emergency</w:t>
            </w:r>
          </w:p>
        </w:tc>
      </w:tr>
      <w:tr w:rsidR="003A7739" w:rsidRPr="008E76AB" w14:paraId="1D6AD5F5" w14:textId="77777777" w:rsidTr="00317042">
        <w:trPr>
          <w:trHeight w:val="20"/>
        </w:trPr>
        <w:tc>
          <w:tcPr>
            <w:tcW w:w="5000" w:type="pct"/>
            <w:vAlign w:val="center"/>
          </w:tcPr>
          <w:p w14:paraId="41E0727C"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Administrative Advice:</w:t>
            </w:r>
          </w:p>
          <w:p w14:paraId="5A94E6E5"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Insert administrative notes here that may apply across multiple restrictions; otherwise delete this row</w:t>
            </w:r>
          </w:p>
        </w:tc>
      </w:tr>
      <w:tr w:rsidR="003A7739" w:rsidRPr="008E76AB" w14:paraId="580755A5" w14:textId="77777777" w:rsidTr="00317042">
        <w:trPr>
          <w:trHeight w:val="20"/>
        </w:trPr>
        <w:tc>
          <w:tcPr>
            <w:tcW w:w="5000" w:type="pct"/>
            <w:vAlign w:val="center"/>
          </w:tcPr>
          <w:p w14:paraId="6EAC034B"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 xml:space="preserve">Condition: </w:t>
            </w:r>
            <w:r w:rsidRPr="008E76AB">
              <w:rPr>
                <w:rFonts w:ascii="Arial Narrow" w:hAnsi="Arial Narrow"/>
                <w:bCs/>
                <w:color w:val="333333"/>
                <w:sz w:val="20"/>
                <w:szCs w:val="20"/>
              </w:rPr>
              <w:t>Major depressive disorder</w:t>
            </w:r>
          </w:p>
        </w:tc>
      </w:tr>
      <w:tr w:rsidR="003A7739" w:rsidRPr="008E76AB" w14:paraId="0225404B" w14:textId="77777777" w:rsidTr="00317042">
        <w:trPr>
          <w:trHeight w:val="20"/>
        </w:trPr>
        <w:tc>
          <w:tcPr>
            <w:tcW w:w="5000" w:type="pct"/>
            <w:vAlign w:val="center"/>
            <w:hideMark/>
          </w:tcPr>
          <w:p w14:paraId="2C6D8F75"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 xml:space="preserve">Indication: </w:t>
            </w:r>
            <w:r w:rsidRPr="008E76AB">
              <w:rPr>
                <w:rFonts w:ascii="Arial Narrow" w:hAnsi="Arial Narrow"/>
                <w:strike/>
                <w:color w:val="333333"/>
                <w:sz w:val="20"/>
                <w:szCs w:val="20"/>
              </w:rPr>
              <w:t>Major depression</w:t>
            </w:r>
            <w:r w:rsidRPr="008E76AB">
              <w:rPr>
                <w:rFonts w:ascii="Arial Narrow" w:hAnsi="Arial Narrow"/>
                <w:color w:val="333333"/>
                <w:sz w:val="20"/>
                <w:szCs w:val="20"/>
              </w:rPr>
              <w:t xml:space="preserve"> </w:t>
            </w:r>
            <w:r w:rsidRPr="008E76AB">
              <w:rPr>
                <w:rFonts w:ascii="Arial Narrow" w:hAnsi="Arial Narrow"/>
                <w:i/>
                <w:iCs/>
                <w:color w:val="333333"/>
                <w:sz w:val="20"/>
                <w:szCs w:val="20"/>
              </w:rPr>
              <w:t>Major depressive disorder</w:t>
            </w:r>
          </w:p>
        </w:tc>
      </w:tr>
      <w:tr w:rsidR="003A7739" w:rsidRPr="008E76AB" w14:paraId="6E844BB1" w14:textId="77777777" w:rsidTr="00317042">
        <w:trPr>
          <w:trHeight w:val="20"/>
        </w:trPr>
        <w:tc>
          <w:tcPr>
            <w:tcW w:w="5000" w:type="pct"/>
            <w:vAlign w:val="center"/>
            <w:hideMark/>
          </w:tcPr>
          <w:p w14:paraId="6A2026FB"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Treatment Phase:</w:t>
            </w:r>
            <w:r w:rsidRPr="008E76AB">
              <w:rPr>
                <w:rFonts w:ascii="Arial Narrow" w:hAnsi="Arial Narrow"/>
                <w:color w:val="333333"/>
                <w:sz w:val="20"/>
                <w:szCs w:val="20"/>
              </w:rPr>
              <w:t xml:space="preserve"> </w:t>
            </w:r>
            <w:r w:rsidRPr="008E76AB">
              <w:rPr>
                <w:rFonts w:ascii="Arial Narrow" w:hAnsi="Arial Narrow"/>
                <w:i/>
                <w:iCs/>
                <w:color w:val="333333"/>
                <w:sz w:val="20"/>
                <w:szCs w:val="20"/>
              </w:rPr>
              <w:t>Induction treatment – re-treatment in a major depressive disorder episode</w:t>
            </w:r>
          </w:p>
        </w:tc>
      </w:tr>
      <w:tr w:rsidR="003A7739" w:rsidRPr="008E76AB" w14:paraId="3A0B754D" w14:textId="77777777" w:rsidTr="00317042">
        <w:trPr>
          <w:trHeight w:val="20"/>
        </w:trPr>
        <w:tc>
          <w:tcPr>
            <w:tcW w:w="5000" w:type="pct"/>
            <w:vAlign w:val="center"/>
          </w:tcPr>
          <w:p w14:paraId="6458B458"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Clinical criteria:</w:t>
            </w:r>
          </w:p>
        </w:tc>
      </w:tr>
      <w:tr w:rsidR="003A7739" w:rsidRPr="008E76AB" w14:paraId="64D1F477" w14:textId="77777777" w:rsidTr="00317042">
        <w:trPr>
          <w:trHeight w:val="20"/>
        </w:trPr>
        <w:tc>
          <w:tcPr>
            <w:tcW w:w="5000" w:type="pct"/>
            <w:vAlign w:val="center"/>
          </w:tcPr>
          <w:p w14:paraId="649FE2F0" w14:textId="2D240D6E"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lastRenderedPageBreak/>
              <w:t xml:space="preserve">The treatment must be for a </w:t>
            </w:r>
            <w:r w:rsidRPr="008E76AB">
              <w:rPr>
                <w:rFonts w:ascii="Arial Narrow" w:hAnsi="Arial Narrow"/>
                <w:i/>
                <w:iCs/>
                <w:color w:val="333333"/>
                <w:sz w:val="20"/>
                <w:szCs w:val="20"/>
              </w:rPr>
              <w:t xml:space="preserve">recurrence of symptoms in </w:t>
            </w:r>
            <w:r w:rsidR="007A7EF7" w:rsidRPr="008E76AB">
              <w:rPr>
                <w:rFonts w:ascii="Arial Narrow" w:hAnsi="Arial Narrow"/>
                <w:i/>
                <w:iCs/>
                <w:color w:val="333333"/>
                <w:sz w:val="20"/>
                <w:szCs w:val="20"/>
              </w:rPr>
              <w:t>an</w:t>
            </w:r>
            <w:r w:rsidR="007A7EF7" w:rsidRPr="008E76AB">
              <w:rPr>
                <w:rFonts w:ascii="Arial Narrow" w:hAnsi="Arial Narrow"/>
                <w:color w:val="333333"/>
                <w:sz w:val="20"/>
                <w:szCs w:val="20"/>
              </w:rPr>
              <w:t xml:space="preserve"> episode</w:t>
            </w:r>
            <w:r w:rsidRPr="008E76AB">
              <w:rPr>
                <w:rFonts w:ascii="Arial Narrow" w:hAnsi="Arial Narrow"/>
                <w:color w:val="333333"/>
                <w:sz w:val="20"/>
                <w:szCs w:val="20"/>
              </w:rPr>
              <w:t xml:space="preserve"> of active, major depression, </w:t>
            </w:r>
            <w:r w:rsidRPr="008E76AB">
              <w:rPr>
                <w:rFonts w:ascii="Arial Narrow" w:hAnsi="Arial Narrow"/>
                <w:i/>
                <w:iCs/>
                <w:color w:val="333333"/>
                <w:sz w:val="20"/>
                <w:szCs w:val="20"/>
              </w:rPr>
              <w:t>following prior treatment with esketamine</w:t>
            </w:r>
          </w:p>
        </w:tc>
      </w:tr>
      <w:tr w:rsidR="003A7739" w:rsidRPr="008E76AB" w14:paraId="3D0B5E98" w14:textId="77777777" w:rsidTr="00317042">
        <w:trPr>
          <w:trHeight w:val="20"/>
        </w:trPr>
        <w:tc>
          <w:tcPr>
            <w:tcW w:w="5000" w:type="pct"/>
            <w:vAlign w:val="center"/>
          </w:tcPr>
          <w:p w14:paraId="659C6CEB"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34CF00E8" w14:textId="77777777" w:rsidTr="00317042">
        <w:trPr>
          <w:trHeight w:val="20"/>
        </w:trPr>
        <w:tc>
          <w:tcPr>
            <w:tcW w:w="5000" w:type="pct"/>
            <w:vAlign w:val="center"/>
          </w:tcPr>
          <w:p w14:paraId="7838C448"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Clinical criteria:</w:t>
            </w:r>
          </w:p>
        </w:tc>
      </w:tr>
      <w:tr w:rsidR="003A7739" w:rsidRPr="008E76AB" w14:paraId="56251F43" w14:textId="77777777" w:rsidTr="00317042">
        <w:trPr>
          <w:trHeight w:val="20"/>
        </w:trPr>
        <w:tc>
          <w:tcPr>
            <w:tcW w:w="5000" w:type="pct"/>
            <w:vAlign w:val="center"/>
          </w:tcPr>
          <w:p w14:paraId="04629CC7"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The treatment must not exceed each of: (i) An administered dose beyond 84 mg; (ii) a quantity of drug after accounting for repeat prescriptions plus different pack sizes where prescribed, that would exceed 8 doses over a period of 4 weeks of treatment when dosed within the Product Information recommended dosage</w:t>
            </w:r>
          </w:p>
        </w:tc>
      </w:tr>
      <w:tr w:rsidR="003A7739" w:rsidRPr="008E76AB" w14:paraId="03D1E68F" w14:textId="77777777" w:rsidTr="00317042">
        <w:trPr>
          <w:trHeight w:val="20"/>
        </w:trPr>
        <w:tc>
          <w:tcPr>
            <w:tcW w:w="5000" w:type="pct"/>
            <w:vAlign w:val="center"/>
          </w:tcPr>
          <w:p w14:paraId="692D242E"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19A86764" w14:textId="77777777" w:rsidTr="00317042">
        <w:trPr>
          <w:trHeight w:val="20"/>
        </w:trPr>
        <w:tc>
          <w:tcPr>
            <w:tcW w:w="5000" w:type="pct"/>
            <w:vAlign w:val="center"/>
          </w:tcPr>
          <w:p w14:paraId="2686BA5E"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Clinical criteria:</w:t>
            </w:r>
          </w:p>
        </w:tc>
      </w:tr>
      <w:tr w:rsidR="003A7739" w:rsidRPr="008E76AB" w14:paraId="64388E55" w14:textId="77777777" w:rsidTr="00317042">
        <w:trPr>
          <w:trHeight w:val="20"/>
        </w:trPr>
        <w:tc>
          <w:tcPr>
            <w:tcW w:w="5000" w:type="pct"/>
            <w:vAlign w:val="center"/>
          </w:tcPr>
          <w:p w14:paraId="6C93267E"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 xml:space="preserve">Patient must be undergoing concomitant treatment with </w:t>
            </w:r>
            <w:r w:rsidRPr="008E76AB">
              <w:rPr>
                <w:rFonts w:ascii="Arial Narrow" w:hAnsi="Arial Narrow"/>
                <w:strike/>
                <w:color w:val="333333"/>
                <w:sz w:val="20"/>
                <w:szCs w:val="20"/>
              </w:rPr>
              <w:t>an</w:t>
            </w:r>
            <w:r w:rsidRPr="008E76AB">
              <w:rPr>
                <w:rFonts w:ascii="Arial Narrow" w:hAnsi="Arial Narrow"/>
                <w:color w:val="333333"/>
                <w:sz w:val="20"/>
                <w:szCs w:val="20"/>
              </w:rPr>
              <w:t xml:space="preserve"> oral anti-depressant drug therapy</w:t>
            </w:r>
          </w:p>
        </w:tc>
      </w:tr>
      <w:tr w:rsidR="003A7739" w:rsidRPr="008E76AB" w14:paraId="244E5100" w14:textId="77777777" w:rsidTr="00317042">
        <w:trPr>
          <w:trHeight w:val="20"/>
        </w:trPr>
        <w:tc>
          <w:tcPr>
            <w:tcW w:w="5000" w:type="pct"/>
            <w:vAlign w:val="center"/>
          </w:tcPr>
          <w:p w14:paraId="68B935B5"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14287387" w14:textId="77777777" w:rsidTr="00317042">
        <w:trPr>
          <w:trHeight w:val="20"/>
        </w:trPr>
        <w:tc>
          <w:tcPr>
            <w:tcW w:w="5000" w:type="pct"/>
            <w:vAlign w:val="center"/>
          </w:tcPr>
          <w:p w14:paraId="6B862438" w14:textId="77777777" w:rsidR="003A7739" w:rsidRPr="008E76AB" w:rsidRDefault="003A7739" w:rsidP="002A0ED1">
            <w:pPr>
              <w:rPr>
                <w:rFonts w:ascii="Arial Narrow" w:hAnsi="Arial Narrow"/>
                <w:strike/>
                <w:color w:val="333333"/>
                <w:sz w:val="20"/>
                <w:szCs w:val="20"/>
              </w:rPr>
            </w:pPr>
            <w:r w:rsidRPr="008E76AB">
              <w:rPr>
                <w:rFonts w:ascii="Arial Narrow" w:hAnsi="Arial Narrow"/>
                <w:b/>
                <w:bCs/>
                <w:strike/>
                <w:color w:val="333333"/>
                <w:sz w:val="20"/>
                <w:szCs w:val="20"/>
              </w:rPr>
              <w:t>Clinical criteria:</w:t>
            </w:r>
          </w:p>
        </w:tc>
      </w:tr>
      <w:tr w:rsidR="003A7739" w:rsidRPr="008E76AB" w14:paraId="5AA0D81F" w14:textId="77777777" w:rsidTr="00317042">
        <w:trPr>
          <w:trHeight w:val="20"/>
        </w:trPr>
        <w:tc>
          <w:tcPr>
            <w:tcW w:w="5000" w:type="pct"/>
            <w:vAlign w:val="center"/>
          </w:tcPr>
          <w:p w14:paraId="6EE4CD32" w14:textId="77777777" w:rsidR="003A7739" w:rsidRPr="008E76AB" w:rsidRDefault="003A7739" w:rsidP="002A0ED1">
            <w:pPr>
              <w:autoSpaceDE w:val="0"/>
              <w:autoSpaceDN w:val="0"/>
              <w:adjustRightInd w:val="0"/>
              <w:rPr>
                <w:rFonts w:ascii="Arial Narrow" w:hAnsi="Arial Narrow" w:cs="Arial Narrow"/>
                <w:i/>
                <w:iCs/>
                <w:strike/>
                <w:sz w:val="20"/>
                <w:szCs w:val="20"/>
              </w:rPr>
            </w:pPr>
            <w:r w:rsidRPr="008E76AB">
              <w:rPr>
                <w:rFonts w:ascii="Arial Narrow" w:hAnsi="Arial Narrow" w:cstheme="minorHAnsi"/>
                <w:b/>
                <w:strike/>
                <w:sz w:val="20"/>
                <w:szCs w:val="20"/>
              </w:rPr>
              <w:t xml:space="preserve">[Section 100 Public Hospital only] </w:t>
            </w:r>
            <w:r w:rsidRPr="008E76AB">
              <w:rPr>
                <w:rFonts w:ascii="Arial Narrow" w:hAnsi="Arial Narrow" w:cstheme="minorHAnsi"/>
                <w:bCs/>
                <w:strike/>
                <w:sz w:val="20"/>
                <w:szCs w:val="20"/>
              </w:rPr>
              <w:t>Must be treated in a public hospital outpatient clinic</w:t>
            </w:r>
          </w:p>
        </w:tc>
      </w:tr>
      <w:tr w:rsidR="003A7739" w:rsidRPr="008E76AB" w14:paraId="194C6F04" w14:textId="77777777" w:rsidTr="00317042">
        <w:trPr>
          <w:trHeight w:val="20"/>
        </w:trPr>
        <w:tc>
          <w:tcPr>
            <w:tcW w:w="5000" w:type="pct"/>
            <w:vAlign w:val="center"/>
          </w:tcPr>
          <w:p w14:paraId="678FF8E6" w14:textId="77777777" w:rsidR="003A7739" w:rsidRPr="008E76AB" w:rsidRDefault="003A7739" w:rsidP="002A0ED1">
            <w:pPr>
              <w:rPr>
                <w:rFonts w:ascii="Arial Narrow" w:hAnsi="Arial Narrow"/>
                <w:strike/>
                <w:color w:val="333333"/>
                <w:sz w:val="20"/>
                <w:szCs w:val="20"/>
              </w:rPr>
            </w:pPr>
            <w:r w:rsidRPr="008E76AB">
              <w:rPr>
                <w:rFonts w:ascii="Arial Narrow" w:hAnsi="Arial Narrow" w:cstheme="minorHAnsi"/>
                <w:b/>
                <w:strike/>
                <w:sz w:val="20"/>
                <w:szCs w:val="20"/>
              </w:rPr>
              <w:t xml:space="preserve">[Section 100 Private Hospital only] </w:t>
            </w:r>
            <w:r w:rsidRPr="008E76AB">
              <w:rPr>
                <w:rFonts w:ascii="Arial Narrow" w:hAnsi="Arial Narrow" w:cstheme="minorHAnsi"/>
                <w:bCs/>
                <w:strike/>
                <w:sz w:val="20"/>
                <w:szCs w:val="20"/>
              </w:rPr>
              <w:t>Must be treated in a hospital that is not a public hospital</w:t>
            </w:r>
          </w:p>
        </w:tc>
      </w:tr>
      <w:tr w:rsidR="003A7739" w:rsidRPr="008E76AB" w14:paraId="069EE3FA" w14:textId="77777777" w:rsidTr="00317042">
        <w:trPr>
          <w:trHeight w:val="20"/>
        </w:trPr>
        <w:tc>
          <w:tcPr>
            <w:tcW w:w="5000" w:type="pct"/>
            <w:vAlign w:val="center"/>
          </w:tcPr>
          <w:p w14:paraId="244BAFAA"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4E5D15D4" w14:textId="77777777" w:rsidTr="00317042">
        <w:trPr>
          <w:trHeight w:val="20"/>
        </w:trPr>
        <w:tc>
          <w:tcPr>
            <w:tcW w:w="5000" w:type="pct"/>
            <w:vAlign w:val="center"/>
          </w:tcPr>
          <w:p w14:paraId="189CB1C8"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Treatment criteria:</w:t>
            </w:r>
          </w:p>
        </w:tc>
      </w:tr>
      <w:tr w:rsidR="003A7739" w:rsidRPr="008E76AB" w14:paraId="0678AEB2" w14:textId="77777777" w:rsidTr="00317042">
        <w:trPr>
          <w:trHeight w:val="20"/>
        </w:trPr>
        <w:tc>
          <w:tcPr>
            <w:tcW w:w="5000" w:type="pct"/>
            <w:vAlign w:val="center"/>
          </w:tcPr>
          <w:p w14:paraId="641B4D7D" w14:textId="77777777" w:rsidR="003A7739" w:rsidRPr="008E76AB" w:rsidRDefault="003A7739" w:rsidP="002A0ED1">
            <w:pPr>
              <w:rPr>
                <w:rFonts w:ascii="Arial Narrow" w:hAnsi="Arial Narrow"/>
                <w:color w:val="333333"/>
                <w:sz w:val="20"/>
                <w:szCs w:val="20"/>
              </w:rPr>
            </w:pPr>
            <w:r w:rsidRPr="008E76AB">
              <w:rPr>
                <w:rFonts w:ascii="Arial Narrow" w:hAnsi="Arial Narrow" w:cs="Arial Narrow"/>
                <w:sz w:val="20"/>
                <w:szCs w:val="20"/>
              </w:rPr>
              <w:t>Must be treated by a psychiatrist</w:t>
            </w:r>
          </w:p>
        </w:tc>
      </w:tr>
      <w:tr w:rsidR="003A7739" w:rsidRPr="008E76AB" w14:paraId="525A97C8" w14:textId="77777777" w:rsidTr="00317042">
        <w:trPr>
          <w:trHeight w:val="20"/>
        </w:trPr>
        <w:tc>
          <w:tcPr>
            <w:tcW w:w="5000" w:type="pct"/>
            <w:vAlign w:val="center"/>
          </w:tcPr>
          <w:p w14:paraId="5ED2A6EC" w14:textId="77777777" w:rsidR="003A7739" w:rsidRPr="008E76AB" w:rsidRDefault="003A7739" w:rsidP="002A0ED1">
            <w:pPr>
              <w:rPr>
                <w:rFonts w:ascii="Arial Narrow" w:hAnsi="Arial Narrow"/>
                <w:strike/>
                <w:color w:val="333333"/>
                <w:sz w:val="20"/>
                <w:szCs w:val="20"/>
              </w:rPr>
            </w:pPr>
            <w:r w:rsidRPr="008E76AB">
              <w:rPr>
                <w:rFonts w:ascii="Arial Narrow" w:hAnsi="Arial Narrow"/>
                <w:b/>
                <w:bCs/>
                <w:strike/>
                <w:color w:val="333333"/>
                <w:sz w:val="20"/>
                <w:szCs w:val="20"/>
              </w:rPr>
              <w:t>AND</w:t>
            </w:r>
          </w:p>
        </w:tc>
      </w:tr>
      <w:tr w:rsidR="003A7739" w:rsidRPr="008E76AB" w14:paraId="080877BA" w14:textId="77777777" w:rsidTr="00317042">
        <w:trPr>
          <w:trHeight w:val="20"/>
        </w:trPr>
        <w:tc>
          <w:tcPr>
            <w:tcW w:w="5000" w:type="pct"/>
            <w:vAlign w:val="center"/>
          </w:tcPr>
          <w:p w14:paraId="787DAAA5" w14:textId="77777777" w:rsidR="003A7739" w:rsidRPr="008E76AB" w:rsidRDefault="003A7739" w:rsidP="002A0ED1">
            <w:pPr>
              <w:rPr>
                <w:rFonts w:ascii="Arial Narrow" w:hAnsi="Arial Narrow"/>
                <w:strike/>
                <w:color w:val="333333"/>
                <w:sz w:val="20"/>
                <w:szCs w:val="20"/>
              </w:rPr>
            </w:pPr>
            <w:r w:rsidRPr="008E76AB">
              <w:rPr>
                <w:rFonts w:ascii="Arial Narrow" w:hAnsi="Arial Narrow"/>
                <w:b/>
                <w:bCs/>
                <w:strike/>
                <w:color w:val="333333"/>
                <w:sz w:val="20"/>
                <w:szCs w:val="20"/>
              </w:rPr>
              <w:t>Treatment criteria:</w:t>
            </w:r>
          </w:p>
        </w:tc>
      </w:tr>
      <w:tr w:rsidR="003A7739" w:rsidRPr="008E76AB" w14:paraId="6B3D145B" w14:textId="77777777" w:rsidTr="00317042">
        <w:trPr>
          <w:trHeight w:val="20"/>
        </w:trPr>
        <w:tc>
          <w:tcPr>
            <w:tcW w:w="5000" w:type="pct"/>
            <w:vAlign w:val="center"/>
          </w:tcPr>
          <w:p w14:paraId="47E5D0BE" w14:textId="77777777" w:rsidR="003A7739" w:rsidRPr="008E76AB" w:rsidRDefault="003A7739" w:rsidP="002A0ED1">
            <w:pPr>
              <w:autoSpaceDE w:val="0"/>
              <w:autoSpaceDN w:val="0"/>
              <w:adjustRightInd w:val="0"/>
              <w:rPr>
                <w:rFonts w:ascii="Arial Narrow" w:hAnsi="Arial Narrow" w:cs="Arial Narrow"/>
                <w:sz w:val="20"/>
                <w:szCs w:val="20"/>
              </w:rPr>
            </w:pPr>
            <w:r w:rsidRPr="008E76AB">
              <w:rPr>
                <w:rFonts w:ascii="Arial Narrow" w:hAnsi="Arial Narrow"/>
                <w:b/>
                <w:bCs/>
                <w:color w:val="333333"/>
                <w:sz w:val="20"/>
                <w:szCs w:val="20"/>
              </w:rPr>
              <w:t>Prescribing Instructions:</w:t>
            </w:r>
          </w:p>
          <w:p w14:paraId="5685EF60" w14:textId="77777777" w:rsidR="003A7739" w:rsidRPr="008E76AB" w:rsidRDefault="003A7739" w:rsidP="002A0ED1">
            <w:pPr>
              <w:rPr>
                <w:rFonts w:ascii="Arial Narrow" w:hAnsi="Arial Narrow"/>
                <w:color w:val="333333"/>
                <w:sz w:val="20"/>
                <w:szCs w:val="20"/>
              </w:rPr>
            </w:pPr>
            <w:r w:rsidRPr="008E76AB">
              <w:rPr>
                <w:rFonts w:ascii="Arial Narrow" w:hAnsi="Arial Narrow" w:cs="Arial Narrow"/>
                <w:sz w:val="20"/>
                <w:szCs w:val="20"/>
              </w:rPr>
              <w:t>Patient must be undergoing supervision by a healthcare professional at the time the drug is administered</w:t>
            </w:r>
          </w:p>
        </w:tc>
      </w:tr>
      <w:tr w:rsidR="003A7739" w:rsidRPr="008E76AB" w14:paraId="1EF6A3C8" w14:textId="77777777" w:rsidTr="00317042">
        <w:trPr>
          <w:trHeight w:val="20"/>
        </w:trPr>
        <w:tc>
          <w:tcPr>
            <w:tcW w:w="5000" w:type="pct"/>
            <w:vAlign w:val="center"/>
          </w:tcPr>
          <w:p w14:paraId="2142E923" w14:textId="77777777" w:rsidR="003A7739" w:rsidRPr="008E76AB" w:rsidRDefault="003A7739" w:rsidP="002A0ED1">
            <w:pPr>
              <w:rPr>
                <w:rFonts w:ascii="Arial Narrow" w:hAnsi="Arial Narrow" w:cs="Arial Narrow"/>
                <w:sz w:val="20"/>
                <w:szCs w:val="20"/>
              </w:rPr>
            </w:pPr>
            <w:r w:rsidRPr="008E76AB">
              <w:rPr>
                <w:rFonts w:ascii="Arial Narrow" w:hAnsi="Arial Narrow"/>
                <w:b/>
                <w:bCs/>
                <w:color w:val="333333"/>
                <w:sz w:val="20"/>
                <w:szCs w:val="20"/>
              </w:rPr>
              <w:t>AND</w:t>
            </w:r>
          </w:p>
        </w:tc>
      </w:tr>
      <w:tr w:rsidR="003A7739" w:rsidRPr="008E76AB" w14:paraId="53D4ECFA" w14:textId="77777777" w:rsidTr="00317042">
        <w:trPr>
          <w:trHeight w:val="20"/>
        </w:trPr>
        <w:tc>
          <w:tcPr>
            <w:tcW w:w="5000" w:type="pct"/>
            <w:vAlign w:val="center"/>
          </w:tcPr>
          <w:p w14:paraId="76F5EEBE"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Population criteria:</w:t>
            </w:r>
          </w:p>
        </w:tc>
      </w:tr>
      <w:tr w:rsidR="003A7739" w:rsidRPr="008E76AB" w14:paraId="0EAAAA91" w14:textId="77777777" w:rsidTr="00317042">
        <w:trPr>
          <w:trHeight w:val="20"/>
        </w:trPr>
        <w:tc>
          <w:tcPr>
            <w:tcW w:w="5000" w:type="pct"/>
            <w:vAlign w:val="center"/>
          </w:tcPr>
          <w:p w14:paraId="2A9419B3" w14:textId="77777777" w:rsidR="003A7739" w:rsidRPr="008E76AB" w:rsidRDefault="003A7739" w:rsidP="002A0ED1">
            <w:pPr>
              <w:rPr>
                <w:rFonts w:ascii="Arial Narrow" w:hAnsi="Arial Narrow"/>
                <w:b/>
                <w:bCs/>
                <w:color w:val="333333"/>
                <w:sz w:val="20"/>
                <w:szCs w:val="20"/>
              </w:rPr>
            </w:pPr>
            <w:r w:rsidRPr="008E76AB">
              <w:rPr>
                <w:rFonts w:ascii="Arial Narrow" w:hAnsi="Arial Narrow"/>
                <w:color w:val="333333"/>
                <w:sz w:val="20"/>
                <w:szCs w:val="20"/>
              </w:rPr>
              <w:t>Patient must be at least 18 years of age</w:t>
            </w:r>
          </w:p>
        </w:tc>
      </w:tr>
      <w:tr w:rsidR="003A7739" w:rsidRPr="008E76AB" w14:paraId="3B174342" w14:textId="77777777" w:rsidTr="00317042">
        <w:trPr>
          <w:trHeight w:val="20"/>
        </w:trPr>
        <w:tc>
          <w:tcPr>
            <w:tcW w:w="5000" w:type="pct"/>
            <w:vAlign w:val="center"/>
          </w:tcPr>
          <w:p w14:paraId="445E3B8A" w14:textId="77777777" w:rsidR="003A7739" w:rsidRPr="008E76AB" w:rsidRDefault="003A7739" w:rsidP="002A0ED1">
            <w:pPr>
              <w:rPr>
                <w:rFonts w:ascii="Arial Narrow" w:hAnsi="Arial Narrow"/>
                <w:b/>
                <w:bCs/>
                <w:i/>
                <w:color w:val="333333"/>
                <w:sz w:val="20"/>
                <w:szCs w:val="20"/>
              </w:rPr>
            </w:pPr>
            <w:r w:rsidRPr="008E76AB">
              <w:rPr>
                <w:rFonts w:ascii="Arial Narrow" w:hAnsi="Arial Narrow"/>
                <w:b/>
                <w:bCs/>
                <w:i/>
                <w:color w:val="333333"/>
                <w:sz w:val="20"/>
                <w:szCs w:val="20"/>
              </w:rPr>
              <w:t>Prescriber Instruction:</w:t>
            </w:r>
          </w:p>
          <w:p w14:paraId="6E1F062E" w14:textId="77777777" w:rsidR="003A7739" w:rsidRPr="008E76AB" w:rsidRDefault="003A7739" w:rsidP="002A0ED1">
            <w:pPr>
              <w:rPr>
                <w:rFonts w:ascii="Arial Narrow" w:hAnsi="Arial Narrow"/>
                <w:bCs/>
                <w:i/>
                <w:color w:val="333333"/>
                <w:sz w:val="20"/>
                <w:szCs w:val="20"/>
              </w:rPr>
            </w:pPr>
            <w:r w:rsidRPr="008E76AB">
              <w:rPr>
                <w:rFonts w:ascii="Arial Narrow" w:hAnsi="Arial Narrow"/>
                <w:bCs/>
                <w:i/>
                <w:color w:val="333333"/>
                <w:sz w:val="20"/>
                <w:szCs w:val="20"/>
              </w:rPr>
              <w:t>Authority required (telephone and online) – General PBS administration Concept ID 25796</w:t>
            </w:r>
          </w:p>
          <w:p w14:paraId="373D05E0" w14:textId="0DDD883D" w:rsidR="003A7739" w:rsidRPr="008E76AB" w:rsidRDefault="003A7739" w:rsidP="002A0ED1">
            <w:pPr>
              <w:rPr>
                <w:rFonts w:ascii="Arial Narrow" w:hAnsi="Arial Narrow"/>
                <w:i/>
                <w:color w:val="333333"/>
                <w:sz w:val="20"/>
                <w:szCs w:val="20"/>
              </w:rPr>
            </w:pPr>
            <w:r w:rsidRPr="008E76AB">
              <w:rPr>
                <w:rFonts w:ascii="Arial Narrow" w:hAnsi="Arial Narrow"/>
                <w:bCs/>
                <w:i/>
                <w:color w:val="333333"/>
                <w:sz w:val="20"/>
                <w:szCs w:val="20"/>
              </w:rPr>
              <w:t xml:space="preserve">Applications for authorisation under this restriction may be made in real time using the Online PBS Authorities system (see </w:t>
            </w:r>
            <w:r w:rsidR="007A7EF7" w:rsidRPr="008E76AB">
              <w:rPr>
                <w:rFonts w:ascii="Arial Narrow" w:hAnsi="Arial Narrow"/>
                <w:bCs/>
                <w:i/>
                <w:color w:val="333333"/>
                <w:sz w:val="20"/>
                <w:szCs w:val="20"/>
              </w:rPr>
              <w:t>www.servicesaustralia.gov.au/HPOS) or</w:t>
            </w:r>
            <w:r w:rsidRPr="008E76AB">
              <w:rPr>
                <w:rFonts w:ascii="Arial Narrow" w:hAnsi="Arial Narrow"/>
                <w:bCs/>
                <w:i/>
                <w:color w:val="333333"/>
                <w:sz w:val="20"/>
                <w:szCs w:val="20"/>
              </w:rPr>
              <w:t xml:space="preserve"> by telephone by contacting Services Australia. </w:t>
            </w:r>
          </w:p>
        </w:tc>
      </w:tr>
    </w:tbl>
    <w:p w14:paraId="067C0F80" w14:textId="77777777" w:rsidR="003A7739" w:rsidRPr="008E76AB" w:rsidRDefault="003A7739" w:rsidP="003A7739">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3A7739" w:rsidRPr="008E76AB" w14:paraId="58AE95B0"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70F5AD48" w14:textId="77777777" w:rsidR="003A7739" w:rsidRPr="008E76AB" w:rsidRDefault="003A7739" w:rsidP="002A0ED1">
            <w:pPr>
              <w:rPr>
                <w:rFonts w:ascii="Arial Narrow" w:hAnsi="Arial Narrow"/>
                <w:sz w:val="20"/>
                <w:szCs w:val="20"/>
              </w:rPr>
            </w:pPr>
            <w:r w:rsidRPr="008E76AB">
              <w:rPr>
                <w:rFonts w:ascii="Arial Narrow" w:hAnsi="Arial Narrow"/>
                <w:b/>
                <w:sz w:val="20"/>
                <w:szCs w:val="20"/>
              </w:rPr>
              <w:t xml:space="preserve">Category / Program:   </w:t>
            </w:r>
          </w:p>
          <w:p w14:paraId="20362823" w14:textId="3E5962A2" w:rsidR="003A7739" w:rsidRPr="008E76AB" w:rsidRDefault="003A7739" w:rsidP="002A0ED1">
            <w:pPr>
              <w:rPr>
                <w:rFonts w:ascii="Arial Narrow" w:hAnsi="Arial Narrow"/>
                <w:sz w:val="20"/>
                <w:szCs w:val="20"/>
              </w:rPr>
            </w:pPr>
            <w:r w:rsidRPr="008E76AB">
              <w:rPr>
                <w:rFonts w:ascii="Arial Narrow" w:hAnsi="Arial Narrow"/>
                <w:sz w:val="20"/>
                <w:szCs w:val="20"/>
              </w:rPr>
              <w:t>Section 100 – Highly Specialised Drugs Program {Public and Private Hospitals; Community Access}</w:t>
            </w:r>
          </w:p>
        </w:tc>
      </w:tr>
      <w:tr w:rsidR="003A7739" w:rsidRPr="008E76AB" w14:paraId="7D897837"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3CB16C03" w14:textId="77777777" w:rsidR="003A7739" w:rsidRPr="008E76AB" w:rsidRDefault="003A7739" w:rsidP="002A0ED1">
            <w:pPr>
              <w:rPr>
                <w:rFonts w:ascii="Arial Narrow" w:hAnsi="Arial Narrow"/>
                <w:sz w:val="20"/>
                <w:szCs w:val="20"/>
              </w:rPr>
            </w:pPr>
            <w:r w:rsidRPr="008E76AB">
              <w:rPr>
                <w:rFonts w:ascii="Arial Narrow" w:hAnsi="Arial Narrow"/>
                <w:b/>
                <w:sz w:val="20"/>
                <w:szCs w:val="20"/>
              </w:rPr>
              <w:t xml:space="preserve">Prescriber type:  </w:t>
            </w:r>
            <w:r w:rsidRPr="008E76AB">
              <w:rPr>
                <w:rFonts w:ascii="Arial Narrow" w:hAnsi="Arial Narrow"/>
                <w:sz w:val="20"/>
                <w:szCs w:val="20"/>
              </w:rPr>
              <w:fldChar w:fldCharType="begin" w:fldLock="1">
                <w:ffData>
                  <w:name w:val=""/>
                  <w:enabled/>
                  <w:calcOnExit w:val="0"/>
                  <w:checkBox>
                    <w:sizeAuto/>
                    <w:default w:val="0"/>
                  </w:checkBox>
                </w:ffData>
              </w:fldChar>
            </w:r>
            <w:r w:rsidRPr="008E76AB">
              <w:rPr>
                <w:rFonts w:ascii="Arial Narrow" w:hAnsi="Arial Narrow"/>
                <w:sz w:val="20"/>
                <w:szCs w:val="20"/>
              </w:rPr>
              <w:instrText xml:space="preserve"> FORMCHECKBOX </w:instrText>
            </w:r>
            <w:r w:rsidR="00A34B18">
              <w:rPr>
                <w:rFonts w:ascii="Arial Narrow" w:hAnsi="Arial Narrow"/>
                <w:sz w:val="20"/>
                <w:szCs w:val="20"/>
              </w:rPr>
            </w:r>
            <w:r w:rsidR="00A34B18">
              <w:rPr>
                <w:rFonts w:ascii="Arial Narrow" w:hAnsi="Arial Narrow"/>
                <w:sz w:val="20"/>
                <w:szCs w:val="20"/>
              </w:rPr>
              <w:fldChar w:fldCharType="separate"/>
            </w:r>
            <w:r w:rsidRPr="008E76AB">
              <w:rPr>
                <w:rFonts w:ascii="Arial Narrow" w:hAnsi="Arial Narrow"/>
                <w:sz w:val="20"/>
                <w:szCs w:val="20"/>
              </w:rPr>
              <w:fldChar w:fldCharType="end"/>
            </w:r>
            <w:r w:rsidRPr="008E76AB">
              <w:rPr>
                <w:rFonts w:ascii="Arial Narrow" w:hAnsi="Arial Narrow"/>
                <w:sz w:val="20"/>
                <w:szCs w:val="20"/>
              </w:rPr>
              <w:t xml:space="preserve">Medical Practitioners  </w:t>
            </w:r>
          </w:p>
        </w:tc>
      </w:tr>
      <w:tr w:rsidR="003A7739" w:rsidRPr="008E76AB" w14:paraId="6189DAE7" w14:textId="77777777" w:rsidTr="00317042">
        <w:trPr>
          <w:trHeight w:val="20"/>
        </w:trPr>
        <w:tc>
          <w:tcPr>
            <w:tcW w:w="5000" w:type="pct"/>
            <w:tcBorders>
              <w:top w:val="single" w:sz="4" w:space="0" w:color="auto"/>
              <w:left w:val="single" w:sz="4" w:space="0" w:color="auto"/>
              <w:bottom w:val="single" w:sz="4" w:space="0" w:color="auto"/>
              <w:right w:val="single" w:sz="4" w:space="0" w:color="auto"/>
            </w:tcBorders>
          </w:tcPr>
          <w:p w14:paraId="1DD5E0FA" w14:textId="77777777" w:rsidR="003A7739" w:rsidRPr="008E76AB" w:rsidRDefault="003A7739" w:rsidP="002A0ED1">
            <w:pPr>
              <w:rPr>
                <w:rFonts w:ascii="Arial Narrow" w:hAnsi="Arial Narrow"/>
                <w:b/>
                <w:sz w:val="20"/>
                <w:szCs w:val="20"/>
              </w:rPr>
            </w:pPr>
            <w:r w:rsidRPr="008E76AB">
              <w:rPr>
                <w:rFonts w:ascii="Arial Narrow" w:hAnsi="Arial Narrow"/>
                <w:b/>
                <w:sz w:val="20"/>
                <w:szCs w:val="20"/>
              </w:rPr>
              <w:t>Restriction Level / Method:</w:t>
            </w:r>
          </w:p>
          <w:p w14:paraId="31248833" w14:textId="77777777" w:rsidR="003A7739" w:rsidRPr="008E76AB" w:rsidRDefault="003A7739" w:rsidP="002A0ED1">
            <w:pPr>
              <w:rPr>
                <w:rFonts w:ascii="Arial Narrow" w:hAnsi="Arial Narrow"/>
                <w:sz w:val="20"/>
                <w:szCs w:val="20"/>
              </w:rPr>
            </w:pPr>
            <w:r w:rsidRPr="008E76AB">
              <w:rPr>
                <w:rFonts w:ascii="Arial Narrow" w:hAnsi="Arial Narrow"/>
                <w:sz w:val="20"/>
                <w:szCs w:val="20"/>
              </w:rPr>
              <w:fldChar w:fldCharType="begin" w:fldLock="1">
                <w:ffData>
                  <w:name w:val="Check3"/>
                  <w:enabled/>
                  <w:calcOnExit w:val="0"/>
                  <w:checkBox>
                    <w:sizeAuto/>
                    <w:default w:val="0"/>
                  </w:checkBox>
                </w:ffData>
              </w:fldChar>
            </w:r>
            <w:r w:rsidRPr="008E76AB">
              <w:rPr>
                <w:rFonts w:ascii="Arial Narrow" w:hAnsi="Arial Narrow"/>
                <w:sz w:val="20"/>
                <w:szCs w:val="20"/>
              </w:rPr>
              <w:instrText xml:space="preserve"> FORMCHECKBOX </w:instrText>
            </w:r>
            <w:r w:rsidR="00A34B18">
              <w:rPr>
                <w:rFonts w:ascii="Arial Narrow" w:hAnsi="Arial Narrow"/>
                <w:sz w:val="20"/>
                <w:szCs w:val="20"/>
              </w:rPr>
            </w:r>
            <w:r w:rsidR="00A34B18">
              <w:rPr>
                <w:rFonts w:ascii="Arial Narrow" w:hAnsi="Arial Narrow"/>
                <w:sz w:val="20"/>
                <w:szCs w:val="20"/>
              </w:rPr>
              <w:fldChar w:fldCharType="separate"/>
            </w:r>
            <w:r w:rsidRPr="008E76AB">
              <w:rPr>
                <w:rFonts w:ascii="Arial Narrow" w:hAnsi="Arial Narrow"/>
                <w:sz w:val="20"/>
                <w:szCs w:val="20"/>
              </w:rPr>
              <w:fldChar w:fldCharType="end"/>
            </w:r>
            <w:r w:rsidRPr="008E76AB">
              <w:rPr>
                <w:rFonts w:ascii="Arial Narrow" w:hAnsi="Arial Narrow"/>
                <w:sz w:val="20"/>
                <w:szCs w:val="20"/>
              </w:rPr>
              <w:t>Authority Required – Telephone/Electronic/Emergency</w:t>
            </w:r>
          </w:p>
        </w:tc>
      </w:tr>
      <w:tr w:rsidR="003A7739" w:rsidRPr="008E76AB" w14:paraId="48B63C6A" w14:textId="77777777" w:rsidTr="00317042">
        <w:trPr>
          <w:trHeight w:val="20"/>
        </w:trPr>
        <w:tc>
          <w:tcPr>
            <w:tcW w:w="5000" w:type="pct"/>
            <w:vAlign w:val="center"/>
          </w:tcPr>
          <w:p w14:paraId="009FA99D"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Administrative Advice:</w:t>
            </w:r>
          </w:p>
          <w:p w14:paraId="083A8969"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Insert administrative notes here that may apply across multiple restrictions; otherwise delete this row</w:t>
            </w:r>
          </w:p>
        </w:tc>
      </w:tr>
      <w:tr w:rsidR="003A7739" w:rsidRPr="008E76AB" w14:paraId="1DB28175" w14:textId="77777777" w:rsidTr="00317042">
        <w:trPr>
          <w:trHeight w:val="20"/>
        </w:trPr>
        <w:tc>
          <w:tcPr>
            <w:tcW w:w="5000" w:type="pct"/>
            <w:vAlign w:val="center"/>
          </w:tcPr>
          <w:p w14:paraId="1238877D" w14:textId="77777777" w:rsidR="003A7739" w:rsidRPr="008E76AB" w:rsidRDefault="003A7739" w:rsidP="002A0ED1">
            <w:pPr>
              <w:rPr>
                <w:rFonts w:ascii="Arial Narrow" w:hAnsi="Arial Narrow"/>
                <w:bCs/>
                <w:color w:val="333333"/>
                <w:sz w:val="20"/>
                <w:szCs w:val="20"/>
              </w:rPr>
            </w:pPr>
            <w:r w:rsidRPr="008E76AB">
              <w:rPr>
                <w:rFonts w:ascii="Arial Narrow" w:hAnsi="Arial Narrow"/>
                <w:b/>
                <w:bCs/>
                <w:color w:val="333333"/>
                <w:sz w:val="20"/>
                <w:szCs w:val="20"/>
              </w:rPr>
              <w:t xml:space="preserve">Episodicity: </w:t>
            </w:r>
            <w:r w:rsidRPr="008E76AB">
              <w:rPr>
                <w:rFonts w:ascii="Arial Narrow" w:hAnsi="Arial Narrow"/>
                <w:bCs/>
                <w:color w:val="333333"/>
                <w:sz w:val="20"/>
                <w:szCs w:val="20"/>
              </w:rPr>
              <w:t>optional</w:t>
            </w:r>
          </w:p>
        </w:tc>
      </w:tr>
      <w:tr w:rsidR="003A7739" w:rsidRPr="008E76AB" w14:paraId="4C179E10" w14:textId="77777777" w:rsidTr="00317042">
        <w:trPr>
          <w:trHeight w:val="20"/>
        </w:trPr>
        <w:tc>
          <w:tcPr>
            <w:tcW w:w="5000" w:type="pct"/>
            <w:vAlign w:val="center"/>
          </w:tcPr>
          <w:p w14:paraId="641D1E13"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 xml:space="preserve">Severity: </w:t>
            </w:r>
            <w:r w:rsidRPr="008E76AB">
              <w:rPr>
                <w:rFonts w:ascii="Arial Narrow" w:hAnsi="Arial Narrow"/>
                <w:bCs/>
                <w:color w:val="333333"/>
                <w:sz w:val="20"/>
                <w:szCs w:val="20"/>
              </w:rPr>
              <w:t>optional</w:t>
            </w:r>
          </w:p>
        </w:tc>
      </w:tr>
      <w:tr w:rsidR="003A7739" w:rsidRPr="008E76AB" w14:paraId="41691E4A" w14:textId="77777777" w:rsidTr="00317042">
        <w:trPr>
          <w:trHeight w:val="20"/>
        </w:trPr>
        <w:tc>
          <w:tcPr>
            <w:tcW w:w="5000" w:type="pct"/>
            <w:vAlign w:val="center"/>
          </w:tcPr>
          <w:p w14:paraId="41179983"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 xml:space="preserve">Condition: </w:t>
            </w:r>
            <w:r w:rsidRPr="008E76AB">
              <w:rPr>
                <w:rFonts w:ascii="Arial Narrow" w:hAnsi="Arial Narrow"/>
                <w:bCs/>
                <w:color w:val="333333"/>
                <w:sz w:val="20"/>
                <w:szCs w:val="20"/>
              </w:rPr>
              <w:t>Major depressive disorder</w:t>
            </w:r>
          </w:p>
        </w:tc>
      </w:tr>
      <w:tr w:rsidR="003A7739" w:rsidRPr="008E76AB" w14:paraId="5B682F03" w14:textId="77777777" w:rsidTr="00317042">
        <w:trPr>
          <w:trHeight w:val="20"/>
        </w:trPr>
        <w:tc>
          <w:tcPr>
            <w:tcW w:w="5000" w:type="pct"/>
            <w:vAlign w:val="center"/>
            <w:hideMark/>
          </w:tcPr>
          <w:p w14:paraId="78BBE5B4"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 xml:space="preserve">Indication: </w:t>
            </w:r>
            <w:r w:rsidRPr="008E76AB">
              <w:rPr>
                <w:rFonts w:ascii="Arial Narrow" w:hAnsi="Arial Narrow"/>
                <w:strike/>
                <w:color w:val="333333"/>
                <w:sz w:val="20"/>
                <w:szCs w:val="20"/>
              </w:rPr>
              <w:t>Major depression</w:t>
            </w:r>
            <w:r w:rsidRPr="008E76AB">
              <w:rPr>
                <w:rFonts w:ascii="Arial Narrow" w:hAnsi="Arial Narrow"/>
                <w:color w:val="333333"/>
                <w:sz w:val="20"/>
                <w:szCs w:val="20"/>
              </w:rPr>
              <w:t xml:space="preserve"> </w:t>
            </w:r>
            <w:r w:rsidRPr="008E76AB">
              <w:rPr>
                <w:rFonts w:ascii="Arial Narrow" w:hAnsi="Arial Narrow"/>
                <w:i/>
                <w:iCs/>
                <w:color w:val="333333"/>
                <w:sz w:val="20"/>
                <w:szCs w:val="20"/>
              </w:rPr>
              <w:t>Major depressive disorder</w:t>
            </w:r>
          </w:p>
        </w:tc>
      </w:tr>
      <w:tr w:rsidR="003A7739" w:rsidRPr="008E76AB" w14:paraId="2BB85D82" w14:textId="77777777" w:rsidTr="00317042">
        <w:trPr>
          <w:trHeight w:val="20"/>
        </w:trPr>
        <w:tc>
          <w:tcPr>
            <w:tcW w:w="5000" w:type="pct"/>
            <w:vAlign w:val="center"/>
            <w:hideMark/>
          </w:tcPr>
          <w:p w14:paraId="46E07369"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Treatment Phase:</w:t>
            </w:r>
            <w:r w:rsidRPr="008E76AB">
              <w:rPr>
                <w:rFonts w:ascii="Arial Narrow" w:hAnsi="Arial Narrow"/>
                <w:color w:val="333333"/>
                <w:sz w:val="20"/>
                <w:szCs w:val="20"/>
              </w:rPr>
              <w:t xml:space="preserve"> </w:t>
            </w:r>
            <w:r w:rsidRPr="008E76AB">
              <w:rPr>
                <w:rFonts w:ascii="Arial Narrow" w:hAnsi="Arial Narrow"/>
                <w:i/>
                <w:iCs/>
                <w:color w:val="333333"/>
                <w:sz w:val="20"/>
                <w:szCs w:val="20"/>
              </w:rPr>
              <w:t xml:space="preserve">Continuing treatment – re-treatment up to week 52 </w:t>
            </w:r>
            <w:r w:rsidRPr="008E76AB">
              <w:rPr>
                <w:rFonts w:ascii="Arial Narrow" w:hAnsi="Arial Narrow"/>
                <w:i/>
                <w:iCs/>
                <w:strike/>
                <w:color w:val="333333"/>
                <w:sz w:val="20"/>
                <w:szCs w:val="20"/>
              </w:rPr>
              <w:t xml:space="preserve">Re-treatment - </w:t>
            </w:r>
            <w:r w:rsidRPr="008E76AB">
              <w:rPr>
                <w:rFonts w:ascii="Arial Narrow" w:hAnsi="Arial Narrow"/>
                <w:strike/>
                <w:color w:val="333333"/>
                <w:sz w:val="20"/>
                <w:szCs w:val="20"/>
              </w:rPr>
              <w:t>Continuing treatment (weeks 5-52 of the same treatment episode) where the intended administered dose is [28 mg / 56 mg / 84 mg]</w:t>
            </w:r>
          </w:p>
        </w:tc>
      </w:tr>
      <w:tr w:rsidR="003A7739" w:rsidRPr="008E76AB" w14:paraId="162C7FF9" w14:textId="77777777" w:rsidTr="00317042">
        <w:trPr>
          <w:trHeight w:val="20"/>
        </w:trPr>
        <w:tc>
          <w:tcPr>
            <w:tcW w:w="5000" w:type="pct"/>
            <w:vAlign w:val="center"/>
          </w:tcPr>
          <w:p w14:paraId="5AE82050"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Clinical criteria:</w:t>
            </w:r>
          </w:p>
        </w:tc>
      </w:tr>
      <w:tr w:rsidR="003A7739" w:rsidRPr="008E76AB" w14:paraId="6B278003" w14:textId="77777777" w:rsidTr="00317042">
        <w:trPr>
          <w:trHeight w:val="20"/>
        </w:trPr>
        <w:tc>
          <w:tcPr>
            <w:tcW w:w="5000" w:type="pct"/>
            <w:vAlign w:val="center"/>
          </w:tcPr>
          <w:p w14:paraId="44361DF1"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The treatment must be to continue existing PBS-subsidised treatment for the same episode of major depression treated under PBS item number &lt;the item number to be added is the item number for the initial retreatment (weeks 1-4) restrictions&gt;.</w:t>
            </w:r>
          </w:p>
        </w:tc>
      </w:tr>
      <w:tr w:rsidR="003A7739" w:rsidRPr="008E76AB" w14:paraId="38DE1E03" w14:textId="77777777" w:rsidTr="00317042">
        <w:trPr>
          <w:trHeight w:val="20"/>
        </w:trPr>
        <w:tc>
          <w:tcPr>
            <w:tcW w:w="5000" w:type="pct"/>
            <w:vAlign w:val="center"/>
          </w:tcPr>
          <w:p w14:paraId="6566EEA5"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AND</w:t>
            </w:r>
          </w:p>
        </w:tc>
      </w:tr>
      <w:tr w:rsidR="003A7739" w:rsidRPr="008E76AB" w14:paraId="6BDE9162" w14:textId="77777777" w:rsidTr="00317042">
        <w:trPr>
          <w:trHeight w:val="20"/>
        </w:trPr>
        <w:tc>
          <w:tcPr>
            <w:tcW w:w="5000" w:type="pct"/>
            <w:vAlign w:val="center"/>
          </w:tcPr>
          <w:p w14:paraId="3C322C69"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Clinical criteria:</w:t>
            </w:r>
          </w:p>
        </w:tc>
      </w:tr>
      <w:tr w:rsidR="003A7739" w:rsidRPr="008E76AB" w14:paraId="3E2CE8C2" w14:textId="77777777" w:rsidTr="00317042">
        <w:trPr>
          <w:trHeight w:val="20"/>
        </w:trPr>
        <w:tc>
          <w:tcPr>
            <w:tcW w:w="5000" w:type="pct"/>
            <w:vAlign w:val="center"/>
          </w:tcPr>
          <w:p w14:paraId="547C4341"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 xml:space="preserve">The treatment must not exceed each of: (i) an administered dose beyond 84 mg, (ii) a quantity of drug, after accounting for repeat prescriptions plus different pack sizes where prescribed, that would exceed a quantity sufficient to treat the patient for </w:t>
            </w:r>
            <w:r w:rsidRPr="008E76AB">
              <w:rPr>
                <w:rFonts w:ascii="Arial Narrow" w:hAnsi="Arial Narrow"/>
                <w:color w:val="333333"/>
                <w:sz w:val="20"/>
                <w:szCs w:val="20"/>
              </w:rPr>
              <w:lastRenderedPageBreak/>
              <w:t>12 weeks (i.e. the listed maximum quantity is based on once weekly dosing – where fortnightly dosing is prescribed, the authority application is to seek no more than half the listed maximum quantity of this listing)</w:t>
            </w:r>
          </w:p>
        </w:tc>
      </w:tr>
      <w:tr w:rsidR="003A7739" w:rsidRPr="008E76AB" w14:paraId="42CBFA43" w14:textId="77777777" w:rsidTr="00317042">
        <w:trPr>
          <w:trHeight w:val="20"/>
        </w:trPr>
        <w:tc>
          <w:tcPr>
            <w:tcW w:w="5000" w:type="pct"/>
            <w:vAlign w:val="center"/>
          </w:tcPr>
          <w:p w14:paraId="5BEA33A4"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lastRenderedPageBreak/>
              <w:t>AND</w:t>
            </w:r>
          </w:p>
        </w:tc>
      </w:tr>
      <w:tr w:rsidR="003A7739" w:rsidRPr="008E76AB" w14:paraId="67B3B75B" w14:textId="77777777" w:rsidTr="00317042">
        <w:trPr>
          <w:trHeight w:val="20"/>
        </w:trPr>
        <w:tc>
          <w:tcPr>
            <w:tcW w:w="5000" w:type="pct"/>
            <w:vAlign w:val="center"/>
          </w:tcPr>
          <w:p w14:paraId="264CB475"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Clinical criteria:</w:t>
            </w:r>
          </w:p>
        </w:tc>
      </w:tr>
      <w:tr w:rsidR="003A7739" w:rsidRPr="008E76AB" w14:paraId="080F85D7" w14:textId="77777777" w:rsidTr="00317042">
        <w:trPr>
          <w:trHeight w:val="20"/>
        </w:trPr>
        <w:tc>
          <w:tcPr>
            <w:tcW w:w="5000" w:type="pct"/>
            <w:vAlign w:val="center"/>
          </w:tcPr>
          <w:p w14:paraId="748E0981"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The treatment must be to continue existing PBS-subsidised treatment for the same episode of major depression treated under PBS item number &lt;the item number to be added is the item number for the initial retreatment (weeks 1-4) restrictions&gt;.</w:t>
            </w:r>
          </w:p>
        </w:tc>
      </w:tr>
      <w:tr w:rsidR="003A7739" w:rsidRPr="008E76AB" w14:paraId="2841429D" w14:textId="77777777" w:rsidTr="00317042">
        <w:trPr>
          <w:trHeight w:val="20"/>
        </w:trPr>
        <w:tc>
          <w:tcPr>
            <w:tcW w:w="5000" w:type="pct"/>
            <w:vAlign w:val="center"/>
          </w:tcPr>
          <w:p w14:paraId="568E32D7"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64571826" w14:textId="77777777" w:rsidTr="00317042">
        <w:trPr>
          <w:trHeight w:val="20"/>
        </w:trPr>
        <w:tc>
          <w:tcPr>
            <w:tcW w:w="5000" w:type="pct"/>
            <w:vAlign w:val="center"/>
          </w:tcPr>
          <w:p w14:paraId="6AA55913"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Clinical criteria:</w:t>
            </w:r>
          </w:p>
        </w:tc>
      </w:tr>
      <w:tr w:rsidR="003A7739" w:rsidRPr="008E76AB" w14:paraId="31DF7D1C" w14:textId="77777777" w:rsidTr="00317042">
        <w:trPr>
          <w:trHeight w:val="20"/>
        </w:trPr>
        <w:tc>
          <w:tcPr>
            <w:tcW w:w="5000" w:type="pct"/>
            <w:vAlign w:val="center"/>
          </w:tcPr>
          <w:p w14:paraId="7C46595F" w14:textId="77777777" w:rsidR="003A7739" w:rsidRPr="008E76AB" w:rsidRDefault="003A7739" w:rsidP="002A0ED1">
            <w:pPr>
              <w:autoSpaceDE w:val="0"/>
              <w:autoSpaceDN w:val="0"/>
              <w:adjustRightInd w:val="0"/>
              <w:rPr>
                <w:rFonts w:ascii="Arial Narrow" w:hAnsi="Arial Narrow" w:cs="Arial Narrow"/>
                <w:i/>
                <w:iCs/>
                <w:sz w:val="20"/>
                <w:szCs w:val="20"/>
              </w:rPr>
            </w:pPr>
            <w:r w:rsidRPr="008E76AB">
              <w:rPr>
                <w:rFonts w:ascii="Arial Narrow" w:hAnsi="Arial Narrow"/>
                <w:color w:val="333333"/>
                <w:sz w:val="20"/>
                <w:szCs w:val="20"/>
              </w:rPr>
              <w:t>Patient must not be undergoing PBS-subsidised treatment with this drug beyond week 52 of the same episode of major depression</w:t>
            </w:r>
          </w:p>
        </w:tc>
      </w:tr>
      <w:tr w:rsidR="003A7739" w:rsidRPr="008E76AB" w14:paraId="61D750A0" w14:textId="77777777" w:rsidTr="00317042">
        <w:trPr>
          <w:trHeight w:val="20"/>
        </w:trPr>
        <w:tc>
          <w:tcPr>
            <w:tcW w:w="5000" w:type="pct"/>
            <w:vAlign w:val="center"/>
          </w:tcPr>
          <w:p w14:paraId="65CF6EB7" w14:textId="77777777" w:rsidR="003A7739" w:rsidRPr="008E76AB" w:rsidRDefault="003A7739" w:rsidP="002A0ED1">
            <w:pPr>
              <w:rPr>
                <w:rFonts w:ascii="Arial Narrow" w:hAnsi="Arial Narrow"/>
                <w:strike/>
                <w:color w:val="333333"/>
                <w:sz w:val="20"/>
                <w:szCs w:val="20"/>
              </w:rPr>
            </w:pPr>
            <w:r w:rsidRPr="008E76AB">
              <w:rPr>
                <w:rFonts w:ascii="Arial Narrow" w:hAnsi="Arial Narrow"/>
                <w:b/>
                <w:bCs/>
                <w:strike/>
                <w:color w:val="333333"/>
                <w:sz w:val="20"/>
                <w:szCs w:val="20"/>
              </w:rPr>
              <w:t>AND</w:t>
            </w:r>
          </w:p>
        </w:tc>
      </w:tr>
      <w:tr w:rsidR="003A7739" w:rsidRPr="008E76AB" w14:paraId="67138BA0" w14:textId="77777777" w:rsidTr="00317042">
        <w:trPr>
          <w:trHeight w:val="20"/>
        </w:trPr>
        <w:tc>
          <w:tcPr>
            <w:tcW w:w="5000" w:type="pct"/>
            <w:vAlign w:val="center"/>
          </w:tcPr>
          <w:p w14:paraId="1C3CE46B" w14:textId="77777777" w:rsidR="003A7739" w:rsidRPr="008E76AB" w:rsidRDefault="003A7739" w:rsidP="002A0ED1">
            <w:pPr>
              <w:rPr>
                <w:rFonts w:ascii="Arial Narrow" w:hAnsi="Arial Narrow"/>
                <w:strike/>
                <w:color w:val="333333"/>
                <w:sz w:val="20"/>
                <w:szCs w:val="20"/>
              </w:rPr>
            </w:pPr>
            <w:r w:rsidRPr="008E76AB">
              <w:rPr>
                <w:rFonts w:ascii="Arial Narrow" w:hAnsi="Arial Narrow"/>
                <w:b/>
                <w:bCs/>
                <w:strike/>
                <w:color w:val="333333"/>
                <w:sz w:val="20"/>
                <w:szCs w:val="20"/>
              </w:rPr>
              <w:t>Treatment criteria:</w:t>
            </w:r>
          </w:p>
        </w:tc>
      </w:tr>
      <w:tr w:rsidR="003A7739" w:rsidRPr="008E76AB" w14:paraId="01D588A5" w14:textId="77777777" w:rsidTr="00317042">
        <w:trPr>
          <w:trHeight w:val="20"/>
        </w:trPr>
        <w:tc>
          <w:tcPr>
            <w:tcW w:w="5000" w:type="pct"/>
          </w:tcPr>
          <w:p w14:paraId="73E06026" w14:textId="77777777" w:rsidR="003A7739" w:rsidRPr="008E76AB" w:rsidRDefault="003A7739" w:rsidP="002A0ED1">
            <w:pPr>
              <w:autoSpaceDE w:val="0"/>
              <w:autoSpaceDN w:val="0"/>
              <w:adjustRightInd w:val="0"/>
              <w:rPr>
                <w:rFonts w:ascii="Arial Narrow" w:hAnsi="Arial Narrow"/>
                <w:strike/>
                <w:color w:val="333333"/>
                <w:sz w:val="20"/>
                <w:szCs w:val="20"/>
              </w:rPr>
            </w:pPr>
            <w:r w:rsidRPr="008E76AB">
              <w:rPr>
                <w:rFonts w:ascii="Arial Narrow" w:hAnsi="Arial Narrow"/>
                <w:strike/>
                <w:color w:val="333333"/>
                <w:sz w:val="20"/>
                <w:szCs w:val="20"/>
              </w:rPr>
              <w:t>[Section 100 Public Hospital only] Must be treated in a public hospital outpatient clinic</w:t>
            </w:r>
          </w:p>
        </w:tc>
      </w:tr>
      <w:tr w:rsidR="003A7739" w:rsidRPr="008E76AB" w14:paraId="1471B5DC" w14:textId="77777777" w:rsidTr="00317042">
        <w:trPr>
          <w:trHeight w:val="20"/>
        </w:trPr>
        <w:tc>
          <w:tcPr>
            <w:tcW w:w="5000" w:type="pct"/>
          </w:tcPr>
          <w:p w14:paraId="77E7D8B6" w14:textId="77777777" w:rsidR="003A7739" w:rsidRPr="008E76AB" w:rsidRDefault="003A7739" w:rsidP="002A0ED1">
            <w:pPr>
              <w:autoSpaceDE w:val="0"/>
              <w:autoSpaceDN w:val="0"/>
              <w:adjustRightInd w:val="0"/>
              <w:rPr>
                <w:rFonts w:ascii="Arial Narrow" w:hAnsi="Arial Narrow"/>
                <w:strike/>
                <w:color w:val="333333"/>
                <w:sz w:val="20"/>
                <w:szCs w:val="20"/>
              </w:rPr>
            </w:pPr>
            <w:r w:rsidRPr="008E76AB">
              <w:rPr>
                <w:rFonts w:ascii="Arial Narrow" w:hAnsi="Arial Narrow"/>
                <w:strike/>
                <w:color w:val="333333"/>
                <w:sz w:val="20"/>
                <w:szCs w:val="20"/>
              </w:rPr>
              <w:t>[Section 100 Private Hospital only] Must be treated in a hospital that is not a public hospital</w:t>
            </w:r>
          </w:p>
        </w:tc>
      </w:tr>
      <w:tr w:rsidR="003A7739" w:rsidRPr="008E76AB" w14:paraId="4C341FC7" w14:textId="77777777" w:rsidTr="00317042">
        <w:trPr>
          <w:trHeight w:val="20"/>
        </w:trPr>
        <w:tc>
          <w:tcPr>
            <w:tcW w:w="5000" w:type="pct"/>
            <w:vAlign w:val="center"/>
          </w:tcPr>
          <w:p w14:paraId="695A6727"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42D51B66" w14:textId="77777777" w:rsidTr="00317042">
        <w:trPr>
          <w:trHeight w:val="20"/>
        </w:trPr>
        <w:tc>
          <w:tcPr>
            <w:tcW w:w="5000" w:type="pct"/>
            <w:vAlign w:val="center"/>
          </w:tcPr>
          <w:p w14:paraId="06B4029E"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Treatment criteria:</w:t>
            </w:r>
          </w:p>
        </w:tc>
      </w:tr>
      <w:tr w:rsidR="003A7739" w:rsidRPr="008E76AB" w14:paraId="150AEBFD" w14:textId="77777777" w:rsidTr="00317042">
        <w:trPr>
          <w:trHeight w:val="20"/>
        </w:trPr>
        <w:tc>
          <w:tcPr>
            <w:tcW w:w="5000" w:type="pct"/>
          </w:tcPr>
          <w:p w14:paraId="0488F425"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Must be treated by a psychiatrist</w:t>
            </w:r>
          </w:p>
        </w:tc>
      </w:tr>
      <w:tr w:rsidR="003A7739" w:rsidRPr="008E76AB" w14:paraId="68854327" w14:textId="77777777" w:rsidTr="00317042">
        <w:trPr>
          <w:trHeight w:val="20"/>
        </w:trPr>
        <w:tc>
          <w:tcPr>
            <w:tcW w:w="5000" w:type="pct"/>
            <w:vAlign w:val="center"/>
          </w:tcPr>
          <w:p w14:paraId="5F0BF365" w14:textId="77777777" w:rsidR="003A7739" w:rsidRPr="008E76AB" w:rsidRDefault="003A7739" w:rsidP="002A0ED1">
            <w:pPr>
              <w:rPr>
                <w:rFonts w:ascii="Arial Narrow" w:hAnsi="Arial Narrow"/>
                <w:strike/>
                <w:color w:val="333333"/>
                <w:sz w:val="20"/>
                <w:szCs w:val="20"/>
              </w:rPr>
            </w:pPr>
            <w:r w:rsidRPr="008E76AB">
              <w:rPr>
                <w:rFonts w:ascii="Arial Narrow" w:hAnsi="Arial Narrow"/>
                <w:b/>
                <w:bCs/>
                <w:strike/>
                <w:color w:val="333333"/>
                <w:sz w:val="20"/>
                <w:szCs w:val="20"/>
              </w:rPr>
              <w:t>AND</w:t>
            </w:r>
          </w:p>
        </w:tc>
      </w:tr>
      <w:tr w:rsidR="003A7739" w:rsidRPr="008E76AB" w14:paraId="2C69E934" w14:textId="77777777" w:rsidTr="00317042">
        <w:trPr>
          <w:trHeight w:val="20"/>
        </w:trPr>
        <w:tc>
          <w:tcPr>
            <w:tcW w:w="5000" w:type="pct"/>
            <w:vAlign w:val="center"/>
          </w:tcPr>
          <w:p w14:paraId="5B6E2AB9" w14:textId="77777777" w:rsidR="003A7739" w:rsidRPr="008E76AB" w:rsidRDefault="003A7739" w:rsidP="002A0ED1">
            <w:pPr>
              <w:rPr>
                <w:rFonts w:ascii="Arial Narrow" w:hAnsi="Arial Narrow"/>
                <w:strike/>
                <w:color w:val="333333"/>
                <w:sz w:val="20"/>
                <w:szCs w:val="20"/>
              </w:rPr>
            </w:pPr>
            <w:r w:rsidRPr="008E76AB">
              <w:rPr>
                <w:rFonts w:ascii="Arial Narrow" w:hAnsi="Arial Narrow"/>
                <w:b/>
                <w:bCs/>
                <w:strike/>
                <w:color w:val="333333"/>
                <w:sz w:val="20"/>
                <w:szCs w:val="20"/>
              </w:rPr>
              <w:t>Treatment criteria:</w:t>
            </w:r>
          </w:p>
        </w:tc>
      </w:tr>
      <w:tr w:rsidR="003A7739" w:rsidRPr="008E76AB" w14:paraId="02C40B88" w14:textId="77777777" w:rsidTr="00317042">
        <w:trPr>
          <w:trHeight w:val="20"/>
        </w:trPr>
        <w:tc>
          <w:tcPr>
            <w:tcW w:w="5000" w:type="pct"/>
            <w:vAlign w:val="center"/>
          </w:tcPr>
          <w:p w14:paraId="76243C3D" w14:textId="77777777" w:rsidR="003A7739" w:rsidRPr="008E76AB" w:rsidRDefault="003A7739" w:rsidP="002A0ED1">
            <w:pPr>
              <w:rPr>
                <w:rFonts w:ascii="Arial Narrow" w:hAnsi="Arial Narrow"/>
                <w:b/>
                <w:bCs/>
                <w:i/>
                <w:color w:val="333333"/>
                <w:sz w:val="20"/>
                <w:szCs w:val="20"/>
              </w:rPr>
            </w:pPr>
            <w:r w:rsidRPr="008E76AB">
              <w:rPr>
                <w:rFonts w:ascii="Arial Narrow" w:hAnsi="Arial Narrow"/>
                <w:b/>
                <w:bCs/>
                <w:i/>
                <w:color w:val="333333"/>
                <w:sz w:val="20"/>
                <w:szCs w:val="20"/>
              </w:rPr>
              <w:t>Prescriber Instruction:</w:t>
            </w:r>
          </w:p>
          <w:p w14:paraId="6727F3E2"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Patient must be undergoing supervision by a healthcare professional at the time the drug is administered</w:t>
            </w:r>
          </w:p>
        </w:tc>
      </w:tr>
      <w:tr w:rsidR="003A7739" w:rsidRPr="008E76AB" w14:paraId="7DF422BA" w14:textId="77777777" w:rsidTr="00317042">
        <w:trPr>
          <w:trHeight w:val="20"/>
        </w:trPr>
        <w:tc>
          <w:tcPr>
            <w:tcW w:w="5000" w:type="pct"/>
            <w:vAlign w:val="center"/>
          </w:tcPr>
          <w:p w14:paraId="35FB1F7F" w14:textId="77777777" w:rsidR="003A7739" w:rsidRPr="008E76AB" w:rsidRDefault="003A7739" w:rsidP="002A0ED1">
            <w:pPr>
              <w:rPr>
                <w:rFonts w:ascii="Arial Narrow" w:hAnsi="Arial Narrow"/>
                <w:color w:val="333333"/>
                <w:sz w:val="20"/>
                <w:szCs w:val="20"/>
              </w:rPr>
            </w:pPr>
            <w:r w:rsidRPr="008E76AB">
              <w:rPr>
                <w:rFonts w:ascii="Arial Narrow" w:hAnsi="Arial Narrow"/>
                <w:b/>
                <w:bCs/>
                <w:color w:val="333333"/>
                <w:sz w:val="20"/>
                <w:szCs w:val="20"/>
              </w:rPr>
              <w:t>AND</w:t>
            </w:r>
          </w:p>
        </w:tc>
      </w:tr>
      <w:tr w:rsidR="003A7739" w:rsidRPr="008E76AB" w14:paraId="098A36D2" w14:textId="77777777" w:rsidTr="00317042">
        <w:trPr>
          <w:trHeight w:val="20"/>
        </w:trPr>
        <w:tc>
          <w:tcPr>
            <w:tcW w:w="5000" w:type="pct"/>
            <w:vAlign w:val="center"/>
          </w:tcPr>
          <w:p w14:paraId="19E53761" w14:textId="77777777" w:rsidR="003A7739" w:rsidRPr="008E76AB" w:rsidRDefault="003A7739" w:rsidP="002A0ED1">
            <w:pPr>
              <w:rPr>
                <w:rFonts w:ascii="Arial Narrow" w:hAnsi="Arial Narrow"/>
                <w:b/>
                <w:bCs/>
                <w:color w:val="333333"/>
                <w:sz w:val="20"/>
                <w:szCs w:val="20"/>
              </w:rPr>
            </w:pPr>
            <w:r w:rsidRPr="008E76AB">
              <w:rPr>
                <w:rFonts w:ascii="Arial Narrow" w:hAnsi="Arial Narrow"/>
                <w:b/>
                <w:bCs/>
                <w:color w:val="333333"/>
                <w:sz w:val="20"/>
                <w:szCs w:val="20"/>
              </w:rPr>
              <w:t>Population criteria:</w:t>
            </w:r>
          </w:p>
        </w:tc>
      </w:tr>
      <w:tr w:rsidR="003A7739" w:rsidRPr="008E76AB" w14:paraId="57B86FDE" w14:textId="77777777" w:rsidTr="00317042">
        <w:trPr>
          <w:trHeight w:val="20"/>
        </w:trPr>
        <w:tc>
          <w:tcPr>
            <w:tcW w:w="5000" w:type="pct"/>
            <w:vAlign w:val="center"/>
          </w:tcPr>
          <w:p w14:paraId="1665BAB5" w14:textId="77777777" w:rsidR="003A7739" w:rsidRPr="008E76AB" w:rsidRDefault="003A7739" w:rsidP="002A0ED1">
            <w:pPr>
              <w:rPr>
                <w:rFonts w:ascii="Arial Narrow" w:hAnsi="Arial Narrow"/>
                <w:color w:val="333333"/>
                <w:sz w:val="20"/>
                <w:szCs w:val="20"/>
              </w:rPr>
            </w:pPr>
            <w:r w:rsidRPr="008E76AB">
              <w:rPr>
                <w:rFonts w:ascii="Arial Narrow" w:hAnsi="Arial Narrow"/>
                <w:color w:val="333333"/>
                <w:sz w:val="20"/>
                <w:szCs w:val="20"/>
              </w:rPr>
              <w:t>Patient must be at least 18 years of age</w:t>
            </w:r>
          </w:p>
        </w:tc>
      </w:tr>
      <w:tr w:rsidR="003A7739" w:rsidRPr="008E76AB" w14:paraId="316C53AC" w14:textId="77777777" w:rsidTr="00317042">
        <w:trPr>
          <w:trHeight w:val="20"/>
        </w:trPr>
        <w:tc>
          <w:tcPr>
            <w:tcW w:w="5000" w:type="pct"/>
            <w:vAlign w:val="center"/>
          </w:tcPr>
          <w:p w14:paraId="59A887BD" w14:textId="77777777" w:rsidR="003A7739" w:rsidRPr="008E76AB" w:rsidRDefault="003A7739" w:rsidP="002A0ED1">
            <w:pPr>
              <w:rPr>
                <w:rFonts w:ascii="Arial Narrow" w:hAnsi="Arial Narrow"/>
                <w:color w:val="333333"/>
                <w:sz w:val="20"/>
                <w:szCs w:val="20"/>
              </w:rPr>
            </w:pPr>
          </w:p>
        </w:tc>
      </w:tr>
      <w:tr w:rsidR="003A7739" w:rsidRPr="008E76AB" w14:paraId="703E70F0" w14:textId="77777777" w:rsidTr="00317042">
        <w:trPr>
          <w:trHeight w:val="20"/>
        </w:trPr>
        <w:tc>
          <w:tcPr>
            <w:tcW w:w="5000" w:type="pct"/>
            <w:vAlign w:val="center"/>
          </w:tcPr>
          <w:p w14:paraId="23D2CA8C" w14:textId="77777777" w:rsidR="003A7739" w:rsidRPr="008E76AB" w:rsidRDefault="003A7739" w:rsidP="002A0ED1">
            <w:pPr>
              <w:rPr>
                <w:rFonts w:ascii="Arial Narrow" w:hAnsi="Arial Narrow"/>
                <w:b/>
                <w:bCs/>
                <w:i/>
                <w:color w:val="333333"/>
                <w:sz w:val="20"/>
                <w:szCs w:val="20"/>
              </w:rPr>
            </w:pPr>
            <w:r w:rsidRPr="008E76AB">
              <w:rPr>
                <w:rFonts w:ascii="Arial Narrow" w:hAnsi="Arial Narrow"/>
                <w:b/>
                <w:bCs/>
                <w:i/>
                <w:color w:val="333333"/>
                <w:sz w:val="20"/>
                <w:szCs w:val="20"/>
              </w:rPr>
              <w:t>Prescriber Instruction:</w:t>
            </w:r>
          </w:p>
          <w:p w14:paraId="68B12743" w14:textId="77777777" w:rsidR="003A7739" w:rsidRPr="008E76AB" w:rsidRDefault="003A7739" w:rsidP="002A0ED1">
            <w:pPr>
              <w:rPr>
                <w:rFonts w:ascii="Arial Narrow" w:hAnsi="Arial Narrow"/>
                <w:bCs/>
                <w:i/>
                <w:color w:val="333333"/>
                <w:sz w:val="20"/>
                <w:szCs w:val="20"/>
              </w:rPr>
            </w:pPr>
            <w:r w:rsidRPr="008E76AB">
              <w:rPr>
                <w:rFonts w:ascii="Arial Narrow" w:hAnsi="Arial Narrow"/>
                <w:bCs/>
                <w:i/>
                <w:color w:val="333333"/>
                <w:sz w:val="20"/>
                <w:szCs w:val="20"/>
              </w:rPr>
              <w:t>Authority required (telephone and online) – General PBS administration Concept ID 25796</w:t>
            </w:r>
          </w:p>
          <w:p w14:paraId="6F3C1D56" w14:textId="19FF8EC0" w:rsidR="003A7739" w:rsidRPr="008E76AB" w:rsidRDefault="003A7739" w:rsidP="002A0ED1">
            <w:pPr>
              <w:rPr>
                <w:rFonts w:ascii="Arial Narrow" w:hAnsi="Arial Narrow"/>
                <w:i/>
                <w:color w:val="333333"/>
                <w:sz w:val="20"/>
                <w:szCs w:val="20"/>
              </w:rPr>
            </w:pPr>
            <w:r w:rsidRPr="008E76AB">
              <w:rPr>
                <w:rFonts w:ascii="Arial Narrow" w:hAnsi="Arial Narrow"/>
                <w:bCs/>
                <w:i/>
                <w:color w:val="333333"/>
                <w:sz w:val="20"/>
                <w:szCs w:val="20"/>
              </w:rPr>
              <w:t xml:space="preserve">Applications for authorisation under this restriction may be made in real time using the Online PBS Authorities system (see </w:t>
            </w:r>
            <w:r w:rsidR="007A7EF7" w:rsidRPr="008E76AB">
              <w:rPr>
                <w:rFonts w:ascii="Arial Narrow" w:hAnsi="Arial Narrow"/>
                <w:bCs/>
                <w:i/>
                <w:color w:val="333333"/>
                <w:sz w:val="20"/>
                <w:szCs w:val="20"/>
              </w:rPr>
              <w:t>www.servicesaustralia.gov.au/HPOS) or</w:t>
            </w:r>
            <w:r w:rsidRPr="008E76AB">
              <w:rPr>
                <w:rFonts w:ascii="Arial Narrow" w:hAnsi="Arial Narrow"/>
                <w:bCs/>
                <w:i/>
                <w:color w:val="333333"/>
                <w:sz w:val="20"/>
                <w:szCs w:val="20"/>
              </w:rPr>
              <w:t xml:space="preserve"> by telephone by contacting Services Australia. </w:t>
            </w:r>
          </w:p>
        </w:tc>
      </w:tr>
    </w:tbl>
    <w:p w14:paraId="22BAEBD6" w14:textId="56FA1E6E" w:rsidR="00046D64" w:rsidRPr="00D26534" w:rsidRDefault="00023C5B" w:rsidP="00314C57">
      <w:pPr>
        <w:pStyle w:val="COMTablefooter"/>
      </w:pPr>
      <w:r w:rsidRPr="00D26534">
        <w:t>Note: The</w:t>
      </w:r>
      <w:r w:rsidR="00E91F46" w:rsidRPr="00D26534">
        <w:t xml:space="preserve"> </w:t>
      </w:r>
      <w:r w:rsidR="006F62CE" w:rsidRPr="00D26534">
        <w:t xml:space="preserve">private hospital/community access DPMQs in the </w:t>
      </w:r>
      <w:r w:rsidR="00E91F46" w:rsidRPr="00D26534">
        <w:t>resubmission</w:t>
      </w:r>
      <w:r w:rsidR="006F62CE" w:rsidRPr="00D26534">
        <w:t xml:space="preserve"> were incorrectly calculated (mark-ups were not based on the highest maximum quantity for each pack; t</w:t>
      </w:r>
      <w:r w:rsidR="00E91F46" w:rsidRPr="00D26534">
        <w:t xml:space="preserve">he </w:t>
      </w:r>
      <w:r w:rsidRPr="00D26534">
        <w:t>dangerous drug free</w:t>
      </w:r>
      <w:r w:rsidR="00E91F46" w:rsidRPr="00D26534">
        <w:t xml:space="preserve"> for supplying a Schedule 8 medicine </w:t>
      </w:r>
      <w:r w:rsidR="006F62CE" w:rsidRPr="00D26534">
        <w:t>was excluded</w:t>
      </w:r>
      <w:r w:rsidR="00E91F46" w:rsidRPr="00D26534">
        <w:t>)</w:t>
      </w:r>
      <w:r w:rsidR="00052CD4" w:rsidRPr="00D26534">
        <w:t>.</w:t>
      </w:r>
    </w:p>
    <w:p w14:paraId="44498E00" w14:textId="1DF22E85" w:rsidR="00997F8B" w:rsidRPr="008217F1" w:rsidRDefault="00B71EFB" w:rsidP="00334ED6">
      <w:pPr>
        <w:pStyle w:val="ListParagraph"/>
        <w:numPr>
          <w:ilvl w:val="1"/>
          <w:numId w:val="1"/>
        </w:numPr>
        <w:spacing w:after="120"/>
        <w:ind w:hanging="720"/>
        <w:contextualSpacing w:val="0"/>
        <w:rPr>
          <w:rFonts w:cs="Calibri"/>
          <w:bCs/>
          <w:iCs/>
        </w:rPr>
      </w:pPr>
      <w:r w:rsidRPr="008217F1">
        <w:rPr>
          <w:rFonts w:cs="Calibri"/>
          <w:bCs/>
          <w:iCs/>
        </w:rPr>
        <w:t xml:space="preserve">The </w:t>
      </w:r>
      <w:r w:rsidR="00997F8B" w:rsidRPr="008217F1">
        <w:rPr>
          <w:rFonts w:cs="Calibri"/>
          <w:bCs/>
          <w:iCs/>
        </w:rPr>
        <w:t xml:space="preserve">resubmission proposed an effective and published price for esketamine nasal spray with a special pricing arrangement. The published price remained unchanged from the previous resubmission. The proposed effective </w:t>
      </w:r>
      <w:r w:rsidR="004A00B0" w:rsidRPr="008217F1">
        <w:rPr>
          <w:rFonts w:cs="Calibri"/>
          <w:bCs/>
          <w:iCs/>
        </w:rPr>
        <w:t xml:space="preserve">ex-manufacturer </w:t>
      </w:r>
      <w:r w:rsidR="00997F8B" w:rsidRPr="008217F1">
        <w:rPr>
          <w:rFonts w:cs="Calibri"/>
          <w:bCs/>
          <w:iCs/>
        </w:rPr>
        <w:t xml:space="preserve">price </w:t>
      </w:r>
      <w:r w:rsidR="00766C3F" w:rsidRPr="008217F1">
        <w:rPr>
          <w:rFonts w:cs="Calibri"/>
          <w:bCs/>
          <w:iCs/>
        </w:rPr>
        <w:t xml:space="preserve">(EMP) </w:t>
      </w:r>
      <w:r w:rsidR="00997F8B" w:rsidRPr="008217F1">
        <w:rPr>
          <w:rFonts w:cs="Calibri"/>
          <w:bCs/>
          <w:iCs/>
        </w:rPr>
        <w:t xml:space="preserve">in the resubmission </w:t>
      </w:r>
      <w:r w:rsidR="00627259" w:rsidRPr="008217F1">
        <w:rPr>
          <w:rFonts w:cs="Calibri"/>
          <w:bCs/>
          <w:iCs/>
        </w:rPr>
        <w:t>($</w:t>
      </w:r>
      <w:r w:rsidR="00683384" w:rsidRPr="00A34B18">
        <w:rPr>
          <w:rFonts w:cs="Calibri"/>
          <w:bCs/>
          <w:iCs/>
          <w:color w:val="000000"/>
          <w:w w:val="15"/>
          <w:shd w:val="solid" w:color="000000" w:fill="000000"/>
          <w:fitText w:val="-20" w:id="-892701174"/>
          <w14:textFill>
            <w14:solidFill>
              <w14:srgbClr w14:val="000000">
                <w14:alpha w14:val="100000"/>
              </w14:srgbClr>
            </w14:solidFill>
          </w14:textFill>
        </w:rPr>
        <w:t xml:space="preserve">|  </w:t>
      </w:r>
      <w:r w:rsidR="00683384" w:rsidRPr="00A34B18">
        <w:rPr>
          <w:rFonts w:cs="Calibri"/>
          <w:bCs/>
          <w:iCs/>
          <w:color w:val="000000"/>
          <w:spacing w:val="-69"/>
          <w:w w:val="15"/>
          <w:shd w:val="solid" w:color="000000" w:fill="000000"/>
          <w:fitText w:val="-20" w:id="-892701174"/>
          <w14:textFill>
            <w14:solidFill>
              <w14:srgbClr w14:val="000000">
                <w14:alpha w14:val="100000"/>
              </w14:srgbClr>
            </w14:solidFill>
          </w14:textFill>
        </w:rPr>
        <w:t>|</w:t>
      </w:r>
      <w:r w:rsidR="00627259" w:rsidRPr="008217F1">
        <w:rPr>
          <w:rFonts w:cs="Calibri"/>
          <w:bCs/>
          <w:iCs/>
        </w:rPr>
        <w:t xml:space="preserve"> per 28 mg device) </w:t>
      </w:r>
      <w:r w:rsidR="00997F8B" w:rsidRPr="008217F1">
        <w:rPr>
          <w:rFonts w:cs="Calibri"/>
          <w:bCs/>
          <w:iCs/>
        </w:rPr>
        <w:t>was</w:t>
      </w:r>
      <w:r w:rsidR="0074435C" w:rsidRPr="008217F1" w:rsidDel="0074435C">
        <w:rPr>
          <w:rFonts w:cs="Calibri"/>
          <w:bCs/>
          <w:iCs/>
        </w:rPr>
        <w:t xml:space="preserve"> </w:t>
      </w:r>
      <w:r w:rsidR="00997F8B" w:rsidRPr="008217F1">
        <w:rPr>
          <w:rFonts w:cs="Calibri"/>
          <w:bCs/>
          <w:iCs/>
        </w:rPr>
        <w:t>lower than that proposed in the July 2023 resubmission</w:t>
      </w:r>
      <w:r w:rsidR="0074435C">
        <w:rPr>
          <w:rFonts w:cs="Calibri"/>
          <w:bCs/>
          <w:iCs/>
        </w:rPr>
        <w:t xml:space="preserve"> ($</w:t>
      </w:r>
      <w:r w:rsidR="00683384" w:rsidRPr="00A34B18">
        <w:rPr>
          <w:rFonts w:cs="Calibri"/>
          <w:bCs/>
          <w:iCs/>
          <w:color w:val="000000"/>
          <w:w w:val="15"/>
          <w:shd w:val="solid" w:color="000000" w:fill="000000"/>
          <w:fitText w:val="-20" w:id="-892701173"/>
          <w14:textFill>
            <w14:solidFill>
              <w14:srgbClr w14:val="000000">
                <w14:alpha w14:val="100000"/>
              </w14:srgbClr>
            </w14:solidFill>
          </w14:textFill>
        </w:rPr>
        <w:t xml:space="preserve">|  </w:t>
      </w:r>
      <w:r w:rsidR="00683384" w:rsidRPr="00A34B18">
        <w:rPr>
          <w:rFonts w:cs="Calibri"/>
          <w:bCs/>
          <w:iCs/>
          <w:color w:val="000000"/>
          <w:spacing w:val="-69"/>
          <w:w w:val="15"/>
          <w:shd w:val="solid" w:color="000000" w:fill="000000"/>
          <w:fitText w:val="-20" w:id="-892701173"/>
          <w14:textFill>
            <w14:solidFill>
              <w14:srgbClr w14:val="000000">
                <w14:alpha w14:val="100000"/>
              </w14:srgbClr>
            </w14:solidFill>
          </w14:textFill>
        </w:rPr>
        <w:t>|</w:t>
      </w:r>
      <w:r w:rsidR="0074435C">
        <w:rPr>
          <w:rFonts w:cs="Calibri"/>
          <w:bCs/>
          <w:iCs/>
        </w:rPr>
        <w:t xml:space="preserve"> per 28 mg device)</w:t>
      </w:r>
      <w:r w:rsidR="00627259" w:rsidRPr="008217F1">
        <w:rPr>
          <w:rFonts w:cs="Calibri"/>
          <w:bCs/>
          <w:iCs/>
        </w:rPr>
        <w:t>.</w:t>
      </w:r>
    </w:p>
    <w:p w14:paraId="7245525D" w14:textId="04BCE724" w:rsidR="00113E71" w:rsidRPr="008217F1" w:rsidRDefault="002E1E65" w:rsidP="00334ED6">
      <w:pPr>
        <w:pStyle w:val="ListParagraph"/>
        <w:numPr>
          <w:ilvl w:val="1"/>
          <w:numId w:val="1"/>
        </w:numPr>
        <w:spacing w:after="120"/>
        <w:ind w:hanging="720"/>
        <w:contextualSpacing w:val="0"/>
        <w:rPr>
          <w:rFonts w:cs="Calibri"/>
          <w:bCs/>
          <w:iCs/>
        </w:rPr>
      </w:pPr>
      <w:r w:rsidRPr="008217F1">
        <w:rPr>
          <w:rFonts w:cs="Calibri"/>
          <w:bCs/>
          <w:iCs/>
        </w:rPr>
        <w:t>Consistent with the July 2023 resubmission, the resubmission incorporated the listing of esketamine nasal spray under the Section 100 Highly Specialised Drugs</w:t>
      </w:r>
      <w:r w:rsidR="004A00B0" w:rsidRPr="008217F1">
        <w:rPr>
          <w:rFonts w:cs="Calibri"/>
          <w:bCs/>
          <w:iCs/>
        </w:rPr>
        <w:t xml:space="preserve"> (HSD)</w:t>
      </w:r>
      <w:r w:rsidRPr="008217F1">
        <w:rPr>
          <w:rFonts w:cs="Calibri"/>
          <w:bCs/>
          <w:iCs/>
        </w:rPr>
        <w:t xml:space="preserve"> program, with</w:t>
      </w:r>
      <w:r w:rsidR="004A00B0" w:rsidRPr="008217F1">
        <w:rPr>
          <w:rFonts w:cs="Calibri"/>
          <w:bCs/>
          <w:iCs/>
        </w:rPr>
        <w:t xml:space="preserve"> Community Access listing</w:t>
      </w:r>
      <w:r w:rsidR="005D1787" w:rsidRPr="008217F1">
        <w:rPr>
          <w:rFonts w:cs="Calibri"/>
          <w:bCs/>
          <w:iCs/>
        </w:rPr>
        <w:t xml:space="preserve"> </w:t>
      </w:r>
      <w:r w:rsidRPr="008217F1">
        <w:rPr>
          <w:rFonts w:cs="Calibri"/>
          <w:bCs/>
          <w:iCs/>
        </w:rPr>
        <w:t xml:space="preserve">sought </w:t>
      </w:r>
      <w:r w:rsidR="004A00B0" w:rsidRPr="008217F1">
        <w:rPr>
          <w:rFonts w:cs="Calibri"/>
          <w:bCs/>
          <w:iCs/>
        </w:rPr>
        <w:t xml:space="preserve">(in addition to Public Hospital and Private Hospital) </w:t>
      </w:r>
      <w:r w:rsidRPr="008217F1">
        <w:rPr>
          <w:rFonts w:cs="Calibri"/>
          <w:bCs/>
          <w:iCs/>
        </w:rPr>
        <w:t>to enable patients to obtain esketamine from community pharmacies. The resubmission stated that in the event the PBAC considers esketamine does not meet the Section 100 (Highly Specialised Drugs) criteria, the proposed Community Access listing would be implemented in the General Schedule, with relevant changes to facilitate such a listing</w:t>
      </w:r>
      <w:r w:rsidR="00334ED6" w:rsidRPr="008217F1">
        <w:rPr>
          <w:rFonts w:cs="Calibri"/>
          <w:bCs/>
          <w:iCs/>
        </w:rPr>
        <w:t>.</w:t>
      </w:r>
    </w:p>
    <w:p w14:paraId="1DFCFDCB" w14:textId="77777777" w:rsidR="001D5D93" w:rsidRPr="008217F1" w:rsidRDefault="001D5D93" w:rsidP="00334ED6">
      <w:pPr>
        <w:pStyle w:val="ListParagraph"/>
        <w:numPr>
          <w:ilvl w:val="1"/>
          <w:numId w:val="1"/>
        </w:numPr>
        <w:spacing w:after="120"/>
        <w:ind w:hanging="720"/>
        <w:contextualSpacing w:val="0"/>
        <w:rPr>
          <w:rFonts w:cs="Calibri"/>
          <w:bCs/>
          <w:iCs/>
        </w:rPr>
      </w:pPr>
      <w:r w:rsidRPr="008217F1">
        <w:rPr>
          <w:rFonts w:cs="Calibri"/>
          <w:bCs/>
          <w:iCs/>
        </w:rPr>
        <w:t xml:space="preserve">The proposed restriction is broadly consistent with the approved TGA indication of treatment for TRD (defined as prior failure of 2 antidepressants for that episode) </w:t>
      </w:r>
      <w:r w:rsidRPr="008217F1">
        <w:rPr>
          <w:rFonts w:cs="Calibri"/>
          <w:bCs/>
          <w:iCs/>
        </w:rPr>
        <w:lastRenderedPageBreak/>
        <w:t xml:space="preserve">initiated in combination with a new OAD, with the exception that the proposed restriction does not specify that the co-administered OAD must be newly initiated.  </w:t>
      </w:r>
    </w:p>
    <w:p w14:paraId="3B3ED491" w14:textId="77777777" w:rsidR="00E10DD5" w:rsidRPr="008217F1" w:rsidRDefault="00E10DD5" w:rsidP="00334ED6">
      <w:pPr>
        <w:pStyle w:val="ListParagraph"/>
        <w:numPr>
          <w:ilvl w:val="1"/>
          <w:numId w:val="1"/>
        </w:numPr>
        <w:spacing w:after="120"/>
        <w:ind w:hanging="720"/>
        <w:contextualSpacing w:val="0"/>
        <w:rPr>
          <w:rFonts w:cs="Calibri"/>
          <w:bCs/>
          <w:iCs/>
        </w:rPr>
      </w:pPr>
      <w:r w:rsidRPr="008217F1">
        <w:rPr>
          <w:rFonts w:cs="Calibri"/>
          <w:bCs/>
          <w:iCs/>
        </w:rPr>
        <w:t>The requested restriction for initial induction therapy does not specify that patients must not have been treated with esketamine before, meaning patients who have not responded to previous esketamine treatment could access further treatment with esketamine using this restriction.</w:t>
      </w:r>
    </w:p>
    <w:p w14:paraId="45858395" w14:textId="18733AB4" w:rsidR="00755474" w:rsidRPr="008217F1" w:rsidRDefault="00635F76" w:rsidP="00334ED6">
      <w:pPr>
        <w:pStyle w:val="ListParagraph"/>
        <w:numPr>
          <w:ilvl w:val="1"/>
          <w:numId w:val="1"/>
        </w:numPr>
        <w:spacing w:after="120"/>
        <w:ind w:hanging="720"/>
        <w:contextualSpacing w:val="0"/>
        <w:rPr>
          <w:rFonts w:cs="Calibri"/>
          <w:bCs/>
          <w:iCs/>
        </w:rPr>
      </w:pPr>
      <w:r w:rsidRPr="008217F1">
        <w:rPr>
          <w:rFonts w:cs="Calibri"/>
          <w:bCs/>
          <w:iCs/>
        </w:rPr>
        <w:t>The resubmission stated that the intent of the separate restriction for continuing therapy was because patients who fail to show an adequate response to esketamine after 4 weeks should discontinue treatment with esketamine, and will be ineligible for continuing treatment. However, the requested restriction for continuing treatment did not include any criteria requiring patients to have demonstrated a response to their induction treatment. In addition, the requested restriction did not specify that patients must continue to demonstrate a response to treatment during the maintenance treatment period, and should discontinue treatment with esketamine if no longer responding.</w:t>
      </w:r>
      <w:r w:rsidR="00E12504" w:rsidRPr="008217F1">
        <w:rPr>
          <w:rFonts w:cs="Calibri"/>
          <w:bCs/>
          <w:iCs/>
        </w:rPr>
        <w:t xml:space="preserve"> </w:t>
      </w:r>
    </w:p>
    <w:p w14:paraId="167647FE" w14:textId="19DD479E" w:rsidR="00615D13" w:rsidRPr="008217F1" w:rsidRDefault="00A612B4" w:rsidP="00334ED6">
      <w:pPr>
        <w:pStyle w:val="ListParagraph"/>
        <w:numPr>
          <w:ilvl w:val="1"/>
          <w:numId w:val="1"/>
        </w:numPr>
        <w:spacing w:after="120"/>
        <w:ind w:hanging="720"/>
        <w:contextualSpacing w:val="0"/>
        <w:rPr>
          <w:rFonts w:cs="Calibri"/>
          <w:bCs/>
          <w:iCs/>
        </w:rPr>
      </w:pPr>
      <w:r w:rsidRPr="008217F1">
        <w:rPr>
          <w:rFonts w:cs="Calibri"/>
          <w:bCs/>
          <w:iCs/>
        </w:rPr>
        <w:t xml:space="preserve">The resubmission </w:t>
      </w:r>
      <w:r w:rsidR="00615D13" w:rsidRPr="008217F1">
        <w:rPr>
          <w:rFonts w:cs="Calibri"/>
          <w:bCs/>
          <w:iCs/>
        </w:rPr>
        <w:t>proposed that patients requiring treatment</w:t>
      </w:r>
      <w:r w:rsidR="00BB35B5" w:rsidRPr="008217F1">
        <w:rPr>
          <w:rFonts w:cs="Calibri"/>
          <w:bCs/>
          <w:iCs/>
        </w:rPr>
        <w:t xml:space="preserve"> for longer than 12 months</w:t>
      </w:r>
      <w:r w:rsidR="00615D13" w:rsidRPr="008217F1">
        <w:rPr>
          <w:rFonts w:cs="Calibri"/>
          <w:bCs/>
          <w:iCs/>
        </w:rPr>
        <w:t xml:space="preserve"> obtain Authority approval to receive additional esketamine, with proposed wording added to the Administrative Advice for the continuing treatment restriction: ‘patients continuing to respond to esketamine but who haven’t entered remission or for whom ceasing treatment would be clinically inappropriate are able to apply, under Authority to continue use beyond 12 months’. The resubmission suggested if the PBAC considered a separate restriction was not necessary, the proposed maintenance restriction (weeks 5-52) could include wording that allowed (under Authority approval) an increase in the number of repeats for those patients requiring further treatment beyond 12 months.</w:t>
      </w:r>
    </w:p>
    <w:p w14:paraId="7481A5A9" w14:textId="77777777" w:rsidR="00615D13" w:rsidRPr="008217F1" w:rsidRDefault="00615D13" w:rsidP="00334ED6">
      <w:pPr>
        <w:pStyle w:val="ListParagraph"/>
        <w:numPr>
          <w:ilvl w:val="1"/>
          <w:numId w:val="1"/>
        </w:numPr>
        <w:spacing w:after="120"/>
        <w:ind w:hanging="720"/>
        <w:contextualSpacing w:val="0"/>
        <w:rPr>
          <w:rFonts w:cs="Calibri"/>
          <w:bCs/>
          <w:iCs/>
        </w:rPr>
      </w:pPr>
      <w:r w:rsidRPr="008217F1">
        <w:rPr>
          <w:rFonts w:cs="Calibri"/>
          <w:bCs/>
          <w:iCs/>
        </w:rPr>
        <w:t>The requested restriction for continuing treatment beyond 12 months did not include any criteria requiring patients to have demonstrated a response to their treatment during weeks 5-52. In addition, the requested restriction did not specify that patients must continue to demonstrate a response to treatment beyond 12 months, and should discontinue treatment with esketamine if no longer responding.</w:t>
      </w:r>
    </w:p>
    <w:p w14:paraId="5CE86D9F" w14:textId="41B4252E" w:rsidR="00E12504" w:rsidRPr="008217F1" w:rsidRDefault="00E12504" w:rsidP="00334ED6">
      <w:pPr>
        <w:pStyle w:val="ListParagraph"/>
        <w:numPr>
          <w:ilvl w:val="1"/>
          <w:numId w:val="1"/>
        </w:numPr>
        <w:spacing w:after="120"/>
        <w:ind w:hanging="720"/>
        <w:contextualSpacing w:val="0"/>
        <w:rPr>
          <w:rFonts w:cs="Calibri"/>
          <w:bCs/>
          <w:iCs/>
        </w:rPr>
      </w:pPr>
      <w:bookmarkStart w:id="13" w:name="_Ref169851015"/>
      <w:r w:rsidRPr="008217F1">
        <w:rPr>
          <w:iCs/>
        </w:rPr>
        <w:t>PSCR, acknowledged the requested restrictions inadvertently failed to preclude use by patients who have been previously treated with esketamine and the initial maintenance treatment restriction did not include a requirement to demonstrate a response to initial treatment. The Response clarified the economic model and financial estimates were applied to an appropriate patient population which includes requirements for response to treatment for continuation and prior response for re-treatment.</w:t>
      </w:r>
      <w:bookmarkEnd w:id="13"/>
      <w:r w:rsidRPr="008217F1">
        <w:rPr>
          <w:iCs/>
        </w:rPr>
        <w:t xml:space="preserve"> </w:t>
      </w:r>
    </w:p>
    <w:p w14:paraId="7DF44DF4" w14:textId="7E8184B1" w:rsidR="0073263F" w:rsidRPr="008217F1" w:rsidRDefault="00615D13" w:rsidP="00334ED6">
      <w:pPr>
        <w:pStyle w:val="ListParagraph"/>
        <w:numPr>
          <w:ilvl w:val="1"/>
          <w:numId w:val="1"/>
        </w:numPr>
        <w:spacing w:after="120"/>
        <w:ind w:hanging="720"/>
        <w:contextualSpacing w:val="0"/>
        <w:rPr>
          <w:rFonts w:cs="Calibri"/>
          <w:bCs/>
          <w:iCs/>
        </w:rPr>
      </w:pPr>
      <w:r w:rsidRPr="008217F1">
        <w:rPr>
          <w:rFonts w:cs="Calibri"/>
          <w:bCs/>
          <w:iCs/>
        </w:rPr>
        <w:t xml:space="preserve">The resubmission did not include a limit to the duration of additional treatment beyond 12 months. The resubmission argued that this use is likely to be rebated back to the Commonwealth, given the proposed RSA which applies subsidisation caps above the level of expected use. </w:t>
      </w:r>
      <w:r w:rsidR="006F3859" w:rsidRPr="008217F1">
        <w:rPr>
          <w:rFonts w:cs="Calibri"/>
          <w:bCs/>
          <w:iCs/>
        </w:rPr>
        <w:t xml:space="preserve">The </w:t>
      </w:r>
      <w:r w:rsidR="00366293" w:rsidRPr="008217F1">
        <w:rPr>
          <w:rFonts w:cs="Calibri"/>
          <w:bCs/>
          <w:iCs/>
        </w:rPr>
        <w:t xml:space="preserve">evaluation considered the </w:t>
      </w:r>
      <w:r w:rsidR="006F3859" w:rsidRPr="008217F1">
        <w:rPr>
          <w:rFonts w:cs="Calibri"/>
          <w:bCs/>
          <w:iCs/>
        </w:rPr>
        <w:t xml:space="preserve">level of expected use </w:t>
      </w:r>
      <w:r w:rsidR="006F3859" w:rsidRPr="008217F1">
        <w:rPr>
          <w:rFonts w:cs="Calibri"/>
          <w:bCs/>
          <w:iCs/>
        </w:rPr>
        <w:lastRenderedPageBreak/>
        <w:t xml:space="preserve">in the resubmission </w:t>
      </w:r>
      <w:r w:rsidR="006C4A65" w:rsidRPr="008217F1">
        <w:rPr>
          <w:rFonts w:cs="Calibri"/>
          <w:bCs/>
          <w:iCs/>
        </w:rPr>
        <w:t xml:space="preserve">is uncertain </w:t>
      </w:r>
      <w:r w:rsidR="00314C57" w:rsidRPr="008217F1">
        <w:rPr>
          <w:rFonts w:cs="Calibri"/>
          <w:bCs/>
          <w:iCs/>
        </w:rPr>
        <w:t xml:space="preserve">and </w:t>
      </w:r>
      <w:r w:rsidR="00D80E55" w:rsidRPr="008217F1">
        <w:rPr>
          <w:rFonts w:cs="Calibri"/>
          <w:bCs/>
          <w:iCs/>
        </w:rPr>
        <w:t xml:space="preserve">already </w:t>
      </w:r>
      <w:r w:rsidR="006F3859" w:rsidRPr="008217F1">
        <w:rPr>
          <w:rFonts w:cs="Calibri"/>
          <w:bCs/>
          <w:iCs/>
        </w:rPr>
        <w:t>incorporate</w:t>
      </w:r>
      <w:r w:rsidR="00D80E55" w:rsidRPr="008217F1">
        <w:rPr>
          <w:rFonts w:cs="Calibri"/>
          <w:bCs/>
          <w:iCs/>
        </w:rPr>
        <w:t>s</w:t>
      </w:r>
      <w:r w:rsidR="006F3859" w:rsidRPr="008217F1">
        <w:rPr>
          <w:rFonts w:cs="Calibri"/>
          <w:bCs/>
          <w:iCs/>
        </w:rPr>
        <w:t xml:space="preserve"> </w:t>
      </w:r>
      <w:r w:rsidR="00093C10" w:rsidRPr="008217F1">
        <w:rPr>
          <w:rFonts w:cs="Calibri"/>
          <w:bCs/>
          <w:iCs/>
        </w:rPr>
        <w:t>a proportion of patients treated beyond 12 months</w:t>
      </w:r>
      <w:r w:rsidR="009E4E71" w:rsidRPr="008217F1">
        <w:rPr>
          <w:rFonts w:cs="Calibri"/>
          <w:bCs/>
          <w:iCs/>
        </w:rPr>
        <w:t>, with an average treatment duration of</w:t>
      </w:r>
      <w:r w:rsidR="00D80E55" w:rsidRPr="008217F1">
        <w:rPr>
          <w:rFonts w:cs="Calibri"/>
          <w:bCs/>
          <w:iCs/>
        </w:rPr>
        <w:t xml:space="preserve"> 32 months</w:t>
      </w:r>
      <w:r w:rsidR="00305CB2" w:rsidRPr="008217F1">
        <w:rPr>
          <w:rFonts w:cs="Calibri"/>
          <w:bCs/>
          <w:iCs/>
        </w:rPr>
        <w:t xml:space="preserve"> (initial treatment) or 26 months (retreatment)</w:t>
      </w:r>
      <w:r w:rsidR="00AB4663" w:rsidRPr="008217F1">
        <w:rPr>
          <w:rFonts w:cs="Calibri"/>
          <w:bCs/>
          <w:iCs/>
        </w:rPr>
        <w:t>.</w:t>
      </w:r>
      <w:r w:rsidR="00BF24FA" w:rsidRPr="008217F1">
        <w:rPr>
          <w:rFonts w:cs="Calibri"/>
          <w:bCs/>
          <w:iCs/>
        </w:rPr>
        <w:t xml:space="preserve"> </w:t>
      </w:r>
      <w:r w:rsidR="00C176D7" w:rsidRPr="008217F1">
        <w:rPr>
          <w:rFonts w:cs="Calibri"/>
          <w:bCs/>
          <w:iCs/>
        </w:rPr>
        <w:t xml:space="preserve">The resubmission proposed a reimbursement of </w:t>
      </w:r>
      <w:r w:rsidR="00683384" w:rsidRPr="00A34B18">
        <w:rPr>
          <w:rFonts w:cs="Calibri"/>
          <w:bCs/>
          <w:iCs/>
          <w:color w:val="000000"/>
          <w:w w:val="15"/>
          <w:shd w:val="solid" w:color="000000" w:fill="000000"/>
          <w:fitText w:val="-20" w:id="-892701172"/>
          <w14:textFill>
            <w14:solidFill>
              <w14:srgbClr w14:val="000000">
                <w14:alpha w14:val="100000"/>
              </w14:srgbClr>
            </w14:solidFill>
          </w14:textFill>
        </w:rPr>
        <w:t xml:space="preserve">|  </w:t>
      </w:r>
      <w:r w:rsidR="00683384" w:rsidRPr="00A34B18">
        <w:rPr>
          <w:rFonts w:cs="Calibri"/>
          <w:bCs/>
          <w:iCs/>
          <w:color w:val="000000"/>
          <w:spacing w:val="-69"/>
          <w:w w:val="15"/>
          <w:shd w:val="solid" w:color="000000" w:fill="000000"/>
          <w:fitText w:val="-20" w:id="-892701172"/>
          <w14:textFill>
            <w14:solidFill>
              <w14:srgbClr w14:val="000000">
                <w14:alpha w14:val="100000"/>
              </w14:srgbClr>
            </w14:solidFill>
          </w14:textFill>
        </w:rPr>
        <w:t>|</w:t>
      </w:r>
      <w:r w:rsidR="00C176D7" w:rsidRPr="008217F1">
        <w:rPr>
          <w:rFonts w:cs="Calibri"/>
          <w:bCs/>
          <w:iCs/>
        </w:rPr>
        <w:t>% for any potential use above specified subsidisation caps.</w:t>
      </w:r>
      <w:r w:rsidR="008602A6" w:rsidRPr="008217F1">
        <w:rPr>
          <w:rFonts w:cs="Calibri"/>
          <w:bCs/>
          <w:iCs/>
        </w:rPr>
        <w:t xml:space="preserve"> The ESC noted </w:t>
      </w:r>
      <w:r w:rsidR="00AC638E" w:rsidRPr="008217F1">
        <w:rPr>
          <w:rFonts w:cs="Calibri"/>
          <w:bCs/>
          <w:iCs/>
        </w:rPr>
        <w:t>the</w:t>
      </w:r>
      <w:r w:rsidR="008602A6" w:rsidRPr="008217F1">
        <w:rPr>
          <w:rFonts w:cs="Calibri"/>
          <w:bCs/>
          <w:iCs/>
        </w:rPr>
        <w:t xml:space="preserve"> risk</w:t>
      </w:r>
      <w:r w:rsidR="00AC638E" w:rsidRPr="008217F1">
        <w:rPr>
          <w:rFonts w:cs="Calibri"/>
          <w:bCs/>
          <w:iCs/>
        </w:rPr>
        <w:t>s</w:t>
      </w:r>
      <w:r w:rsidR="008602A6" w:rsidRPr="008217F1">
        <w:rPr>
          <w:rFonts w:cs="Calibri"/>
          <w:bCs/>
          <w:iCs/>
        </w:rPr>
        <w:t xml:space="preserve"> (such as extent of use beyond 12 months) </w:t>
      </w:r>
      <w:r w:rsidR="00AC638E" w:rsidRPr="008217F1">
        <w:rPr>
          <w:rFonts w:cs="Calibri"/>
          <w:bCs/>
          <w:iCs/>
        </w:rPr>
        <w:t xml:space="preserve">can only be managed </w:t>
      </w:r>
      <w:r w:rsidR="008602A6" w:rsidRPr="008217F1">
        <w:rPr>
          <w:rFonts w:cs="Calibri"/>
          <w:bCs/>
          <w:iCs/>
        </w:rPr>
        <w:t>through an RSA if the utilisation estimates</w:t>
      </w:r>
      <w:r w:rsidR="002F64B3" w:rsidRPr="008217F1">
        <w:rPr>
          <w:rFonts w:cs="Calibri"/>
          <w:bCs/>
          <w:iCs/>
        </w:rPr>
        <w:t xml:space="preserve"> have not been overestimated</w:t>
      </w:r>
      <w:r w:rsidR="008602A6" w:rsidRPr="008217F1">
        <w:rPr>
          <w:rFonts w:cs="Calibri"/>
          <w:bCs/>
          <w:iCs/>
        </w:rPr>
        <w:t xml:space="preserve">. </w:t>
      </w:r>
    </w:p>
    <w:p w14:paraId="7258238A" w14:textId="708068C9" w:rsidR="005F30FB" w:rsidRPr="008217F1" w:rsidRDefault="005F30FB" w:rsidP="00334ED6">
      <w:pPr>
        <w:pStyle w:val="ListParagraph"/>
        <w:numPr>
          <w:ilvl w:val="1"/>
          <w:numId w:val="1"/>
        </w:numPr>
        <w:spacing w:after="120"/>
        <w:ind w:hanging="720"/>
        <w:contextualSpacing w:val="0"/>
        <w:rPr>
          <w:rFonts w:cs="Calibri"/>
          <w:bCs/>
          <w:iCs/>
        </w:rPr>
      </w:pPr>
      <w:r w:rsidRPr="008217F1">
        <w:rPr>
          <w:rFonts w:cs="Calibri"/>
          <w:bCs/>
          <w:iCs/>
        </w:rPr>
        <w:t>The resubmission proposed two retreatment restrictions, one for the first four weeks of treatment (induction period) and one for weeks 5-52 of retreatment (maintenance). The resubmission stated that the intent of the restriction is that patients who have previously received and responded to esketamine are eligible for retreatment once they have relapsed and they are experiencing a new major depressive episode.</w:t>
      </w:r>
      <w:r w:rsidR="00E12504" w:rsidRPr="008217F1">
        <w:rPr>
          <w:rFonts w:cs="Calibri"/>
          <w:bCs/>
          <w:iCs/>
        </w:rPr>
        <w:t xml:space="preserve"> </w:t>
      </w:r>
    </w:p>
    <w:p w14:paraId="764C8FCD" w14:textId="13C74FE0" w:rsidR="00E12504" w:rsidRPr="008217F1" w:rsidRDefault="00E12504" w:rsidP="00334ED6">
      <w:pPr>
        <w:pStyle w:val="ListParagraph"/>
        <w:numPr>
          <w:ilvl w:val="1"/>
          <w:numId w:val="1"/>
        </w:numPr>
        <w:spacing w:after="120"/>
        <w:ind w:hanging="720"/>
        <w:contextualSpacing w:val="0"/>
        <w:rPr>
          <w:rFonts w:cs="Calibri"/>
          <w:bCs/>
          <w:iCs/>
        </w:rPr>
      </w:pPr>
      <w:r w:rsidRPr="008217F1">
        <w:rPr>
          <w:iCs/>
        </w:rPr>
        <w:t xml:space="preserve">The ESC considered the proposed restrictions could be </w:t>
      </w:r>
      <w:r w:rsidR="00366293" w:rsidRPr="008217F1">
        <w:rPr>
          <w:iCs/>
        </w:rPr>
        <w:t xml:space="preserve">consolidated </w:t>
      </w:r>
      <w:r w:rsidR="002F64B3" w:rsidRPr="008217F1">
        <w:rPr>
          <w:iCs/>
        </w:rPr>
        <w:t>and</w:t>
      </w:r>
      <w:r w:rsidRPr="008217F1">
        <w:rPr>
          <w:iCs/>
        </w:rPr>
        <w:t xml:space="preserve"> still achieve the intent of allowing treatment beyond 12 months and re-treatment where appropriate.</w:t>
      </w:r>
      <w:bookmarkStart w:id="14" w:name="_Ref169851662"/>
      <w:r w:rsidR="00366293" w:rsidRPr="008217F1">
        <w:rPr>
          <w:iCs/>
        </w:rPr>
        <w:t xml:space="preserve"> </w:t>
      </w:r>
      <w:bookmarkEnd w:id="14"/>
    </w:p>
    <w:p w14:paraId="02CAF4D4" w14:textId="34645867" w:rsidR="005F30FB" w:rsidRPr="008217F1" w:rsidRDefault="005F30FB" w:rsidP="00334ED6">
      <w:pPr>
        <w:pStyle w:val="ListParagraph"/>
        <w:numPr>
          <w:ilvl w:val="1"/>
          <w:numId w:val="1"/>
        </w:numPr>
        <w:spacing w:after="120"/>
        <w:ind w:hanging="720"/>
        <w:contextualSpacing w:val="0"/>
        <w:rPr>
          <w:rFonts w:cs="Calibri"/>
          <w:bCs/>
          <w:iCs/>
        </w:rPr>
      </w:pPr>
      <w:r w:rsidRPr="008217F1">
        <w:rPr>
          <w:rFonts w:cs="Calibri"/>
          <w:bCs/>
          <w:iCs/>
        </w:rPr>
        <w:t xml:space="preserve">Consistent with previous advice from the PBAC to inform the restrictions for esketamine using the MBS listing for repetitive transcranial magnetic stimulation (rTMS) which was designed to identify and treat the same patient population (para 3.13, </w:t>
      </w:r>
      <w:r w:rsidR="00E71C49" w:rsidRPr="008217F1">
        <w:rPr>
          <w:rFonts w:cs="Calibri"/>
          <w:bCs/>
          <w:iCs/>
        </w:rPr>
        <w:t xml:space="preserve">esketamine </w:t>
      </w:r>
      <w:r w:rsidR="007F3779" w:rsidRPr="008D2AC7">
        <w:rPr>
          <w:rFonts w:cs="Calibri"/>
          <w:bCs/>
        </w:rPr>
        <w:t>Public Summary Document</w:t>
      </w:r>
      <w:r w:rsidR="007F3779" w:rsidRPr="007F3779">
        <w:rPr>
          <w:rFonts w:cs="Calibri"/>
          <w:bCs/>
          <w:i/>
          <w:iCs/>
        </w:rPr>
        <w:t xml:space="preserve"> </w:t>
      </w:r>
      <w:r w:rsidR="007F3779">
        <w:rPr>
          <w:rFonts w:cs="Calibri"/>
          <w:bCs/>
          <w:iCs/>
        </w:rPr>
        <w:t>(</w:t>
      </w:r>
      <w:r w:rsidR="00E71C49" w:rsidRPr="008217F1">
        <w:rPr>
          <w:rFonts w:cs="Calibri"/>
          <w:bCs/>
          <w:iCs/>
        </w:rPr>
        <w:t>PSD</w:t>
      </w:r>
      <w:r w:rsidR="007F3779">
        <w:rPr>
          <w:rFonts w:cs="Calibri"/>
          <w:bCs/>
          <w:iCs/>
        </w:rPr>
        <w:t>)</w:t>
      </w:r>
      <w:r w:rsidRPr="008217F1">
        <w:rPr>
          <w:rFonts w:cs="Calibri"/>
          <w:bCs/>
          <w:iCs/>
        </w:rPr>
        <w:t xml:space="preserve">, July 2022 PBAC meeting), the resubmission proposed that the patient must have relapsed following the previous treatment with esketamine and the patient must not have received esketamine in the previous 4 months before an application for retreatment. </w:t>
      </w:r>
    </w:p>
    <w:p w14:paraId="1879F674" w14:textId="75AFE7E3" w:rsidR="00B12EE0" w:rsidRPr="008217F1" w:rsidRDefault="00B12EE0" w:rsidP="00334ED6">
      <w:pPr>
        <w:pStyle w:val="ListParagraph"/>
        <w:numPr>
          <w:ilvl w:val="1"/>
          <w:numId w:val="1"/>
        </w:numPr>
        <w:spacing w:after="120"/>
        <w:ind w:hanging="720"/>
        <w:contextualSpacing w:val="0"/>
        <w:rPr>
          <w:rFonts w:cs="Calibri"/>
          <w:bCs/>
          <w:iCs/>
        </w:rPr>
      </w:pPr>
      <w:r w:rsidRPr="008217F1">
        <w:rPr>
          <w:rFonts w:cs="Calibri"/>
          <w:bCs/>
          <w:iCs/>
        </w:rPr>
        <w:t>The requirement for a minimum 4 month break from esketamine before retreatment is permitted may result in patients who are responding to the treatment choosing to stay on treatment indefinitely rather than risk relapse.</w:t>
      </w:r>
    </w:p>
    <w:p w14:paraId="17EADFB5" w14:textId="7E37F8CE" w:rsidR="005F30FB" w:rsidRPr="008217F1" w:rsidRDefault="005F30FB" w:rsidP="00334ED6">
      <w:pPr>
        <w:pStyle w:val="ListParagraph"/>
        <w:numPr>
          <w:ilvl w:val="1"/>
          <w:numId w:val="1"/>
        </w:numPr>
        <w:spacing w:after="120"/>
        <w:ind w:hanging="720"/>
        <w:contextualSpacing w:val="0"/>
        <w:rPr>
          <w:rFonts w:cs="Calibri"/>
          <w:bCs/>
          <w:iCs/>
        </w:rPr>
      </w:pPr>
      <w:r w:rsidRPr="008217F1">
        <w:rPr>
          <w:rFonts w:cs="Calibri"/>
          <w:bCs/>
          <w:iCs/>
        </w:rPr>
        <w:t>Unlike the MBS listing for rTMS retreatment, the wording of the proposed initial retreatment restriction for esketamine does not require a patient to have achieved remission following the previous esketamine treatment (only to have demonstrated a ‘satisfactory clinical response’). The requested restriction for continuing retreatment did not include any criteria requiring patients to have demonstrated a response to the induction phase of retreatment.</w:t>
      </w:r>
    </w:p>
    <w:p w14:paraId="31E535BA" w14:textId="77777777" w:rsidR="00AA668E" w:rsidRPr="008217F1" w:rsidRDefault="00A44B23" w:rsidP="259D127E">
      <w:pPr>
        <w:pStyle w:val="ListParagraph"/>
        <w:numPr>
          <w:ilvl w:val="1"/>
          <w:numId w:val="1"/>
        </w:numPr>
        <w:spacing w:after="120"/>
        <w:ind w:hanging="720"/>
        <w:contextualSpacing w:val="0"/>
        <w:rPr>
          <w:rFonts w:cs="Calibri"/>
        </w:rPr>
      </w:pPr>
      <w:r w:rsidRPr="259D127E">
        <w:rPr>
          <w:rFonts w:cs="Calibri"/>
        </w:rPr>
        <w:t xml:space="preserve">The resubmission incorporated </w:t>
      </w:r>
      <w:r w:rsidR="008E6DDE" w:rsidRPr="259D127E">
        <w:rPr>
          <w:rFonts w:cs="Calibri"/>
        </w:rPr>
        <w:t xml:space="preserve">grandfathering provisions for 300 patients currently treated under the sponsor’s early access program </w:t>
      </w:r>
      <w:r w:rsidR="00FD6878" w:rsidRPr="259D127E">
        <w:rPr>
          <w:rFonts w:cs="Calibri"/>
        </w:rPr>
        <w:t xml:space="preserve">in the continuing treatment restriction. The resubmission acknowledged that patients receiving esketamine through the EAP were not limited to a maximum of 12 months treatment and it will not be possible to determine how many months of treatment each individual patient has received. </w:t>
      </w:r>
    </w:p>
    <w:p w14:paraId="29ED4C2C" w14:textId="68EB0612" w:rsidR="00AA668E" w:rsidRPr="008217F1" w:rsidRDefault="00AA668E" w:rsidP="00334ED6">
      <w:pPr>
        <w:pStyle w:val="ListParagraph"/>
        <w:numPr>
          <w:ilvl w:val="1"/>
          <w:numId w:val="1"/>
        </w:numPr>
        <w:spacing w:after="120"/>
        <w:ind w:hanging="720"/>
        <w:contextualSpacing w:val="0"/>
        <w:rPr>
          <w:rFonts w:cs="Calibri"/>
          <w:bCs/>
          <w:iCs/>
        </w:rPr>
      </w:pPr>
      <w:r w:rsidRPr="008217F1">
        <w:rPr>
          <w:rFonts w:cs="Calibri"/>
          <w:bCs/>
          <w:iCs/>
        </w:rPr>
        <w:t xml:space="preserve">The proposed restrictions were generally consistent with the eligibility criteria of the key trials. However, the included trials excluded patients with comorbid conditions, particularly psychotic disorders, due to potential safety concerns. These patients would be eligible for treatment under the proposed restriction. The benefits and </w:t>
      </w:r>
      <w:r w:rsidRPr="008217F1">
        <w:rPr>
          <w:rFonts w:cs="Calibri"/>
          <w:bCs/>
          <w:iCs/>
        </w:rPr>
        <w:lastRenderedPageBreak/>
        <w:t xml:space="preserve">harms of treatment with esketamine nasal spray in populations with psychotic disorders are unknown (para 6.11, </w:t>
      </w:r>
      <w:r w:rsidR="00E71C49" w:rsidRPr="008217F1">
        <w:rPr>
          <w:rFonts w:cs="Calibri"/>
          <w:bCs/>
          <w:iCs/>
        </w:rPr>
        <w:t>esketamine PSD</w:t>
      </w:r>
      <w:r w:rsidRPr="008217F1">
        <w:rPr>
          <w:rFonts w:cs="Calibri"/>
          <w:bCs/>
          <w:iCs/>
        </w:rPr>
        <w:t>, July 2022 PBAC meeting). In the July 2023 resubmission, the proposed restriction included a caution in prescriber notes regarding this and other populations who were excluded from the trials, including personality disorders, alcohol and substance use disorders, and those with suicidal ideation. The requested restriction in the current resubmission omitted these cautions; and that dosing frequency and dosage should be individualised to the lowest frequency and dosage to maintain remission/response. The requested restriction also did not specify that patients must be monitored by a healthcare professional following administration in a healthcare facility, and that post-cessation monitoring is recommended.</w:t>
      </w:r>
    </w:p>
    <w:p w14:paraId="1F894611" w14:textId="6A80468F" w:rsidR="009E6034" w:rsidRDefault="00AA668E" w:rsidP="009E6034">
      <w:pPr>
        <w:pStyle w:val="ListParagraph"/>
        <w:numPr>
          <w:ilvl w:val="1"/>
          <w:numId w:val="1"/>
        </w:numPr>
        <w:spacing w:after="120"/>
        <w:ind w:hanging="720"/>
        <w:contextualSpacing w:val="0"/>
        <w:rPr>
          <w:rFonts w:cs="Calibri"/>
          <w:bCs/>
          <w:iCs/>
        </w:rPr>
      </w:pPr>
      <w:r w:rsidRPr="008217F1">
        <w:rPr>
          <w:rFonts w:cs="Calibri"/>
          <w:bCs/>
          <w:iCs/>
        </w:rPr>
        <w:t xml:space="preserve">The DUSC previously noted that there is a significant risk of use outside the proposed restriction in patients with: depression that is not treatment resistant, post-traumatic stress disorder (PTSD), anxiety, chronic pain, insomnia, fibromyalgia, suicidality and other conditions; with ketamine currently used in many of these additional indications. The DUSC considered there is the potential for a large cohort of patients currently being treated with ketamine infusions to move to esketamine nasal spray (para 6.68, </w:t>
      </w:r>
      <w:r w:rsidR="00E71C49" w:rsidRPr="008217F1">
        <w:rPr>
          <w:rFonts w:cs="Calibri"/>
          <w:bCs/>
          <w:iCs/>
        </w:rPr>
        <w:t>esketamine PSD</w:t>
      </w:r>
      <w:r w:rsidRPr="008217F1">
        <w:rPr>
          <w:rFonts w:cs="Calibri"/>
          <w:bCs/>
          <w:iCs/>
        </w:rPr>
        <w:t xml:space="preserve">, July 2022 PBAC meeting). There is potential for </w:t>
      </w:r>
      <w:r w:rsidR="004A00B0" w:rsidRPr="008217F1">
        <w:rPr>
          <w:rFonts w:cs="Calibri"/>
          <w:bCs/>
          <w:iCs/>
        </w:rPr>
        <w:t xml:space="preserve">use </w:t>
      </w:r>
      <w:r w:rsidRPr="008217F1">
        <w:rPr>
          <w:rFonts w:cs="Calibri"/>
          <w:bCs/>
          <w:iCs/>
        </w:rPr>
        <w:t>outside the proposed population.</w:t>
      </w:r>
      <w:r w:rsidR="009E6034">
        <w:rPr>
          <w:rFonts w:cs="Calibri"/>
          <w:bCs/>
          <w:iCs/>
        </w:rPr>
        <w:t xml:space="preserve"> </w:t>
      </w:r>
    </w:p>
    <w:p w14:paraId="61170096" w14:textId="170D52D3" w:rsidR="0039513B" w:rsidRPr="009E6034" w:rsidRDefault="0039513B" w:rsidP="009E6034">
      <w:pPr>
        <w:pStyle w:val="ListParagraph"/>
        <w:numPr>
          <w:ilvl w:val="1"/>
          <w:numId w:val="1"/>
        </w:numPr>
        <w:spacing w:after="120"/>
        <w:ind w:hanging="720"/>
        <w:contextualSpacing w:val="0"/>
        <w:rPr>
          <w:rFonts w:cs="Calibri"/>
          <w:bCs/>
          <w:iCs/>
        </w:rPr>
      </w:pPr>
      <w:r>
        <w:rPr>
          <w:rFonts w:cs="Calibri"/>
          <w:bCs/>
          <w:iCs/>
        </w:rPr>
        <w:t>The PBAC noted a number of outstanding issues related to the proposed restriction criteria that need to be resolved.</w:t>
      </w:r>
    </w:p>
    <w:p w14:paraId="01E87328" w14:textId="77777777" w:rsidR="009E6034" w:rsidRPr="00C33D30" w:rsidRDefault="009E6034" w:rsidP="009E6034">
      <w:pPr>
        <w:ind w:firstLine="709"/>
        <w:rPr>
          <w:rFonts w:asciiTheme="minorHAnsi" w:hAnsiTheme="minorHAnsi"/>
          <w:i/>
        </w:rPr>
      </w:pPr>
      <w:r w:rsidRPr="00C33D30">
        <w:rPr>
          <w:rFonts w:asciiTheme="minorHAnsi" w:hAnsiTheme="minorHAnsi"/>
          <w:i/>
        </w:rPr>
        <w:t>For more detail on PBAC’s view, see section 7 PBAC outcome.</w:t>
      </w:r>
    </w:p>
    <w:p w14:paraId="7075B85C" w14:textId="62A47B7B" w:rsidR="00B50DB8" w:rsidRPr="00043790" w:rsidDel="00195452" w:rsidRDefault="00203181" w:rsidP="001D5EA0">
      <w:pPr>
        <w:pStyle w:val="COMH1numbered"/>
        <w:numPr>
          <w:ilvl w:val="0"/>
          <w:numId w:val="1"/>
        </w:numPr>
      </w:pPr>
      <w:bookmarkStart w:id="15" w:name="_Toc167274369"/>
      <w:r w:rsidRPr="00043790" w:rsidDel="00195452">
        <w:t xml:space="preserve">Population and </w:t>
      </w:r>
      <w:r w:rsidR="008E0D3C" w:rsidRPr="00043790" w:rsidDel="00195452">
        <w:t>d</w:t>
      </w:r>
      <w:r w:rsidRPr="00043790" w:rsidDel="00195452">
        <w:t>isease</w:t>
      </w:r>
      <w:bookmarkEnd w:id="15"/>
    </w:p>
    <w:p w14:paraId="3A586FEC" w14:textId="082B8053" w:rsidR="00061F1E" w:rsidRPr="00334ED6" w:rsidRDefault="00EC111C" w:rsidP="00334ED6">
      <w:pPr>
        <w:pStyle w:val="ListParagraph"/>
        <w:numPr>
          <w:ilvl w:val="1"/>
          <w:numId w:val="1"/>
        </w:numPr>
        <w:spacing w:after="120"/>
        <w:ind w:hanging="720"/>
        <w:contextualSpacing w:val="0"/>
        <w:rPr>
          <w:rFonts w:cs="Calibri"/>
          <w:bCs/>
          <w:iCs/>
        </w:rPr>
      </w:pPr>
      <w:r w:rsidRPr="00334ED6">
        <w:rPr>
          <w:rFonts w:cs="Calibri"/>
          <w:bCs/>
          <w:iCs/>
        </w:rPr>
        <w:t>The proposed population</w:t>
      </w:r>
      <w:r w:rsidR="00332217" w:rsidRPr="00334ED6">
        <w:rPr>
          <w:rFonts w:cs="Calibri"/>
          <w:bCs/>
          <w:iCs/>
        </w:rPr>
        <w:t xml:space="preserve"> (</w:t>
      </w:r>
      <w:r w:rsidR="00EA2932" w:rsidRPr="00334ED6">
        <w:rPr>
          <w:rFonts w:cs="Calibri"/>
          <w:bCs/>
          <w:iCs/>
        </w:rPr>
        <w:t>adults with TRD)</w:t>
      </w:r>
      <w:r w:rsidRPr="00334ED6">
        <w:rPr>
          <w:rFonts w:cs="Calibri"/>
          <w:bCs/>
          <w:iCs/>
        </w:rPr>
        <w:t xml:space="preserve"> was unchanged from the previous submissions. </w:t>
      </w:r>
    </w:p>
    <w:p w14:paraId="0EA31609" w14:textId="018BE625" w:rsidR="00061F1E" w:rsidRPr="00334ED6" w:rsidRDefault="00061F1E" w:rsidP="00334ED6">
      <w:pPr>
        <w:pStyle w:val="ListParagraph"/>
        <w:numPr>
          <w:ilvl w:val="1"/>
          <w:numId w:val="1"/>
        </w:numPr>
        <w:spacing w:after="120"/>
        <w:ind w:hanging="720"/>
        <w:contextualSpacing w:val="0"/>
        <w:rPr>
          <w:rFonts w:cs="Calibri"/>
          <w:bCs/>
          <w:iCs/>
        </w:rPr>
      </w:pPr>
      <w:r w:rsidRPr="00334ED6">
        <w:rPr>
          <w:rFonts w:cs="Calibri"/>
          <w:bCs/>
          <w:iCs/>
        </w:rPr>
        <w:t>Treatment options recommended in the 2020 RANZCP Guidelines for managing patients with TRD include optimising current antidepressant use (appropriate dose for an appropriate period of time), switching to a different antidepressant, combining two antidepressants, augmenting treatment by adding an antipsychotic or lithium to the existing antidepressant, and using non-pharmacologic physical therapies such as electroconvulsive therapy (ECT) and rTMS (Mahli 2021).   </w:t>
      </w:r>
    </w:p>
    <w:p w14:paraId="2191031B" w14:textId="3DC0DCE6" w:rsidR="00061F1E" w:rsidRPr="00334ED6" w:rsidRDefault="00061F1E" w:rsidP="00334ED6">
      <w:pPr>
        <w:pStyle w:val="ListParagraph"/>
        <w:numPr>
          <w:ilvl w:val="1"/>
          <w:numId w:val="1"/>
        </w:numPr>
        <w:spacing w:after="120"/>
        <w:ind w:hanging="720"/>
        <w:contextualSpacing w:val="0"/>
        <w:rPr>
          <w:rFonts w:cs="Calibri"/>
          <w:bCs/>
          <w:iCs/>
        </w:rPr>
      </w:pPr>
      <w:r w:rsidRPr="00334ED6">
        <w:rPr>
          <w:rFonts w:cs="Calibri"/>
          <w:bCs/>
          <w:iCs/>
        </w:rPr>
        <w:t>Esketamine, the S-enantiomer of racemic ketamine, is an antidepressant with a novel mechanism of action. It is a non-selective, non-competitive, antagonist of the N-methyl-D-aspartate (NMDA) receptor, an ionotropic glutamate receptor.  Ketamine, administered by either intramuscular or intravenous route, is approved as an anaesthetic drug by the TGA, but is not currently approved or indicated for use in treating depression. Ketamine is not listed on the PBS for any indication. </w:t>
      </w:r>
    </w:p>
    <w:p w14:paraId="5330E040" w14:textId="017124EE" w:rsidR="00061F1E" w:rsidRPr="00334ED6" w:rsidRDefault="00B740AD" w:rsidP="00334ED6">
      <w:pPr>
        <w:pStyle w:val="ListParagraph"/>
        <w:numPr>
          <w:ilvl w:val="1"/>
          <w:numId w:val="1"/>
        </w:numPr>
        <w:spacing w:after="120"/>
        <w:ind w:hanging="720"/>
        <w:contextualSpacing w:val="0"/>
        <w:rPr>
          <w:rFonts w:cs="Calibri"/>
          <w:bCs/>
          <w:iCs/>
        </w:rPr>
      </w:pPr>
      <w:r w:rsidRPr="00334ED6">
        <w:rPr>
          <w:rFonts w:cs="Calibri"/>
          <w:bCs/>
          <w:iCs/>
        </w:rPr>
        <w:t xml:space="preserve">The clinical management algorithm and proposed place in therapy is broadly unchanged from the July 2023 resubmission. </w:t>
      </w:r>
      <w:r w:rsidR="00E92370" w:rsidRPr="00334ED6">
        <w:rPr>
          <w:rFonts w:cs="Calibri"/>
          <w:bCs/>
          <w:iCs/>
        </w:rPr>
        <w:t xml:space="preserve">The clinical management algorithm </w:t>
      </w:r>
      <w:r w:rsidR="00E92370" w:rsidRPr="00334ED6">
        <w:rPr>
          <w:rFonts w:cs="Calibri"/>
          <w:bCs/>
          <w:iCs/>
        </w:rPr>
        <w:lastRenderedPageBreak/>
        <w:t xml:space="preserve">positions esketamine in combination with an OAD following failure of 2 different OADs (of adequate </w:t>
      </w:r>
      <w:r w:rsidRPr="00334ED6">
        <w:rPr>
          <w:rFonts w:cs="Calibri"/>
          <w:bCs/>
          <w:iCs/>
        </w:rPr>
        <w:t xml:space="preserve">dose and duration) in the same depressive episode. </w:t>
      </w:r>
    </w:p>
    <w:p w14:paraId="72218EB1" w14:textId="561FBA0F" w:rsidR="00540A28" w:rsidRDefault="00540A28" w:rsidP="00334ED6">
      <w:pPr>
        <w:pStyle w:val="ListParagraph"/>
        <w:numPr>
          <w:ilvl w:val="1"/>
          <w:numId w:val="1"/>
        </w:numPr>
        <w:spacing w:after="120"/>
        <w:ind w:hanging="720"/>
        <w:contextualSpacing w:val="0"/>
        <w:rPr>
          <w:rFonts w:cs="Calibri"/>
          <w:bCs/>
          <w:iCs/>
        </w:rPr>
      </w:pPr>
      <w:bookmarkStart w:id="16" w:name="_Hlk170110789"/>
      <w:r w:rsidRPr="00334ED6">
        <w:rPr>
          <w:rFonts w:cs="Calibri"/>
          <w:bCs/>
          <w:iCs/>
        </w:rPr>
        <w:t>All patients</w:t>
      </w:r>
      <w:r w:rsidR="00F73C01" w:rsidRPr="00334ED6">
        <w:rPr>
          <w:rFonts w:cs="Calibri"/>
          <w:bCs/>
          <w:iCs/>
        </w:rPr>
        <w:t xml:space="preserve"> treated with esketamine</w:t>
      </w:r>
      <w:r w:rsidRPr="00334ED6">
        <w:rPr>
          <w:rFonts w:cs="Calibri"/>
          <w:bCs/>
          <w:iCs/>
        </w:rPr>
        <w:t xml:space="preserve"> undergo initial treatment for 4 weeks, with response assessed at week 4. Treatment is ceased for non-responders. </w:t>
      </w:r>
      <w:bookmarkEnd w:id="16"/>
      <w:r w:rsidRPr="00334ED6">
        <w:rPr>
          <w:rFonts w:cs="Calibri"/>
          <w:bCs/>
          <w:iCs/>
        </w:rPr>
        <w:t>Patients who demonstrate a response continue to receive maintenance treatment</w:t>
      </w:r>
      <w:r w:rsidR="00413C87" w:rsidRPr="00334ED6">
        <w:rPr>
          <w:rFonts w:cs="Calibri"/>
          <w:bCs/>
          <w:iCs/>
        </w:rPr>
        <w:t>.</w:t>
      </w:r>
      <w:r w:rsidRPr="00334ED6">
        <w:rPr>
          <w:rFonts w:cs="Calibri"/>
          <w:bCs/>
          <w:iCs/>
        </w:rPr>
        <w:t xml:space="preserve"> Patients who achieve remission and recovery during this period would cease treatment. The resubmission stated that </w:t>
      </w:r>
      <w:r w:rsidR="00413C87" w:rsidRPr="00334ED6">
        <w:rPr>
          <w:rFonts w:cs="Calibri"/>
          <w:bCs/>
          <w:iCs/>
        </w:rPr>
        <w:t>a maximum of 12 months</w:t>
      </w:r>
      <w:r w:rsidRPr="00334ED6">
        <w:rPr>
          <w:rFonts w:cs="Calibri"/>
          <w:bCs/>
          <w:iCs/>
        </w:rPr>
        <w:t xml:space="preserve"> will be sufficient treatment for the majority of patients, however a proportion would continue treatment for longer than 12 months. Patients treated for longer than 12 months per episode would include, but not be limited to, those responding to treatment with esketamine but who have not entered remission or recovery, or patients who may experience anxiety when approaching the 12 month limit that may exacerbate their depression. Patients who have previously responded to treatment with esketamine and who have subsequently had a recurrence of their depression and are experiencing a new major depressive episode are eligible for retreatment. The effect of stopping treatment with esketamine in responders, and therefore the optimum treatment duration, is unknown. The SUSTAIN-1 trial suggested that participants who discontinue esketamine after improvement are more likely to relapse in comparison with those who do not discontinue esketamine.</w:t>
      </w:r>
      <w:r w:rsidR="009E6034">
        <w:rPr>
          <w:rFonts w:cs="Calibri"/>
          <w:bCs/>
          <w:iCs/>
        </w:rPr>
        <w:t xml:space="preserve"> </w:t>
      </w:r>
    </w:p>
    <w:p w14:paraId="2C6D3DCC" w14:textId="77777777" w:rsidR="009E6034" w:rsidRPr="00C33D30" w:rsidRDefault="009E6034" w:rsidP="009E6034">
      <w:pPr>
        <w:ind w:firstLine="709"/>
        <w:rPr>
          <w:rFonts w:asciiTheme="minorHAnsi" w:hAnsiTheme="minorHAnsi"/>
          <w:i/>
        </w:rPr>
      </w:pPr>
      <w:r w:rsidRPr="00C33D30">
        <w:rPr>
          <w:rFonts w:asciiTheme="minorHAnsi" w:hAnsiTheme="minorHAnsi"/>
          <w:i/>
        </w:rPr>
        <w:t>For more detail on PBAC’s view, see section 7 PBAC outcome.</w:t>
      </w:r>
    </w:p>
    <w:p w14:paraId="51E5AE96" w14:textId="136A63B1" w:rsidR="00B50DB8" w:rsidRPr="00043790" w:rsidRDefault="00B50DB8" w:rsidP="001D5EA0">
      <w:pPr>
        <w:pStyle w:val="COMH1numbered"/>
        <w:numPr>
          <w:ilvl w:val="0"/>
          <w:numId w:val="1"/>
        </w:numPr>
      </w:pPr>
      <w:bookmarkStart w:id="17" w:name="_Toc167274370"/>
      <w:r w:rsidRPr="00043790">
        <w:t>Comparator</w:t>
      </w:r>
      <w:bookmarkEnd w:id="17"/>
    </w:p>
    <w:p w14:paraId="30A067BB" w14:textId="50EA8236" w:rsidR="00B50DB8" w:rsidRDefault="00F75BFB" w:rsidP="00334ED6">
      <w:pPr>
        <w:pStyle w:val="ListParagraph"/>
        <w:numPr>
          <w:ilvl w:val="1"/>
          <w:numId w:val="1"/>
        </w:numPr>
        <w:spacing w:after="120"/>
        <w:ind w:hanging="720"/>
        <w:contextualSpacing w:val="0"/>
        <w:rPr>
          <w:rFonts w:cs="Calibri"/>
          <w:bCs/>
          <w:iCs/>
        </w:rPr>
      </w:pPr>
      <w:r w:rsidRPr="00334ED6">
        <w:rPr>
          <w:rFonts w:cs="Calibri"/>
          <w:bCs/>
          <w:iCs/>
        </w:rPr>
        <w:t xml:space="preserve">The resubmission nominated a newly initiated OAD drug as the main comparator. The PBAC previously considered that this was reasonable (para 7.9, </w:t>
      </w:r>
      <w:r w:rsidR="00E71C49" w:rsidRPr="00334ED6">
        <w:rPr>
          <w:rFonts w:cs="Calibri"/>
          <w:bCs/>
          <w:iCs/>
        </w:rPr>
        <w:t>esketamine PSD</w:t>
      </w:r>
      <w:r w:rsidRPr="00334ED6">
        <w:rPr>
          <w:rFonts w:cs="Calibri"/>
          <w:bCs/>
          <w:iCs/>
        </w:rPr>
        <w:t>, July 2023 PBAC meeting).</w:t>
      </w:r>
      <w:bookmarkStart w:id="18" w:name="_Ref107305381"/>
      <w:r w:rsidR="00024EB5" w:rsidRPr="00334ED6">
        <w:rPr>
          <w:rFonts w:cs="Calibri"/>
          <w:bCs/>
          <w:iCs/>
        </w:rPr>
        <w:t xml:space="preserve"> </w:t>
      </w:r>
      <w:bookmarkEnd w:id="18"/>
    </w:p>
    <w:p w14:paraId="260F6945" w14:textId="77777777" w:rsidR="009E6034" w:rsidRPr="00C33D30" w:rsidRDefault="009E6034" w:rsidP="009E6034">
      <w:pPr>
        <w:ind w:firstLine="709"/>
        <w:rPr>
          <w:rFonts w:asciiTheme="minorHAnsi" w:hAnsiTheme="minorHAnsi"/>
          <w:i/>
        </w:rPr>
      </w:pPr>
      <w:r w:rsidRPr="00C33D30">
        <w:rPr>
          <w:rFonts w:asciiTheme="minorHAnsi" w:hAnsiTheme="minorHAnsi"/>
          <w:i/>
        </w:rPr>
        <w:t>For more detail on PBAC’s view, see section 7 PBAC outcome.</w:t>
      </w:r>
    </w:p>
    <w:p w14:paraId="7F9C27C8" w14:textId="77777777" w:rsidR="00223D5A" w:rsidRPr="00043790" w:rsidRDefault="00223D5A" w:rsidP="00223D5A">
      <w:pPr>
        <w:pStyle w:val="COMH1numbered"/>
        <w:numPr>
          <w:ilvl w:val="0"/>
          <w:numId w:val="1"/>
        </w:numPr>
      </w:pPr>
      <w:bookmarkStart w:id="19" w:name="_Toc167274371"/>
      <w:bookmarkStart w:id="20" w:name="_Toc22897640"/>
      <w:r w:rsidRPr="00043790">
        <w:t>Consideration of the evidence</w:t>
      </w:r>
      <w:bookmarkEnd w:id="19"/>
    </w:p>
    <w:p w14:paraId="4C7F05FD" w14:textId="77777777" w:rsidR="009E6034" w:rsidRPr="006E1229" w:rsidRDefault="009E6034" w:rsidP="007A7EF7">
      <w:pPr>
        <w:pStyle w:val="3-SubsectionHeading"/>
        <w:outlineLvl w:val="1"/>
        <w:rPr>
          <w:lang w:eastAsia="en-AU"/>
        </w:rPr>
      </w:pPr>
      <w:bookmarkStart w:id="21" w:name="_Hlk76375935"/>
      <w:bookmarkStart w:id="22" w:name="_Toc167274372"/>
      <w:r w:rsidRPr="006E1229">
        <w:rPr>
          <w:lang w:eastAsia="en-AU"/>
        </w:rPr>
        <w:t>Sponsor hearing</w:t>
      </w:r>
    </w:p>
    <w:p w14:paraId="164063B4" w14:textId="0C86FC89" w:rsidR="009E6034" w:rsidRPr="00F91542" w:rsidRDefault="009E6034" w:rsidP="009E6034">
      <w:pPr>
        <w:widowControl w:val="0"/>
        <w:numPr>
          <w:ilvl w:val="1"/>
          <w:numId w:val="1"/>
        </w:numPr>
        <w:spacing w:after="120"/>
        <w:ind w:left="720" w:hanging="720"/>
        <w:rPr>
          <w:rFonts w:cs="Calibri"/>
          <w:bCs/>
          <w:snapToGrid w:val="0"/>
        </w:rPr>
      </w:pPr>
      <w:r w:rsidRPr="00F91542">
        <w:rPr>
          <w:rFonts w:cs="Calibri"/>
          <w:bCs/>
          <w:snapToGrid w:val="0"/>
        </w:rPr>
        <w:t xml:space="preserve"> There was no hearing for this item.</w:t>
      </w:r>
    </w:p>
    <w:p w14:paraId="39FB1660" w14:textId="77777777" w:rsidR="009E6034" w:rsidRPr="006E1229" w:rsidRDefault="009E6034" w:rsidP="007A7EF7">
      <w:pPr>
        <w:pStyle w:val="3-SubsectionHeading"/>
        <w:outlineLvl w:val="1"/>
        <w:rPr>
          <w:lang w:eastAsia="en-AU"/>
        </w:rPr>
      </w:pPr>
      <w:r w:rsidRPr="006E1229">
        <w:rPr>
          <w:lang w:eastAsia="en-AU"/>
        </w:rPr>
        <w:t>Consumer comments</w:t>
      </w:r>
    </w:p>
    <w:p w14:paraId="0DB0971B" w14:textId="7C005C90" w:rsidR="00544B1D" w:rsidRDefault="009E6034" w:rsidP="009E6034">
      <w:pPr>
        <w:widowControl w:val="0"/>
        <w:numPr>
          <w:ilvl w:val="1"/>
          <w:numId w:val="1"/>
        </w:numPr>
        <w:spacing w:after="120"/>
        <w:ind w:left="720" w:hanging="720"/>
        <w:rPr>
          <w:rFonts w:asciiTheme="minorHAnsi" w:hAnsiTheme="minorHAnsi"/>
          <w:bCs/>
          <w:snapToGrid w:val="0"/>
        </w:rPr>
      </w:pPr>
      <w:bookmarkStart w:id="23" w:name="_Hlk76382618"/>
      <w:r w:rsidRPr="00836F75">
        <w:rPr>
          <w:rFonts w:asciiTheme="minorHAnsi" w:hAnsiTheme="minorHAnsi"/>
          <w:bCs/>
          <w:snapToGrid w:val="0"/>
        </w:rPr>
        <w:t>The PBAC noted and welcomed the input from individuals (</w:t>
      </w:r>
      <w:r w:rsidR="00544B1D">
        <w:rPr>
          <w:rFonts w:asciiTheme="minorHAnsi" w:hAnsiTheme="minorHAnsi"/>
          <w:bCs/>
          <w:snapToGrid w:val="0"/>
        </w:rPr>
        <w:t>2</w:t>
      </w:r>
      <w:r w:rsidRPr="00836F75">
        <w:rPr>
          <w:rFonts w:asciiTheme="minorHAnsi" w:hAnsiTheme="minorHAnsi"/>
          <w:bCs/>
          <w:snapToGrid w:val="0"/>
        </w:rPr>
        <w:t xml:space="preserve">), health care professionals (17) and organisations (1) via the Consumer Comments facility on the PBS website. The comments described a range of benefits of treatment with </w:t>
      </w:r>
      <w:r w:rsidR="00544B1D" w:rsidRPr="00E72DF0">
        <w:rPr>
          <w:rFonts w:asciiTheme="minorHAnsi" w:hAnsiTheme="minorHAnsi"/>
          <w:bCs/>
          <w:snapToGrid w:val="0"/>
        </w:rPr>
        <w:t>esketamine</w:t>
      </w:r>
      <w:r w:rsidRPr="00836F75">
        <w:rPr>
          <w:rFonts w:asciiTheme="minorHAnsi" w:hAnsiTheme="minorHAnsi"/>
          <w:bCs/>
          <w:snapToGrid w:val="0"/>
        </w:rPr>
        <w:t xml:space="preserve"> including </w:t>
      </w:r>
      <w:r w:rsidR="00544B1D" w:rsidRPr="00544B1D">
        <w:rPr>
          <w:rFonts w:asciiTheme="minorHAnsi" w:hAnsiTheme="minorHAnsi"/>
          <w:bCs/>
          <w:snapToGrid w:val="0"/>
        </w:rPr>
        <w:t>rapid improvement in mood</w:t>
      </w:r>
      <w:r w:rsidR="00544B1D">
        <w:rPr>
          <w:rFonts w:asciiTheme="minorHAnsi" w:hAnsiTheme="minorHAnsi"/>
          <w:bCs/>
          <w:snapToGrid w:val="0"/>
        </w:rPr>
        <w:t xml:space="preserve">, good remission rates, </w:t>
      </w:r>
      <w:r w:rsidR="00544B1D" w:rsidRPr="00544B1D">
        <w:rPr>
          <w:rFonts w:asciiTheme="minorHAnsi" w:hAnsiTheme="minorHAnsi"/>
          <w:bCs/>
          <w:snapToGrid w:val="0"/>
        </w:rPr>
        <w:t xml:space="preserve"> reduction in suicidal ideation</w:t>
      </w:r>
      <w:r w:rsidR="00420363">
        <w:rPr>
          <w:rFonts w:asciiTheme="minorHAnsi" w:hAnsiTheme="minorHAnsi"/>
          <w:bCs/>
          <w:snapToGrid w:val="0"/>
        </w:rPr>
        <w:t xml:space="preserve"> and</w:t>
      </w:r>
      <w:r w:rsidR="00544B1D">
        <w:rPr>
          <w:rFonts w:asciiTheme="minorHAnsi" w:hAnsiTheme="minorHAnsi"/>
          <w:bCs/>
          <w:snapToGrid w:val="0"/>
        </w:rPr>
        <w:t xml:space="preserve"> reduction in hospital admissions</w:t>
      </w:r>
      <w:r w:rsidR="00420363">
        <w:rPr>
          <w:rFonts w:asciiTheme="minorHAnsi" w:hAnsiTheme="minorHAnsi"/>
          <w:bCs/>
          <w:snapToGrid w:val="0"/>
        </w:rPr>
        <w:t>. Health</w:t>
      </w:r>
      <w:r w:rsidR="0039513B">
        <w:rPr>
          <w:rFonts w:asciiTheme="minorHAnsi" w:hAnsiTheme="minorHAnsi"/>
          <w:bCs/>
          <w:snapToGrid w:val="0"/>
        </w:rPr>
        <w:t xml:space="preserve"> care</w:t>
      </w:r>
      <w:r w:rsidR="00420363">
        <w:rPr>
          <w:rFonts w:asciiTheme="minorHAnsi" w:hAnsiTheme="minorHAnsi"/>
          <w:bCs/>
          <w:snapToGrid w:val="0"/>
        </w:rPr>
        <w:t xml:space="preserve"> </w:t>
      </w:r>
      <w:r w:rsidR="0039513B">
        <w:rPr>
          <w:rFonts w:asciiTheme="minorHAnsi" w:hAnsiTheme="minorHAnsi"/>
          <w:bCs/>
          <w:snapToGrid w:val="0"/>
        </w:rPr>
        <w:t>p</w:t>
      </w:r>
      <w:r w:rsidR="00420363">
        <w:rPr>
          <w:rFonts w:asciiTheme="minorHAnsi" w:hAnsiTheme="minorHAnsi"/>
          <w:bCs/>
          <w:snapToGrid w:val="0"/>
        </w:rPr>
        <w:t xml:space="preserve">rofessionals </w:t>
      </w:r>
      <w:r w:rsidR="00420363" w:rsidRPr="00420363">
        <w:rPr>
          <w:rFonts w:asciiTheme="minorHAnsi" w:hAnsiTheme="minorHAnsi"/>
          <w:bCs/>
          <w:snapToGrid w:val="0"/>
        </w:rPr>
        <w:t>described esketamine as an effective</w:t>
      </w:r>
      <w:r w:rsidR="00420363">
        <w:rPr>
          <w:rFonts w:asciiTheme="minorHAnsi" w:hAnsiTheme="minorHAnsi"/>
          <w:bCs/>
          <w:snapToGrid w:val="0"/>
        </w:rPr>
        <w:t>, rapid,</w:t>
      </w:r>
      <w:r w:rsidR="00420363" w:rsidRPr="00420363">
        <w:rPr>
          <w:rFonts w:asciiTheme="minorHAnsi" w:hAnsiTheme="minorHAnsi"/>
          <w:bCs/>
          <w:snapToGrid w:val="0"/>
        </w:rPr>
        <w:t xml:space="preserve"> and well-tolerated treatment for a substantial number of patients, with good </w:t>
      </w:r>
      <w:r w:rsidR="00420363">
        <w:rPr>
          <w:rFonts w:asciiTheme="minorHAnsi" w:hAnsiTheme="minorHAnsi"/>
          <w:bCs/>
          <w:snapToGrid w:val="0"/>
        </w:rPr>
        <w:t>remission</w:t>
      </w:r>
      <w:r w:rsidR="00420363" w:rsidRPr="00420363">
        <w:rPr>
          <w:rFonts w:asciiTheme="minorHAnsi" w:hAnsiTheme="minorHAnsi"/>
          <w:bCs/>
          <w:snapToGrid w:val="0"/>
        </w:rPr>
        <w:t xml:space="preserve"> rates</w:t>
      </w:r>
      <w:r w:rsidR="00420363">
        <w:rPr>
          <w:rFonts w:asciiTheme="minorHAnsi" w:hAnsiTheme="minorHAnsi"/>
          <w:bCs/>
          <w:snapToGrid w:val="0"/>
        </w:rPr>
        <w:t xml:space="preserve">. They commented </w:t>
      </w:r>
      <w:r w:rsidR="00420363" w:rsidRPr="00420363">
        <w:rPr>
          <w:rFonts w:asciiTheme="minorHAnsi" w:hAnsiTheme="minorHAnsi"/>
          <w:bCs/>
          <w:snapToGrid w:val="0"/>
        </w:rPr>
        <w:t xml:space="preserve">that </w:t>
      </w:r>
      <w:r w:rsidR="00985C1B">
        <w:rPr>
          <w:rFonts w:asciiTheme="minorHAnsi" w:hAnsiTheme="minorHAnsi"/>
          <w:bCs/>
          <w:snapToGrid w:val="0"/>
        </w:rPr>
        <w:t xml:space="preserve">the medication has </w:t>
      </w:r>
      <w:r w:rsidR="00420363" w:rsidRPr="00420363">
        <w:rPr>
          <w:rFonts w:asciiTheme="minorHAnsi" w:hAnsiTheme="minorHAnsi"/>
          <w:bCs/>
          <w:snapToGrid w:val="0"/>
        </w:rPr>
        <w:t xml:space="preserve">a rapid and life-changing impact on symptoms and quality of life, </w:t>
      </w:r>
      <w:r w:rsidR="00420363" w:rsidRPr="00420363">
        <w:rPr>
          <w:rFonts w:asciiTheme="minorHAnsi" w:hAnsiTheme="minorHAnsi"/>
          <w:bCs/>
          <w:snapToGrid w:val="0"/>
        </w:rPr>
        <w:lastRenderedPageBreak/>
        <w:t>improving mood and reducing suicidal ideation. The comments described esketamine as providing hope to patients where other treatments have failed, but access and affordability remain significant barriers to patients.</w:t>
      </w:r>
    </w:p>
    <w:p w14:paraId="699EB186" w14:textId="291D2FCB" w:rsidR="00985C1B" w:rsidRPr="00E72DF0" w:rsidRDefault="00985C1B" w:rsidP="00985C1B">
      <w:pPr>
        <w:widowControl w:val="0"/>
        <w:numPr>
          <w:ilvl w:val="1"/>
          <w:numId w:val="1"/>
        </w:numPr>
        <w:spacing w:after="120"/>
        <w:ind w:left="720" w:hanging="720"/>
        <w:rPr>
          <w:rFonts w:asciiTheme="minorHAnsi" w:hAnsiTheme="minorHAnsi"/>
          <w:bCs/>
          <w:snapToGrid w:val="0"/>
        </w:rPr>
      </w:pPr>
      <w:r w:rsidRPr="00985C1B">
        <w:rPr>
          <w:rFonts w:asciiTheme="minorHAnsi" w:hAnsiTheme="minorHAnsi"/>
          <w:bCs/>
          <w:snapToGrid w:val="0"/>
        </w:rPr>
        <w:t xml:space="preserve">Individuals </w:t>
      </w:r>
      <w:r>
        <w:rPr>
          <w:rFonts w:asciiTheme="minorHAnsi" w:hAnsiTheme="minorHAnsi"/>
          <w:bCs/>
          <w:snapToGrid w:val="0"/>
        </w:rPr>
        <w:t xml:space="preserve">living with TRD </w:t>
      </w:r>
      <w:r w:rsidRPr="00985C1B">
        <w:rPr>
          <w:rFonts w:asciiTheme="minorHAnsi" w:hAnsiTheme="minorHAnsi"/>
          <w:bCs/>
          <w:snapToGrid w:val="0"/>
        </w:rPr>
        <w:t xml:space="preserve">described the impact of TRD on every facet of daily life and the enduring feelings of despair, worthlessness and hopelessness that come with it. Individuals also described the hope for effective treatments that could help them escape these feelings and reclaim their lives, and the importance of the opportunity to try esketamine or ketamine, based on the available evidence. Individuals also highlighted affordability as a critical barrier to access, both in terms of the drug and the cost of administration and monitoring, both for intranasal and intravenous treatment </w:t>
      </w:r>
      <w:r w:rsidRPr="00E72DF0">
        <w:rPr>
          <w:rFonts w:asciiTheme="minorHAnsi" w:hAnsiTheme="minorHAnsi"/>
          <w:bCs/>
          <w:snapToGrid w:val="0"/>
        </w:rPr>
        <w:t>options, with one individual highlight</w:t>
      </w:r>
      <w:r w:rsidR="0039513B">
        <w:rPr>
          <w:rFonts w:asciiTheme="minorHAnsi" w:hAnsiTheme="minorHAnsi"/>
          <w:bCs/>
          <w:snapToGrid w:val="0"/>
        </w:rPr>
        <w:t>ing the substantial</w:t>
      </w:r>
      <w:r w:rsidRPr="00E72DF0">
        <w:rPr>
          <w:rFonts w:asciiTheme="minorHAnsi" w:hAnsiTheme="minorHAnsi"/>
          <w:bCs/>
          <w:snapToGrid w:val="0"/>
        </w:rPr>
        <w:t xml:space="preserve"> cost of </w:t>
      </w:r>
      <w:r w:rsidR="007A7EF7" w:rsidRPr="00E72DF0">
        <w:rPr>
          <w:rFonts w:asciiTheme="minorHAnsi" w:hAnsiTheme="minorHAnsi"/>
          <w:bCs/>
          <w:snapToGrid w:val="0"/>
        </w:rPr>
        <w:t>treatment in</w:t>
      </w:r>
      <w:r w:rsidRPr="00E72DF0">
        <w:rPr>
          <w:rFonts w:asciiTheme="minorHAnsi" w:hAnsiTheme="minorHAnsi"/>
          <w:bCs/>
          <w:snapToGrid w:val="0"/>
        </w:rPr>
        <w:t xml:space="preserve"> the first month for the drug and associated psychiatrist and nurse administration/monitoring fees. </w:t>
      </w:r>
    </w:p>
    <w:p w14:paraId="7655E52C" w14:textId="1281E094" w:rsidR="005C1BDC" w:rsidRPr="00E72DF0" w:rsidRDefault="009E6034" w:rsidP="00105FD1">
      <w:pPr>
        <w:widowControl w:val="0"/>
        <w:numPr>
          <w:ilvl w:val="1"/>
          <w:numId w:val="1"/>
        </w:numPr>
        <w:spacing w:after="120"/>
        <w:ind w:left="720" w:hanging="720"/>
        <w:rPr>
          <w:rFonts w:asciiTheme="minorHAnsi" w:hAnsiTheme="minorHAnsi"/>
          <w:bCs/>
          <w:snapToGrid w:val="0"/>
        </w:rPr>
      </w:pPr>
      <w:r w:rsidRPr="00E72DF0">
        <w:rPr>
          <w:rFonts w:asciiTheme="minorHAnsi" w:hAnsiTheme="minorHAnsi"/>
          <w:bCs/>
          <w:snapToGrid w:val="0"/>
        </w:rPr>
        <w:t xml:space="preserve">The PBAC noted the advice received from </w:t>
      </w:r>
      <w:r w:rsidR="005C1BDC" w:rsidRPr="00E72DF0">
        <w:rPr>
          <w:rFonts w:asciiTheme="minorHAnsi" w:hAnsiTheme="minorHAnsi"/>
          <w:bCs/>
          <w:snapToGrid w:val="0"/>
        </w:rPr>
        <w:t xml:space="preserve">the Royal Australian College of Psychiatrists (RANZCP), noting that the College has a </w:t>
      </w:r>
      <w:r w:rsidR="0082770E" w:rsidRPr="00E72DF0">
        <w:rPr>
          <w:rFonts w:asciiTheme="minorHAnsi" w:hAnsiTheme="minorHAnsi"/>
          <w:bCs/>
          <w:snapToGrid w:val="0"/>
        </w:rPr>
        <w:t>C</w:t>
      </w:r>
      <w:r w:rsidR="005C1BDC" w:rsidRPr="00E72DF0">
        <w:rPr>
          <w:rFonts w:asciiTheme="minorHAnsi" w:hAnsiTheme="minorHAnsi"/>
          <w:bCs/>
          <w:snapToGrid w:val="0"/>
        </w:rPr>
        <w:t xml:space="preserve">linical </w:t>
      </w:r>
      <w:r w:rsidR="0082770E" w:rsidRPr="00E72DF0">
        <w:rPr>
          <w:rFonts w:asciiTheme="minorHAnsi" w:hAnsiTheme="minorHAnsi"/>
          <w:bCs/>
          <w:snapToGrid w:val="0"/>
        </w:rPr>
        <w:t>M</w:t>
      </w:r>
      <w:r w:rsidR="005C1BDC" w:rsidRPr="00E72DF0">
        <w:rPr>
          <w:rFonts w:asciiTheme="minorHAnsi" w:hAnsiTheme="minorHAnsi"/>
          <w:bCs/>
          <w:snapToGrid w:val="0"/>
        </w:rPr>
        <w:t xml:space="preserve">emorandum on the use of </w:t>
      </w:r>
      <w:r w:rsidR="00E72DF0">
        <w:rPr>
          <w:rFonts w:asciiTheme="minorHAnsi" w:hAnsiTheme="minorHAnsi"/>
          <w:bCs/>
          <w:snapToGrid w:val="0"/>
        </w:rPr>
        <w:t xml:space="preserve">ketamine (including </w:t>
      </w:r>
      <w:r w:rsidR="005C1BDC" w:rsidRPr="00E72DF0">
        <w:rPr>
          <w:rFonts w:asciiTheme="minorHAnsi" w:hAnsiTheme="minorHAnsi"/>
          <w:bCs/>
          <w:snapToGrid w:val="0"/>
        </w:rPr>
        <w:t>esketamine</w:t>
      </w:r>
      <w:r w:rsidR="00E72DF0">
        <w:rPr>
          <w:rFonts w:asciiTheme="minorHAnsi" w:hAnsiTheme="minorHAnsi"/>
          <w:bCs/>
          <w:snapToGrid w:val="0"/>
        </w:rPr>
        <w:t>)</w:t>
      </w:r>
      <w:r w:rsidR="005C1BDC" w:rsidRPr="00E72DF0">
        <w:rPr>
          <w:rFonts w:asciiTheme="minorHAnsi" w:hAnsiTheme="minorHAnsi"/>
          <w:bCs/>
          <w:snapToGrid w:val="0"/>
        </w:rPr>
        <w:t xml:space="preserve"> in psychiatric practice, which includes</w:t>
      </w:r>
      <w:r w:rsidR="0082770E" w:rsidRPr="00E72DF0">
        <w:rPr>
          <w:rFonts w:asciiTheme="minorHAnsi" w:hAnsiTheme="minorHAnsi"/>
          <w:bCs/>
          <w:snapToGrid w:val="0"/>
        </w:rPr>
        <w:t xml:space="preserve"> on outline of</w:t>
      </w:r>
      <w:r w:rsidR="005C1BDC" w:rsidRPr="00E72DF0">
        <w:rPr>
          <w:rFonts w:asciiTheme="minorHAnsi" w:hAnsiTheme="minorHAnsi"/>
          <w:bCs/>
          <w:snapToGrid w:val="0"/>
        </w:rPr>
        <w:t xml:space="preserve"> </w:t>
      </w:r>
      <w:r w:rsidR="0082770E" w:rsidRPr="00E72DF0">
        <w:rPr>
          <w:rFonts w:asciiTheme="minorHAnsi" w:hAnsiTheme="minorHAnsi"/>
          <w:bCs/>
          <w:snapToGrid w:val="0"/>
        </w:rPr>
        <w:t xml:space="preserve">its practical application for TRD, and highlights that short-term efficacy for adults with TRD has been established. </w:t>
      </w:r>
      <w:r w:rsidR="00E72DF0" w:rsidRPr="00E72DF0">
        <w:rPr>
          <w:rFonts w:asciiTheme="minorHAnsi" w:hAnsiTheme="minorHAnsi"/>
          <w:bCs/>
          <w:snapToGrid w:val="0"/>
        </w:rPr>
        <w:t>RANZCP</w:t>
      </w:r>
      <w:r w:rsidR="005C1BDC" w:rsidRPr="00E72DF0">
        <w:rPr>
          <w:rFonts w:asciiTheme="minorHAnsi" w:hAnsiTheme="minorHAnsi"/>
          <w:bCs/>
          <w:snapToGrid w:val="0"/>
        </w:rPr>
        <w:t xml:space="preserve"> also </w:t>
      </w:r>
      <w:r w:rsidR="00E72DF0" w:rsidRPr="00E72DF0">
        <w:rPr>
          <w:rFonts w:asciiTheme="minorHAnsi" w:hAnsiTheme="minorHAnsi"/>
          <w:bCs/>
          <w:snapToGrid w:val="0"/>
        </w:rPr>
        <w:t>noted that a priority for the College is ensuring patients have access to evidence based treatments, with affordability being a component of access.</w:t>
      </w:r>
      <w:r w:rsidR="005C1BDC" w:rsidRPr="00E72DF0">
        <w:rPr>
          <w:rFonts w:asciiTheme="minorHAnsi" w:hAnsiTheme="minorHAnsi"/>
          <w:bCs/>
          <w:snapToGrid w:val="0"/>
        </w:rPr>
        <w:t xml:space="preserve"> Further, the College also noted that ketamine is not recommended as a first-line treatment and should only be initiated after due consideration of the available evidence, and there is currently limited guidance on translating research findings into practice with respect to dosing and safety</w:t>
      </w:r>
      <w:r w:rsidR="0082770E" w:rsidRPr="00E72DF0">
        <w:rPr>
          <w:rFonts w:asciiTheme="minorHAnsi" w:hAnsiTheme="minorHAnsi"/>
          <w:bCs/>
          <w:snapToGrid w:val="0"/>
        </w:rPr>
        <w:t xml:space="preserve"> and effectiveness</w:t>
      </w:r>
      <w:r w:rsidR="005C1BDC" w:rsidRPr="00E72DF0">
        <w:rPr>
          <w:rFonts w:asciiTheme="minorHAnsi" w:hAnsiTheme="minorHAnsi"/>
          <w:bCs/>
          <w:snapToGrid w:val="0"/>
        </w:rPr>
        <w:t xml:space="preserve"> with long-term use</w:t>
      </w:r>
      <w:r w:rsidR="0039513B">
        <w:rPr>
          <w:rFonts w:asciiTheme="minorHAnsi" w:hAnsiTheme="minorHAnsi"/>
          <w:bCs/>
          <w:snapToGrid w:val="0"/>
        </w:rPr>
        <w:t>.</w:t>
      </w:r>
    </w:p>
    <w:bookmarkEnd w:id="21"/>
    <w:bookmarkEnd w:id="23"/>
    <w:p w14:paraId="609C0765" w14:textId="4937954B" w:rsidR="00B60939" w:rsidRPr="00043790" w:rsidRDefault="00B60939" w:rsidP="002E4F02">
      <w:pPr>
        <w:pStyle w:val="COMH2-non-numbered"/>
      </w:pPr>
      <w:r w:rsidRPr="00043790">
        <w:t xml:space="preserve">Clinical </w:t>
      </w:r>
      <w:r w:rsidR="00D5243B" w:rsidRPr="00043790">
        <w:t>studies</w:t>
      </w:r>
      <w:bookmarkEnd w:id="20"/>
      <w:bookmarkEnd w:id="22"/>
    </w:p>
    <w:p w14:paraId="52782EBF" w14:textId="6C86B6CF" w:rsidR="00CA534A" w:rsidRPr="00334ED6" w:rsidRDefault="00CA534A" w:rsidP="00334ED6">
      <w:pPr>
        <w:pStyle w:val="ListParagraph"/>
        <w:numPr>
          <w:ilvl w:val="1"/>
          <w:numId w:val="1"/>
        </w:numPr>
        <w:spacing w:after="120"/>
        <w:ind w:hanging="720"/>
        <w:contextualSpacing w:val="0"/>
        <w:rPr>
          <w:rFonts w:cs="Calibri"/>
          <w:bCs/>
          <w:iCs/>
        </w:rPr>
      </w:pPr>
      <w:r w:rsidRPr="00334ED6">
        <w:rPr>
          <w:rFonts w:cs="Calibri"/>
          <w:bCs/>
          <w:iCs/>
        </w:rPr>
        <w:t xml:space="preserve">Compared to the July 2023 resubmission, the key changes in </w:t>
      </w:r>
      <w:r w:rsidR="00115F8F" w:rsidRPr="00334ED6">
        <w:rPr>
          <w:rFonts w:cs="Calibri"/>
          <w:bCs/>
          <w:iCs/>
        </w:rPr>
        <w:t xml:space="preserve">the clinical evidence </w:t>
      </w:r>
      <w:r w:rsidR="00D754BC">
        <w:rPr>
          <w:rFonts w:cs="Calibri"/>
          <w:bCs/>
          <w:iCs/>
        </w:rPr>
        <w:t>were</w:t>
      </w:r>
      <w:r w:rsidRPr="00334ED6">
        <w:rPr>
          <w:rFonts w:cs="Calibri"/>
          <w:bCs/>
          <w:iCs/>
        </w:rPr>
        <w:t>:</w:t>
      </w:r>
    </w:p>
    <w:p w14:paraId="6FF558A4" w14:textId="516E2AD2" w:rsidR="00CA534A" w:rsidRPr="00D26534" w:rsidRDefault="00CA534A" w:rsidP="00317042">
      <w:pPr>
        <w:pStyle w:val="COMexecsummbulletlist"/>
        <w:ind w:left="1077" w:hanging="357"/>
      </w:pPr>
      <w:r w:rsidRPr="00D26534">
        <w:t>Updated non-comparative efficacy and safety results of the SUSTAIN-3 trial, representing patients with a mean cumulative exposure of up to 6.5 years for esketamine.</w:t>
      </w:r>
      <w:r w:rsidR="00F8559E" w:rsidRPr="00D26534">
        <w:t xml:space="preserve"> The PBAC has previously considered only safety data from SUSTAIN-3.</w:t>
      </w:r>
    </w:p>
    <w:p w14:paraId="325684D0" w14:textId="21A0D923" w:rsidR="00CA534A" w:rsidRPr="00D26534" w:rsidRDefault="00CA534A" w:rsidP="00317042">
      <w:pPr>
        <w:pStyle w:val="COMexecsummbulletlist"/>
        <w:ind w:left="1077" w:hanging="357"/>
      </w:pPr>
      <w:r w:rsidRPr="00D26534">
        <w:t xml:space="preserve">Inclusion of two studies examining use of esketamine among </w:t>
      </w:r>
      <w:r w:rsidR="00DC7F6E" w:rsidRPr="00D26534">
        <w:t xml:space="preserve">US </w:t>
      </w:r>
      <w:r w:rsidRPr="00D26534">
        <w:t>patients with TRD over a 12 month period.</w:t>
      </w:r>
    </w:p>
    <w:p w14:paraId="6F5F6E49" w14:textId="1C687893" w:rsidR="00115F8F" w:rsidRPr="00D26534" w:rsidRDefault="00CA534A" w:rsidP="00317042">
      <w:pPr>
        <w:pStyle w:val="COMexecsummbulletlist"/>
        <w:ind w:left="1077" w:hanging="357"/>
      </w:pPr>
      <w:r w:rsidRPr="00D26534">
        <w:t xml:space="preserve">Inclusion of data from the sponsor’s </w:t>
      </w:r>
      <w:r w:rsidR="00CD05C8" w:rsidRPr="00D26534">
        <w:t xml:space="preserve">Australian </w:t>
      </w:r>
      <w:r w:rsidRPr="00D26534">
        <w:t xml:space="preserve">early access program on the proportion of patients retreated with esketamine after </w:t>
      </w:r>
      <w:r w:rsidR="00115F8F" w:rsidRPr="00D26534">
        <w:t xml:space="preserve">a break of </w:t>
      </w:r>
      <w:r w:rsidRPr="00D26534">
        <w:t>4 or more months, and the proportion continuing treatment beyond 12 months.</w:t>
      </w:r>
    </w:p>
    <w:p w14:paraId="6AA4E1D2" w14:textId="0DA59118" w:rsidR="00CA534A" w:rsidRPr="00D26534" w:rsidRDefault="00CA534A" w:rsidP="00317042">
      <w:pPr>
        <w:pStyle w:val="COMexecsummbulletlist"/>
        <w:ind w:left="1077" w:hanging="357"/>
      </w:pPr>
      <w:r w:rsidRPr="00D26534">
        <w:t>Additional information from the most recent Periodic Benefit Risk Evaluation Report (PBRER) for esketamine.</w:t>
      </w:r>
    </w:p>
    <w:p w14:paraId="54A0F6E5" w14:textId="3FFD11E9" w:rsidR="005B201B" w:rsidRPr="00334ED6" w:rsidRDefault="005B201B" w:rsidP="00334ED6">
      <w:pPr>
        <w:pStyle w:val="ListParagraph"/>
        <w:numPr>
          <w:ilvl w:val="1"/>
          <w:numId w:val="1"/>
        </w:numPr>
        <w:spacing w:after="120"/>
        <w:ind w:hanging="720"/>
        <w:contextualSpacing w:val="0"/>
        <w:rPr>
          <w:rFonts w:cs="Calibri"/>
          <w:bCs/>
          <w:iCs/>
        </w:rPr>
      </w:pPr>
      <w:r w:rsidRPr="00334ED6">
        <w:rPr>
          <w:rFonts w:cs="Calibri"/>
          <w:bCs/>
          <w:iCs/>
        </w:rPr>
        <w:t>The resubmission was based on three short-term (induction), double blind, randomised controlled trials (RCTs) (TRANSFORM-1, TRANSFORM-2</w:t>
      </w:r>
      <w:r w:rsidR="0033348B" w:rsidRPr="00334ED6">
        <w:rPr>
          <w:rFonts w:cs="Calibri"/>
          <w:bCs/>
          <w:iCs/>
        </w:rPr>
        <w:t>,</w:t>
      </w:r>
      <w:r w:rsidRPr="00334ED6">
        <w:rPr>
          <w:rFonts w:cs="Calibri"/>
          <w:bCs/>
          <w:iCs/>
        </w:rPr>
        <w:t xml:space="preserve"> and </w:t>
      </w:r>
      <w:r w:rsidRPr="00334ED6">
        <w:rPr>
          <w:rFonts w:cs="Calibri"/>
          <w:bCs/>
          <w:iCs/>
        </w:rPr>
        <w:lastRenderedPageBreak/>
        <w:t>TRANSFORM-3) and three long-term studies (SUSTAIN-1, SUSTAIN-2</w:t>
      </w:r>
      <w:r w:rsidR="0033348B" w:rsidRPr="00334ED6">
        <w:rPr>
          <w:rFonts w:cs="Calibri"/>
          <w:bCs/>
          <w:iCs/>
        </w:rPr>
        <w:t>,</w:t>
      </w:r>
      <w:r w:rsidRPr="00334ED6">
        <w:rPr>
          <w:rFonts w:cs="Calibri"/>
          <w:bCs/>
          <w:iCs/>
        </w:rPr>
        <w:t xml:space="preserve"> and SUSTAIN-3), comparing esketamine nasal spray with a newly initiated OAD versus intranasal placebo with a newly initiated OAD. All of these studies have previously been seen by the PBAC. </w:t>
      </w:r>
    </w:p>
    <w:p w14:paraId="2B59ABAC" w14:textId="177FA934" w:rsidR="00862502" w:rsidRPr="00334ED6" w:rsidRDefault="00A73134" w:rsidP="00334ED6">
      <w:pPr>
        <w:pStyle w:val="ListParagraph"/>
        <w:numPr>
          <w:ilvl w:val="1"/>
          <w:numId w:val="1"/>
        </w:numPr>
        <w:spacing w:after="120"/>
        <w:ind w:hanging="720"/>
        <w:contextualSpacing w:val="0"/>
        <w:rPr>
          <w:rFonts w:cs="Calibri"/>
          <w:bCs/>
          <w:iCs/>
        </w:rPr>
      </w:pPr>
      <w:r w:rsidRPr="00334ED6">
        <w:rPr>
          <w:rFonts w:cs="Calibri"/>
          <w:bCs/>
          <w:iCs/>
        </w:rPr>
        <w:t xml:space="preserve">Details of the </w:t>
      </w:r>
      <w:r w:rsidR="00D5243B" w:rsidRPr="00334ED6">
        <w:rPr>
          <w:rFonts w:cs="Calibri"/>
          <w:bCs/>
          <w:iCs/>
        </w:rPr>
        <w:t>studies</w:t>
      </w:r>
      <w:r w:rsidRPr="00334ED6">
        <w:rPr>
          <w:rFonts w:cs="Calibri"/>
          <w:bCs/>
          <w:iCs/>
        </w:rPr>
        <w:t xml:space="preserve"> presented in the </w:t>
      </w:r>
      <w:r w:rsidR="00D754BC">
        <w:rPr>
          <w:rFonts w:cs="Calibri"/>
          <w:bCs/>
          <w:iCs/>
        </w:rPr>
        <w:t>re</w:t>
      </w:r>
      <w:r w:rsidRPr="00334ED6">
        <w:rPr>
          <w:rFonts w:cs="Calibri"/>
          <w:bCs/>
          <w:iCs/>
        </w:rPr>
        <w:t xml:space="preserve">submission are provided in </w:t>
      </w:r>
      <w:r w:rsidR="00696EF9" w:rsidRPr="00334ED6">
        <w:rPr>
          <w:rFonts w:cs="Calibri"/>
          <w:bCs/>
          <w:iCs/>
        </w:rPr>
        <w:fldChar w:fldCharType="begin" w:fldLock="1"/>
      </w:r>
      <w:r w:rsidR="00696EF9" w:rsidRPr="00334ED6">
        <w:rPr>
          <w:rFonts w:cs="Calibri"/>
          <w:bCs/>
          <w:iCs/>
        </w:rPr>
        <w:instrText xml:space="preserve"> REF _Ref104803956 \h </w:instrText>
      </w:r>
      <w:r w:rsidR="00D26534" w:rsidRPr="00334ED6">
        <w:rPr>
          <w:rFonts w:cs="Calibri"/>
          <w:bCs/>
          <w:iCs/>
        </w:rPr>
        <w:instrText xml:space="preserve"> \* MERGEFORMAT </w:instrText>
      </w:r>
      <w:r w:rsidR="00696EF9" w:rsidRPr="00334ED6">
        <w:rPr>
          <w:rFonts w:cs="Calibri"/>
          <w:bCs/>
          <w:iCs/>
        </w:rPr>
      </w:r>
      <w:r w:rsidR="00696EF9" w:rsidRPr="00334ED6">
        <w:rPr>
          <w:rFonts w:cs="Calibri"/>
          <w:bCs/>
          <w:iCs/>
        </w:rPr>
        <w:fldChar w:fldCharType="separate"/>
      </w:r>
      <w:r w:rsidR="002B3C60" w:rsidRPr="002B3C60">
        <w:rPr>
          <w:rFonts w:cs="Calibri"/>
          <w:bCs/>
          <w:iCs/>
        </w:rPr>
        <w:t>Table 3</w:t>
      </w:r>
      <w:r w:rsidR="00696EF9" w:rsidRPr="00334ED6">
        <w:rPr>
          <w:rFonts w:cs="Calibri"/>
          <w:bCs/>
          <w:iCs/>
        </w:rPr>
        <w:fldChar w:fldCharType="end"/>
      </w:r>
      <w:r w:rsidRPr="00334ED6">
        <w:rPr>
          <w:rFonts w:cs="Calibri"/>
          <w:bCs/>
          <w:iCs/>
        </w:rPr>
        <w:t>.</w:t>
      </w:r>
    </w:p>
    <w:p w14:paraId="7DE3A286" w14:textId="5F6DD191" w:rsidR="008E0D3C" w:rsidRPr="00D26534" w:rsidRDefault="00696EF9" w:rsidP="002E4F02">
      <w:pPr>
        <w:pStyle w:val="COMtablefigcaption"/>
      </w:pPr>
      <w:bookmarkStart w:id="24" w:name="_Ref104803956"/>
      <w:r w:rsidRPr="00D26534">
        <w:t xml:space="preserve">Table </w:t>
      </w:r>
      <w:r w:rsidR="004E64B8">
        <w:fldChar w:fldCharType="begin" w:fldLock="1"/>
      </w:r>
      <w:r w:rsidR="004E64B8">
        <w:instrText xml:space="preserve"> SEQ Table \* ARABIC </w:instrText>
      </w:r>
      <w:r w:rsidR="004E64B8">
        <w:fldChar w:fldCharType="separate"/>
      </w:r>
      <w:r w:rsidR="002B3C60">
        <w:rPr>
          <w:noProof/>
        </w:rPr>
        <w:t>3</w:t>
      </w:r>
      <w:r w:rsidR="004E64B8">
        <w:rPr>
          <w:noProof/>
        </w:rPr>
        <w:fldChar w:fldCharType="end"/>
      </w:r>
      <w:bookmarkEnd w:id="24"/>
      <w:r w:rsidRPr="00D26534">
        <w:t>:</w:t>
      </w:r>
      <w:r w:rsidR="00BC591F" w:rsidRPr="00D26534">
        <w:t xml:space="preserve"> </w:t>
      </w:r>
      <w:r w:rsidR="00F2062F" w:rsidRPr="00D26534">
        <w:t>Studies</w:t>
      </w:r>
      <w:r w:rsidR="008E0D3C" w:rsidRPr="00D26534">
        <w:t xml:space="preserve"> and associated reports presented in the </w:t>
      </w:r>
      <w:r w:rsidR="00E55E3E" w:rsidRPr="00D26534">
        <w:t>re</w:t>
      </w:r>
      <w:r w:rsidR="008E0D3C" w:rsidRPr="00D26534">
        <w:t>submission</w:t>
      </w:r>
      <w:r w:rsidR="00E55E3E" w:rsidRPr="00D26534">
        <w:t xml:space="preserve"> (shaded study has not previously been considered by the PBAC).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Studies and associated reports presented in the resubmission (shaded study has not previously been considered by the PBAC)."/>
      </w:tblPr>
      <w:tblGrid>
        <w:gridCol w:w="1430"/>
        <w:gridCol w:w="5465"/>
        <w:gridCol w:w="2122"/>
      </w:tblGrid>
      <w:tr w:rsidR="0033348B" w:rsidRPr="00D26534" w14:paraId="539D0E76" w14:textId="77777777" w:rsidTr="002F61D6">
        <w:trPr>
          <w:tblHeader/>
        </w:trPr>
        <w:tc>
          <w:tcPr>
            <w:tcW w:w="1430" w:type="dxa"/>
            <w:shd w:val="clear" w:color="auto" w:fill="auto"/>
            <w:vAlign w:val="center"/>
            <w:hideMark/>
          </w:tcPr>
          <w:p w14:paraId="05AC5DB4" w14:textId="77777777" w:rsidR="0033348B" w:rsidRPr="00D26534" w:rsidRDefault="0033348B" w:rsidP="002F61D6">
            <w:pPr>
              <w:jc w:val="left"/>
              <w:textAlignment w:val="baseline"/>
              <w:rPr>
                <w:rFonts w:ascii="Times New Roman" w:hAnsi="Times New Roman" w:cs="Times New Roman"/>
                <w:b/>
                <w:bCs/>
              </w:rPr>
            </w:pPr>
            <w:r w:rsidRPr="00D26534">
              <w:rPr>
                <w:rFonts w:ascii="Arial Narrow" w:hAnsi="Arial Narrow" w:cs="Times New Roman"/>
                <w:b/>
                <w:bCs/>
                <w:sz w:val="20"/>
                <w:szCs w:val="20"/>
              </w:rPr>
              <w:t>Trial ID </w:t>
            </w:r>
          </w:p>
        </w:tc>
        <w:tc>
          <w:tcPr>
            <w:tcW w:w="5465" w:type="dxa"/>
            <w:shd w:val="clear" w:color="auto" w:fill="auto"/>
            <w:vAlign w:val="center"/>
            <w:hideMark/>
          </w:tcPr>
          <w:p w14:paraId="4093786A" w14:textId="77777777" w:rsidR="0033348B" w:rsidRPr="00D26534" w:rsidRDefault="0033348B" w:rsidP="002F61D6">
            <w:pPr>
              <w:jc w:val="left"/>
              <w:textAlignment w:val="baseline"/>
              <w:rPr>
                <w:rFonts w:ascii="Times New Roman" w:hAnsi="Times New Roman" w:cs="Times New Roman"/>
                <w:b/>
                <w:bCs/>
              </w:rPr>
            </w:pPr>
            <w:r w:rsidRPr="00D26534">
              <w:rPr>
                <w:rFonts w:ascii="Arial Narrow" w:hAnsi="Arial Narrow" w:cs="Times New Roman"/>
                <w:b/>
                <w:bCs/>
                <w:sz w:val="20"/>
                <w:szCs w:val="20"/>
              </w:rPr>
              <w:t>Protocol title/ Publication title </w:t>
            </w:r>
          </w:p>
        </w:tc>
        <w:tc>
          <w:tcPr>
            <w:tcW w:w="2122" w:type="dxa"/>
            <w:shd w:val="clear" w:color="auto" w:fill="auto"/>
            <w:vAlign w:val="center"/>
            <w:hideMark/>
          </w:tcPr>
          <w:p w14:paraId="747F52EC" w14:textId="77777777" w:rsidR="0033348B" w:rsidRPr="00D26534" w:rsidRDefault="0033348B" w:rsidP="002F61D6">
            <w:pPr>
              <w:jc w:val="left"/>
              <w:textAlignment w:val="baseline"/>
              <w:rPr>
                <w:rFonts w:ascii="Times New Roman" w:hAnsi="Times New Roman" w:cs="Times New Roman"/>
                <w:b/>
                <w:bCs/>
              </w:rPr>
            </w:pPr>
            <w:r w:rsidRPr="00D26534">
              <w:rPr>
                <w:rFonts w:ascii="Arial Narrow" w:hAnsi="Arial Narrow" w:cs="Times New Roman"/>
                <w:b/>
                <w:bCs/>
                <w:sz w:val="20"/>
                <w:szCs w:val="20"/>
              </w:rPr>
              <w:t>Publication citation </w:t>
            </w:r>
          </w:p>
        </w:tc>
      </w:tr>
      <w:tr w:rsidR="0033348B" w:rsidRPr="00D26534" w14:paraId="4A61C061" w14:textId="77777777" w:rsidTr="002F61D6">
        <w:tc>
          <w:tcPr>
            <w:tcW w:w="1430" w:type="dxa"/>
            <w:vMerge w:val="restart"/>
            <w:shd w:val="clear" w:color="auto" w:fill="auto"/>
            <w:vAlign w:val="center"/>
            <w:hideMark/>
          </w:tcPr>
          <w:p w14:paraId="4B409FE8"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TRANSFORM-2 (NCT02418585) </w:t>
            </w:r>
          </w:p>
        </w:tc>
        <w:tc>
          <w:tcPr>
            <w:tcW w:w="5465" w:type="dxa"/>
            <w:shd w:val="clear" w:color="auto" w:fill="auto"/>
            <w:vAlign w:val="center"/>
            <w:hideMark/>
          </w:tcPr>
          <w:p w14:paraId="0943555C"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A Randomized, Double-blind, Multicenter, Active-controlled Study to Evaluate the Efficacy, Safety, and Tolerability of Flexible Doses of Intranasal Esketamine Plus an Oral Antidepressant in Adult Subjects with Treatment-resistant Depression (TRANSFORM-2) </w:t>
            </w:r>
          </w:p>
        </w:tc>
        <w:tc>
          <w:tcPr>
            <w:tcW w:w="2122" w:type="dxa"/>
            <w:shd w:val="clear" w:color="auto" w:fill="auto"/>
            <w:vAlign w:val="center"/>
            <w:hideMark/>
          </w:tcPr>
          <w:p w14:paraId="772E683C"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Internal study report; 6 November 2017 </w:t>
            </w:r>
          </w:p>
        </w:tc>
      </w:tr>
      <w:tr w:rsidR="0033348B" w:rsidRPr="00D26534" w14:paraId="7FB1DC05" w14:textId="77777777" w:rsidTr="002F61D6">
        <w:tc>
          <w:tcPr>
            <w:tcW w:w="0" w:type="auto"/>
            <w:vMerge/>
            <w:shd w:val="clear" w:color="auto" w:fill="auto"/>
            <w:vAlign w:val="center"/>
            <w:hideMark/>
          </w:tcPr>
          <w:p w14:paraId="231E2960" w14:textId="77777777" w:rsidR="0033348B" w:rsidRPr="00D26534" w:rsidRDefault="0033348B" w:rsidP="002F61D6">
            <w:pPr>
              <w:jc w:val="left"/>
              <w:rPr>
                <w:rFonts w:ascii="Times New Roman" w:hAnsi="Times New Roman" w:cs="Times New Roman"/>
              </w:rPr>
            </w:pPr>
          </w:p>
        </w:tc>
        <w:tc>
          <w:tcPr>
            <w:tcW w:w="5465" w:type="dxa"/>
            <w:shd w:val="clear" w:color="auto" w:fill="auto"/>
            <w:vAlign w:val="center"/>
            <w:hideMark/>
          </w:tcPr>
          <w:p w14:paraId="5725FD13"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Popova V, Daly EJ, Trivedi M, Cooper K, Lane R, Lim P, et al. (2019). Efficacy and Safety of Flexibly Dosed Esketamine Nasal Spray Combined With a Newly Initiated Oral Antidepressant in Treatment-Resistant Depression: A Randomized Double-Blind Active-Controlled Study.  </w:t>
            </w:r>
          </w:p>
        </w:tc>
        <w:tc>
          <w:tcPr>
            <w:tcW w:w="2122" w:type="dxa"/>
            <w:shd w:val="clear" w:color="auto" w:fill="auto"/>
            <w:vAlign w:val="center"/>
            <w:hideMark/>
          </w:tcPr>
          <w:p w14:paraId="676A9A64"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Am J Psychiatry; 176(6): 428-38. </w:t>
            </w:r>
          </w:p>
        </w:tc>
      </w:tr>
      <w:tr w:rsidR="0033348B" w:rsidRPr="00D26534" w14:paraId="55A7617A" w14:textId="77777777" w:rsidTr="002F61D6">
        <w:tc>
          <w:tcPr>
            <w:tcW w:w="0" w:type="auto"/>
            <w:vMerge/>
            <w:shd w:val="clear" w:color="auto" w:fill="auto"/>
            <w:vAlign w:val="center"/>
            <w:hideMark/>
          </w:tcPr>
          <w:p w14:paraId="6552A905" w14:textId="77777777" w:rsidR="0033348B" w:rsidRPr="00D26534" w:rsidRDefault="0033348B" w:rsidP="002F61D6">
            <w:pPr>
              <w:jc w:val="left"/>
              <w:rPr>
                <w:rFonts w:ascii="Times New Roman" w:hAnsi="Times New Roman" w:cs="Times New Roman"/>
              </w:rPr>
            </w:pPr>
          </w:p>
        </w:tc>
        <w:tc>
          <w:tcPr>
            <w:tcW w:w="5465" w:type="dxa"/>
            <w:shd w:val="clear" w:color="auto" w:fill="auto"/>
            <w:vAlign w:val="center"/>
            <w:hideMark/>
          </w:tcPr>
          <w:p w14:paraId="2F2B12BD"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Hudgens S, Floden L, Blackowicz M, Jamieson C, Popova V, Fedgchin M, et al. (2021). Meaningful Change in Depression Symptoms Assessed with the Patient Health Questionnaire (PHQ-9) and Montgomery-Åsberg Depression Rating Scale (MADRS) Among Patients with Treatment Resistant Depression in Two, Randomized, Double-blind, Active-controlled Trials of Esketamine Nasal Spray Combined With a New Oral Antidepressant. </w:t>
            </w:r>
          </w:p>
        </w:tc>
        <w:tc>
          <w:tcPr>
            <w:tcW w:w="2122" w:type="dxa"/>
            <w:shd w:val="clear" w:color="auto" w:fill="auto"/>
            <w:vAlign w:val="center"/>
            <w:hideMark/>
          </w:tcPr>
          <w:p w14:paraId="227AA20C"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J Aff Dis; 281: 767-775 </w:t>
            </w:r>
          </w:p>
        </w:tc>
      </w:tr>
      <w:tr w:rsidR="0033348B" w:rsidRPr="00D26534" w14:paraId="3CEF900C" w14:textId="77777777" w:rsidTr="002F61D6">
        <w:tc>
          <w:tcPr>
            <w:tcW w:w="0" w:type="auto"/>
            <w:vMerge/>
            <w:shd w:val="clear" w:color="auto" w:fill="auto"/>
            <w:vAlign w:val="center"/>
            <w:hideMark/>
          </w:tcPr>
          <w:p w14:paraId="11536B3A" w14:textId="77777777" w:rsidR="0033348B" w:rsidRPr="00D26534" w:rsidRDefault="0033348B" w:rsidP="002F61D6">
            <w:pPr>
              <w:jc w:val="left"/>
              <w:rPr>
                <w:rFonts w:ascii="Times New Roman" w:hAnsi="Times New Roman" w:cs="Times New Roman"/>
              </w:rPr>
            </w:pPr>
          </w:p>
        </w:tc>
        <w:tc>
          <w:tcPr>
            <w:tcW w:w="5465" w:type="dxa"/>
            <w:shd w:val="clear" w:color="auto" w:fill="auto"/>
            <w:vAlign w:val="center"/>
            <w:hideMark/>
          </w:tcPr>
          <w:p w14:paraId="484544BF"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Daly EJ, Turkoz I, Salvadore G, Fedgchin M, et al. (2021). The effect of esketamine in patients with treatment-resistant depression with and without comorbid anxiety symptoms or disorder.  </w:t>
            </w:r>
          </w:p>
        </w:tc>
        <w:tc>
          <w:tcPr>
            <w:tcW w:w="2122" w:type="dxa"/>
            <w:shd w:val="clear" w:color="auto" w:fill="auto"/>
            <w:vAlign w:val="center"/>
            <w:hideMark/>
          </w:tcPr>
          <w:p w14:paraId="246B2177"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Depress Anxiety; 38(11):1120-1130 </w:t>
            </w:r>
          </w:p>
        </w:tc>
      </w:tr>
      <w:tr w:rsidR="0033348B" w:rsidRPr="00D26534" w14:paraId="5A806363" w14:textId="77777777" w:rsidTr="002F61D6">
        <w:tc>
          <w:tcPr>
            <w:tcW w:w="0" w:type="auto"/>
            <w:vMerge/>
            <w:shd w:val="clear" w:color="auto" w:fill="auto"/>
            <w:vAlign w:val="center"/>
            <w:hideMark/>
          </w:tcPr>
          <w:p w14:paraId="4D75F094" w14:textId="77777777" w:rsidR="0033348B" w:rsidRPr="00D26534" w:rsidRDefault="0033348B" w:rsidP="002F61D6">
            <w:pPr>
              <w:jc w:val="left"/>
              <w:rPr>
                <w:rFonts w:ascii="Times New Roman" w:hAnsi="Times New Roman" w:cs="Times New Roman"/>
              </w:rPr>
            </w:pPr>
          </w:p>
        </w:tc>
        <w:tc>
          <w:tcPr>
            <w:tcW w:w="5465" w:type="dxa"/>
            <w:shd w:val="clear" w:color="auto" w:fill="auto"/>
            <w:vAlign w:val="center"/>
            <w:hideMark/>
          </w:tcPr>
          <w:p w14:paraId="409B3DE6"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Saad Z, Hibar D, Fedgchin M, Popova V, Furey ML, Singh JB, et al. (2020). Effects of Mu-Opiate Receptor Gene Polymorphism rs1799971 (A118G) on the Antidepressant and Dissociation Responses in Esketamine Nasal Spray Clinical Trials.  </w:t>
            </w:r>
          </w:p>
        </w:tc>
        <w:tc>
          <w:tcPr>
            <w:tcW w:w="2122" w:type="dxa"/>
            <w:shd w:val="clear" w:color="auto" w:fill="auto"/>
            <w:vAlign w:val="center"/>
            <w:hideMark/>
          </w:tcPr>
          <w:p w14:paraId="1EA27C1F"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Int J Neuropsychopharmacol; 23: 549-558. </w:t>
            </w:r>
          </w:p>
        </w:tc>
      </w:tr>
      <w:tr w:rsidR="0033348B" w:rsidRPr="00D26534" w14:paraId="627F735B" w14:textId="77777777" w:rsidTr="002F61D6">
        <w:tc>
          <w:tcPr>
            <w:tcW w:w="0" w:type="auto"/>
            <w:vMerge/>
            <w:shd w:val="clear" w:color="auto" w:fill="auto"/>
            <w:vAlign w:val="center"/>
            <w:hideMark/>
          </w:tcPr>
          <w:p w14:paraId="0A71BAAA" w14:textId="77777777" w:rsidR="0033348B" w:rsidRPr="00D26534" w:rsidRDefault="0033348B" w:rsidP="002F61D6">
            <w:pPr>
              <w:jc w:val="left"/>
              <w:rPr>
                <w:rFonts w:ascii="Times New Roman" w:hAnsi="Times New Roman" w:cs="Times New Roman"/>
              </w:rPr>
            </w:pPr>
          </w:p>
        </w:tc>
        <w:tc>
          <w:tcPr>
            <w:tcW w:w="5465" w:type="dxa"/>
            <w:shd w:val="clear" w:color="auto" w:fill="auto"/>
            <w:vAlign w:val="center"/>
            <w:hideMark/>
          </w:tcPr>
          <w:p w14:paraId="4812BC3C"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Citrome L, DiBernardo A, Singh J. (2020). Appraising Esketamine Nasal Spray for the Management of Treatment-Resistant Depression in Adults: number Needed to Treat, Number Needed to Harm, and Likelihood to be Helped/Harmed.  </w:t>
            </w:r>
          </w:p>
        </w:tc>
        <w:tc>
          <w:tcPr>
            <w:tcW w:w="2122" w:type="dxa"/>
            <w:shd w:val="clear" w:color="auto" w:fill="auto"/>
            <w:vAlign w:val="center"/>
            <w:hideMark/>
          </w:tcPr>
          <w:p w14:paraId="11CC37A5"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J Aff Dis; 271:228-238. </w:t>
            </w:r>
          </w:p>
        </w:tc>
      </w:tr>
      <w:tr w:rsidR="0033348B" w:rsidRPr="00D26534" w14:paraId="5FF66EED" w14:textId="77777777" w:rsidTr="002F61D6">
        <w:tc>
          <w:tcPr>
            <w:tcW w:w="1430" w:type="dxa"/>
            <w:vMerge w:val="restart"/>
            <w:shd w:val="clear" w:color="auto" w:fill="auto"/>
            <w:vAlign w:val="center"/>
            <w:hideMark/>
          </w:tcPr>
          <w:p w14:paraId="4E794FA9"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TRANSFORM-1 (NCT02417064) </w:t>
            </w:r>
          </w:p>
        </w:tc>
        <w:tc>
          <w:tcPr>
            <w:tcW w:w="5465" w:type="dxa"/>
            <w:shd w:val="clear" w:color="auto" w:fill="auto"/>
            <w:vAlign w:val="center"/>
            <w:hideMark/>
          </w:tcPr>
          <w:p w14:paraId="1EF1EBED"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A Randomized, Double-blind, Multicenter, Active-controlled Study to Evaluate the Efficacy, Safety, and Tolerability of Fixed Doses of Intranasal Esketamine Plus an Oral Antidepressant in Adult Subjects with Treatment-resistant Depression </w:t>
            </w:r>
          </w:p>
        </w:tc>
        <w:tc>
          <w:tcPr>
            <w:tcW w:w="2122" w:type="dxa"/>
            <w:shd w:val="clear" w:color="auto" w:fill="auto"/>
            <w:vAlign w:val="center"/>
            <w:hideMark/>
          </w:tcPr>
          <w:p w14:paraId="41F49B4B"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Internal study report; 26 July 2018 </w:t>
            </w:r>
          </w:p>
        </w:tc>
      </w:tr>
      <w:tr w:rsidR="0033348B" w:rsidRPr="00D26534" w14:paraId="0773C634" w14:textId="77777777" w:rsidTr="002F61D6">
        <w:tc>
          <w:tcPr>
            <w:tcW w:w="0" w:type="auto"/>
            <w:vMerge/>
            <w:shd w:val="clear" w:color="auto" w:fill="auto"/>
            <w:vAlign w:val="center"/>
            <w:hideMark/>
          </w:tcPr>
          <w:p w14:paraId="0C0A5C68" w14:textId="77777777" w:rsidR="0033348B" w:rsidRPr="00D26534" w:rsidRDefault="0033348B" w:rsidP="002F61D6">
            <w:pPr>
              <w:jc w:val="left"/>
              <w:rPr>
                <w:rFonts w:ascii="Times New Roman" w:hAnsi="Times New Roman" w:cs="Times New Roman"/>
              </w:rPr>
            </w:pPr>
          </w:p>
        </w:tc>
        <w:tc>
          <w:tcPr>
            <w:tcW w:w="5465" w:type="dxa"/>
            <w:shd w:val="clear" w:color="auto" w:fill="auto"/>
            <w:vAlign w:val="center"/>
            <w:hideMark/>
          </w:tcPr>
          <w:p w14:paraId="0487C140"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Fedgchin M, Trivedi M, Daly EJ, Melkote R, Lane R, Lim P, et al. (2019). Efficacy and Safety of Fixed-Dose Esketamine Nasal Spray Combined With a New Oral Antidepressant in Treatment-Resistant Depression: Results of a Randomized, Double-Blind, Active-Controlled Study (TRANSFORM-1).  </w:t>
            </w:r>
          </w:p>
        </w:tc>
        <w:tc>
          <w:tcPr>
            <w:tcW w:w="2122" w:type="dxa"/>
            <w:shd w:val="clear" w:color="auto" w:fill="auto"/>
            <w:vAlign w:val="center"/>
            <w:hideMark/>
          </w:tcPr>
          <w:p w14:paraId="670D61F4"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Int J Neuropsychopharmacol; 22: 616-630 </w:t>
            </w:r>
          </w:p>
        </w:tc>
      </w:tr>
      <w:tr w:rsidR="0033348B" w:rsidRPr="00D26534" w14:paraId="109E5447" w14:textId="77777777" w:rsidTr="002F61D6">
        <w:tc>
          <w:tcPr>
            <w:tcW w:w="0" w:type="auto"/>
            <w:vMerge/>
            <w:shd w:val="clear" w:color="auto" w:fill="auto"/>
            <w:vAlign w:val="center"/>
            <w:hideMark/>
          </w:tcPr>
          <w:p w14:paraId="7F877654" w14:textId="77777777" w:rsidR="0033348B" w:rsidRPr="00D26534" w:rsidRDefault="0033348B" w:rsidP="002F61D6">
            <w:pPr>
              <w:jc w:val="left"/>
              <w:rPr>
                <w:rFonts w:ascii="Times New Roman" w:hAnsi="Times New Roman" w:cs="Times New Roman"/>
              </w:rPr>
            </w:pPr>
          </w:p>
        </w:tc>
        <w:tc>
          <w:tcPr>
            <w:tcW w:w="5465" w:type="dxa"/>
            <w:shd w:val="clear" w:color="auto" w:fill="auto"/>
            <w:vAlign w:val="center"/>
            <w:hideMark/>
          </w:tcPr>
          <w:p w14:paraId="0AD372A0"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Citrome L, DiBernardo A, Singh J. (2020). Appraising esketamine nasal spray for the management of treatment-resistant depression in adults: Number needed to treat, number needed to harm, and likelihood to be helped or harmed.  </w:t>
            </w:r>
          </w:p>
        </w:tc>
        <w:tc>
          <w:tcPr>
            <w:tcW w:w="2122" w:type="dxa"/>
            <w:shd w:val="clear" w:color="auto" w:fill="auto"/>
            <w:vAlign w:val="center"/>
            <w:hideMark/>
          </w:tcPr>
          <w:p w14:paraId="6CE10C36"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J Aff Dis; 271 (228-238). </w:t>
            </w:r>
          </w:p>
        </w:tc>
      </w:tr>
      <w:tr w:rsidR="0033348B" w:rsidRPr="00D26534" w14:paraId="25A0CD34" w14:textId="77777777" w:rsidTr="002F61D6">
        <w:tc>
          <w:tcPr>
            <w:tcW w:w="0" w:type="auto"/>
            <w:vMerge/>
            <w:shd w:val="clear" w:color="auto" w:fill="auto"/>
            <w:vAlign w:val="center"/>
            <w:hideMark/>
          </w:tcPr>
          <w:p w14:paraId="2513E78F" w14:textId="77777777" w:rsidR="0033348B" w:rsidRPr="00D26534" w:rsidRDefault="0033348B" w:rsidP="002F61D6">
            <w:pPr>
              <w:jc w:val="left"/>
              <w:rPr>
                <w:rFonts w:ascii="Times New Roman" w:hAnsi="Times New Roman" w:cs="Times New Roman"/>
              </w:rPr>
            </w:pPr>
          </w:p>
        </w:tc>
        <w:tc>
          <w:tcPr>
            <w:tcW w:w="5465" w:type="dxa"/>
            <w:shd w:val="clear" w:color="auto" w:fill="auto"/>
            <w:vAlign w:val="center"/>
            <w:hideMark/>
          </w:tcPr>
          <w:p w14:paraId="07A72288"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Saad Z, Hibar D, Fedgchin M, Popova V, Furey ML, Singh JB, et al. (2020). Effects of Mu-Opiate Receptor Gene Polymorphism rs1799971 (A118G) on the Antidepressant and Dissociation Responses in Esketamine Nasal Spray Clinical Trials.  </w:t>
            </w:r>
          </w:p>
        </w:tc>
        <w:tc>
          <w:tcPr>
            <w:tcW w:w="2122" w:type="dxa"/>
            <w:shd w:val="clear" w:color="auto" w:fill="auto"/>
            <w:vAlign w:val="center"/>
            <w:hideMark/>
          </w:tcPr>
          <w:p w14:paraId="31E47D1F"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Int J Neuropsychopharmacol; 23: 549-558. </w:t>
            </w:r>
          </w:p>
        </w:tc>
      </w:tr>
      <w:tr w:rsidR="0033348B" w:rsidRPr="00D26534" w14:paraId="4AC63C74" w14:textId="77777777" w:rsidTr="002F61D6">
        <w:tc>
          <w:tcPr>
            <w:tcW w:w="1430" w:type="dxa"/>
            <w:vMerge w:val="restart"/>
            <w:shd w:val="clear" w:color="auto" w:fill="auto"/>
            <w:vAlign w:val="center"/>
            <w:hideMark/>
          </w:tcPr>
          <w:p w14:paraId="24ED0D8C"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lastRenderedPageBreak/>
              <w:t>TRANSFORM-3 (NCT02422186) </w:t>
            </w:r>
          </w:p>
        </w:tc>
        <w:tc>
          <w:tcPr>
            <w:tcW w:w="5465" w:type="dxa"/>
            <w:shd w:val="clear" w:color="auto" w:fill="auto"/>
            <w:vAlign w:val="center"/>
            <w:hideMark/>
          </w:tcPr>
          <w:p w14:paraId="352D7C8A"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Randomized, Double-blind, Multicenter, Active-controlled Study to Evaluate the Efficacy, Safety, and Tolerability of Intranasal Esketamine Plus an Oral Antidepressant in Elderly Subjects with Treatment-resistant Depression </w:t>
            </w:r>
          </w:p>
        </w:tc>
        <w:tc>
          <w:tcPr>
            <w:tcW w:w="2122" w:type="dxa"/>
            <w:shd w:val="clear" w:color="auto" w:fill="auto"/>
            <w:vAlign w:val="center"/>
            <w:hideMark/>
          </w:tcPr>
          <w:p w14:paraId="2D0F9B51"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Internal study report; 12 July 2018 </w:t>
            </w:r>
          </w:p>
        </w:tc>
      </w:tr>
      <w:tr w:rsidR="0033348B" w:rsidRPr="00D26534" w14:paraId="08D66B5C" w14:textId="77777777" w:rsidTr="002F61D6">
        <w:tc>
          <w:tcPr>
            <w:tcW w:w="0" w:type="auto"/>
            <w:vMerge/>
            <w:shd w:val="clear" w:color="auto" w:fill="auto"/>
            <w:vAlign w:val="center"/>
            <w:hideMark/>
          </w:tcPr>
          <w:p w14:paraId="320A19AA" w14:textId="77777777" w:rsidR="0033348B" w:rsidRPr="00D26534" w:rsidRDefault="0033348B" w:rsidP="002F61D6">
            <w:pPr>
              <w:jc w:val="left"/>
              <w:rPr>
                <w:rFonts w:ascii="Times New Roman" w:hAnsi="Times New Roman" w:cs="Times New Roman"/>
              </w:rPr>
            </w:pPr>
          </w:p>
        </w:tc>
        <w:tc>
          <w:tcPr>
            <w:tcW w:w="5465" w:type="dxa"/>
            <w:shd w:val="clear" w:color="auto" w:fill="auto"/>
            <w:vAlign w:val="center"/>
            <w:hideMark/>
          </w:tcPr>
          <w:p w14:paraId="48875B56"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Citrome L, DiBernardo A, Singh J. (2020). Appraising esketamine nasal spray for the management of treatment-resistant depression in adults: Number needed to treat, number needed to harm, and likelihood to be helped or harmed.  </w:t>
            </w:r>
          </w:p>
        </w:tc>
        <w:tc>
          <w:tcPr>
            <w:tcW w:w="2122" w:type="dxa"/>
            <w:shd w:val="clear" w:color="auto" w:fill="auto"/>
            <w:vAlign w:val="center"/>
            <w:hideMark/>
          </w:tcPr>
          <w:p w14:paraId="0BC7BE26"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J Aff Dis; 271 (228-238). </w:t>
            </w:r>
          </w:p>
        </w:tc>
      </w:tr>
      <w:tr w:rsidR="0033348B" w:rsidRPr="00D26534" w14:paraId="702CB3EC" w14:textId="77777777" w:rsidTr="002F61D6">
        <w:tc>
          <w:tcPr>
            <w:tcW w:w="0" w:type="auto"/>
            <w:vMerge/>
            <w:shd w:val="clear" w:color="auto" w:fill="auto"/>
            <w:vAlign w:val="center"/>
            <w:hideMark/>
          </w:tcPr>
          <w:p w14:paraId="24E15AB3" w14:textId="77777777" w:rsidR="0033348B" w:rsidRPr="00D26534" w:rsidRDefault="0033348B" w:rsidP="002F61D6">
            <w:pPr>
              <w:jc w:val="left"/>
              <w:rPr>
                <w:rFonts w:ascii="Times New Roman" w:hAnsi="Times New Roman" w:cs="Times New Roman"/>
              </w:rPr>
            </w:pPr>
          </w:p>
        </w:tc>
        <w:tc>
          <w:tcPr>
            <w:tcW w:w="5465" w:type="dxa"/>
            <w:shd w:val="clear" w:color="auto" w:fill="auto"/>
            <w:vAlign w:val="center"/>
            <w:hideMark/>
          </w:tcPr>
          <w:p w14:paraId="74615A4B"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Ochs-Ross R, Daly EJ, Zhang Y, Lane R, Lim P, Morrison RL, et al. (2020). Efficacy and Safety of Esketamine Nasal Spray Plus an Oral Antidepressant in Elderly Patients with Treatment-Resistant Depression-TRANSFORM-3.  </w:t>
            </w:r>
          </w:p>
        </w:tc>
        <w:tc>
          <w:tcPr>
            <w:tcW w:w="2122" w:type="dxa"/>
            <w:shd w:val="clear" w:color="auto" w:fill="auto"/>
            <w:vAlign w:val="center"/>
            <w:hideMark/>
          </w:tcPr>
          <w:p w14:paraId="55D1E435"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Am J Geriatr Psychiatry; 28(2):121-141. </w:t>
            </w:r>
          </w:p>
        </w:tc>
      </w:tr>
      <w:tr w:rsidR="0033348B" w:rsidRPr="00D26534" w14:paraId="0A7199BF" w14:textId="77777777" w:rsidTr="002F61D6">
        <w:tc>
          <w:tcPr>
            <w:tcW w:w="1430" w:type="dxa"/>
            <w:vMerge w:val="restart"/>
            <w:shd w:val="clear" w:color="auto" w:fill="auto"/>
            <w:vAlign w:val="center"/>
            <w:hideMark/>
          </w:tcPr>
          <w:p w14:paraId="7DFF496F"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SUSTAIN-1 (NCT02493868) </w:t>
            </w:r>
          </w:p>
        </w:tc>
        <w:tc>
          <w:tcPr>
            <w:tcW w:w="5465" w:type="dxa"/>
            <w:shd w:val="clear" w:color="auto" w:fill="auto"/>
            <w:vAlign w:val="center"/>
            <w:hideMark/>
          </w:tcPr>
          <w:p w14:paraId="45B12C52"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A Randomized, Double-blind, Multicenter, Active-controlled Study of Intranasal Esketamine Plus an Oral Antidepressant for Relapse Prevention in Treatment-resistant Depression </w:t>
            </w:r>
          </w:p>
        </w:tc>
        <w:tc>
          <w:tcPr>
            <w:tcW w:w="2122" w:type="dxa"/>
            <w:shd w:val="clear" w:color="auto" w:fill="auto"/>
            <w:vAlign w:val="center"/>
            <w:hideMark/>
          </w:tcPr>
          <w:p w14:paraId="38FE2F83"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Internal study report; 15 August 2018 </w:t>
            </w:r>
          </w:p>
        </w:tc>
      </w:tr>
      <w:tr w:rsidR="0033348B" w:rsidRPr="00D26534" w14:paraId="14F6E139" w14:textId="77777777" w:rsidTr="002F61D6">
        <w:tc>
          <w:tcPr>
            <w:tcW w:w="0" w:type="auto"/>
            <w:vMerge/>
            <w:shd w:val="clear" w:color="auto" w:fill="auto"/>
            <w:vAlign w:val="center"/>
            <w:hideMark/>
          </w:tcPr>
          <w:p w14:paraId="4323F01B" w14:textId="77777777" w:rsidR="0033348B" w:rsidRPr="00D26534" w:rsidRDefault="0033348B" w:rsidP="002F61D6">
            <w:pPr>
              <w:jc w:val="left"/>
              <w:rPr>
                <w:rFonts w:ascii="Times New Roman" w:hAnsi="Times New Roman" w:cs="Times New Roman"/>
              </w:rPr>
            </w:pPr>
          </w:p>
        </w:tc>
        <w:tc>
          <w:tcPr>
            <w:tcW w:w="5465" w:type="dxa"/>
            <w:shd w:val="clear" w:color="auto" w:fill="auto"/>
            <w:vAlign w:val="center"/>
            <w:hideMark/>
          </w:tcPr>
          <w:p w14:paraId="54BF0CBB"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Daly EJ, Trivedi MH, Janik A, Li H, Zhang Y, Li X, et al. (2019). Efficacy of Esketamine Nasal Spray Plus Oral Antidepressant Treatment for Relapse Prevention in Patients With Treatment-Resistant Depression: A Randomized Clinical Trial.  </w:t>
            </w:r>
          </w:p>
        </w:tc>
        <w:tc>
          <w:tcPr>
            <w:tcW w:w="2122" w:type="dxa"/>
            <w:shd w:val="clear" w:color="auto" w:fill="auto"/>
            <w:vAlign w:val="center"/>
            <w:hideMark/>
          </w:tcPr>
          <w:p w14:paraId="4058425E"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JAMA Psychiatry;  76(9):893-903 </w:t>
            </w:r>
          </w:p>
        </w:tc>
      </w:tr>
      <w:tr w:rsidR="0033348B" w:rsidRPr="00D26534" w14:paraId="04ABB314" w14:textId="77777777" w:rsidTr="002F61D6">
        <w:tc>
          <w:tcPr>
            <w:tcW w:w="0" w:type="auto"/>
            <w:vMerge/>
            <w:shd w:val="clear" w:color="auto" w:fill="auto"/>
            <w:vAlign w:val="center"/>
            <w:hideMark/>
          </w:tcPr>
          <w:p w14:paraId="5E2B0FB6" w14:textId="77777777" w:rsidR="0033348B" w:rsidRPr="00D26534" w:rsidRDefault="0033348B" w:rsidP="002F61D6">
            <w:pPr>
              <w:jc w:val="left"/>
              <w:rPr>
                <w:rFonts w:ascii="Times New Roman" w:hAnsi="Times New Roman" w:cs="Times New Roman"/>
              </w:rPr>
            </w:pPr>
          </w:p>
        </w:tc>
        <w:tc>
          <w:tcPr>
            <w:tcW w:w="5465" w:type="dxa"/>
            <w:shd w:val="clear" w:color="auto" w:fill="auto"/>
            <w:vAlign w:val="center"/>
            <w:hideMark/>
          </w:tcPr>
          <w:p w14:paraId="3506A850"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Citrome L, DiBernardo A, Singh J. (2020). Appraising Esketamine Nasal Spray for the Management of Treatment-Resistant Depression in Adults: number Needed to Treat, Number Needed to Harm, and Likelihood to be Helped/Harmed.  </w:t>
            </w:r>
          </w:p>
        </w:tc>
        <w:tc>
          <w:tcPr>
            <w:tcW w:w="2122" w:type="dxa"/>
            <w:shd w:val="clear" w:color="auto" w:fill="auto"/>
            <w:vAlign w:val="center"/>
            <w:hideMark/>
          </w:tcPr>
          <w:p w14:paraId="5B73CDD1"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J Aff Dis; 271:228-238. </w:t>
            </w:r>
          </w:p>
        </w:tc>
      </w:tr>
      <w:tr w:rsidR="0033348B" w:rsidRPr="00D26534" w14:paraId="4C415E31" w14:textId="77777777" w:rsidTr="002F61D6">
        <w:tc>
          <w:tcPr>
            <w:tcW w:w="1430" w:type="dxa"/>
            <w:vMerge w:val="restart"/>
            <w:shd w:val="clear" w:color="auto" w:fill="auto"/>
            <w:vAlign w:val="center"/>
            <w:hideMark/>
          </w:tcPr>
          <w:p w14:paraId="4A01CC2C"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SUSTAIN-2 (NCT02497287) </w:t>
            </w:r>
          </w:p>
        </w:tc>
        <w:tc>
          <w:tcPr>
            <w:tcW w:w="5465" w:type="dxa"/>
            <w:shd w:val="clear" w:color="auto" w:fill="auto"/>
            <w:vAlign w:val="center"/>
            <w:hideMark/>
          </w:tcPr>
          <w:p w14:paraId="42029FE2"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An Open-label, Long-term, Safety and Efficacy Study of Intranasal Esketamine in Treatment-resistant Depression </w:t>
            </w:r>
          </w:p>
        </w:tc>
        <w:tc>
          <w:tcPr>
            <w:tcW w:w="2122" w:type="dxa"/>
            <w:shd w:val="clear" w:color="auto" w:fill="auto"/>
            <w:vAlign w:val="center"/>
            <w:hideMark/>
          </w:tcPr>
          <w:p w14:paraId="79BC6A27"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Internal study report; 14 August 2018 </w:t>
            </w:r>
          </w:p>
        </w:tc>
      </w:tr>
      <w:tr w:rsidR="0033348B" w:rsidRPr="00D26534" w14:paraId="690EEE7B" w14:textId="77777777" w:rsidTr="002F61D6">
        <w:tc>
          <w:tcPr>
            <w:tcW w:w="0" w:type="auto"/>
            <w:vMerge/>
            <w:shd w:val="clear" w:color="auto" w:fill="auto"/>
            <w:vAlign w:val="center"/>
            <w:hideMark/>
          </w:tcPr>
          <w:p w14:paraId="02C759BE" w14:textId="77777777" w:rsidR="0033348B" w:rsidRPr="00D26534" w:rsidRDefault="0033348B" w:rsidP="002F61D6">
            <w:pPr>
              <w:jc w:val="left"/>
              <w:rPr>
                <w:rFonts w:ascii="Times New Roman" w:hAnsi="Times New Roman" w:cs="Times New Roman"/>
              </w:rPr>
            </w:pPr>
          </w:p>
        </w:tc>
        <w:tc>
          <w:tcPr>
            <w:tcW w:w="5465" w:type="dxa"/>
            <w:shd w:val="clear" w:color="auto" w:fill="auto"/>
            <w:vAlign w:val="center"/>
            <w:hideMark/>
          </w:tcPr>
          <w:p w14:paraId="34CA7CA1"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Wajs E, Aluisio L, Holder R, Daly EJ, et al. (2020) Esketamine nasal spray plus oral antidepressant in patients with treatment-resistant depression: Assessment of long-term safety in a phase 3, open-label study (sustain-2).  </w:t>
            </w:r>
          </w:p>
        </w:tc>
        <w:tc>
          <w:tcPr>
            <w:tcW w:w="2122" w:type="dxa"/>
            <w:shd w:val="clear" w:color="auto" w:fill="auto"/>
            <w:vAlign w:val="center"/>
            <w:hideMark/>
          </w:tcPr>
          <w:p w14:paraId="571C0594"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J Clin Psychiatry; 81:3. </w:t>
            </w:r>
          </w:p>
        </w:tc>
      </w:tr>
      <w:tr w:rsidR="0033348B" w:rsidRPr="00D26534" w14:paraId="56F209DB" w14:textId="77777777" w:rsidTr="002F61D6">
        <w:tc>
          <w:tcPr>
            <w:tcW w:w="0" w:type="auto"/>
            <w:vMerge/>
            <w:shd w:val="clear" w:color="auto" w:fill="auto"/>
            <w:vAlign w:val="center"/>
            <w:hideMark/>
          </w:tcPr>
          <w:p w14:paraId="7CDFDE37" w14:textId="77777777" w:rsidR="0033348B" w:rsidRPr="00D26534" w:rsidRDefault="0033348B" w:rsidP="002F61D6">
            <w:pPr>
              <w:jc w:val="left"/>
              <w:rPr>
                <w:rFonts w:ascii="Times New Roman" w:hAnsi="Times New Roman" w:cs="Times New Roman"/>
              </w:rPr>
            </w:pPr>
          </w:p>
        </w:tc>
        <w:tc>
          <w:tcPr>
            <w:tcW w:w="5465" w:type="dxa"/>
            <w:shd w:val="clear" w:color="auto" w:fill="auto"/>
            <w:vAlign w:val="center"/>
            <w:hideMark/>
          </w:tcPr>
          <w:p w14:paraId="335CD5A6"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Nijs M, Wajs E, Aluisio L, Turkoz I, et al. (2020) Managing esketamine treatment frequency toward successful outcomes: Analysis of phase 3 data.  </w:t>
            </w:r>
          </w:p>
        </w:tc>
        <w:tc>
          <w:tcPr>
            <w:tcW w:w="2122" w:type="dxa"/>
            <w:shd w:val="clear" w:color="auto" w:fill="auto"/>
            <w:vAlign w:val="center"/>
            <w:hideMark/>
          </w:tcPr>
          <w:p w14:paraId="0B7D09EA"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Int J Neuropsychopharmacol; 23:7 (426-433). </w:t>
            </w:r>
          </w:p>
        </w:tc>
      </w:tr>
      <w:tr w:rsidR="0033348B" w:rsidRPr="00D26534" w14:paraId="2C6325DB" w14:textId="77777777" w:rsidTr="002F61D6">
        <w:tc>
          <w:tcPr>
            <w:tcW w:w="1430" w:type="dxa"/>
            <w:vMerge w:val="restart"/>
            <w:shd w:val="clear" w:color="auto" w:fill="auto"/>
            <w:vAlign w:val="center"/>
            <w:hideMark/>
          </w:tcPr>
          <w:p w14:paraId="1E710B13"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SUSTAIN-3 (NCT02782104) </w:t>
            </w:r>
          </w:p>
        </w:tc>
        <w:tc>
          <w:tcPr>
            <w:tcW w:w="5465" w:type="dxa"/>
            <w:shd w:val="clear" w:color="auto" w:fill="auto"/>
            <w:vAlign w:val="center"/>
            <w:hideMark/>
          </w:tcPr>
          <w:p w14:paraId="71C29CAF"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An Open-label Long-term Extension Safety Study of Esketamine Nasal Spray in Treatment-resistant Depression </w:t>
            </w:r>
          </w:p>
        </w:tc>
        <w:tc>
          <w:tcPr>
            <w:tcW w:w="2122" w:type="dxa"/>
            <w:shd w:val="clear" w:color="auto" w:fill="auto"/>
            <w:vAlign w:val="center"/>
            <w:hideMark/>
          </w:tcPr>
          <w:p w14:paraId="5201DC09" w14:textId="77777777" w:rsidR="0033348B" w:rsidRPr="00D26534" w:rsidRDefault="0033348B" w:rsidP="002F61D6">
            <w:pPr>
              <w:jc w:val="left"/>
              <w:textAlignment w:val="baseline"/>
              <w:rPr>
                <w:rFonts w:ascii="Times New Roman" w:hAnsi="Times New Roman" w:cs="Times New Roman"/>
              </w:rPr>
            </w:pPr>
            <w:r w:rsidRPr="00D26534">
              <w:rPr>
                <w:rFonts w:ascii="Arial Narrow" w:hAnsi="Arial Narrow" w:cs="Times New Roman"/>
                <w:sz w:val="20"/>
                <w:szCs w:val="20"/>
              </w:rPr>
              <w:t>Internal study report; 21 May 2019 </w:t>
            </w:r>
          </w:p>
        </w:tc>
      </w:tr>
      <w:tr w:rsidR="0033348B" w:rsidRPr="00D26534" w14:paraId="24D38FA4" w14:textId="77777777" w:rsidTr="00207733">
        <w:trPr>
          <w:trHeight w:val="402"/>
        </w:trPr>
        <w:tc>
          <w:tcPr>
            <w:tcW w:w="1430" w:type="dxa"/>
            <w:vMerge/>
            <w:shd w:val="clear" w:color="auto" w:fill="auto"/>
            <w:vAlign w:val="center"/>
          </w:tcPr>
          <w:p w14:paraId="72AFFB34" w14:textId="77777777" w:rsidR="0033348B" w:rsidRPr="00D26534" w:rsidRDefault="0033348B" w:rsidP="002F61D6">
            <w:pPr>
              <w:jc w:val="left"/>
              <w:textAlignment w:val="baseline"/>
              <w:rPr>
                <w:rFonts w:ascii="Arial Narrow" w:hAnsi="Arial Narrow" w:cs="Times New Roman"/>
                <w:sz w:val="20"/>
                <w:szCs w:val="20"/>
              </w:rPr>
            </w:pPr>
          </w:p>
        </w:tc>
        <w:tc>
          <w:tcPr>
            <w:tcW w:w="5465" w:type="dxa"/>
            <w:shd w:val="clear" w:color="auto" w:fill="auto"/>
            <w:vAlign w:val="center"/>
          </w:tcPr>
          <w:p w14:paraId="6444E004" w14:textId="0357F9F7" w:rsidR="0033348B" w:rsidRPr="00D26534" w:rsidRDefault="0033348B" w:rsidP="002F61D6">
            <w:pPr>
              <w:jc w:val="left"/>
              <w:textAlignment w:val="baseline"/>
              <w:rPr>
                <w:rFonts w:ascii="Arial Narrow" w:hAnsi="Arial Narrow" w:cs="Times New Roman"/>
                <w:sz w:val="20"/>
                <w:szCs w:val="20"/>
              </w:rPr>
            </w:pPr>
            <w:r w:rsidRPr="00D26534">
              <w:rPr>
                <w:rFonts w:ascii="Arial Narrow" w:hAnsi="Arial Narrow" w:cs="Times New Roman"/>
                <w:sz w:val="20"/>
                <w:szCs w:val="20"/>
              </w:rPr>
              <w:t xml:space="preserve">Zaki N, Chen L, Lane R, et al. Long-term safety and maintenance of response with esketamine nasal spray in treatment-resistant depression: Final results of the SUSTAIN-3 study. </w:t>
            </w:r>
          </w:p>
        </w:tc>
        <w:tc>
          <w:tcPr>
            <w:tcW w:w="2122" w:type="dxa"/>
            <w:shd w:val="clear" w:color="auto" w:fill="auto"/>
            <w:vAlign w:val="center"/>
          </w:tcPr>
          <w:p w14:paraId="4152E979" w14:textId="0C2FFB9C" w:rsidR="0033348B" w:rsidRPr="00D26534" w:rsidRDefault="0033348B" w:rsidP="002F61D6">
            <w:pPr>
              <w:jc w:val="left"/>
              <w:textAlignment w:val="baseline"/>
              <w:rPr>
                <w:rFonts w:ascii="Arial Narrow" w:hAnsi="Arial Narrow" w:cs="Times New Roman"/>
                <w:sz w:val="20"/>
                <w:szCs w:val="20"/>
              </w:rPr>
            </w:pPr>
            <w:r w:rsidRPr="00D26534">
              <w:rPr>
                <w:rFonts w:ascii="Arial Narrow" w:hAnsi="Arial Narrow" w:cs="Times New Roman"/>
                <w:sz w:val="20"/>
                <w:szCs w:val="20"/>
              </w:rPr>
              <w:t>Poster presented at Psych Congress 2023, Nashville USA.</w:t>
            </w:r>
          </w:p>
        </w:tc>
      </w:tr>
    </w:tbl>
    <w:p w14:paraId="2B130F6B" w14:textId="77777777" w:rsidR="0033348B" w:rsidRPr="00D26534" w:rsidRDefault="0033348B" w:rsidP="0033348B">
      <w:pPr>
        <w:pStyle w:val="COMTablefooter"/>
      </w:pPr>
      <w:r w:rsidRPr="00D26534">
        <w:t>Source: Table 2-4, p.69 of the July 2022 resubmission; Section 2.2.1.1, p47 of the resubmission</w:t>
      </w:r>
    </w:p>
    <w:p w14:paraId="1DD06D7D" w14:textId="3F0C3685" w:rsidR="007F1017" w:rsidRPr="00334ED6" w:rsidRDefault="008F120A" w:rsidP="00334ED6">
      <w:pPr>
        <w:pStyle w:val="ListParagraph"/>
        <w:numPr>
          <w:ilvl w:val="1"/>
          <w:numId w:val="1"/>
        </w:numPr>
        <w:spacing w:after="120"/>
        <w:ind w:hanging="720"/>
        <w:contextualSpacing w:val="0"/>
        <w:rPr>
          <w:rFonts w:cs="Calibri"/>
          <w:bCs/>
          <w:iCs/>
        </w:rPr>
      </w:pPr>
      <w:r w:rsidRPr="00334ED6">
        <w:rPr>
          <w:rFonts w:cs="Calibri"/>
          <w:bCs/>
          <w:iCs/>
        </w:rPr>
        <w:t xml:space="preserve">The key features of the </w:t>
      </w:r>
      <w:r w:rsidR="005B5619" w:rsidRPr="00334ED6">
        <w:rPr>
          <w:rFonts w:cs="Calibri"/>
          <w:bCs/>
          <w:iCs/>
        </w:rPr>
        <w:t xml:space="preserve">included </w:t>
      </w:r>
      <w:r w:rsidR="007170DA" w:rsidRPr="00334ED6">
        <w:rPr>
          <w:rFonts w:cs="Calibri"/>
          <w:bCs/>
          <w:iCs/>
        </w:rPr>
        <w:t>studies</w:t>
      </w:r>
      <w:r w:rsidRPr="00334ED6">
        <w:rPr>
          <w:rFonts w:cs="Calibri"/>
          <w:bCs/>
          <w:iCs/>
        </w:rPr>
        <w:t xml:space="preserve"> are summarised in</w:t>
      </w:r>
      <w:r w:rsidR="00D6076E" w:rsidRPr="00334ED6">
        <w:rPr>
          <w:rFonts w:cs="Calibri"/>
          <w:bCs/>
          <w:iCs/>
        </w:rPr>
        <w:t xml:space="preserve"> </w:t>
      </w:r>
      <w:r w:rsidR="00D6076E" w:rsidRPr="00334ED6">
        <w:rPr>
          <w:rFonts w:cs="Calibri"/>
          <w:bCs/>
          <w:iCs/>
        </w:rPr>
        <w:fldChar w:fldCharType="begin" w:fldLock="1"/>
      </w:r>
      <w:r w:rsidR="00D6076E" w:rsidRPr="00334ED6">
        <w:rPr>
          <w:rFonts w:cs="Calibri"/>
          <w:bCs/>
          <w:iCs/>
        </w:rPr>
        <w:instrText xml:space="preserve"> REF _Ref104804098 \h  \* MERGEFORMAT </w:instrText>
      </w:r>
      <w:r w:rsidR="00D6076E" w:rsidRPr="00334ED6">
        <w:rPr>
          <w:rFonts w:cs="Calibri"/>
          <w:bCs/>
          <w:iCs/>
        </w:rPr>
      </w:r>
      <w:r w:rsidR="00D6076E" w:rsidRPr="00334ED6">
        <w:rPr>
          <w:rFonts w:cs="Calibri"/>
          <w:bCs/>
          <w:iCs/>
        </w:rPr>
        <w:fldChar w:fldCharType="separate"/>
      </w:r>
      <w:r w:rsidR="002B3C60" w:rsidRPr="002B3C60">
        <w:rPr>
          <w:rFonts w:cs="Calibri"/>
          <w:bCs/>
          <w:iCs/>
        </w:rPr>
        <w:t>Table 4</w:t>
      </w:r>
      <w:r w:rsidR="00D6076E" w:rsidRPr="00334ED6">
        <w:rPr>
          <w:rFonts w:cs="Calibri"/>
          <w:bCs/>
          <w:iCs/>
        </w:rPr>
        <w:fldChar w:fldCharType="end"/>
      </w:r>
      <w:r w:rsidRPr="00334ED6">
        <w:rPr>
          <w:rFonts w:cs="Calibri"/>
          <w:bCs/>
          <w:iCs/>
        </w:rPr>
        <w:t>.</w:t>
      </w:r>
    </w:p>
    <w:p w14:paraId="355E2F15" w14:textId="3CB17FFA" w:rsidR="007F1017" w:rsidRPr="00D26534" w:rsidRDefault="00696EF9" w:rsidP="003A21D0">
      <w:pPr>
        <w:pStyle w:val="COMtablefigcaption"/>
      </w:pPr>
      <w:bookmarkStart w:id="25" w:name="_Ref104804098"/>
      <w:r w:rsidRPr="00D26534">
        <w:lastRenderedPageBreak/>
        <w:t xml:space="preserve">Table </w:t>
      </w:r>
      <w:r w:rsidR="004E64B8">
        <w:fldChar w:fldCharType="begin" w:fldLock="1"/>
      </w:r>
      <w:r w:rsidR="004E64B8">
        <w:instrText xml:space="preserve"> SEQ Table \* ARABIC </w:instrText>
      </w:r>
      <w:r w:rsidR="004E64B8">
        <w:fldChar w:fldCharType="separate"/>
      </w:r>
      <w:r w:rsidR="002B3C60">
        <w:rPr>
          <w:noProof/>
        </w:rPr>
        <w:t>4</w:t>
      </w:r>
      <w:r w:rsidR="004E64B8">
        <w:rPr>
          <w:noProof/>
        </w:rPr>
        <w:fldChar w:fldCharType="end"/>
      </w:r>
      <w:bookmarkEnd w:id="25"/>
      <w:r w:rsidR="00D6076E" w:rsidRPr="00D26534">
        <w:t xml:space="preserve">: </w:t>
      </w:r>
      <w:r w:rsidR="007F1017" w:rsidRPr="00D26534">
        <w:t>Key features of the included evidence</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4: Key features of the included evidence"/>
      </w:tblPr>
      <w:tblGrid>
        <w:gridCol w:w="1258"/>
        <w:gridCol w:w="467"/>
        <w:gridCol w:w="1704"/>
        <w:gridCol w:w="667"/>
        <w:gridCol w:w="2252"/>
        <w:gridCol w:w="1163"/>
        <w:gridCol w:w="1500"/>
      </w:tblGrid>
      <w:tr w:rsidR="006718F7" w:rsidRPr="00D26534" w14:paraId="7F47CCAF" w14:textId="77777777" w:rsidTr="00472075">
        <w:trPr>
          <w:cantSplit/>
          <w:tblHeader/>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08D22" w14:textId="77777777" w:rsidR="006718F7" w:rsidRPr="00D26534" w:rsidRDefault="006718F7" w:rsidP="003A21D0">
            <w:pPr>
              <w:keepNext/>
              <w:jc w:val="left"/>
              <w:textAlignment w:val="baseline"/>
              <w:rPr>
                <w:rFonts w:ascii="Times New Roman" w:hAnsi="Times New Roman" w:cs="Times New Roman"/>
                <w:b/>
                <w:bCs/>
              </w:rPr>
            </w:pPr>
            <w:r w:rsidRPr="00D26534">
              <w:rPr>
                <w:rFonts w:ascii="Arial Narrow" w:hAnsi="Arial Narrow" w:cs="Times New Roman"/>
                <w:b/>
                <w:bCs/>
                <w:sz w:val="20"/>
                <w:szCs w:val="20"/>
              </w:rPr>
              <w:t>Trial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30A86" w14:textId="77777777" w:rsidR="006718F7" w:rsidRPr="00D26534" w:rsidRDefault="006718F7" w:rsidP="003A21D0">
            <w:pPr>
              <w:keepNext/>
              <w:jc w:val="center"/>
              <w:textAlignment w:val="baseline"/>
              <w:rPr>
                <w:rFonts w:ascii="Times New Roman" w:hAnsi="Times New Roman" w:cs="Times New Roman"/>
                <w:b/>
                <w:bCs/>
              </w:rPr>
            </w:pPr>
            <w:r w:rsidRPr="00D26534">
              <w:rPr>
                <w:rFonts w:ascii="Arial Narrow" w:hAnsi="Arial Narrow" w:cs="Times New Roman"/>
                <w:b/>
                <w:bCs/>
                <w:sz w:val="20"/>
                <w:szCs w:val="20"/>
              </w:rPr>
              <w:t>N </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780DD" w14:textId="77777777" w:rsidR="006718F7" w:rsidRPr="00D26534" w:rsidRDefault="006718F7" w:rsidP="003A21D0">
            <w:pPr>
              <w:keepNext/>
              <w:jc w:val="center"/>
              <w:textAlignment w:val="baseline"/>
              <w:rPr>
                <w:rFonts w:ascii="Times New Roman" w:hAnsi="Times New Roman" w:cs="Times New Roman"/>
                <w:b/>
                <w:bCs/>
              </w:rPr>
            </w:pPr>
            <w:r w:rsidRPr="00D26534">
              <w:rPr>
                <w:rFonts w:ascii="Arial Narrow" w:hAnsi="Arial Narrow" w:cs="Times New Roman"/>
                <w:b/>
                <w:bCs/>
                <w:sz w:val="20"/>
                <w:szCs w:val="20"/>
              </w:rPr>
              <w:t>Design/ duration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C74B04" w14:textId="77777777" w:rsidR="006718F7" w:rsidRPr="00D26534" w:rsidRDefault="006718F7" w:rsidP="003A21D0">
            <w:pPr>
              <w:keepNext/>
              <w:jc w:val="center"/>
              <w:textAlignment w:val="baseline"/>
              <w:rPr>
                <w:rFonts w:ascii="Times New Roman" w:hAnsi="Times New Roman" w:cs="Times New Roman"/>
                <w:b/>
                <w:bCs/>
              </w:rPr>
            </w:pPr>
            <w:r w:rsidRPr="00D26534">
              <w:rPr>
                <w:rFonts w:ascii="Arial Narrow" w:hAnsi="Arial Narrow" w:cs="Times New Roman"/>
                <w:b/>
                <w:bCs/>
                <w:sz w:val="20"/>
                <w:szCs w:val="20"/>
              </w:rPr>
              <w:t>Risk of bias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5C327" w14:textId="77777777" w:rsidR="006718F7" w:rsidRPr="00D26534" w:rsidRDefault="006718F7" w:rsidP="003A21D0">
            <w:pPr>
              <w:keepNext/>
              <w:jc w:val="center"/>
              <w:textAlignment w:val="baseline"/>
              <w:rPr>
                <w:rFonts w:ascii="Times New Roman" w:hAnsi="Times New Roman" w:cs="Times New Roman"/>
                <w:b/>
                <w:bCs/>
              </w:rPr>
            </w:pPr>
            <w:r w:rsidRPr="00D26534">
              <w:rPr>
                <w:rFonts w:ascii="Arial Narrow" w:hAnsi="Arial Narrow" w:cs="Times New Roman"/>
                <w:b/>
                <w:bCs/>
                <w:sz w:val="20"/>
                <w:szCs w:val="20"/>
              </w:rPr>
              <w:t>Patient population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C7BD2" w14:textId="77777777" w:rsidR="006718F7" w:rsidRPr="00D26534" w:rsidRDefault="006718F7" w:rsidP="003A21D0">
            <w:pPr>
              <w:keepNext/>
              <w:jc w:val="center"/>
              <w:textAlignment w:val="baseline"/>
              <w:rPr>
                <w:rFonts w:ascii="Times New Roman" w:hAnsi="Times New Roman" w:cs="Times New Roman"/>
                <w:b/>
                <w:bCs/>
              </w:rPr>
            </w:pPr>
            <w:r w:rsidRPr="00D26534">
              <w:rPr>
                <w:rFonts w:ascii="Arial Narrow" w:hAnsi="Arial Narrow" w:cs="Times New Roman"/>
                <w:b/>
                <w:bCs/>
                <w:sz w:val="20"/>
                <w:szCs w:val="20"/>
              </w:rPr>
              <w:t>Outcomes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6FA2A" w14:textId="77777777" w:rsidR="006718F7" w:rsidRPr="00D26534" w:rsidRDefault="006718F7" w:rsidP="003A21D0">
            <w:pPr>
              <w:keepNext/>
              <w:jc w:val="center"/>
              <w:textAlignment w:val="baseline"/>
              <w:rPr>
                <w:rFonts w:ascii="Times New Roman" w:hAnsi="Times New Roman" w:cs="Times New Roman"/>
                <w:b/>
                <w:bCs/>
              </w:rPr>
            </w:pPr>
            <w:r w:rsidRPr="00D26534">
              <w:rPr>
                <w:rFonts w:ascii="Arial Narrow" w:hAnsi="Arial Narrow" w:cs="Times New Roman"/>
                <w:b/>
                <w:bCs/>
                <w:sz w:val="20"/>
                <w:szCs w:val="20"/>
              </w:rPr>
              <w:t>Use in modelled evaluation </w:t>
            </w:r>
          </w:p>
        </w:tc>
      </w:tr>
      <w:tr w:rsidR="006718F7" w:rsidRPr="00D26534" w14:paraId="5659FE64" w14:textId="77777777" w:rsidTr="002F61D6">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8454F5" w14:textId="77777777" w:rsidR="006718F7" w:rsidRPr="00D26534" w:rsidRDefault="006718F7" w:rsidP="003A21D0">
            <w:pPr>
              <w:keepNext/>
              <w:jc w:val="left"/>
              <w:textAlignment w:val="baseline"/>
              <w:rPr>
                <w:rFonts w:ascii="Times New Roman" w:hAnsi="Times New Roman" w:cs="Times New Roman"/>
              </w:rPr>
            </w:pPr>
            <w:r w:rsidRPr="00D26534">
              <w:rPr>
                <w:rFonts w:ascii="Arial Narrow" w:hAnsi="Arial Narrow" w:cs="Times New Roman"/>
                <w:sz w:val="20"/>
                <w:szCs w:val="20"/>
              </w:rPr>
              <w:t>TRANSFORM-2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BE663"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227 </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24454"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Multi-centre, double-blinded, flexibly dosed (56 mg or 84 mg), active comparator RCT. Median duration of exposure was 25 days.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83F9CC"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Low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12D230"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Adults aged 18-64 years with single-episode or recurrent moderate to severe MDD, and non-response to prior treatment with 1-5 antidepressants in the current episode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6556E"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Change from baseline in MADRS </w:t>
            </w:r>
          </w:p>
          <w:p w14:paraId="14D81636"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Proportion achieving response/ remission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8C067"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Proportion achieving response/ remission </w:t>
            </w:r>
          </w:p>
        </w:tc>
      </w:tr>
      <w:tr w:rsidR="006718F7" w:rsidRPr="00D26534" w14:paraId="076E18D8" w14:textId="77777777" w:rsidTr="002F61D6">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12D66" w14:textId="77777777" w:rsidR="006718F7" w:rsidRPr="00D26534" w:rsidRDefault="006718F7" w:rsidP="003A21D0">
            <w:pPr>
              <w:keepNext/>
              <w:jc w:val="left"/>
              <w:textAlignment w:val="baseline"/>
              <w:rPr>
                <w:rFonts w:ascii="Times New Roman" w:hAnsi="Times New Roman" w:cs="Times New Roman"/>
              </w:rPr>
            </w:pPr>
            <w:r w:rsidRPr="00D26534">
              <w:rPr>
                <w:rFonts w:ascii="Arial Narrow" w:hAnsi="Arial Narrow" w:cs="Times New Roman"/>
                <w:sz w:val="20"/>
                <w:szCs w:val="20"/>
              </w:rPr>
              <w:t>TRANSFORM-3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7918C"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138 </w:t>
            </w:r>
          </w:p>
        </w:tc>
        <w:tc>
          <w:tcPr>
            <w:tcW w:w="1722" w:type="dxa"/>
            <w:tcBorders>
              <w:top w:val="single" w:sz="6" w:space="0" w:color="auto"/>
              <w:left w:val="single" w:sz="6" w:space="0" w:color="auto"/>
              <w:bottom w:val="single" w:sz="6" w:space="0" w:color="auto"/>
              <w:right w:val="single" w:sz="6" w:space="0" w:color="auto"/>
            </w:tcBorders>
            <w:shd w:val="clear" w:color="auto" w:fill="auto"/>
            <w:hideMark/>
          </w:tcPr>
          <w:p w14:paraId="38578C7D"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Multi-centre, double-blinded, flexibly dosed (28 mg, 56 mg or 84 mg), active comparator RCT in older adults. Median duration of exposure was 25 days.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B56F14"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Low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319AB"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Adults aged 65 years+ with single-episode or recurrent moderate to severe MDD, and non-response to prior treatment with 1-8 antidepressants in the current episode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ACB94B"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Change from baseline in MADRS </w:t>
            </w:r>
          </w:p>
          <w:p w14:paraId="674D5BF8"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Proportion achieving response/ remission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CE1E53"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Proportion achieving response/ remission </w:t>
            </w:r>
          </w:p>
        </w:tc>
      </w:tr>
      <w:tr w:rsidR="006718F7" w:rsidRPr="00D26534" w14:paraId="0F86C4CD" w14:textId="77777777" w:rsidTr="002F61D6">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BBCE9" w14:textId="77777777" w:rsidR="006718F7" w:rsidRPr="00D26534" w:rsidRDefault="006718F7" w:rsidP="003A21D0">
            <w:pPr>
              <w:keepNext/>
              <w:jc w:val="left"/>
              <w:textAlignment w:val="baseline"/>
              <w:rPr>
                <w:rFonts w:ascii="Times New Roman" w:hAnsi="Times New Roman" w:cs="Times New Roman"/>
              </w:rPr>
            </w:pPr>
            <w:r w:rsidRPr="00D26534">
              <w:rPr>
                <w:rFonts w:ascii="Arial Narrow" w:hAnsi="Arial Narrow" w:cs="Times New Roman"/>
                <w:sz w:val="20"/>
                <w:szCs w:val="20"/>
              </w:rPr>
              <w:t>TRANSFORM-1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AF117"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346 </w:t>
            </w:r>
          </w:p>
        </w:tc>
        <w:tc>
          <w:tcPr>
            <w:tcW w:w="1722" w:type="dxa"/>
            <w:tcBorders>
              <w:top w:val="single" w:sz="6" w:space="0" w:color="auto"/>
              <w:left w:val="single" w:sz="6" w:space="0" w:color="auto"/>
              <w:bottom w:val="single" w:sz="6" w:space="0" w:color="auto"/>
              <w:right w:val="single" w:sz="6" w:space="0" w:color="auto"/>
            </w:tcBorders>
            <w:shd w:val="clear" w:color="auto" w:fill="auto"/>
            <w:hideMark/>
          </w:tcPr>
          <w:p w14:paraId="0C0FCCE9" w14:textId="04C6D376"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Multi-centre, double-blinded, fixed dose (56 mg or 84 mg), active comparator RCT. Median duration of exposure was 25 days.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4BA0B"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Low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22910"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Adults aged 18-64 years with single-episode or recurrent moderate to severe MDD, and non-response to prior treatment with 1-5 antidepressants in the current episode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E2853"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Change from baseline in MADRS </w:t>
            </w:r>
          </w:p>
          <w:p w14:paraId="09DDC602"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Proportion achieving response/ remission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1E3A4"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Not used </w:t>
            </w:r>
          </w:p>
        </w:tc>
      </w:tr>
      <w:tr w:rsidR="006718F7" w:rsidRPr="00D26534" w14:paraId="37AAE509" w14:textId="77777777" w:rsidTr="002F61D6">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38A51E" w14:textId="77777777" w:rsidR="006718F7" w:rsidRPr="00D26534" w:rsidRDefault="006718F7" w:rsidP="003A21D0">
            <w:pPr>
              <w:keepNext/>
              <w:jc w:val="left"/>
              <w:textAlignment w:val="baseline"/>
              <w:rPr>
                <w:rFonts w:ascii="Times New Roman" w:hAnsi="Times New Roman" w:cs="Times New Roman"/>
              </w:rPr>
            </w:pPr>
            <w:r w:rsidRPr="00D26534">
              <w:rPr>
                <w:rFonts w:ascii="Arial Narrow" w:hAnsi="Arial Narrow" w:cs="Times New Roman"/>
                <w:sz w:val="20"/>
                <w:szCs w:val="20"/>
              </w:rPr>
              <w:t>SUSTAIN-1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35606"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452  </w:t>
            </w:r>
          </w:p>
        </w:tc>
        <w:tc>
          <w:tcPr>
            <w:tcW w:w="1722" w:type="dxa"/>
            <w:tcBorders>
              <w:top w:val="single" w:sz="6" w:space="0" w:color="auto"/>
              <w:left w:val="single" w:sz="6" w:space="0" w:color="auto"/>
              <w:bottom w:val="single" w:sz="6" w:space="0" w:color="auto"/>
              <w:right w:val="single" w:sz="6" w:space="0" w:color="auto"/>
            </w:tcBorders>
            <w:shd w:val="clear" w:color="auto" w:fill="auto"/>
            <w:hideMark/>
          </w:tcPr>
          <w:p w14:paraId="5EA8141F"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Multi-centre, double-blinded, flexibly dosed (56 mg or 84 mg), active comparator RCT</w:t>
            </w:r>
            <w:r w:rsidRPr="00D26534">
              <w:rPr>
                <w:rFonts w:ascii="Arial Narrow" w:hAnsi="Arial Narrow" w:cs="Times New Roman"/>
                <w:b/>
                <w:bCs/>
                <w:sz w:val="20"/>
                <w:szCs w:val="20"/>
              </w:rPr>
              <w:t xml:space="preserve"> </w:t>
            </w:r>
            <w:r w:rsidRPr="00D26534">
              <w:rPr>
                <w:rFonts w:ascii="Arial Narrow" w:hAnsi="Arial Narrow" w:cs="Times New Roman"/>
                <w:sz w:val="20"/>
                <w:szCs w:val="20"/>
              </w:rPr>
              <w:t>relapse prevention study using a randomised withdrawal design.</w:t>
            </w:r>
            <w:r w:rsidRPr="00D26534">
              <w:rPr>
                <w:rFonts w:ascii="Arial Narrow" w:hAnsi="Arial Narrow" w:cs="Times New Roman"/>
                <w:b/>
                <w:bCs/>
                <w:sz w:val="20"/>
                <w:szCs w:val="20"/>
              </w:rPr>
              <w:t> </w:t>
            </w:r>
            <w:r w:rsidRPr="00D26534">
              <w:rPr>
                <w:rFonts w:ascii="Arial Narrow" w:hAnsi="Arial Narrow" w:cs="Times New Roman"/>
                <w:sz w:val="20"/>
                <w:szCs w:val="20"/>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18D156"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Unclear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3B58B"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Adults aged 18-64 years with single-episode or recurrent moderate to severe MDD, and non-response to prior treatment with 1-5 antidepressants in the current episode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88583"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Proportion of relapses in stable remitters/ responders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26E1A2"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Proportions of relapses in stable remitters/ responders, remission from response, recurrence from recovery </w:t>
            </w:r>
          </w:p>
        </w:tc>
      </w:tr>
      <w:tr w:rsidR="006718F7" w:rsidRPr="00D26534" w14:paraId="7418F939" w14:textId="77777777" w:rsidTr="002F61D6">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1544D" w14:textId="77777777" w:rsidR="006718F7" w:rsidRPr="00D26534" w:rsidRDefault="006718F7" w:rsidP="003A21D0">
            <w:pPr>
              <w:keepNext/>
              <w:jc w:val="left"/>
              <w:textAlignment w:val="baseline"/>
              <w:rPr>
                <w:rFonts w:ascii="Times New Roman" w:hAnsi="Times New Roman" w:cs="Times New Roman"/>
              </w:rPr>
            </w:pPr>
            <w:r w:rsidRPr="00D26534">
              <w:rPr>
                <w:rFonts w:ascii="Arial Narrow" w:hAnsi="Arial Narrow" w:cs="Times New Roman"/>
                <w:sz w:val="20"/>
                <w:szCs w:val="20"/>
              </w:rPr>
              <w:t>SUSTAIN-2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BD322"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802 </w:t>
            </w:r>
          </w:p>
        </w:tc>
        <w:tc>
          <w:tcPr>
            <w:tcW w:w="1722" w:type="dxa"/>
            <w:tcBorders>
              <w:top w:val="single" w:sz="6" w:space="0" w:color="auto"/>
              <w:left w:val="single" w:sz="6" w:space="0" w:color="auto"/>
              <w:bottom w:val="single" w:sz="6" w:space="0" w:color="auto"/>
              <w:right w:val="single" w:sz="6" w:space="0" w:color="auto"/>
            </w:tcBorders>
            <w:shd w:val="clear" w:color="auto" w:fill="auto"/>
            <w:hideMark/>
          </w:tcPr>
          <w:p w14:paraId="31CF8BEE"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Open-label, multi-centre, long-term safety study. The median duration of exposure was 22.9 weeks.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7F55E"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High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CCCAB3"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Adults aged 18 years+ with single-episode or recurrent moderate to severe MDD, and non-response to prior treatment with ≥2 antidepressants in the current episode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90DAB"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Adverse events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DE4565"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Not used </w:t>
            </w:r>
          </w:p>
        </w:tc>
      </w:tr>
      <w:tr w:rsidR="006718F7" w:rsidRPr="00D26534" w14:paraId="333EB5D4" w14:textId="77777777" w:rsidTr="002F61D6">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DEF1F" w14:textId="77777777" w:rsidR="006718F7" w:rsidRPr="00D26534" w:rsidRDefault="006718F7" w:rsidP="003A21D0">
            <w:pPr>
              <w:keepNext/>
              <w:jc w:val="left"/>
              <w:textAlignment w:val="baseline"/>
              <w:rPr>
                <w:rFonts w:ascii="Times New Roman" w:hAnsi="Times New Roman" w:cs="Times New Roman"/>
              </w:rPr>
            </w:pPr>
            <w:r w:rsidRPr="00D26534">
              <w:rPr>
                <w:rFonts w:ascii="Arial Narrow" w:hAnsi="Arial Narrow" w:cs="Times New Roman"/>
                <w:sz w:val="20"/>
                <w:szCs w:val="20"/>
              </w:rPr>
              <w:t>SUSTAIN-3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6B7C5D"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1140 </w:t>
            </w:r>
          </w:p>
        </w:tc>
        <w:tc>
          <w:tcPr>
            <w:tcW w:w="1722" w:type="dxa"/>
            <w:tcBorders>
              <w:top w:val="single" w:sz="6" w:space="0" w:color="auto"/>
              <w:left w:val="single" w:sz="6" w:space="0" w:color="auto"/>
              <w:bottom w:val="single" w:sz="6" w:space="0" w:color="auto"/>
              <w:right w:val="single" w:sz="6" w:space="0" w:color="auto"/>
            </w:tcBorders>
            <w:shd w:val="clear" w:color="auto" w:fill="auto"/>
            <w:hideMark/>
          </w:tcPr>
          <w:p w14:paraId="368EB841"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Open-label, multi-centre, long-term safety study (ongoing). The median duration of exposure was 15.2 months.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3F5F7F"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High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3F4DD3"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Adult and elderly people with TRD, who previously participated in TRANSFORM-1, TRANSFORM-2, SUSTAIN-1, SUSTAIN-2, TRANSFORM-3 or TRD3006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96475"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Adverse events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F96F2" w14:textId="77777777" w:rsidR="006718F7" w:rsidRPr="00D26534" w:rsidRDefault="006718F7"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Not used </w:t>
            </w:r>
          </w:p>
        </w:tc>
      </w:tr>
    </w:tbl>
    <w:p w14:paraId="07D25FC9" w14:textId="77777777" w:rsidR="006718F7" w:rsidRPr="00D26534" w:rsidRDefault="006718F7" w:rsidP="003A21D0">
      <w:pPr>
        <w:pStyle w:val="TableFigureFooter"/>
        <w:keepNext/>
        <w:rPr>
          <w:rFonts w:ascii="Segoe UI" w:hAnsi="Segoe UI"/>
        </w:rPr>
      </w:pPr>
      <w:r w:rsidRPr="00D26534">
        <w:t>Source: Table 2-5, p.78; Table 2-6, p.79; Table 2-7, p.85; Table 2-8, p.86 of the July 2022 resubmission; Table 2.1, p.1; Table 2.2, p.3; Table 2.3, p.5, Attachment 2.5 of the July 2022 resubmission </w:t>
      </w:r>
    </w:p>
    <w:p w14:paraId="2CB1465C" w14:textId="6138C6DA" w:rsidR="006718F7" w:rsidRPr="00D26534" w:rsidRDefault="006718F7" w:rsidP="003A21D0">
      <w:pPr>
        <w:pStyle w:val="TableFigureFooter"/>
        <w:rPr>
          <w:rFonts w:ascii="Segoe UI" w:hAnsi="Segoe UI"/>
        </w:rPr>
      </w:pPr>
      <w:r w:rsidRPr="00D26534">
        <w:t>Abbreviations: MADRS, Montgomery-Asberg Depression Rating Scale; MDD, major depressive disorder; OAD, oral antidepressant; RCT, randomised controlled trial; TRD, treatment-resistant depression </w:t>
      </w:r>
    </w:p>
    <w:p w14:paraId="4A4FE085" w14:textId="1C5613CC" w:rsidR="00B60939" w:rsidRPr="00043790" w:rsidRDefault="00B60939" w:rsidP="00EC5836">
      <w:pPr>
        <w:pStyle w:val="COMH2-non-numbered"/>
      </w:pPr>
      <w:bookmarkStart w:id="26" w:name="_Toc22897641"/>
      <w:bookmarkStart w:id="27" w:name="_Toc167274373"/>
      <w:r w:rsidRPr="00043790">
        <w:lastRenderedPageBreak/>
        <w:t>Comparative effectiveness</w:t>
      </w:r>
      <w:bookmarkEnd w:id="26"/>
      <w:bookmarkEnd w:id="27"/>
    </w:p>
    <w:p w14:paraId="32101043" w14:textId="61E54668" w:rsidR="00383313" w:rsidRPr="00334ED6" w:rsidRDefault="00383313" w:rsidP="00334ED6">
      <w:pPr>
        <w:pStyle w:val="ListParagraph"/>
        <w:numPr>
          <w:ilvl w:val="1"/>
          <w:numId w:val="1"/>
        </w:numPr>
        <w:spacing w:after="120"/>
        <w:ind w:hanging="720"/>
        <w:contextualSpacing w:val="0"/>
        <w:rPr>
          <w:rFonts w:cs="Calibri"/>
          <w:bCs/>
          <w:iCs/>
        </w:rPr>
      </w:pPr>
      <w:r w:rsidRPr="00334ED6">
        <w:rPr>
          <w:rFonts w:cs="Calibri"/>
          <w:bCs/>
          <w:iCs/>
        </w:rPr>
        <w:t xml:space="preserve">Results were unchanged from the July 2021, July 2022, and July 2023 submissions. The results of the primary efficacy endpoint for the TRANSFORM trials (change in MADRS total score from baseline to the end of the 4-week double-blind induction phase), are summarised in </w:t>
      </w:r>
      <w:r w:rsidRPr="00334ED6">
        <w:rPr>
          <w:rFonts w:cs="Calibri"/>
          <w:bCs/>
          <w:iCs/>
        </w:rPr>
        <w:fldChar w:fldCharType="begin" w:fldLock="1"/>
      </w:r>
      <w:r w:rsidRPr="00334ED6">
        <w:rPr>
          <w:rFonts w:cs="Calibri"/>
          <w:bCs/>
          <w:iCs/>
        </w:rPr>
        <w:instrText xml:space="preserve"> REF _Ref134471245 \h  \* MERGEFORMAT </w:instrText>
      </w:r>
      <w:r w:rsidRPr="00334ED6">
        <w:rPr>
          <w:rFonts w:cs="Calibri"/>
          <w:bCs/>
          <w:iCs/>
        </w:rPr>
      </w:r>
      <w:r w:rsidRPr="00334ED6">
        <w:rPr>
          <w:rFonts w:cs="Calibri"/>
          <w:bCs/>
          <w:iCs/>
        </w:rPr>
        <w:fldChar w:fldCharType="separate"/>
      </w:r>
      <w:r w:rsidR="002B3C60" w:rsidRPr="002B3C60">
        <w:rPr>
          <w:rFonts w:cs="Calibri"/>
          <w:bCs/>
          <w:iCs/>
        </w:rPr>
        <w:t>Table 5</w:t>
      </w:r>
      <w:r w:rsidRPr="00334ED6">
        <w:rPr>
          <w:rFonts w:cs="Calibri"/>
          <w:bCs/>
          <w:iCs/>
        </w:rPr>
        <w:fldChar w:fldCharType="end"/>
      </w:r>
      <w:r w:rsidRPr="00334ED6">
        <w:rPr>
          <w:rFonts w:cs="Calibri"/>
          <w:bCs/>
          <w:iCs/>
        </w:rPr>
        <w:t xml:space="preserve"> below.  </w:t>
      </w:r>
    </w:p>
    <w:p w14:paraId="2D4CAC8A" w14:textId="7B545DFF" w:rsidR="00383313" w:rsidRPr="00D26534" w:rsidRDefault="00383313" w:rsidP="00472075">
      <w:pPr>
        <w:pStyle w:val="COMtablefigcaption"/>
        <w:rPr>
          <w:rFonts w:ascii="Segoe UI" w:hAnsi="Segoe UI"/>
          <w:sz w:val="18"/>
          <w:szCs w:val="18"/>
        </w:rPr>
      </w:pPr>
      <w:bookmarkStart w:id="28" w:name="_Ref134471245"/>
      <w:r w:rsidRPr="00D26534">
        <w:t xml:space="preserve">Table </w:t>
      </w:r>
      <w:r w:rsidR="004E64B8">
        <w:fldChar w:fldCharType="begin" w:fldLock="1"/>
      </w:r>
      <w:r w:rsidR="004E64B8">
        <w:instrText xml:space="preserve"> SEQ Table \* ARABIC </w:instrText>
      </w:r>
      <w:r w:rsidR="004E64B8">
        <w:fldChar w:fldCharType="separate"/>
      </w:r>
      <w:r w:rsidR="002B3C60">
        <w:rPr>
          <w:noProof/>
        </w:rPr>
        <w:t>5</w:t>
      </w:r>
      <w:r w:rsidR="004E64B8">
        <w:rPr>
          <w:noProof/>
        </w:rPr>
        <w:fldChar w:fldCharType="end"/>
      </w:r>
      <w:bookmarkEnd w:id="28"/>
      <w:r w:rsidRPr="00D26534">
        <w:t>: Montgomery-Asberg Depression Rating Scale (MADRS) total score: change from baseline to Day 28 by MMRM or to Endpoint (DB) by ANCOVA LOCF; double-blind induction studies (Full analysis set)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5: Montgomery-Asberg Depression Rating Scale (MADRS) total score: change from baseline to Day 28 by MMRM or to Endpoint (DB) by ANCOVA LOCF; double-blind induction studies (Full analysis set) "/>
      </w:tblPr>
      <w:tblGrid>
        <w:gridCol w:w="2249"/>
        <w:gridCol w:w="555"/>
        <w:gridCol w:w="1694"/>
        <w:gridCol w:w="435"/>
        <w:gridCol w:w="1814"/>
        <w:gridCol w:w="600"/>
        <w:gridCol w:w="1664"/>
      </w:tblGrid>
      <w:tr w:rsidR="00383313" w:rsidRPr="00D26534" w14:paraId="5C7F2CF8" w14:textId="77777777" w:rsidTr="002F61D6">
        <w:tc>
          <w:tcPr>
            <w:tcW w:w="22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183E792" w14:textId="77777777" w:rsidR="00383313" w:rsidRPr="00D26534" w:rsidRDefault="00383313" w:rsidP="00472075">
            <w:pPr>
              <w:keepNext/>
              <w:textAlignment w:val="baseline"/>
              <w:rPr>
                <w:rFonts w:ascii="Times New Roman" w:hAnsi="Times New Roman" w:cs="Times New Roman"/>
              </w:rPr>
            </w:pPr>
            <w:r w:rsidRPr="00D26534">
              <w:rPr>
                <w:rFonts w:ascii="Arial Narrow" w:hAnsi="Arial Narrow" w:cs="Times New Roman"/>
                <w:sz w:val="20"/>
                <w:szCs w:val="20"/>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C57CA24"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b/>
                <w:bCs/>
                <w:sz w:val="20"/>
                <w:szCs w:val="20"/>
              </w:rPr>
              <w:t>Baseline</w:t>
            </w:r>
            <w:r w:rsidRPr="00D26534">
              <w:rPr>
                <w:rFonts w:ascii="Arial Narrow" w:hAnsi="Arial Narrow" w:cs="Times New Roman"/>
                <w:sz w:val="20"/>
                <w:szCs w:val="20"/>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F2BBE3"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b/>
                <w:bCs/>
                <w:sz w:val="20"/>
                <w:szCs w:val="20"/>
              </w:rPr>
              <w:t>MMRM change from baseline to Day 28</w:t>
            </w:r>
            <w:r w:rsidRPr="00D26534">
              <w:rPr>
                <w:rFonts w:ascii="Arial Narrow" w:hAnsi="Arial Narrow" w:cs="Times New Roman"/>
                <w:sz w:val="20"/>
                <w:szCs w:val="20"/>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1EFA90"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b/>
                <w:bCs/>
                <w:sz w:val="20"/>
                <w:szCs w:val="20"/>
              </w:rPr>
              <w:t>ANCOVA change from baseline to Day 28</w:t>
            </w:r>
            <w:r w:rsidRPr="00D26534">
              <w:rPr>
                <w:rFonts w:ascii="Arial Narrow" w:hAnsi="Arial Narrow" w:cs="Times New Roman"/>
                <w:sz w:val="20"/>
                <w:szCs w:val="20"/>
              </w:rPr>
              <w:t> </w:t>
            </w:r>
          </w:p>
        </w:tc>
      </w:tr>
      <w:tr w:rsidR="00383313" w:rsidRPr="00D26534" w14:paraId="136EF2F4" w14:textId="77777777" w:rsidTr="002F61D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ED0AF3" w14:textId="77777777" w:rsidR="00383313" w:rsidRPr="00D26534" w:rsidRDefault="00383313" w:rsidP="00472075">
            <w:pPr>
              <w:keepNext/>
              <w:jc w:val="left"/>
              <w:rPr>
                <w:rFonts w:ascii="Times New Roman" w:hAnsi="Times New Roman" w:cs="Times New Roman"/>
              </w:rPr>
            </w:pP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1C9D27C"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b/>
                <w:bCs/>
                <w:sz w:val="20"/>
                <w:szCs w:val="20"/>
              </w:rPr>
              <w:t>N</w:t>
            </w:r>
            <w:r w:rsidRPr="00D26534">
              <w:rPr>
                <w:rFonts w:ascii="Arial Narrow" w:hAnsi="Arial Narrow" w:cs="Times New Roman"/>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69CC073"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b/>
                <w:bCs/>
                <w:sz w:val="20"/>
                <w:szCs w:val="20"/>
              </w:rPr>
              <w:t>Mean (SD)</w:t>
            </w:r>
            <w:r w:rsidRPr="00D26534">
              <w:rPr>
                <w:rFonts w:ascii="Arial Narrow" w:hAnsi="Arial Narrow" w:cs="Times New Roman"/>
                <w:sz w:val="20"/>
                <w:szCs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6900112"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b/>
                <w:bCs/>
                <w:sz w:val="20"/>
                <w:szCs w:val="20"/>
              </w:rPr>
              <w:t>N</w:t>
            </w:r>
            <w:r w:rsidRPr="00D26534">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D861524"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b/>
                <w:bCs/>
                <w:sz w:val="20"/>
                <w:szCs w:val="20"/>
              </w:rPr>
              <w:t>Mean (SD)</w:t>
            </w:r>
            <w:r w:rsidRPr="00D26534">
              <w:rPr>
                <w:rFonts w:ascii="Arial Narrow" w:hAnsi="Arial Narrow" w:cs="Times New Roman"/>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6BE5B475"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b/>
                <w:bCs/>
                <w:sz w:val="20"/>
                <w:szCs w:val="20"/>
              </w:rPr>
              <w:t>N</w:t>
            </w:r>
            <w:r w:rsidRPr="00D26534">
              <w:rPr>
                <w:rFonts w:ascii="Arial Narrow" w:hAnsi="Arial Narrow"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648D70D"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b/>
                <w:bCs/>
                <w:sz w:val="20"/>
                <w:szCs w:val="20"/>
              </w:rPr>
              <w:t>Mean (SD)</w:t>
            </w:r>
            <w:r w:rsidRPr="00D26534">
              <w:rPr>
                <w:rFonts w:ascii="Arial Narrow" w:hAnsi="Arial Narrow" w:cs="Times New Roman"/>
                <w:sz w:val="20"/>
                <w:szCs w:val="20"/>
              </w:rPr>
              <w:t> </w:t>
            </w:r>
          </w:p>
        </w:tc>
      </w:tr>
      <w:tr w:rsidR="00383313" w:rsidRPr="00D26534" w14:paraId="071C8C52" w14:textId="77777777" w:rsidTr="002F61D6">
        <w:tc>
          <w:tcPr>
            <w:tcW w:w="9015" w:type="dxa"/>
            <w:gridSpan w:val="7"/>
            <w:tcBorders>
              <w:top w:val="single" w:sz="6" w:space="0" w:color="auto"/>
              <w:left w:val="single" w:sz="6" w:space="0" w:color="auto"/>
              <w:bottom w:val="single" w:sz="6" w:space="0" w:color="auto"/>
              <w:right w:val="single" w:sz="6" w:space="0" w:color="auto"/>
            </w:tcBorders>
            <w:shd w:val="clear" w:color="auto" w:fill="auto"/>
            <w:hideMark/>
          </w:tcPr>
          <w:p w14:paraId="226B3D54" w14:textId="77777777" w:rsidR="00383313" w:rsidRPr="00D26534" w:rsidRDefault="00383313" w:rsidP="00472075">
            <w:pPr>
              <w:keepNext/>
              <w:jc w:val="left"/>
              <w:textAlignment w:val="baseline"/>
              <w:rPr>
                <w:rFonts w:ascii="Times New Roman" w:hAnsi="Times New Roman" w:cs="Times New Roman"/>
              </w:rPr>
            </w:pPr>
            <w:r w:rsidRPr="00D26534">
              <w:rPr>
                <w:rFonts w:ascii="Arial Narrow" w:hAnsi="Arial Narrow" w:cs="Times New Roman"/>
                <w:b/>
                <w:bCs/>
                <w:sz w:val="20"/>
                <w:szCs w:val="20"/>
              </w:rPr>
              <w:t>TRANSFORM-2 (flexible dosing, adult patients 18-64 years of age with TRD)</w:t>
            </w:r>
            <w:r w:rsidRPr="00D26534">
              <w:rPr>
                <w:rFonts w:ascii="Arial Narrow" w:hAnsi="Arial Narrow" w:cs="Times New Roman"/>
                <w:sz w:val="20"/>
                <w:szCs w:val="20"/>
              </w:rPr>
              <w:t> </w:t>
            </w:r>
          </w:p>
        </w:tc>
      </w:tr>
      <w:tr w:rsidR="00383313" w:rsidRPr="00D26534" w14:paraId="175127BF" w14:textId="77777777" w:rsidTr="002F61D6">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FE03B" w14:textId="77777777" w:rsidR="00383313" w:rsidRPr="00D26534" w:rsidRDefault="00383313" w:rsidP="00472075">
            <w:pPr>
              <w:keepNext/>
              <w:jc w:val="left"/>
              <w:textAlignment w:val="baseline"/>
              <w:rPr>
                <w:rFonts w:ascii="Times New Roman" w:hAnsi="Times New Roman" w:cs="Times New Roman"/>
              </w:rPr>
            </w:pPr>
            <w:r w:rsidRPr="00D26534">
              <w:rPr>
                <w:rFonts w:ascii="Arial Narrow" w:hAnsi="Arial Narrow" w:cs="Times New Roman"/>
                <w:sz w:val="20"/>
                <w:szCs w:val="20"/>
              </w:rPr>
              <w:t>Esketamine+OAD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68A2B59"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114 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DCF2C"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37.0 (5.69)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FF19CA8"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101 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13B26D"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-21.4 (12.32)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25B0A776"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112 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1525A0"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-19.6 (13.58) </w:t>
            </w:r>
          </w:p>
        </w:tc>
      </w:tr>
      <w:tr w:rsidR="00383313" w:rsidRPr="00D26534" w14:paraId="7CF5054B" w14:textId="77777777" w:rsidTr="002F61D6">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6E7BD7" w14:textId="77777777" w:rsidR="00383313" w:rsidRPr="00D26534" w:rsidRDefault="00383313" w:rsidP="00472075">
            <w:pPr>
              <w:keepNext/>
              <w:jc w:val="left"/>
              <w:textAlignment w:val="baseline"/>
              <w:rPr>
                <w:rFonts w:ascii="Times New Roman" w:hAnsi="Times New Roman" w:cs="Times New Roman"/>
              </w:rPr>
            </w:pPr>
            <w:r w:rsidRPr="00D26534">
              <w:rPr>
                <w:rFonts w:ascii="Arial Narrow" w:hAnsi="Arial Narrow" w:cs="Times New Roman"/>
                <w:sz w:val="20"/>
                <w:szCs w:val="20"/>
              </w:rPr>
              <w:t>Placebo+OAD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C91BC72"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109 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75D59"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37.3 (5.66)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5C4E398"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100 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C03E6"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-17.0 (13.88)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E0E8BE8"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109 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A3F24"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-16.3 (14.24) </w:t>
            </w:r>
          </w:p>
        </w:tc>
      </w:tr>
      <w:tr w:rsidR="00383313" w:rsidRPr="00D26534" w14:paraId="45728D31" w14:textId="77777777" w:rsidTr="002F61D6">
        <w:tc>
          <w:tcPr>
            <w:tcW w:w="45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ED8F772" w14:textId="77777777" w:rsidR="00383313" w:rsidRPr="00D26534" w:rsidRDefault="00383313" w:rsidP="00472075">
            <w:pPr>
              <w:keepNext/>
              <w:jc w:val="left"/>
              <w:textAlignment w:val="baseline"/>
              <w:rPr>
                <w:rFonts w:ascii="Times New Roman" w:hAnsi="Times New Roman" w:cs="Times New Roman"/>
              </w:rPr>
            </w:pPr>
            <w:r w:rsidRPr="00D26534">
              <w:rPr>
                <w:rFonts w:ascii="Arial Narrow" w:hAnsi="Arial Narrow" w:cs="Times New Roman"/>
                <w:sz w:val="20"/>
                <w:szCs w:val="20"/>
              </w:rPr>
              <w:t>Mean difference (95% CI)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499AB27"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7CFBB"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b/>
                <w:bCs/>
                <w:sz w:val="20"/>
                <w:szCs w:val="20"/>
              </w:rPr>
              <w:t>-4.0 (-7.3, -0.6)</w:t>
            </w:r>
            <w:r w:rsidRPr="00D26534">
              <w:rPr>
                <w:rFonts w:ascii="Arial Narrow" w:hAnsi="Arial Narrow" w:cs="Times New Roman"/>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1BF92D99"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7194E"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b/>
                <w:bCs/>
                <w:sz w:val="20"/>
                <w:szCs w:val="20"/>
              </w:rPr>
              <w:t>-3.5 (-6.7, -0.3)</w:t>
            </w:r>
            <w:r w:rsidRPr="00D26534">
              <w:rPr>
                <w:rFonts w:ascii="Arial Narrow" w:hAnsi="Arial Narrow" w:cs="Times New Roman"/>
                <w:sz w:val="20"/>
                <w:szCs w:val="20"/>
              </w:rPr>
              <w:t> </w:t>
            </w:r>
          </w:p>
        </w:tc>
      </w:tr>
      <w:tr w:rsidR="00383313" w:rsidRPr="00D26534" w14:paraId="3DE77A72" w14:textId="77777777" w:rsidTr="002F61D6">
        <w:tc>
          <w:tcPr>
            <w:tcW w:w="9015" w:type="dxa"/>
            <w:gridSpan w:val="7"/>
            <w:tcBorders>
              <w:top w:val="single" w:sz="6" w:space="0" w:color="auto"/>
              <w:left w:val="single" w:sz="6" w:space="0" w:color="auto"/>
              <w:bottom w:val="single" w:sz="6" w:space="0" w:color="auto"/>
              <w:right w:val="single" w:sz="6" w:space="0" w:color="auto"/>
            </w:tcBorders>
            <w:shd w:val="clear" w:color="auto" w:fill="auto"/>
            <w:hideMark/>
          </w:tcPr>
          <w:p w14:paraId="569F720F" w14:textId="77777777" w:rsidR="00383313" w:rsidRPr="00D26534" w:rsidRDefault="00383313" w:rsidP="00472075">
            <w:pPr>
              <w:keepNext/>
              <w:jc w:val="left"/>
              <w:textAlignment w:val="baseline"/>
              <w:rPr>
                <w:rFonts w:ascii="Times New Roman" w:hAnsi="Times New Roman" w:cs="Times New Roman"/>
              </w:rPr>
            </w:pPr>
            <w:r w:rsidRPr="00D26534">
              <w:rPr>
                <w:rFonts w:ascii="Arial Narrow" w:hAnsi="Arial Narrow" w:cs="Times New Roman"/>
                <w:b/>
                <w:bCs/>
                <w:sz w:val="20"/>
                <w:szCs w:val="20"/>
              </w:rPr>
              <w:t>TRANSFORM-3 (flexible dosing, older patients ≥ 65 years of age with TRD)</w:t>
            </w:r>
            <w:r w:rsidRPr="00D26534">
              <w:rPr>
                <w:rFonts w:ascii="Arial Narrow" w:hAnsi="Arial Narrow" w:cs="Times New Roman"/>
                <w:sz w:val="20"/>
                <w:szCs w:val="20"/>
              </w:rPr>
              <w:t> </w:t>
            </w:r>
          </w:p>
        </w:tc>
      </w:tr>
      <w:tr w:rsidR="00383313" w:rsidRPr="00D26534" w14:paraId="6259F418" w14:textId="77777777" w:rsidTr="002F61D6">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14ED0" w14:textId="77777777" w:rsidR="00383313" w:rsidRPr="00D26534" w:rsidRDefault="00383313" w:rsidP="00472075">
            <w:pPr>
              <w:keepNext/>
              <w:jc w:val="left"/>
              <w:textAlignment w:val="baseline"/>
              <w:rPr>
                <w:rFonts w:ascii="Times New Roman" w:hAnsi="Times New Roman" w:cs="Times New Roman"/>
              </w:rPr>
            </w:pPr>
            <w:r w:rsidRPr="00D26534">
              <w:rPr>
                <w:rFonts w:ascii="Arial Narrow" w:hAnsi="Arial Narrow" w:cs="Times New Roman"/>
                <w:sz w:val="20"/>
                <w:szCs w:val="20"/>
              </w:rPr>
              <w:t>Esketamine+OAD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E4974E0"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72 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5A432"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35.5 (5.91)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048DE84"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63 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D4B50"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-10.0 (12.74)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358F2257"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71 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253B1F"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-9.3 (12.28) </w:t>
            </w:r>
          </w:p>
        </w:tc>
      </w:tr>
      <w:tr w:rsidR="00383313" w:rsidRPr="00D26534" w14:paraId="6048A8ED" w14:textId="77777777" w:rsidTr="002F61D6">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622C6" w14:textId="77777777" w:rsidR="00383313" w:rsidRPr="00D26534" w:rsidRDefault="00383313" w:rsidP="00472075">
            <w:pPr>
              <w:keepNext/>
              <w:jc w:val="left"/>
              <w:textAlignment w:val="baseline"/>
              <w:rPr>
                <w:rFonts w:ascii="Times New Roman" w:hAnsi="Times New Roman" w:cs="Times New Roman"/>
              </w:rPr>
            </w:pPr>
            <w:r w:rsidRPr="00D26534">
              <w:rPr>
                <w:rFonts w:ascii="Arial Narrow" w:hAnsi="Arial Narrow" w:cs="Times New Roman"/>
                <w:sz w:val="20"/>
                <w:szCs w:val="20"/>
              </w:rPr>
              <w:t>Placebo+OAD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0A0C88B"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65 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A4255"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34.8 (6.44)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D0F7571"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60 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196399"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-6.3 (8.86)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3A0E8C38"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64 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261D8E"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-5.6 (9.11) </w:t>
            </w:r>
          </w:p>
        </w:tc>
      </w:tr>
      <w:tr w:rsidR="00383313" w:rsidRPr="00D26534" w14:paraId="666639CD" w14:textId="77777777" w:rsidTr="002F61D6">
        <w:tc>
          <w:tcPr>
            <w:tcW w:w="45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E856BDB" w14:textId="77777777" w:rsidR="00383313" w:rsidRPr="00D26534" w:rsidRDefault="00383313" w:rsidP="00472075">
            <w:pPr>
              <w:keepNext/>
              <w:jc w:val="left"/>
              <w:textAlignment w:val="baseline"/>
              <w:rPr>
                <w:rFonts w:ascii="Times New Roman" w:hAnsi="Times New Roman" w:cs="Times New Roman"/>
              </w:rPr>
            </w:pPr>
            <w:r w:rsidRPr="00D26534">
              <w:rPr>
                <w:rFonts w:ascii="Arial Narrow" w:hAnsi="Arial Narrow" w:cs="Times New Roman"/>
                <w:sz w:val="20"/>
                <w:szCs w:val="20"/>
              </w:rPr>
              <w:t>Mean difference (95% CI)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F878FA5"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E73AC"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-3.6 (-7.2, 0.1)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2FC8794F"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E28DC9"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-3.6 (-7.2, 0.0) </w:t>
            </w:r>
          </w:p>
        </w:tc>
      </w:tr>
      <w:tr w:rsidR="00383313" w:rsidRPr="00D26534" w14:paraId="572CF704" w14:textId="77777777" w:rsidTr="002F61D6">
        <w:tc>
          <w:tcPr>
            <w:tcW w:w="9015" w:type="dxa"/>
            <w:gridSpan w:val="7"/>
            <w:tcBorders>
              <w:top w:val="single" w:sz="6" w:space="0" w:color="auto"/>
              <w:left w:val="single" w:sz="6" w:space="0" w:color="auto"/>
              <w:bottom w:val="single" w:sz="6" w:space="0" w:color="auto"/>
              <w:right w:val="single" w:sz="6" w:space="0" w:color="auto"/>
            </w:tcBorders>
            <w:shd w:val="clear" w:color="auto" w:fill="auto"/>
            <w:hideMark/>
          </w:tcPr>
          <w:p w14:paraId="7AC448E2" w14:textId="77777777" w:rsidR="00383313" w:rsidRPr="00D26534" w:rsidRDefault="00383313" w:rsidP="00472075">
            <w:pPr>
              <w:keepNext/>
              <w:jc w:val="left"/>
              <w:textAlignment w:val="baseline"/>
              <w:rPr>
                <w:rFonts w:ascii="Times New Roman" w:hAnsi="Times New Roman" w:cs="Times New Roman"/>
              </w:rPr>
            </w:pPr>
            <w:r w:rsidRPr="00D26534">
              <w:rPr>
                <w:rFonts w:ascii="Arial Narrow" w:hAnsi="Arial Narrow" w:cs="Times New Roman"/>
                <w:b/>
                <w:bCs/>
                <w:sz w:val="20"/>
                <w:szCs w:val="20"/>
              </w:rPr>
              <w:t>TRANSFORM-1 (fixed dosing, adult patients 18-64 years of age with TRD)</w:t>
            </w:r>
            <w:r w:rsidRPr="00D26534">
              <w:rPr>
                <w:rFonts w:ascii="Arial Narrow" w:hAnsi="Arial Narrow" w:cs="Times New Roman"/>
                <w:sz w:val="20"/>
                <w:szCs w:val="20"/>
              </w:rPr>
              <w:t> </w:t>
            </w:r>
          </w:p>
        </w:tc>
      </w:tr>
      <w:tr w:rsidR="00383313" w:rsidRPr="00D26534" w14:paraId="53A09F88" w14:textId="77777777" w:rsidTr="002F61D6">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0D4A76" w14:textId="77777777" w:rsidR="00383313" w:rsidRPr="00D26534" w:rsidRDefault="00383313" w:rsidP="00472075">
            <w:pPr>
              <w:keepNext/>
              <w:jc w:val="left"/>
              <w:textAlignment w:val="baseline"/>
              <w:rPr>
                <w:rFonts w:ascii="Times New Roman" w:hAnsi="Times New Roman" w:cs="Times New Roman"/>
              </w:rPr>
            </w:pPr>
            <w:r w:rsidRPr="00D26534">
              <w:rPr>
                <w:rFonts w:ascii="Arial Narrow" w:hAnsi="Arial Narrow" w:cs="Times New Roman"/>
                <w:sz w:val="20"/>
                <w:szCs w:val="20"/>
              </w:rPr>
              <w:t>Esketamine 56 mg + 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FEE944A"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115 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BCBCC"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37.4 (4.76)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586470B"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111 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06D73"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-19.0 (13.86)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6D53C9AA"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115 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C6662"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-18.3 (14.21) </w:t>
            </w:r>
          </w:p>
        </w:tc>
      </w:tr>
      <w:tr w:rsidR="00383313" w:rsidRPr="00D26534" w14:paraId="25979CF0" w14:textId="77777777" w:rsidTr="002F61D6">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150DC1" w14:textId="77777777" w:rsidR="00383313" w:rsidRPr="00D26534" w:rsidRDefault="00383313" w:rsidP="00472075">
            <w:pPr>
              <w:keepNext/>
              <w:jc w:val="left"/>
              <w:textAlignment w:val="baseline"/>
              <w:rPr>
                <w:rFonts w:ascii="Times New Roman" w:hAnsi="Times New Roman" w:cs="Times New Roman"/>
              </w:rPr>
            </w:pPr>
            <w:r w:rsidRPr="00D26534">
              <w:rPr>
                <w:rFonts w:ascii="Arial Narrow" w:hAnsi="Arial Narrow" w:cs="Times New Roman"/>
                <w:sz w:val="20"/>
                <w:szCs w:val="20"/>
              </w:rPr>
              <w:t>Esketamine 84 mg + 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6BD8DCA"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114 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54EB4"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37.8 (5.58)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DD944CF"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98 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315E96"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-18.8 (14.12)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80692D4"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113 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BD643"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-17.4 (14.25) </w:t>
            </w:r>
          </w:p>
        </w:tc>
      </w:tr>
      <w:tr w:rsidR="00383313" w:rsidRPr="00D26534" w14:paraId="51220DB5" w14:textId="77777777" w:rsidTr="002F61D6">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C5970" w14:textId="77777777" w:rsidR="00383313" w:rsidRPr="00D26534" w:rsidRDefault="00383313" w:rsidP="00472075">
            <w:pPr>
              <w:keepNext/>
              <w:jc w:val="left"/>
              <w:textAlignment w:val="baseline"/>
              <w:rPr>
                <w:rFonts w:ascii="Times New Roman" w:hAnsi="Times New Roman" w:cs="Times New Roman"/>
              </w:rPr>
            </w:pPr>
            <w:r w:rsidRPr="00D26534">
              <w:rPr>
                <w:rFonts w:ascii="Arial Narrow" w:hAnsi="Arial Narrow" w:cs="Times New Roman"/>
                <w:sz w:val="20"/>
                <w:szCs w:val="20"/>
              </w:rPr>
              <w:t>Placebo + 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BAFE4A6"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113 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E3684D"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37.5 (6.16)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025546D"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108 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249637"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-14.8 (15.07)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4DA393CC"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113 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9CE75"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-14.3 (15.00) </w:t>
            </w:r>
          </w:p>
        </w:tc>
      </w:tr>
      <w:tr w:rsidR="00383313" w:rsidRPr="00D26534" w14:paraId="28D15AD8" w14:textId="77777777" w:rsidTr="002F61D6">
        <w:tc>
          <w:tcPr>
            <w:tcW w:w="45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274C33B" w14:textId="77777777" w:rsidR="00383313" w:rsidRPr="00D26534" w:rsidRDefault="00383313" w:rsidP="00472075">
            <w:pPr>
              <w:keepNext/>
              <w:jc w:val="left"/>
              <w:textAlignment w:val="baseline"/>
              <w:rPr>
                <w:rFonts w:ascii="Times New Roman" w:hAnsi="Times New Roman" w:cs="Times New Roman"/>
              </w:rPr>
            </w:pPr>
            <w:r w:rsidRPr="00D26534">
              <w:rPr>
                <w:rFonts w:ascii="Arial Narrow" w:hAnsi="Arial Narrow" w:cs="Times New Roman"/>
                <w:sz w:val="20"/>
                <w:szCs w:val="20"/>
              </w:rPr>
              <w:t>Mean difference, ESK 56 mg vs placebo (95% CI)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472662D"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6D1F1"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-4.1 (-7.7, -0.5)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5D7105A8"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2E894"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-4.1 (-7.5, -0.6) </w:t>
            </w:r>
          </w:p>
        </w:tc>
      </w:tr>
      <w:tr w:rsidR="00383313" w:rsidRPr="00D26534" w14:paraId="635B9BBE" w14:textId="77777777" w:rsidTr="002F61D6">
        <w:tc>
          <w:tcPr>
            <w:tcW w:w="45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296EB96" w14:textId="77777777" w:rsidR="00383313" w:rsidRPr="00D26534" w:rsidRDefault="00383313" w:rsidP="00472075">
            <w:pPr>
              <w:keepNext/>
              <w:jc w:val="left"/>
              <w:textAlignment w:val="baseline"/>
              <w:rPr>
                <w:rFonts w:ascii="Times New Roman" w:hAnsi="Times New Roman" w:cs="Times New Roman"/>
              </w:rPr>
            </w:pPr>
            <w:r w:rsidRPr="00D26534">
              <w:rPr>
                <w:rFonts w:ascii="Arial Narrow" w:hAnsi="Arial Narrow" w:cs="Times New Roman"/>
                <w:sz w:val="20"/>
                <w:szCs w:val="20"/>
              </w:rPr>
              <w:t>Mean difference, ESK 84 mg vs placebo (95% CI)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2D8882B"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CE00B"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-3.2 (-6.9, 0.5)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555BF1AB"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307B6" w14:textId="77777777" w:rsidR="00383313" w:rsidRPr="00D26534" w:rsidRDefault="00383313" w:rsidP="00472075">
            <w:pPr>
              <w:keepNext/>
              <w:jc w:val="center"/>
              <w:textAlignment w:val="baseline"/>
              <w:rPr>
                <w:rFonts w:ascii="Times New Roman" w:hAnsi="Times New Roman" w:cs="Times New Roman"/>
              </w:rPr>
            </w:pPr>
            <w:r w:rsidRPr="00D26534">
              <w:rPr>
                <w:rFonts w:ascii="Arial Narrow" w:hAnsi="Arial Narrow" w:cs="Times New Roman"/>
                <w:sz w:val="20"/>
                <w:szCs w:val="20"/>
              </w:rPr>
              <w:t>-2.0 (-5.5, 1.4) </w:t>
            </w:r>
          </w:p>
        </w:tc>
      </w:tr>
    </w:tbl>
    <w:p w14:paraId="4C72C4EE" w14:textId="77777777" w:rsidR="00383313" w:rsidRPr="00D26534" w:rsidRDefault="00383313" w:rsidP="00383313">
      <w:pPr>
        <w:pStyle w:val="TableFigureFooter"/>
        <w:rPr>
          <w:rFonts w:ascii="Segoe UI" w:hAnsi="Segoe UI"/>
        </w:rPr>
      </w:pPr>
      <w:r w:rsidRPr="00D26534">
        <w:t>Source: Table 2-13, p.114 of the July 2022 resubmission; Table 2.50, Attachment 2.6 of the July 2022 resubmission </w:t>
      </w:r>
    </w:p>
    <w:p w14:paraId="69F9B06E" w14:textId="1DF13DA7" w:rsidR="00383313" w:rsidRPr="00D26534" w:rsidRDefault="00383313" w:rsidP="00383313">
      <w:pPr>
        <w:pStyle w:val="TableFigureFooter"/>
        <w:rPr>
          <w:rFonts w:ascii="Segoe UI" w:hAnsi="Segoe UI"/>
        </w:rPr>
      </w:pPr>
      <w:r w:rsidRPr="00D26534">
        <w:t>Abbreviations: ANCOVA, analysis of covariance; CI, confidence interval; DB, double-blind; ESK, esketamine; MMRM, Mixed-Effect Model for Repeated Measures; OAD, oral antidepressant; SD, standard deviation; TRD, treatment-resistant depression </w:t>
      </w:r>
    </w:p>
    <w:p w14:paraId="2AF2613A" w14:textId="77777777" w:rsidR="00383313" w:rsidRPr="00D26534" w:rsidRDefault="00383313" w:rsidP="00383313">
      <w:pPr>
        <w:pStyle w:val="TableFigureFooter"/>
        <w:rPr>
          <w:rFonts w:ascii="Segoe UI" w:hAnsi="Segoe UI"/>
        </w:rPr>
      </w:pPr>
      <w:r w:rsidRPr="00D26534">
        <w:t>Notes: Tests for treatment effects based on mixed model for repeated measures (MMRM) with change from baseline as the response variable applied the fixed effect model terms for treatment (intranasal esketamine + OAD, OAD + intranasal placebo), day, country, class of OAD (SNRI or SSRI), and treatment-by-day, and baseline value as a covariate. A negative difference favours esketamine  </w:t>
      </w:r>
    </w:p>
    <w:p w14:paraId="2F88ABD0" w14:textId="77777777" w:rsidR="00383313" w:rsidRPr="00D26534" w:rsidRDefault="00383313" w:rsidP="00383313">
      <w:pPr>
        <w:pStyle w:val="TableFigureFooter"/>
        <w:rPr>
          <w:rFonts w:ascii="Segoe UI" w:hAnsi="Segoe UI"/>
        </w:rPr>
      </w:pPr>
      <w:r w:rsidRPr="00D26534">
        <w:t>Tests for treatment effect based on analysis of covariance (ANCOVA) model with change from baseline as the response variable applied factors for treatment (intranasal esketamine + OAD, OAD + intranasal placebo), country, and class of OAD (SNRI or SSRI), and baseline value as a covariate. A negative difference favours esketamine </w:t>
      </w:r>
    </w:p>
    <w:p w14:paraId="293417D1" w14:textId="77777777" w:rsidR="00383313" w:rsidRPr="00D26534" w:rsidRDefault="00383313" w:rsidP="00383313">
      <w:pPr>
        <w:pStyle w:val="TableFigureFooter"/>
        <w:rPr>
          <w:rFonts w:ascii="Segoe UI" w:hAnsi="Segoe UI"/>
        </w:rPr>
      </w:pPr>
      <w:r w:rsidRPr="00D26534">
        <w:t>For TRANSFORM-2, the difference from placebo is the least-squares mean difference between esketamine + OAD and OAD + placebo </w:t>
      </w:r>
    </w:p>
    <w:p w14:paraId="4E826AD1" w14:textId="77777777" w:rsidR="00383313" w:rsidRPr="00D26534" w:rsidRDefault="00383313" w:rsidP="00383313">
      <w:pPr>
        <w:pStyle w:val="TableFigureFooter"/>
        <w:rPr>
          <w:rFonts w:ascii="Segoe UI" w:hAnsi="Segoe UI"/>
        </w:rPr>
      </w:pPr>
      <w:r w:rsidRPr="00D26534">
        <w:t>For TRANSFORM-3, difference from placebo is the median unbiased estimate, which is a weighted combination of the least squares means of the difference from placebo </w:t>
      </w:r>
    </w:p>
    <w:p w14:paraId="7C48AF1C" w14:textId="77777777" w:rsidR="00383313" w:rsidRPr="00D26534" w:rsidRDefault="00383313" w:rsidP="00383313">
      <w:pPr>
        <w:pStyle w:val="TableFigureFooter"/>
        <w:rPr>
          <w:rFonts w:ascii="Segoe UI" w:hAnsi="Segoe UI"/>
        </w:rPr>
      </w:pPr>
      <w:r w:rsidRPr="00D26534">
        <w:t>For both TRANSFORM-1 and TRANSFORM-3 95% CI value is the 2-sided flexible CI for the difference from placebo </w:t>
      </w:r>
    </w:p>
    <w:p w14:paraId="0B72C78D" w14:textId="77777777" w:rsidR="00383313" w:rsidRPr="00D26534" w:rsidRDefault="00383313" w:rsidP="00383313">
      <w:pPr>
        <w:pStyle w:val="TableFigureFooter"/>
        <w:rPr>
          <w:rFonts w:ascii="Segoe UI" w:hAnsi="Segoe UI"/>
        </w:rPr>
      </w:pPr>
      <w:r w:rsidRPr="00D26534">
        <w:t>For both TRANSFORM-1 and TRANSFORM-3, the p-values are based on the weighted combination test statistic </w:t>
      </w:r>
    </w:p>
    <w:p w14:paraId="4D5E21CC" w14:textId="77777777" w:rsidR="00383313" w:rsidRPr="00D26534" w:rsidRDefault="00383313" w:rsidP="00383313">
      <w:pPr>
        <w:pStyle w:val="TableFigureFooter"/>
        <w:rPr>
          <w:rFonts w:ascii="Segoe UI" w:hAnsi="Segoe UI"/>
        </w:rPr>
      </w:pPr>
      <w:r w:rsidRPr="00D26534">
        <w:t>In TRANSFORM-1, the comparison for 56 mg was considered statistically significant only if the analysis was significant for 84 mg. As tests showed that the 84 mg dose treatment arm was not statistically significantly different from placebo, 56 mg was not formally evaluated </w:t>
      </w:r>
    </w:p>
    <w:p w14:paraId="2F436414" w14:textId="77777777" w:rsidR="00383313" w:rsidRPr="00D26534" w:rsidRDefault="00383313" w:rsidP="00383313">
      <w:pPr>
        <w:pStyle w:val="TableFigureFooter"/>
        <w:rPr>
          <w:rFonts w:ascii="Segoe UI" w:hAnsi="Segoe UI"/>
        </w:rPr>
      </w:pPr>
      <w:r w:rsidRPr="00D26534">
        <w:t>MADRS Total score ranges from 0 to 60; a higher score indicates a more severe condition and negative change in score indicates improvement.</w:t>
      </w:r>
    </w:p>
    <w:p w14:paraId="47632C5B" w14:textId="3474C65E" w:rsidR="00383313" w:rsidRPr="00334ED6" w:rsidRDefault="00383313" w:rsidP="00334ED6">
      <w:pPr>
        <w:pStyle w:val="ListParagraph"/>
        <w:numPr>
          <w:ilvl w:val="1"/>
          <w:numId w:val="1"/>
        </w:numPr>
        <w:spacing w:after="120"/>
        <w:ind w:hanging="720"/>
        <w:contextualSpacing w:val="0"/>
        <w:rPr>
          <w:rFonts w:cs="Calibri"/>
          <w:bCs/>
          <w:iCs/>
        </w:rPr>
      </w:pPr>
      <w:r w:rsidRPr="00334ED6">
        <w:rPr>
          <w:rFonts w:cs="Calibri"/>
          <w:bCs/>
          <w:iCs/>
        </w:rPr>
        <w:t xml:space="preserve">Of the three short-term induction trials, only TRANSFORM-2 showed a statistically significant treatment effect with esketamine nasal spray compared with placebo. The PBAC previously considered the observed difference in the esketamine + OAD arm compared to a new OAD alone of 4 points on the MADRS scale was of uncertain clinical significance (para 6.13, </w:t>
      </w:r>
      <w:r w:rsidR="00E71C49" w:rsidRPr="00334ED6">
        <w:rPr>
          <w:rFonts w:cs="Calibri"/>
          <w:bCs/>
          <w:iCs/>
        </w:rPr>
        <w:t>esketamine PSD</w:t>
      </w:r>
      <w:r w:rsidRPr="00334ED6">
        <w:rPr>
          <w:rFonts w:cs="Calibri"/>
          <w:bCs/>
          <w:iCs/>
        </w:rPr>
        <w:t xml:space="preserve">, July 2022 PBAC meeting). The confidence intervals are wide, and the lower bound falls below the nominated minimum clinically important difference (MCID), suggesting that treatment effects are variable, and the between-group difference falls below published MCIDs. This suggests that a significant </w:t>
      </w:r>
      <w:r w:rsidRPr="00334ED6">
        <w:rPr>
          <w:rFonts w:cs="Calibri"/>
          <w:bCs/>
          <w:iCs/>
        </w:rPr>
        <w:lastRenderedPageBreak/>
        <w:t>proportion of patients do not derive any additional benefit from treatment with esketamine.  </w:t>
      </w:r>
    </w:p>
    <w:p w14:paraId="42A977C6" w14:textId="213DE43B" w:rsidR="00383313" w:rsidRPr="00334ED6" w:rsidRDefault="00383313" w:rsidP="00334ED6">
      <w:pPr>
        <w:pStyle w:val="ListParagraph"/>
        <w:numPr>
          <w:ilvl w:val="1"/>
          <w:numId w:val="1"/>
        </w:numPr>
        <w:spacing w:after="120"/>
        <w:ind w:hanging="720"/>
        <w:contextualSpacing w:val="0"/>
        <w:rPr>
          <w:rFonts w:cs="Calibri"/>
          <w:bCs/>
          <w:iCs/>
        </w:rPr>
      </w:pPr>
      <w:r w:rsidRPr="00334ED6">
        <w:rPr>
          <w:rFonts w:cs="Calibri"/>
          <w:bCs/>
          <w:iCs/>
        </w:rPr>
        <w:t xml:space="preserve">The proportion of responders and remitters at day 28 of the TRANSFORM-2 and TRANSFORM-3 trials are summarised in </w:t>
      </w:r>
      <w:r w:rsidRPr="00334ED6">
        <w:rPr>
          <w:rFonts w:cs="Calibri"/>
          <w:bCs/>
          <w:iCs/>
        </w:rPr>
        <w:fldChar w:fldCharType="begin" w:fldLock="1"/>
      </w:r>
      <w:r w:rsidRPr="00334ED6">
        <w:rPr>
          <w:rFonts w:cs="Calibri"/>
          <w:bCs/>
          <w:iCs/>
        </w:rPr>
        <w:instrText xml:space="preserve"> REF _Ref134471292 \h  \* MERGEFORMAT </w:instrText>
      </w:r>
      <w:r w:rsidRPr="00334ED6">
        <w:rPr>
          <w:rFonts w:cs="Calibri"/>
          <w:bCs/>
          <w:iCs/>
        </w:rPr>
      </w:r>
      <w:r w:rsidRPr="00334ED6">
        <w:rPr>
          <w:rFonts w:cs="Calibri"/>
          <w:bCs/>
          <w:iCs/>
        </w:rPr>
        <w:fldChar w:fldCharType="separate"/>
      </w:r>
      <w:r w:rsidR="002B3C60" w:rsidRPr="002B3C60">
        <w:rPr>
          <w:rFonts w:cs="Calibri"/>
          <w:bCs/>
          <w:iCs/>
        </w:rPr>
        <w:t>Table 6</w:t>
      </w:r>
      <w:r w:rsidRPr="00334ED6">
        <w:rPr>
          <w:rFonts w:cs="Calibri"/>
          <w:bCs/>
          <w:iCs/>
        </w:rPr>
        <w:fldChar w:fldCharType="end"/>
      </w:r>
      <w:r w:rsidRPr="00334ED6">
        <w:rPr>
          <w:rFonts w:cs="Calibri"/>
          <w:bCs/>
          <w:iCs/>
        </w:rPr>
        <w:t xml:space="preserve"> below. A subject was defined as a responder at a given time point if the percent improvement (decrease) in MADRS total score from baseline was ≥50%. Subjects who had a MADRS total score of ≤12 were considered remitters. This was not a standard definition of remission; other trials have used a more stringent cut-off of &lt;10 or &lt;7 to define remission, however the potential impact of this on the trial results is unclear. These outcomes were used to inform the transition probabilities in the economic model. </w:t>
      </w:r>
    </w:p>
    <w:p w14:paraId="7A64C32A" w14:textId="1BE83B2C" w:rsidR="00383313" w:rsidRPr="00D26534" w:rsidRDefault="00383313" w:rsidP="00B138DC">
      <w:pPr>
        <w:pStyle w:val="COMtablefigcaption"/>
        <w:rPr>
          <w:rFonts w:ascii="Segoe UI" w:hAnsi="Segoe UI"/>
          <w:sz w:val="18"/>
          <w:szCs w:val="18"/>
        </w:rPr>
      </w:pPr>
      <w:bookmarkStart w:id="29" w:name="_Ref134471292"/>
      <w:r w:rsidRPr="00D26534">
        <w:t xml:space="preserve">Table </w:t>
      </w:r>
      <w:r w:rsidR="004E64B8">
        <w:fldChar w:fldCharType="begin" w:fldLock="1"/>
      </w:r>
      <w:r w:rsidR="004E64B8">
        <w:instrText xml:space="preserve"> SEQ Table \* ARABIC </w:instrText>
      </w:r>
      <w:r w:rsidR="004E64B8">
        <w:fldChar w:fldCharType="separate"/>
      </w:r>
      <w:r w:rsidR="002B3C60">
        <w:rPr>
          <w:noProof/>
        </w:rPr>
        <w:t>6</w:t>
      </w:r>
      <w:r w:rsidR="004E64B8">
        <w:rPr>
          <w:noProof/>
        </w:rPr>
        <w:fldChar w:fldCharType="end"/>
      </w:r>
      <w:bookmarkEnd w:id="29"/>
      <w:r w:rsidRPr="00D26534">
        <w:t>: Proportion of responders and remitters at day 28 based on MADRS total score, TRANSFORM-2 and TRANSFORM-3 (full analysis set)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6: Proportion of responders and remitters at day 28 based on MADRS total score, TRANSFORM-2 and TRANSFORM-3 (full analysis set) "/>
      </w:tblPr>
      <w:tblGrid>
        <w:gridCol w:w="2998"/>
        <w:gridCol w:w="2999"/>
        <w:gridCol w:w="3014"/>
      </w:tblGrid>
      <w:tr w:rsidR="00383313" w:rsidRPr="00D26534" w14:paraId="39ECB21F"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6A0131B"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6099533"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Esketamine + OAD</w:t>
            </w:r>
            <w:r w:rsidRPr="00D26534">
              <w:rPr>
                <w:rFonts w:ascii="Arial Narrow" w:hAnsi="Arial Narrow" w:cs="Times New Roman"/>
                <w:sz w:val="20"/>
                <w:szCs w:val="20"/>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8ADADAD"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Placebo + OAD</w:t>
            </w:r>
            <w:r w:rsidRPr="00D26534">
              <w:rPr>
                <w:rFonts w:ascii="Arial Narrow" w:hAnsi="Arial Narrow" w:cs="Times New Roman"/>
                <w:sz w:val="20"/>
                <w:szCs w:val="20"/>
              </w:rPr>
              <w:t> </w:t>
            </w:r>
          </w:p>
        </w:tc>
      </w:tr>
      <w:tr w:rsidR="00383313" w:rsidRPr="00D26534" w14:paraId="0E7F7F0A" w14:textId="77777777" w:rsidTr="002F61D6">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7A14DF"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b/>
                <w:bCs/>
                <w:sz w:val="20"/>
                <w:szCs w:val="20"/>
              </w:rPr>
              <w:t>Response (≥50% improvement MADRS score)</w:t>
            </w:r>
            <w:r w:rsidRPr="00D26534">
              <w:rPr>
                <w:rFonts w:ascii="Arial Narrow" w:hAnsi="Arial Narrow" w:cs="Times New Roman"/>
                <w:sz w:val="20"/>
                <w:szCs w:val="20"/>
              </w:rPr>
              <w:t> </w:t>
            </w:r>
          </w:p>
        </w:tc>
      </w:tr>
      <w:tr w:rsidR="00383313" w:rsidRPr="00D26534" w14:paraId="4E9DC25C" w14:textId="77777777" w:rsidTr="002F61D6">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3955CF"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b/>
                <w:bCs/>
                <w:sz w:val="20"/>
                <w:szCs w:val="20"/>
              </w:rPr>
              <w:t>TRANSFORM-2</w:t>
            </w:r>
            <w:r w:rsidRPr="00D26534">
              <w:rPr>
                <w:rFonts w:ascii="Arial Narrow" w:hAnsi="Arial Narrow" w:cs="Times New Roman"/>
                <w:sz w:val="20"/>
                <w:szCs w:val="20"/>
              </w:rPr>
              <w:t> </w:t>
            </w:r>
          </w:p>
        </w:tc>
      </w:tr>
      <w:tr w:rsidR="00383313" w:rsidRPr="00D26534" w14:paraId="0B1C314E"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5362D4C"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Observed cases,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48956"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70/101 (69.3)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C58215"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52/100 (52.0) </w:t>
            </w:r>
          </w:p>
        </w:tc>
      </w:tr>
      <w:tr w:rsidR="00383313" w:rsidRPr="00D26534" w14:paraId="6602CE72"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39C305C"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LOCF,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82E03"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71/112 (63.4)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09F4D8"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54/109 (49.5) </w:t>
            </w:r>
          </w:p>
        </w:tc>
      </w:tr>
      <w:tr w:rsidR="00383313" w:rsidRPr="00D26534" w14:paraId="43C85421" w14:textId="77777777" w:rsidTr="002F61D6">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4B6CC4D"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b/>
                <w:bCs/>
                <w:sz w:val="20"/>
                <w:szCs w:val="20"/>
              </w:rPr>
              <w:t>TRANSFORM-3</w:t>
            </w:r>
            <w:r w:rsidRPr="00D26534">
              <w:rPr>
                <w:rFonts w:ascii="Arial Narrow" w:hAnsi="Arial Narrow" w:cs="Times New Roman"/>
                <w:sz w:val="20"/>
                <w:szCs w:val="20"/>
              </w:rPr>
              <w:t> </w:t>
            </w:r>
          </w:p>
        </w:tc>
      </w:tr>
      <w:tr w:rsidR="00383313" w:rsidRPr="00D26534" w14:paraId="6C2C9F20"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7504BA1"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Observed cases,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7250EE"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17/63 (27.0)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79499"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8/60 (13.3) </w:t>
            </w:r>
          </w:p>
        </w:tc>
      </w:tr>
      <w:tr w:rsidR="00383313" w:rsidRPr="00D26534" w14:paraId="5DCE41CE"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6E17DE6"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End point (DB),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789FE"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17/71 (23.9)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599E9"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8/64 (12.5) </w:t>
            </w:r>
          </w:p>
        </w:tc>
      </w:tr>
      <w:tr w:rsidR="00383313" w:rsidRPr="00D26534" w14:paraId="6582A5C8" w14:textId="77777777" w:rsidTr="002F61D6">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BF6496"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b/>
                <w:bCs/>
                <w:sz w:val="20"/>
                <w:szCs w:val="20"/>
              </w:rPr>
              <w:t>Remission (MADRS total score ≤12)</w:t>
            </w:r>
            <w:r w:rsidRPr="00D26534">
              <w:rPr>
                <w:rFonts w:ascii="Arial Narrow" w:hAnsi="Arial Narrow" w:cs="Times New Roman"/>
                <w:sz w:val="20"/>
                <w:szCs w:val="20"/>
              </w:rPr>
              <w:t> </w:t>
            </w:r>
          </w:p>
        </w:tc>
      </w:tr>
      <w:tr w:rsidR="00383313" w:rsidRPr="00D26534" w14:paraId="1AC26855" w14:textId="77777777" w:rsidTr="002F61D6">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01EDAF2"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b/>
                <w:bCs/>
                <w:sz w:val="20"/>
                <w:szCs w:val="20"/>
              </w:rPr>
              <w:t>TRANSFORM-2</w:t>
            </w:r>
            <w:r w:rsidRPr="00D26534">
              <w:rPr>
                <w:rFonts w:ascii="Arial Narrow" w:hAnsi="Arial Narrow" w:cs="Times New Roman"/>
                <w:sz w:val="20"/>
                <w:szCs w:val="20"/>
              </w:rPr>
              <w:t> </w:t>
            </w:r>
          </w:p>
        </w:tc>
      </w:tr>
      <w:tr w:rsidR="00383313" w:rsidRPr="00D26534" w14:paraId="15C2034C"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F29465E"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Observed cases,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7D548C"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53/101 (52.5)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154E1"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31/100 (31.0) </w:t>
            </w:r>
          </w:p>
        </w:tc>
      </w:tr>
      <w:tr w:rsidR="00383313" w:rsidRPr="00D26534" w14:paraId="05A9327F"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F053FFE"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LOCF,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74D4C2"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54/112 (48.2)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2D603"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33/109 (30.3) </w:t>
            </w:r>
          </w:p>
        </w:tc>
      </w:tr>
      <w:tr w:rsidR="00383313" w:rsidRPr="00D26534" w14:paraId="536F1DE2" w14:textId="77777777" w:rsidTr="002F61D6">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702D9EC"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b/>
                <w:bCs/>
                <w:sz w:val="20"/>
                <w:szCs w:val="20"/>
              </w:rPr>
              <w:t>TRANSFORM-3</w:t>
            </w:r>
            <w:r w:rsidRPr="00D26534">
              <w:rPr>
                <w:rFonts w:ascii="Arial Narrow" w:hAnsi="Arial Narrow" w:cs="Times New Roman"/>
                <w:sz w:val="20"/>
                <w:szCs w:val="20"/>
              </w:rPr>
              <w:t> </w:t>
            </w:r>
          </w:p>
        </w:tc>
      </w:tr>
      <w:tr w:rsidR="00383313" w:rsidRPr="00D26534" w14:paraId="0B0F0DF3"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8DA3733"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Observed cases,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4800A"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11/63 (17.5)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0B14F"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4/60 (6.7) </w:t>
            </w:r>
          </w:p>
        </w:tc>
      </w:tr>
      <w:tr w:rsidR="00383313" w:rsidRPr="00D26534" w14:paraId="4804B094" w14:textId="77777777" w:rsidTr="002F61D6">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B96ECA1"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End point (DB),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0D606"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11/71 (15.5)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1F6F7B"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4/64 (6.3) </w:t>
            </w:r>
          </w:p>
        </w:tc>
      </w:tr>
    </w:tbl>
    <w:p w14:paraId="76F6F102" w14:textId="77777777" w:rsidR="00383313" w:rsidRPr="00D26534" w:rsidRDefault="00383313" w:rsidP="00383313">
      <w:pPr>
        <w:pStyle w:val="TableFigureFooter"/>
      </w:pPr>
      <w:r w:rsidRPr="00D26534">
        <w:t>Source: Table 2-17, p.123; Table 2-18, p.125; Table 2-19, p.126; Table 2-20, p.127 of the July 2022 resubmission.</w:t>
      </w:r>
    </w:p>
    <w:p w14:paraId="3CB32619" w14:textId="5A36C4D8" w:rsidR="00B51C82" w:rsidRPr="00D26534" w:rsidRDefault="00B51C82" w:rsidP="00383313">
      <w:pPr>
        <w:pStyle w:val="TableFigureFooter"/>
        <w:rPr>
          <w:rFonts w:ascii="Segoe UI" w:hAnsi="Segoe UI"/>
        </w:rPr>
      </w:pPr>
      <w:r w:rsidRPr="00D26534">
        <w:t>DB, double-blind; LOCF, last observation carried forward; MADRS, Montgomery-Asberg Depression Rating Scale; OAD, oral anti-depressant</w:t>
      </w:r>
    </w:p>
    <w:p w14:paraId="6DFAFE58" w14:textId="630315C4" w:rsidR="00383313" w:rsidRPr="00334ED6" w:rsidRDefault="00383313" w:rsidP="00334ED6">
      <w:pPr>
        <w:pStyle w:val="ListParagraph"/>
        <w:numPr>
          <w:ilvl w:val="1"/>
          <w:numId w:val="1"/>
        </w:numPr>
        <w:spacing w:after="120"/>
        <w:ind w:hanging="720"/>
        <w:contextualSpacing w:val="0"/>
        <w:rPr>
          <w:rFonts w:cs="Calibri"/>
          <w:bCs/>
          <w:iCs/>
        </w:rPr>
      </w:pPr>
      <w:r w:rsidRPr="00334ED6">
        <w:rPr>
          <w:rFonts w:cs="Calibri"/>
          <w:bCs/>
          <w:iCs/>
        </w:rPr>
        <w:t xml:space="preserve">The results for the EQ-5D-5L health status index in the TRANSFORM trials are summarised in </w:t>
      </w:r>
      <w:r w:rsidRPr="00334ED6">
        <w:rPr>
          <w:rFonts w:cs="Calibri"/>
          <w:bCs/>
          <w:iCs/>
        </w:rPr>
        <w:fldChar w:fldCharType="begin" w:fldLock="1"/>
      </w:r>
      <w:r w:rsidRPr="00334ED6">
        <w:rPr>
          <w:rFonts w:cs="Calibri"/>
          <w:bCs/>
          <w:iCs/>
        </w:rPr>
        <w:instrText xml:space="preserve"> REF _Ref134471352 \h </w:instrText>
      </w:r>
      <w:r w:rsidR="00D26534" w:rsidRPr="00334ED6">
        <w:rPr>
          <w:rFonts w:cs="Calibri"/>
          <w:bCs/>
          <w:iCs/>
        </w:rPr>
        <w:instrText xml:space="preserve"> \* MERGEFORMAT </w:instrText>
      </w:r>
      <w:r w:rsidRPr="00334ED6">
        <w:rPr>
          <w:rFonts w:cs="Calibri"/>
          <w:bCs/>
          <w:iCs/>
        </w:rPr>
      </w:r>
      <w:r w:rsidRPr="00334ED6">
        <w:rPr>
          <w:rFonts w:cs="Calibri"/>
          <w:bCs/>
          <w:iCs/>
        </w:rPr>
        <w:fldChar w:fldCharType="separate"/>
      </w:r>
      <w:r w:rsidR="002B3C60" w:rsidRPr="002B3C60">
        <w:rPr>
          <w:rFonts w:cs="Calibri"/>
          <w:bCs/>
          <w:iCs/>
        </w:rPr>
        <w:t>Table 7</w:t>
      </w:r>
      <w:r w:rsidRPr="00334ED6">
        <w:rPr>
          <w:rFonts w:cs="Calibri"/>
          <w:bCs/>
          <w:iCs/>
        </w:rPr>
        <w:fldChar w:fldCharType="end"/>
      </w:r>
      <w:r w:rsidRPr="00334ED6">
        <w:rPr>
          <w:rFonts w:cs="Calibri"/>
          <w:bCs/>
          <w:iCs/>
        </w:rPr>
        <w:t xml:space="preserve"> below. </w:t>
      </w:r>
    </w:p>
    <w:p w14:paraId="50FC579A" w14:textId="2607A74F" w:rsidR="00383313" w:rsidRPr="00D26534" w:rsidRDefault="00383313" w:rsidP="003A21D0">
      <w:pPr>
        <w:pStyle w:val="COMtablefigcaption"/>
      </w:pPr>
      <w:bookmarkStart w:id="30" w:name="_Ref134471352"/>
      <w:r w:rsidRPr="00D26534">
        <w:lastRenderedPageBreak/>
        <w:t xml:space="preserve">Table </w:t>
      </w:r>
      <w:r w:rsidR="004E64B8">
        <w:fldChar w:fldCharType="begin" w:fldLock="1"/>
      </w:r>
      <w:r w:rsidR="004E64B8">
        <w:instrText xml:space="preserve"> SEQ Table \* ARABIC </w:instrText>
      </w:r>
      <w:r w:rsidR="004E64B8">
        <w:fldChar w:fldCharType="separate"/>
      </w:r>
      <w:r w:rsidR="002B3C60">
        <w:rPr>
          <w:noProof/>
        </w:rPr>
        <w:t>7</w:t>
      </w:r>
      <w:r w:rsidR="004E64B8">
        <w:rPr>
          <w:noProof/>
        </w:rPr>
        <w:fldChar w:fldCharType="end"/>
      </w:r>
      <w:bookmarkEnd w:id="30"/>
      <w:r w:rsidRPr="00D26534">
        <w:t>: EQ-5D health status index in the TRANSFORM trials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7: EQ-5D health status index in the TRANSFORM trials "/>
      </w:tblPr>
      <w:tblGrid>
        <w:gridCol w:w="1800"/>
        <w:gridCol w:w="1784"/>
        <w:gridCol w:w="1814"/>
        <w:gridCol w:w="1799"/>
        <w:gridCol w:w="1814"/>
      </w:tblGrid>
      <w:tr w:rsidR="00383313" w:rsidRPr="00D26534" w14:paraId="40774E04" w14:textId="77777777" w:rsidTr="002F61D6">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BB97C7E" w14:textId="77777777" w:rsidR="00383313" w:rsidRPr="00D26534" w:rsidRDefault="00383313" w:rsidP="003A21D0">
            <w:pPr>
              <w:keepNext/>
              <w:jc w:val="left"/>
              <w:textAlignment w:val="baseline"/>
              <w:rPr>
                <w:rFonts w:ascii="Times New Roman" w:hAnsi="Times New Roman" w:cs="Times New Roman"/>
              </w:rPr>
            </w:pPr>
            <w:r w:rsidRPr="00D26534">
              <w:rPr>
                <w:rFonts w:ascii="Arial Narrow" w:hAnsi="Arial Narrow" w:cs="Times New Roman"/>
                <w:sz w:val="20"/>
                <w:szCs w:val="20"/>
              </w:rPr>
              <w:t> </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E9EDE7"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b/>
                <w:bCs/>
                <w:sz w:val="20"/>
                <w:szCs w:val="20"/>
              </w:rPr>
              <w:t>Esketamine + OAD</w:t>
            </w:r>
            <w:r w:rsidRPr="00D26534">
              <w:rPr>
                <w:rFonts w:ascii="Arial Narrow" w:hAnsi="Arial Narrow" w:cs="Times New Roman"/>
                <w:sz w:val="20"/>
                <w:szCs w:val="20"/>
              </w:rPr>
              <w:t> </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A5881C5"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b/>
                <w:bCs/>
                <w:sz w:val="20"/>
                <w:szCs w:val="20"/>
              </w:rPr>
              <w:t>Placebo + OAD</w:t>
            </w:r>
            <w:r w:rsidRPr="00D26534">
              <w:rPr>
                <w:rFonts w:ascii="Arial Narrow" w:hAnsi="Arial Narrow" w:cs="Times New Roman"/>
                <w:sz w:val="20"/>
                <w:szCs w:val="20"/>
              </w:rPr>
              <w:t> </w:t>
            </w:r>
          </w:p>
        </w:tc>
      </w:tr>
      <w:tr w:rsidR="00383313" w:rsidRPr="00D26534" w14:paraId="16A69272" w14:textId="77777777" w:rsidTr="002F61D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F8B510" w14:textId="77777777" w:rsidR="00383313" w:rsidRPr="00D26534" w:rsidRDefault="00383313" w:rsidP="003A21D0">
            <w:pPr>
              <w:keepNext/>
              <w:jc w:val="left"/>
              <w:rPr>
                <w:rFonts w:ascii="Times New Roman" w:hAnsi="Times New Roman" w:cs="Times New Roman"/>
              </w:rPr>
            </w:pP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6F6D6"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b/>
                <w:bCs/>
                <w:sz w:val="20"/>
                <w:szCs w:val="20"/>
              </w:rPr>
              <w:t>N</w:t>
            </w:r>
            <w:r w:rsidRPr="00D26534">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84947"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b/>
                <w:bCs/>
                <w:sz w:val="20"/>
                <w:szCs w:val="20"/>
              </w:rPr>
              <w:t>Mean (SD)</w:t>
            </w:r>
            <w:r w:rsidRPr="00D26534">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02B51"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b/>
                <w:bCs/>
                <w:sz w:val="20"/>
                <w:szCs w:val="20"/>
              </w:rPr>
              <w:t>N</w:t>
            </w:r>
            <w:r w:rsidRPr="00D26534">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AAAC74"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b/>
                <w:bCs/>
                <w:sz w:val="20"/>
                <w:szCs w:val="20"/>
              </w:rPr>
              <w:t>Mean (SD)</w:t>
            </w:r>
            <w:r w:rsidRPr="00D26534">
              <w:rPr>
                <w:rFonts w:ascii="Arial Narrow" w:hAnsi="Arial Narrow" w:cs="Times New Roman"/>
                <w:sz w:val="20"/>
                <w:szCs w:val="20"/>
              </w:rPr>
              <w:t> </w:t>
            </w:r>
          </w:p>
        </w:tc>
      </w:tr>
      <w:tr w:rsidR="00383313" w:rsidRPr="00D26534" w14:paraId="100714BB" w14:textId="77777777" w:rsidTr="002F61D6">
        <w:tc>
          <w:tcPr>
            <w:tcW w:w="901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0F4CCAA7" w14:textId="77777777" w:rsidR="00383313" w:rsidRPr="00D26534" w:rsidRDefault="00383313" w:rsidP="003A21D0">
            <w:pPr>
              <w:keepNext/>
              <w:jc w:val="left"/>
              <w:textAlignment w:val="baseline"/>
              <w:rPr>
                <w:rFonts w:ascii="Times New Roman" w:hAnsi="Times New Roman" w:cs="Times New Roman"/>
              </w:rPr>
            </w:pPr>
            <w:r w:rsidRPr="00D26534">
              <w:rPr>
                <w:rFonts w:ascii="Arial Narrow" w:hAnsi="Arial Narrow" w:cs="Times New Roman"/>
                <w:b/>
                <w:bCs/>
                <w:sz w:val="20"/>
                <w:szCs w:val="20"/>
              </w:rPr>
              <w:t>TRANSFORM-2</w:t>
            </w:r>
            <w:r w:rsidRPr="00D26534">
              <w:rPr>
                <w:rFonts w:ascii="Arial Narrow" w:hAnsi="Arial Narrow" w:cs="Times New Roman"/>
                <w:sz w:val="20"/>
                <w:szCs w:val="20"/>
              </w:rPr>
              <w:t> </w:t>
            </w:r>
          </w:p>
        </w:tc>
      </w:tr>
      <w:tr w:rsidR="00383313" w:rsidRPr="00D26534" w14:paraId="0C2E28FA"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AB2F5EA" w14:textId="77777777" w:rsidR="00383313" w:rsidRPr="00D26534" w:rsidRDefault="00383313" w:rsidP="003A21D0">
            <w:pPr>
              <w:keepNext/>
              <w:jc w:val="left"/>
              <w:textAlignment w:val="baseline"/>
              <w:rPr>
                <w:rFonts w:ascii="Times New Roman" w:hAnsi="Times New Roman" w:cs="Times New Roman"/>
              </w:rPr>
            </w:pPr>
            <w:r w:rsidRPr="00D26534">
              <w:rPr>
                <w:rFonts w:ascii="Arial Narrow" w:hAnsi="Arial Narrow" w:cs="Times New Roman"/>
                <w:sz w:val="20"/>
                <w:szCs w:val="20"/>
              </w:rPr>
              <w:t>Baseline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103C0"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114 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49AC66"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0.530 (0.208)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67A21E"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109 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C3234D"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0.501 (0.214) </w:t>
            </w:r>
          </w:p>
        </w:tc>
      </w:tr>
      <w:tr w:rsidR="00383313" w:rsidRPr="00D26534" w14:paraId="4CC4EDA4"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1E6B6CA" w14:textId="77777777" w:rsidR="00383313" w:rsidRPr="00D26534" w:rsidRDefault="00383313" w:rsidP="003A21D0">
            <w:pPr>
              <w:keepNext/>
              <w:jc w:val="left"/>
              <w:textAlignment w:val="baseline"/>
              <w:rPr>
                <w:rFonts w:ascii="Times New Roman" w:hAnsi="Times New Roman" w:cs="Times New Roman"/>
              </w:rPr>
            </w:pPr>
            <w:r w:rsidRPr="00D26534">
              <w:rPr>
                <w:rFonts w:ascii="Arial Narrow" w:hAnsi="Arial Narrow" w:cs="Times New Roman"/>
                <w:sz w:val="20"/>
                <w:szCs w:val="20"/>
              </w:rPr>
              <w:t>End point (day 28)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FF5785"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111 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D77FC"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0.815 (0.177)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0E353"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105 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9DCCC0"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0.737 (0.230) </w:t>
            </w:r>
          </w:p>
        </w:tc>
      </w:tr>
      <w:tr w:rsidR="00383313" w:rsidRPr="00D26534" w14:paraId="03328045" w14:textId="77777777" w:rsidTr="002F61D6">
        <w:tc>
          <w:tcPr>
            <w:tcW w:w="901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39DD8B37" w14:textId="77777777" w:rsidR="00383313" w:rsidRPr="00D26534" w:rsidRDefault="00383313" w:rsidP="003A21D0">
            <w:pPr>
              <w:keepNext/>
              <w:jc w:val="left"/>
              <w:textAlignment w:val="baseline"/>
              <w:rPr>
                <w:rFonts w:ascii="Times New Roman" w:hAnsi="Times New Roman" w:cs="Times New Roman"/>
              </w:rPr>
            </w:pPr>
            <w:r w:rsidRPr="00D26534">
              <w:rPr>
                <w:rFonts w:ascii="Arial Narrow" w:hAnsi="Arial Narrow" w:cs="Times New Roman"/>
                <w:b/>
                <w:bCs/>
                <w:sz w:val="20"/>
                <w:szCs w:val="20"/>
              </w:rPr>
              <w:t>TRANSFORM-3</w:t>
            </w:r>
            <w:r w:rsidRPr="00D26534">
              <w:rPr>
                <w:rFonts w:ascii="Arial Narrow" w:hAnsi="Arial Narrow" w:cs="Times New Roman"/>
                <w:sz w:val="20"/>
                <w:szCs w:val="20"/>
              </w:rPr>
              <w:t> </w:t>
            </w:r>
          </w:p>
        </w:tc>
      </w:tr>
      <w:tr w:rsidR="00383313" w:rsidRPr="00D26534" w14:paraId="0686A284"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36F8EE3" w14:textId="77777777" w:rsidR="00383313" w:rsidRPr="00D26534" w:rsidRDefault="00383313" w:rsidP="003A21D0">
            <w:pPr>
              <w:keepNext/>
              <w:jc w:val="left"/>
              <w:textAlignment w:val="baseline"/>
              <w:rPr>
                <w:rFonts w:ascii="Times New Roman" w:hAnsi="Times New Roman" w:cs="Times New Roman"/>
              </w:rPr>
            </w:pPr>
            <w:r w:rsidRPr="00D26534">
              <w:rPr>
                <w:rFonts w:ascii="Arial Narrow" w:hAnsi="Arial Narrow" w:cs="Times New Roman"/>
                <w:sz w:val="20"/>
                <w:szCs w:val="20"/>
              </w:rPr>
              <w:t>Baseline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C980AC"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72 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5A07AC"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0.581 (0.226)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52C5F"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65 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E41F03"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0.635 (0.228) </w:t>
            </w:r>
          </w:p>
        </w:tc>
      </w:tr>
      <w:tr w:rsidR="00383313" w:rsidRPr="00D26534" w14:paraId="1DA78B92"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6154F22" w14:textId="77777777" w:rsidR="00383313" w:rsidRPr="00D26534" w:rsidRDefault="00383313" w:rsidP="003A21D0">
            <w:pPr>
              <w:keepNext/>
              <w:jc w:val="left"/>
              <w:textAlignment w:val="baseline"/>
              <w:rPr>
                <w:rFonts w:ascii="Times New Roman" w:hAnsi="Times New Roman" w:cs="Times New Roman"/>
              </w:rPr>
            </w:pPr>
            <w:r w:rsidRPr="00D26534">
              <w:rPr>
                <w:rFonts w:ascii="Arial Narrow" w:hAnsi="Arial Narrow" w:cs="Times New Roman"/>
                <w:sz w:val="20"/>
                <w:szCs w:val="20"/>
              </w:rPr>
              <w:t>End point (day 28)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9B97F"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70 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E1794"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0.653 (0.255)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FB4575"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64 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A4784B"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0.657 (0.211) </w:t>
            </w:r>
          </w:p>
        </w:tc>
      </w:tr>
      <w:tr w:rsidR="00383313" w:rsidRPr="00D26534" w14:paraId="4BCA3E79" w14:textId="77777777" w:rsidTr="002F61D6">
        <w:tc>
          <w:tcPr>
            <w:tcW w:w="90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3FA22DF7" w14:textId="77777777" w:rsidR="00383313" w:rsidRPr="00D26534" w:rsidRDefault="00383313" w:rsidP="003A21D0">
            <w:pPr>
              <w:keepNext/>
              <w:jc w:val="left"/>
              <w:textAlignment w:val="baseline"/>
              <w:rPr>
                <w:rFonts w:ascii="Times New Roman" w:hAnsi="Times New Roman" w:cs="Times New Roman"/>
              </w:rPr>
            </w:pPr>
            <w:r w:rsidRPr="00D26534">
              <w:rPr>
                <w:rFonts w:ascii="Arial Narrow" w:hAnsi="Arial Narrow" w:cs="Times New Roman"/>
                <w:b/>
                <w:bCs/>
                <w:sz w:val="20"/>
                <w:szCs w:val="20"/>
              </w:rPr>
              <w:t>TRANSFORM-1</w:t>
            </w:r>
            <w:r w:rsidRPr="00D26534">
              <w:rPr>
                <w:rFonts w:ascii="Arial Narrow" w:hAnsi="Arial Narrow" w:cs="Times New Roman"/>
                <w:sz w:val="20"/>
                <w:szCs w:val="20"/>
              </w:rPr>
              <w:t> </w:t>
            </w:r>
          </w:p>
        </w:tc>
      </w:tr>
      <w:tr w:rsidR="00383313" w:rsidRPr="00D26534" w14:paraId="6E062E1F"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CB931B" w14:textId="77777777" w:rsidR="00383313" w:rsidRPr="00D26534" w:rsidRDefault="00383313" w:rsidP="003A21D0">
            <w:pPr>
              <w:keepNext/>
              <w:jc w:val="left"/>
              <w:textAlignment w:val="baseline"/>
              <w:rPr>
                <w:rFonts w:ascii="Times New Roman" w:hAnsi="Times New Roman" w:cs="Times New Roman"/>
              </w:rPr>
            </w:pPr>
            <w:r w:rsidRPr="00D26534">
              <w:rPr>
                <w:rFonts w:ascii="Arial Narrow" w:hAnsi="Arial Narrow" w:cs="Times New Roman"/>
                <w:sz w:val="20"/>
                <w:szCs w:val="20"/>
              </w:rPr>
              <w:t>Baseline (56 mg)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742E9"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115 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E9EC9"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0.531 (0.220) </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48E836D"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113 </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A54B090"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0.521 (0.216) </w:t>
            </w:r>
          </w:p>
        </w:tc>
      </w:tr>
      <w:tr w:rsidR="00383313" w:rsidRPr="00D26534" w14:paraId="702CEE9E"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E2442BC" w14:textId="77777777" w:rsidR="00383313" w:rsidRPr="00D26534" w:rsidRDefault="00383313" w:rsidP="003A21D0">
            <w:pPr>
              <w:keepNext/>
              <w:jc w:val="left"/>
              <w:textAlignment w:val="baseline"/>
              <w:rPr>
                <w:rFonts w:ascii="Times New Roman" w:hAnsi="Times New Roman" w:cs="Times New Roman"/>
              </w:rPr>
            </w:pPr>
            <w:r w:rsidRPr="00D26534">
              <w:rPr>
                <w:rFonts w:ascii="Arial Narrow" w:hAnsi="Arial Narrow" w:cs="Times New Roman"/>
                <w:sz w:val="20"/>
                <w:szCs w:val="20"/>
              </w:rPr>
              <w:t>Baseline (84 mg)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120A7"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114 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E9856"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0.502 (0.208)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56E3C6" w14:textId="77777777" w:rsidR="00383313" w:rsidRPr="00D26534" w:rsidRDefault="00383313" w:rsidP="003A21D0">
            <w:pPr>
              <w:keepNext/>
              <w:jc w:val="left"/>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6CF62C" w14:textId="77777777" w:rsidR="00383313" w:rsidRPr="00D26534" w:rsidRDefault="00383313" w:rsidP="003A21D0">
            <w:pPr>
              <w:keepNext/>
              <w:jc w:val="left"/>
              <w:rPr>
                <w:rFonts w:ascii="Times New Roman" w:hAnsi="Times New Roman" w:cs="Times New Roman"/>
              </w:rPr>
            </w:pPr>
          </w:p>
        </w:tc>
      </w:tr>
      <w:tr w:rsidR="00383313" w:rsidRPr="00D26534" w14:paraId="576BA084"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6CB0E53" w14:textId="77777777" w:rsidR="00383313" w:rsidRPr="00D26534" w:rsidRDefault="00383313" w:rsidP="003A21D0">
            <w:pPr>
              <w:keepNext/>
              <w:jc w:val="left"/>
              <w:textAlignment w:val="baseline"/>
              <w:rPr>
                <w:rFonts w:ascii="Times New Roman" w:hAnsi="Times New Roman" w:cs="Times New Roman"/>
              </w:rPr>
            </w:pPr>
            <w:r w:rsidRPr="00D26534">
              <w:rPr>
                <w:rFonts w:ascii="Arial Narrow" w:hAnsi="Arial Narrow" w:cs="Times New Roman"/>
                <w:sz w:val="20"/>
                <w:szCs w:val="20"/>
              </w:rPr>
              <w:t>End point (56 mg)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1416C"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113 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6799B5"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0.755 (0.216) </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180ADEB"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113 </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09CB8D5"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0.703 (0.217) </w:t>
            </w:r>
          </w:p>
        </w:tc>
      </w:tr>
      <w:tr w:rsidR="00383313" w:rsidRPr="00D26534" w14:paraId="5FD9E632"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6F9C4CA" w14:textId="77777777" w:rsidR="00383313" w:rsidRPr="00D26534" w:rsidRDefault="00383313" w:rsidP="003A21D0">
            <w:pPr>
              <w:keepNext/>
              <w:jc w:val="left"/>
              <w:textAlignment w:val="baseline"/>
              <w:rPr>
                <w:rFonts w:ascii="Times New Roman" w:hAnsi="Times New Roman" w:cs="Times New Roman"/>
              </w:rPr>
            </w:pPr>
            <w:r w:rsidRPr="00D26534">
              <w:rPr>
                <w:rFonts w:ascii="Arial Narrow" w:hAnsi="Arial Narrow" w:cs="Times New Roman"/>
                <w:sz w:val="20"/>
                <w:szCs w:val="20"/>
              </w:rPr>
              <w:t>End point (84 mg)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F553F"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112 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761FE3" w14:textId="77777777" w:rsidR="00383313" w:rsidRPr="00D26534" w:rsidRDefault="00383313" w:rsidP="003A21D0">
            <w:pPr>
              <w:keepNext/>
              <w:jc w:val="center"/>
              <w:textAlignment w:val="baseline"/>
              <w:rPr>
                <w:rFonts w:ascii="Times New Roman" w:hAnsi="Times New Roman" w:cs="Times New Roman"/>
              </w:rPr>
            </w:pPr>
            <w:r w:rsidRPr="00D26534">
              <w:rPr>
                <w:rFonts w:ascii="Arial Narrow" w:hAnsi="Arial Narrow" w:cs="Times New Roman"/>
                <w:sz w:val="20"/>
                <w:szCs w:val="20"/>
              </w:rPr>
              <w:t>0.741 (0.203)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B224AC" w14:textId="77777777" w:rsidR="00383313" w:rsidRPr="00D26534" w:rsidRDefault="00383313" w:rsidP="003A21D0">
            <w:pPr>
              <w:keepNext/>
              <w:jc w:val="left"/>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35D930" w14:textId="77777777" w:rsidR="00383313" w:rsidRPr="00D26534" w:rsidRDefault="00383313" w:rsidP="003A21D0">
            <w:pPr>
              <w:keepNext/>
              <w:jc w:val="left"/>
              <w:rPr>
                <w:rFonts w:ascii="Times New Roman" w:hAnsi="Times New Roman" w:cs="Times New Roman"/>
              </w:rPr>
            </w:pPr>
          </w:p>
        </w:tc>
      </w:tr>
    </w:tbl>
    <w:p w14:paraId="4560EB40" w14:textId="77777777" w:rsidR="00383313" w:rsidRPr="00D26534" w:rsidRDefault="00383313" w:rsidP="003A21D0">
      <w:pPr>
        <w:pStyle w:val="TableFigureFooter"/>
        <w:keepNext/>
        <w:rPr>
          <w:rFonts w:ascii="Segoe UI" w:hAnsi="Segoe UI"/>
        </w:rPr>
      </w:pPr>
      <w:r w:rsidRPr="00D26534">
        <w:t>Source: TEFEQ5D01A, p.4465 TRANSFORM-1 CSR; TEFEQ5D01A, p.2853 TRANSFORM-2 CSR; TEFEQ5D01A, p.1930 TRANSFORM-3 CSR </w:t>
      </w:r>
    </w:p>
    <w:p w14:paraId="322DBCFC" w14:textId="1624ED89" w:rsidR="00383313" w:rsidRPr="00D26534" w:rsidRDefault="00383313" w:rsidP="00383313">
      <w:pPr>
        <w:pStyle w:val="TableFigureFooter"/>
        <w:rPr>
          <w:rFonts w:ascii="Segoe UI" w:hAnsi="Segoe UI"/>
        </w:rPr>
      </w:pPr>
      <w:r w:rsidRPr="00D26534">
        <w:t>Abbreviations: OAD, oral antidepressant; SD, standard deviation </w:t>
      </w:r>
    </w:p>
    <w:p w14:paraId="1FB7D502" w14:textId="785F0C00" w:rsidR="00383313" w:rsidRPr="00D26534" w:rsidRDefault="00383313" w:rsidP="00383313">
      <w:pPr>
        <w:pStyle w:val="TableFigureFooter"/>
        <w:rPr>
          <w:rFonts w:ascii="Segoe UI" w:hAnsi="Segoe UI"/>
        </w:rPr>
      </w:pPr>
      <w:r w:rsidRPr="00D26534">
        <w:t>Note: Health Status Index ranges from -0.148 to 0.949 and is anchored at 0 (health state valued equal to dead) and 1 (full health).</w:t>
      </w:r>
      <w:r w:rsidR="00DC0105" w:rsidRPr="00D26534">
        <w:t xml:space="preserve"> In each of the trials, patient-level EQ 5D-5L data were transformed into health state utilities using the Canadian value set.</w:t>
      </w:r>
    </w:p>
    <w:p w14:paraId="6A736FD0" w14:textId="77777777" w:rsidR="00383313" w:rsidRPr="00334ED6" w:rsidRDefault="00383313" w:rsidP="00334ED6">
      <w:pPr>
        <w:pStyle w:val="ListParagraph"/>
        <w:numPr>
          <w:ilvl w:val="1"/>
          <w:numId w:val="1"/>
        </w:numPr>
        <w:spacing w:after="120"/>
        <w:ind w:hanging="720"/>
        <w:contextualSpacing w:val="0"/>
        <w:rPr>
          <w:rFonts w:cs="Calibri"/>
          <w:bCs/>
          <w:iCs/>
        </w:rPr>
      </w:pPr>
      <w:r w:rsidRPr="00334ED6">
        <w:rPr>
          <w:rFonts w:cs="Calibri"/>
          <w:bCs/>
          <w:iCs/>
        </w:rPr>
        <w:t>Participants in the placebo and esketamine treatment arms of the TRANSFORM trials experienced improvements in quality of life as measured by the EQ-5D-5L health status index between baseline and end of study, with a trend favouring treatment with intranasal esketamine. There were some differences in mean scores at baseline between treatment groups, particularly in TRANSFORM-3. </w:t>
      </w:r>
    </w:p>
    <w:p w14:paraId="69956057" w14:textId="2C4957F7" w:rsidR="00383313" w:rsidRPr="00334ED6" w:rsidRDefault="00383313" w:rsidP="00334ED6">
      <w:pPr>
        <w:pStyle w:val="ListParagraph"/>
        <w:numPr>
          <w:ilvl w:val="1"/>
          <w:numId w:val="1"/>
        </w:numPr>
        <w:spacing w:after="120"/>
        <w:ind w:hanging="720"/>
        <w:contextualSpacing w:val="0"/>
        <w:rPr>
          <w:rFonts w:cs="Calibri"/>
          <w:bCs/>
          <w:iCs/>
        </w:rPr>
      </w:pPr>
      <w:r w:rsidRPr="00334ED6">
        <w:rPr>
          <w:rFonts w:cs="Calibri"/>
          <w:bCs/>
          <w:iCs/>
        </w:rPr>
        <w:t xml:space="preserve">In the SUSTAIN-1 trial, the primary efficacy endpoint was the time from randomisation (in the maintenance phase) to the first relapse in patients who previously achieved stable remission with esketamine nasal spray by the end of the optimisation phase. Time to relapse in the stable remitters and stable </w:t>
      </w:r>
      <w:proofErr w:type="gramStart"/>
      <w:r w:rsidRPr="00334ED6">
        <w:rPr>
          <w:rFonts w:cs="Calibri"/>
          <w:bCs/>
          <w:iCs/>
        </w:rPr>
        <w:t>responders</w:t>
      </w:r>
      <w:proofErr w:type="gramEnd"/>
      <w:r w:rsidRPr="00334ED6">
        <w:rPr>
          <w:rFonts w:cs="Calibri"/>
          <w:bCs/>
          <w:iCs/>
        </w:rPr>
        <w:t xml:space="preserve"> sets are summarised in </w:t>
      </w:r>
      <w:r w:rsidRPr="00334ED6">
        <w:rPr>
          <w:rFonts w:cs="Calibri"/>
          <w:bCs/>
          <w:iCs/>
        </w:rPr>
        <w:fldChar w:fldCharType="begin" w:fldLock="1"/>
      </w:r>
      <w:r w:rsidRPr="00334ED6">
        <w:rPr>
          <w:rFonts w:cs="Calibri"/>
          <w:bCs/>
          <w:iCs/>
        </w:rPr>
        <w:instrText xml:space="preserve"> REF _Ref134471395 \h  \* MERGEFORMAT </w:instrText>
      </w:r>
      <w:r w:rsidRPr="00334ED6">
        <w:rPr>
          <w:rFonts w:cs="Calibri"/>
          <w:bCs/>
          <w:iCs/>
        </w:rPr>
      </w:r>
      <w:r w:rsidRPr="00334ED6">
        <w:rPr>
          <w:rFonts w:cs="Calibri"/>
          <w:bCs/>
          <w:iCs/>
        </w:rPr>
        <w:fldChar w:fldCharType="separate"/>
      </w:r>
      <w:r w:rsidR="002B3C60" w:rsidRPr="002B3C60">
        <w:rPr>
          <w:rFonts w:cs="Calibri"/>
          <w:bCs/>
          <w:iCs/>
        </w:rPr>
        <w:t>Table 8</w:t>
      </w:r>
      <w:r w:rsidRPr="00334ED6">
        <w:rPr>
          <w:rFonts w:cs="Calibri"/>
          <w:bCs/>
          <w:iCs/>
        </w:rPr>
        <w:fldChar w:fldCharType="end"/>
      </w:r>
      <w:r w:rsidRPr="00334ED6">
        <w:rPr>
          <w:rFonts w:cs="Calibri"/>
          <w:bCs/>
          <w:iCs/>
        </w:rPr>
        <w:t xml:space="preserve"> below. </w:t>
      </w:r>
    </w:p>
    <w:p w14:paraId="229DEB62" w14:textId="6A647452" w:rsidR="00383313" w:rsidRPr="00D26534" w:rsidRDefault="00383313" w:rsidP="00B138DC">
      <w:pPr>
        <w:pStyle w:val="COMtablefigcaption"/>
        <w:rPr>
          <w:rFonts w:ascii="Segoe UI" w:hAnsi="Segoe UI"/>
        </w:rPr>
      </w:pPr>
      <w:bookmarkStart w:id="31" w:name="_Ref134471395"/>
      <w:r w:rsidRPr="00D26534">
        <w:t xml:space="preserve">Table </w:t>
      </w:r>
      <w:r w:rsidR="004E64B8">
        <w:fldChar w:fldCharType="begin" w:fldLock="1"/>
      </w:r>
      <w:r w:rsidR="004E64B8">
        <w:instrText xml:space="preserve"> SEQ Table \* ARABIC </w:instrText>
      </w:r>
      <w:r w:rsidR="004E64B8">
        <w:fldChar w:fldCharType="separate"/>
      </w:r>
      <w:r w:rsidR="002B3C60">
        <w:rPr>
          <w:noProof/>
        </w:rPr>
        <w:t>8</w:t>
      </w:r>
      <w:r w:rsidR="004E64B8">
        <w:rPr>
          <w:noProof/>
        </w:rPr>
        <w:fldChar w:fldCharType="end"/>
      </w:r>
      <w:bookmarkEnd w:id="31"/>
      <w:r w:rsidRPr="00D26534">
        <w:t>: Time to relapse</w:t>
      </w:r>
      <w:r w:rsidRPr="00D26534">
        <w:rPr>
          <w:vertAlign w:val="superscript"/>
        </w:rPr>
        <w:t>a</w:t>
      </w:r>
      <w:r w:rsidRPr="00D26534">
        <w:t xml:space="preserve"> in the SUSTAIN-1 trial (stable remitters and responders)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8: Time to relapsea in the SUSTAIN-1 trial (stable remitters and responders) "/>
      </w:tblPr>
      <w:tblGrid>
        <w:gridCol w:w="2984"/>
        <w:gridCol w:w="1622"/>
        <w:gridCol w:w="1623"/>
        <w:gridCol w:w="1418"/>
        <w:gridCol w:w="1364"/>
      </w:tblGrid>
      <w:tr w:rsidR="00383313" w:rsidRPr="00D26534" w14:paraId="22D4773D" w14:textId="77777777" w:rsidTr="002F61D6">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1F5BD928" w14:textId="77777777" w:rsidR="00383313" w:rsidRPr="00D26534" w:rsidRDefault="00383313" w:rsidP="002F61D6">
            <w:pPr>
              <w:textAlignment w:val="baseline"/>
              <w:rPr>
                <w:rFonts w:ascii="Times New Roman" w:hAnsi="Times New Roman" w:cs="Times New Roman"/>
              </w:rPr>
            </w:pPr>
            <w:r w:rsidRPr="00D26534">
              <w:rPr>
                <w:rFonts w:cs="Calibri"/>
              </w:rPr>
              <w:t>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A6A31B"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Esketamine + OAD</w:t>
            </w:r>
            <w:r w:rsidRPr="00D26534">
              <w:rPr>
                <w:rFonts w:ascii="Arial Narrow" w:hAnsi="Arial Narrow" w:cs="Times New Roman"/>
                <w:sz w:val="20"/>
                <w:szCs w:val="20"/>
              </w:rPr>
              <w:t>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C18E8"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Placebo + OAD</w:t>
            </w:r>
            <w:r w:rsidRPr="00D26534">
              <w:rPr>
                <w:rFonts w:ascii="Arial Narrow" w:hAnsi="Arial Narrow"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E42472"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Mean difference</w:t>
            </w:r>
            <w:r w:rsidRPr="00D26534">
              <w:rPr>
                <w:rFonts w:ascii="Arial Narrow" w:hAnsi="Arial Narrow" w:cs="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56EAAD"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Hazard ratio</w:t>
            </w:r>
            <w:r w:rsidRPr="00D26534">
              <w:rPr>
                <w:rFonts w:ascii="Arial Narrow" w:hAnsi="Arial Narrow" w:cs="Times New Roman"/>
                <w:sz w:val="20"/>
                <w:szCs w:val="20"/>
              </w:rPr>
              <w:t> </w:t>
            </w:r>
          </w:p>
          <w:p w14:paraId="6075D0B4"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(95% CI)</w:t>
            </w:r>
            <w:r w:rsidRPr="00D26534">
              <w:rPr>
                <w:rFonts w:ascii="Arial Narrow" w:hAnsi="Arial Narrow" w:cs="Times New Roman"/>
                <w:b/>
                <w:bCs/>
                <w:sz w:val="16"/>
                <w:szCs w:val="16"/>
                <w:vertAlign w:val="superscript"/>
              </w:rPr>
              <w:t>b</w:t>
            </w:r>
            <w:r w:rsidRPr="00D26534">
              <w:rPr>
                <w:rFonts w:ascii="Arial Narrow" w:hAnsi="Arial Narrow" w:cs="Times New Roman"/>
                <w:sz w:val="16"/>
                <w:szCs w:val="16"/>
              </w:rPr>
              <w:t> </w:t>
            </w:r>
          </w:p>
        </w:tc>
      </w:tr>
      <w:tr w:rsidR="00383313" w:rsidRPr="00D26534" w14:paraId="1381D211" w14:textId="77777777" w:rsidTr="002F61D6">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4BEF1D93" w14:textId="77777777" w:rsidR="00383313" w:rsidRPr="00D26534" w:rsidRDefault="00383313" w:rsidP="002F61D6">
            <w:pPr>
              <w:textAlignment w:val="baseline"/>
              <w:rPr>
                <w:rFonts w:ascii="Times New Roman" w:hAnsi="Times New Roman" w:cs="Times New Roman"/>
              </w:rPr>
            </w:pPr>
            <w:r w:rsidRPr="00D26534">
              <w:rPr>
                <w:rFonts w:ascii="Arial Narrow" w:hAnsi="Arial Narrow" w:cs="Times New Roman"/>
                <w:b/>
                <w:bCs/>
                <w:sz w:val="20"/>
                <w:szCs w:val="20"/>
              </w:rPr>
              <w:t>Stable Remitters</w:t>
            </w:r>
            <w:r w:rsidRPr="00D26534">
              <w:rPr>
                <w:rFonts w:ascii="Arial Narrow" w:hAnsi="Arial Narrow" w:cs="Times New Roman"/>
                <w:sz w:val="20"/>
                <w:szCs w:val="20"/>
              </w:rPr>
              <w:t>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E7602"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N=90</w:t>
            </w:r>
            <w:r w:rsidRPr="00D26534">
              <w:rPr>
                <w:rFonts w:ascii="Arial Narrow" w:hAnsi="Arial Narrow" w:cs="Times New Roman"/>
                <w:sz w:val="20"/>
                <w:szCs w:val="20"/>
              </w:rPr>
              <w:t>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1E9E3"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N=86</w:t>
            </w:r>
            <w:r w:rsidRPr="00D26534">
              <w:rPr>
                <w:rFonts w:ascii="Arial Narrow" w:hAnsi="Arial Narrow"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46AE62"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w:t>
            </w:r>
            <w:r w:rsidRPr="00D26534">
              <w:rPr>
                <w:rFonts w:ascii="Arial Narrow" w:hAnsi="Arial Narrow" w:cs="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CEECD"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w:t>
            </w:r>
            <w:r w:rsidRPr="00D26534">
              <w:rPr>
                <w:rFonts w:ascii="Arial Narrow" w:hAnsi="Arial Narrow" w:cs="Times New Roman"/>
                <w:sz w:val="20"/>
                <w:szCs w:val="20"/>
              </w:rPr>
              <w:t> </w:t>
            </w:r>
          </w:p>
        </w:tc>
      </w:tr>
      <w:tr w:rsidR="00383313" w:rsidRPr="00D26534" w14:paraId="3873B86F" w14:textId="77777777" w:rsidTr="002F61D6">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7664945D"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Number of relapses, n (%)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CAADA"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24 (26.7)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31270"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39 (45.3)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F710BA"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18.6 </w:t>
            </w:r>
          </w:p>
        </w:tc>
        <w:tc>
          <w:tcPr>
            <w:tcW w:w="136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4998B3"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0.49 (0.29, 0.84)</w:t>
            </w:r>
            <w:r w:rsidRPr="00D26534">
              <w:rPr>
                <w:rFonts w:ascii="Arial Narrow" w:hAnsi="Arial Narrow" w:cs="Times New Roman"/>
                <w:sz w:val="20"/>
                <w:szCs w:val="20"/>
              </w:rPr>
              <w:t> </w:t>
            </w:r>
          </w:p>
        </w:tc>
      </w:tr>
      <w:tr w:rsidR="00383313" w:rsidRPr="00D26534" w14:paraId="0D5DA656" w14:textId="77777777" w:rsidTr="002F61D6">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4A775703"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Median time to relapse, days (95% CI)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51DC04"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NE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25BB2"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273.0 (97.0, NE)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49820"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NE </w:t>
            </w:r>
          </w:p>
        </w:tc>
        <w:tc>
          <w:tcPr>
            <w:tcW w:w="136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BCE301" w14:textId="77777777" w:rsidR="00383313" w:rsidRPr="00D26534" w:rsidRDefault="00383313" w:rsidP="002F61D6">
            <w:pPr>
              <w:jc w:val="left"/>
              <w:rPr>
                <w:rFonts w:ascii="Times New Roman" w:hAnsi="Times New Roman" w:cs="Times New Roman"/>
              </w:rPr>
            </w:pPr>
          </w:p>
        </w:tc>
      </w:tr>
      <w:tr w:rsidR="00383313" w:rsidRPr="00D26534" w14:paraId="32CE0D7A" w14:textId="77777777" w:rsidTr="002F61D6">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5CC2E637" w14:textId="77777777" w:rsidR="00383313" w:rsidRPr="00D26534" w:rsidRDefault="00383313" w:rsidP="002F61D6">
            <w:pPr>
              <w:textAlignment w:val="baseline"/>
              <w:rPr>
                <w:rFonts w:ascii="Times New Roman" w:hAnsi="Times New Roman" w:cs="Times New Roman"/>
              </w:rPr>
            </w:pPr>
            <w:r w:rsidRPr="00D26534">
              <w:rPr>
                <w:rFonts w:ascii="Arial Narrow" w:hAnsi="Arial Narrow" w:cs="Times New Roman"/>
                <w:b/>
                <w:bCs/>
                <w:sz w:val="20"/>
                <w:szCs w:val="20"/>
              </w:rPr>
              <w:t>Stable Responders</w:t>
            </w:r>
            <w:r w:rsidRPr="00D26534">
              <w:rPr>
                <w:rFonts w:ascii="Arial Narrow" w:hAnsi="Arial Narrow" w:cs="Times New Roman"/>
                <w:sz w:val="20"/>
                <w:szCs w:val="20"/>
              </w:rPr>
              <w:t> </w:t>
            </w:r>
          </w:p>
        </w:tc>
        <w:tc>
          <w:tcPr>
            <w:tcW w:w="1622" w:type="dxa"/>
            <w:tcBorders>
              <w:top w:val="single" w:sz="6" w:space="0" w:color="auto"/>
              <w:left w:val="single" w:sz="6" w:space="0" w:color="auto"/>
              <w:bottom w:val="single" w:sz="6" w:space="0" w:color="auto"/>
              <w:right w:val="single" w:sz="6" w:space="0" w:color="auto"/>
            </w:tcBorders>
            <w:shd w:val="clear" w:color="auto" w:fill="auto"/>
            <w:hideMark/>
          </w:tcPr>
          <w:p w14:paraId="3C06B5EE"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N=62</w:t>
            </w:r>
            <w:r w:rsidRPr="00D26534">
              <w:rPr>
                <w:rFonts w:ascii="Arial Narrow" w:hAnsi="Arial Narrow" w:cs="Times New Roman"/>
                <w:sz w:val="20"/>
                <w:szCs w:val="20"/>
              </w:rPr>
              <w:t> </w:t>
            </w:r>
          </w:p>
        </w:tc>
        <w:tc>
          <w:tcPr>
            <w:tcW w:w="1623" w:type="dxa"/>
            <w:tcBorders>
              <w:top w:val="single" w:sz="6" w:space="0" w:color="auto"/>
              <w:left w:val="single" w:sz="6" w:space="0" w:color="auto"/>
              <w:bottom w:val="single" w:sz="6" w:space="0" w:color="auto"/>
              <w:right w:val="single" w:sz="6" w:space="0" w:color="auto"/>
            </w:tcBorders>
            <w:shd w:val="clear" w:color="auto" w:fill="auto"/>
            <w:hideMark/>
          </w:tcPr>
          <w:p w14:paraId="687E3F27"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N=59</w:t>
            </w:r>
            <w:r w:rsidRPr="00D26534">
              <w:rPr>
                <w:rFonts w:ascii="Arial Narrow" w:hAnsi="Arial Narrow"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E49B740"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w:t>
            </w:r>
            <w:r w:rsidRPr="00D26534">
              <w:rPr>
                <w:rFonts w:ascii="Arial Narrow" w:hAnsi="Arial Narrow" w:cs="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7D07E44B"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w:t>
            </w:r>
            <w:r w:rsidRPr="00D26534">
              <w:rPr>
                <w:rFonts w:ascii="Arial Narrow" w:hAnsi="Arial Narrow" w:cs="Times New Roman"/>
                <w:sz w:val="20"/>
                <w:szCs w:val="20"/>
              </w:rPr>
              <w:t> </w:t>
            </w:r>
          </w:p>
        </w:tc>
      </w:tr>
      <w:tr w:rsidR="00383313" w:rsidRPr="00D26534" w14:paraId="5A5FEA1A" w14:textId="77777777" w:rsidTr="002F61D6">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25E7E175"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Number of relapses, n (%)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0FAB4"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16 (25.8)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EA3E2"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34 (57.6)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C1DC6F"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31.8 </w:t>
            </w:r>
          </w:p>
        </w:tc>
        <w:tc>
          <w:tcPr>
            <w:tcW w:w="136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A32652A"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0.30 (0.16, 0.55)</w:t>
            </w:r>
            <w:r w:rsidRPr="00D26534">
              <w:rPr>
                <w:rFonts w:ascii="Arial Narrow" w:hAnsi="Arial Narrow" w:cs="Times New Roman"/>
                <w:sz w:val="20"/>
                <w:szCs w:val="20"/>
              </w:rPr>
              <w:t> </w:t>
            </w:r>
          </w:p>
        </w:tc>
      </w:tr>
      <w:tr w:rsidR="00383313" w:rsidRPr="00D26534" w14:paraId="62C4A9ED" w14:textId="77777777" w:rsidTr="002F61D6">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2CA4CC3A"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Median time to relapse, days (95% CI)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B8C4F"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635.0 (264.0, 635.0)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82983B"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88.0 (46.0, 196.0)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16C7A2"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547 </w:t>
            </w:r>
          </w:p>
        </w:tc>
        <w:tc>
          <w:tcPr>
            <w:tcW w:w="136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F54E2B" w14:textId="77777777" w:rsidR="00383313" w:rsidRPr="00D26534" w:rsidRDefault="00383313" w:rsidP="002F61D6">
            <w:pPr>
              <w:jc w:val="left"/>
              <w:rPr>
                <w:rFonts w:ascii="Times New Roman" w:hAnsi="Times New Roman" w:cs="Times New Roman"/>
              </w:rPr>
            </w:pPr>
          </w:p>
        </w:tc>
      </w:tr>
    </w:tbl>
    <w:p w14:paraId="2DB7CEED" w14:textId="77777777" w:rsidR="00383313" w:rsidRPr="00D26534" w:rsidRDefault="00383313" w:rsidP="00383313">
      <w:pPr>
        <w:pStyle w:val="TableFigureFooter"/>
        <w:rPr>
          <w:rFonts w:ascii="Segoe UI" w:hAnsi="Segoe UI"/>
        </w:rPr>
      </w:pPr>
      <w:r w:rsidRPr="00D26534">
        <w:t>Source: Table 2-25, p.136; Table 2-26, p.139 of the July 2022 resubmission </w:t>
      </w:r>
    </w:p>
    <w:p w14:paraId="7F8A2E2A" w14:textId="0FDD6D72" w:rsidR="00383313" w:rsidRPr="00D26534" w:rsidRDefault="00383313" w:rsidP="00383313">
      <w:pPr>
        <w:pStyle w:val="TableFigureFooter"/>
        <w:rPr>
          <w:rFonts w:ascii="Segoe UI" w:hAnsi="Segoe UI"/>
        </w:rPr>
      </w:pPr>
      <w:r w:rsidRPr="00D26534">
        <w:t>Abbreviations: CI, confidence interval; NE, not estimable; OAD, oral antidepressant </w:t>
      </w:r>
    </w:p>
    <w:p w14:paraId="7319F9D1" w14:textId="77777777" w:rsidR="00383313" w:rsidRPr="00D26534" w:rsidRDefault="00383313" w:rsidP="00383313">
      <w:pPr>
        <w:pStyle w:val="TableFigureFooter"/>
        <w:rPr>
          <w:rFonts w:ascii="Segoe UI" w:hAnsi="Segoe UI"/>
        </w:rPr>
      </w:pPr>
      <w:r w:rsidRPr="00D26534">
        <w:rPr>
          <w:sz w:val="14"/>
          <w:szCs w:val="14"/>
          <w:vertAlign w:val="superscript"/>
        </w:rPr>
        <w:t xml:space="preserve">a </w:t>
      </w:r>
      <w:r w:rsidRPr="00D26534">
        <w:t>Based on Kaplan-Meier product limit estimates </w:t>
      </w:r>
    </w:p>
    <w:p w14:paraId="4691AACE" w14:textId="77777777" w:rsidR="00383313" w:rsidRPr="00D26534" w:rsidRDefault="00383313" w:rsidP="00383313">
      <w:pPr>
        <w:pStyle w:val="TableFigureFooter"/>
        <w:rPr>
          <w:rFonts w:ascii="Segoe UI" w:hAnsi="Segoe UI"/>
        </w:rPr>
      </w:pPr>
      <w:r w:rsidRPr="00D26534">
        <w:rPr>
          <w:sz w:val="14"/>
          <w:szCs w:val="14"/>
          <w:vertAlign w:val="superscript"/>
        </w:rPr>
        <w:t xml:space="preserve">b </w:t>
      </w:r>
      <w:r w:rsidRPr="00D26534">
        <w:t>Hazard ratio and CI are weighted estimates based on Wassmer (2006) and calculated using R </w:t>
      </w:r>
    </w:p>
    <w:p w14:paraId="5D527F9E" w14:textId="77777777" w:rsidR="00383313" w:rsidRPr="00334ED6" w:rsidRDefault="00383313" w:rsidP="00334ED6">
      <w:pPr>
        <w:pStyle w:val="ListParagraph"/>
        <w:numPr>
          <w:ilvl w:val="1"/>
          <w:numId w:val="1"/>
        </w:numPr>
        <w:spacing w:after="120"/>
        <w:ind w:hanging="720"/>
        <w:contextualSpacing w:val="0"/>
        <w:rPr>
          <w:rFonts w:cs="Calibri"/>
          <w:bCs/>
          <w:iCs/>
        </w:rPr>
      </w:pPr>
      <w:r w:rsidRPr="00334ED6">
        <w:rPr>
          <w:rFonts w:cs="Calibri"/>
          <w:bCs/>
          <w:iCs/>
        </w:rPr>
        <w:t>Treatment with esketamine nasal spray significantly delayed relapse in stable remitters and stable responders compared with intranasal placebo.  </w:t>
      </w:r>
    </w:p>
    <w:p w14:paraId="5662E47D" w14:textId="6D139474" w:rsidR="00383313" w:rsidRPr="00334ED6" w:rsidRDefault="00383313" w:rsidP="00334ED6">
      <w:pPr>
        <w:pStyle w:val="ListParagraph"/>
        <w:numPr>
          <w:ilvl w:val="1"/>
          <w:numId w:val="1"/>
        </w:numPr>
        <w:spacing w:after="120"/>
        <w:ind w:hanging="720"/>
        <w:contextualSpacing w:val="0"/>
        <w:rPr>
          <w:rFonts w:cs="Calibri"/>
          <w:bCs/>
          <w:iCs/>
        </w:rPr>
      </w:pPr>
      <w:r w:rsidRPr="00334ED6">
        <w:rPr>
          <w:rFonts w:cs="Calibri"/>
          <w:bCs/>
          <w:iCs/>
        </w:rPr>
        <w:t xml:space="preserve">Remission and response from baseline (maintenance) to endpoint in the SUSTAIN-1 trial is summarised in </w:t>
      </w:r>
      <w:r w:rsidRPr="00334ED6">
        <w:rPr>
          <w:rFonts w:cs="Calibri"/>
          <w:bCs/>
          <w:iCs/>
        </w:rPr>
        <w:fldChar w:fldCharType="begin" w:fldLock="1"/>
      </w:r>
      <w:r w:rsidRPr="00334ED6">
        <w:rPr>
          <w:rFonts w:cs="Calibri"/>
          <w:bCs/>
          <w:iCs/>
        </w:rPr>
        <w:instrText xml:space="preserve"> REF _Ref134471445 \h  \* MERGEFORMAT </w:instrText>
      </w:r>
      <w:r w:rsidRPr="00334ED6">
        <w:rPr>
          <w:rFonts w:cs="Calibri"/>
          <w:bCs/>
          <w:iCs/>
        </w:rPr>
      </w:r>
      <w:r w:rsidRPr="00334ED6">
        <w:rPr>
          <w:rFonts w:cs="Calibri"/>
          <w:bCs/>
          <w:iCs/>
        </w:rPr>
        <w:fldChar w:fldCharType="separate"/>
      </w:r>
      <w:r w:rsidR="002B3C60" w:rsidRPr="002B3C60">
        <w:rPr>
          <w:rFonts w:cs="Calibri"/>
          <w:bCs/>
          <w:iCs/>
        </w:rPr>
        <w:t>Table 9</w:t>
      </w:r>
      <w:r w:rsidRPr="00334ED6">
        <w:rPr>
          <w:rFonts w:cs="Calibri"/>
          <w:bCs/>
          <w:iCs/>
        </w:rPr>
        <w:fldChar w:fldCharType="end"/>
      </w:r>
      <w:r w:rsidRPr="00334ED6">
        <w:rPr>
          <w:rFonts w:cs="Calibri"/>
          <w:bCs/>
          <w:iCs/>
        </w:rPr>
        <w:t xml:space="preserve"> below. </w:t>
      </w:r>
    </w:p>
    <w:p w14:paraId="2AE4765D" w14:textId="714BD650" w:rsidR="00383313" w:rsidRPr="00D26534" w:rsidRDefault="00383313" w:rsidP="00B138DC">
      <w:pPr>
        <w:pStyle w:val="COMtablefigcaption"/>
        <w:rPr>
          <w:rFonts w:ascii="Segoe UI" w:hAnsi="Segoe UI"/>
          <w:sz w:val="18"/>
          <w:szCs w:val="18"/>
        </w:rPr>
      </w:pPr>
      <w:bookmarkStart w:id="32" w:name="_Ref134471445"/>
      <w:r w:rsidRPr="00D26534">
        <w:lastRenderedPageBreak/>
        <w:t xml:space="preserve">Table </w:t>
      </w:r>
      <w:r w:rsidR="004E64B8">
        <w:fldChar w:fldCharType="begin" w:fldLock="1"/>
      </w:r>
      <w:r w:rsidR="004E64B8">
        <w:instrText xml:space="preserve"> SEQ Table \* ARABIC </w:instrText>
      </w:r>
      <w:r w:rsidR="004E64B8">
        <w:fldChar w:fldCharType="separate"/>
      </w:r>
      <w:r w:rsidR="002B3C60">
        <w:rPr>
          <w:noProof/>
        </w:rPr>
        <w:t>9</w:t>
      </w:r>
      <w:r w:rsidR="004E64B8">
        <w:rPr>
          <w:noProof/>
        </w:rPr>
        <w:fldChar w:fldCharType="end"/>
      </w:r>
      <w:bookmarkEnd w:id="32"/>
      <w:r w:rsidRPr="00D26534">
        <w:t>: Remission and response based on Montgomery-Asberg Depression Rating Scale (MADRS) total score over time; Maintenance phase (Study SUSTAIN-1: Full (Stable Remitters and Responders) Analysis Set)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9: Remission and response based on Montgomery-Asberg Depression Rating Scale (MADRS) total score over time; Maintenance phase (Study SUSTAIN-1: Full (Stable Remitters and Responders) Analysis Set) "/>
      </w:tblPr>
      <w:tblGrid>
        <w:gridCol w:w="1800"/>
        <w:gridCol w:w="1799"/>
        <w:gridCol w:w="1799"/>
        <w:gridCol w:w="1799"/>
        <w:gridCol w:w="1814"/>
      </w:tblGrid>
      <w:tr w:rsidR="00383313" w:rsidRPr="00D26534" w14:paraId="5B1A3585" w14:textId="77777777" w:rsidTr="002F61D6">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99D974B"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b/>
                <w:bCs/>
                <w:sz w:val="20"/>
                <w:szCs w:val="20"/>
              </w:rPr>
              <w:t>MADRS total score</w:t>
            </w:r>
            <w:r w:rsidRPr="00D26534">
              <w:rPr>
                <w:rFonts w:ascii="Arial Narrow" w:hAnsi="Arial Narrow" w:cs="Times New Roman"/>
                <w:sz w:val="20"/>
                <w:szCs w:val="20"/>
              </w:rPr>
              <w:t> </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C1D2FD"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Stable remitters</w:t>
            </w:r>
            <w:r w:rsidRPr="00D26534">
              <w:rPr>
                <w:rFonts w:ascii="Arial Narrow" w:hAnsi="Arial Narrow" w:cs="Times New Roman"/>
                <w:sz w:val="20"/>
                <w:szCs w:val="20"/>
              </w:rPr>
              <w:t> </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FC81D56"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Stable responders</w:t>
            </w:r>
            <w:r w:rsidRPr="00D26534">
              <w:rPr>
                <w:rFonts w:ascii="Arial Narrow" w:hAnsi="Arial Narrow" w:cs="Times New Roman"/>
                <w:sz w:val="20"/>
                <w:szCs w:val="20"/>
              </w:rPr>
              <w:t> </w:t>
            </w:r>
          </w:p>
        </w:tc>
      </w:tr>
      <w:tr w:rsidR="00383313" w:rsidRPr="00D26534" w14:paraId="73142217" w14:textId="77777777" w:rsidTr="002F61D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8421E2" w14:textId="77777777" w:rsidR="00383313" w:rsidRPr="00D26534" w:rsidRDefault="00383313" w:rsidP="002F61D6">
            <w:pPr>
              <w:jc w:val="left"/>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14AA87"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Esk + OAD</w:t>
            </w:r>
            <w:r w:rsidRPr="00D26534">
              <w:rPr>
                <w:rFonts w:ascii="Arial Narrow" w:hAnsi="Arial Narrow" w:cs="Times New Roman"/>
                <w:sz w:val="20"/>
                <w:szCs w:val="20"/>
              </w:rPr>
              <w:t> </w:t>
            </w:r>
          </w:p>
          <w:p w14:paraId="0ADEC534"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(N = 90)</w:t>
            </w:r>
            <w:r w:rsidRPr="00D26534">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00C4C"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Pbo + OAD</w:t>
            </w:r>
            <w:r w:rsidRPr="00D26534">
              <w:rPr>
                <w:rFonts w:ascii="Arial Narrow" w:hAnsi="Arial Narrow" w:cs="Times New Roman"/>
                <w:sz w:val="20"/>
                <w:szCs w:val="20"/>
              </w:rPr>
              <w:t> </w:t>
            </w:r>
          </w:p>
          <w:p w14:paraId="7724801F"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(N = 86)</w:t>
            </w:r>
            <w:r w:rsidRPr="00D26534">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40E29"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Esk + OAD</w:t>
            </w:r>
            <w:r w:rsidRPr="00D26534">
              <w:rPr>
                <w:rFonts w:ascii="Arial Narrow" w:hAnsi="Arial Narrow" w:cs="Times New Roman"/>
                <w:sz w:val="20"/>
                <w:szCs w:val="20"/>
              </w:rPr>
              <w:t> </w:t>
            </w:r>
          </w:p>
          <w:p w14:paraId="09B02020"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(N = 62)</w:t>
            </w:r>
            <w:r w:rsidRPr="00D26534">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D2E50"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Pbo + OAD</w:t>
            </w:r>
            <w:r w:rsidRPr="00D26534">
              <w:rPr>
                <w:rFonts w:ascii="Arial Narrow" w:hAnsi="Arial Narrow" w:cs="Times New Roman"/>
                <w:sz w:val="20"/>
                <w:szCs w:val="20"/>
              </w:rPr>
              <w:t> </w:t>
            </w:r>
          </w:p>
          <w:p w14:paraId="0E767FDE"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b/>
                <w:bCs/>
                <w:sz w:val="20"/>
                <w:szCs w:val="20"/>
              </w:rPr>
              <w:t>(N = 59)</w:t>
            </w:r>
            <w:r w:rsidRPr="00D26534">
              <w:rPr>
                <w:rFonts w:ascii="Arial Narrow" w:hAnsi="Arial Narrow" w:cs="Times New Roman"/>
                <w:sz w:val="20"/>
                <w:szCs w:val="20"/>
              </w:rPr>
              <w:t> </w:t>
            </w:r>
          </w:p>
        </w:tc>
      </w:tr>
      <w:tr w:rsidR="00383313" w:rsidRPr="00D26534" w14:paraId="7518F0E7" w14:textId="77777777" w:rsidTr="002F61D6">
        <w:tc>
          <w:tcPr>
            <w:tcW w:w="90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66CC044"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b/>
                <w:bCs/>
                <w:sz w:val="20"/>
                <w:szCs w:val="20"/>
              </w:rPr>
              <w:t>Remission</w:t>
            </w:r>
            <w:r w:rsidRPr="00D26534">
              <w:rPr>
                <w:rFonts w:ascii="Arial Narrow" w:hAnsi="Arial Narrow" w:cs="Times New Roman"/>
                <w:sz w:val="20"/>
                <w:szCs w:val="20"/>
              </w:rPr>
              <w:t> </w:t>
            </w:r>
          </w:p>
        </w:tc>
      </w:tr>
      <w:tr w:rsidR="00383313" w:rsidRPr="00D26534" w14:paraId="32E222E7"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8DEC5F4"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Baseline </w:t>
            </w:r>
          </w:p>
          <w:p w14:paraId="755CFB2D"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≤12 </w:t>
            </w:r>
          </w:p>
          <w:p w14:paraId="0B1CEFE0"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&gt;12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2B2808"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42ABBBEF"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90 (100.0) </w:t>
            </w:r>
          </w:p>
          <w:p w14:paraId="51559192"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BE6E65"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569E0928"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85 (98.8) </w:t>
            </w:r>
          </w:p>
          <w:p w14:paraId="07D23607"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1 (1.2)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6F4CA3"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16DBD57F"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37 (59.7) </w:t>
            </w:r>
          </w:p>
          <w:p w14:paraId="0A9A192B"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25 (40.3)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C44AA8"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0970E62D"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38 (64.4) </w:t>
            </w:r>
          </w:p>
          <w:p w14:paraId="4B3B0957"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21 (35.6) </w:t>
            </w:r>
          </w:p>
        </w:tc>
      </w:tr>
      <w:tr w:rsidR="00383313" w:rsidRPr="00D26534" w14:paraId="724457F5"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61B8A8"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Endpoint </w:t>
            </w:r>
          </w:p>
          <w:p w14:paraId="47F5DC79"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≤12 </w:t>
            </w:r>
          </w:p>
          <w:p w14:paraId="3E17E6D3"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&gt;12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FEF077"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105BC778"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58 (65.2) </w:t>
            </w:r>
          </w:p>
          <w:p w14:paraId="2C000FF3"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31 (34.8)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70B073"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132DF715"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36 (41.9) </w:t>
            </w:r>
          </w:p>
          <w:p w14:paraId="656CA928"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50 (58.1)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A25D25"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33DC005A"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29 (46.8) </w:t>
            </w:r>
          </w:p>
          <w:p w14:paraId="1A06411C"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33 (53.2)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FC7C6D"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7D3E56B5"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15 (25.4) </w:t>
            </w:r>
          </w:p>
          <w:p w14:paraId="5B915A5C"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44 (74.6) </w:t>
            </w:r>
          </w:p>
        </w:tc>
      </w:tr>
      <w:tr w:rsidR="00383313" w:rsidRPr="00D26534" w14:paraId="6E51D9B1" w14:textId="77777777" w:rsidTr="002F61D6">
        <w:tc>
          <w:tcPr>
            <w:tcW w:w="90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42EF385B"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b/>
                <w:bCs/>
                <w:sz w:val="20"/>
                <w:szCs w:val="20"/>
              </w:rPr>
              <w:t>Response</w:t>
            </w:r>
            <w:r w:rsidRPr="00D26534">
              <w:rPr>
                <w:rFonts w:ascii="Arial Narrow" w:hAnsi="Arial Narrow" w:cs="Times New Roman"/>
                <w:sz w:val="20"/>
                <w:szCs w:val="20"/>
              </w:rPr>
              <w:t> </w:t>
            </w:r>
          </w:p>
        </w:tc>
      </w:tr>
      <w:tr w:rsidR="00383313" w:rsidRPr="00D26534" w14:paraId="5AB2D65C"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944F3"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Baseline  </w:t>
            </w:r>
          </w:p>
          <w:p w14:paraId="4576FC9D" w14:textId="77777777" w:rsidR="00383313" w:rsidRPr="00D26534" w:rsidRDefault="00383313" w:rsidP="002F61D6">
            <w:pPr>
              <w:jc w:val="left"/>
              <w:textAlignment w:val="baseline"/>
              <w:rPr>
                <w:rFonts w:ascii="Times New Roman" w:hAnsi="Times New Roman" w:cs="Times New Roman"/>
              </w:rPr>
            </w:pPr>
            <w:r w:rsidRPr="00D26534">
              <w:rPr>
                <w:rFonts w:ascii="Symbol" w:hAnsi="Symbol" w:cs="Times New Roman"/>
                <w:sz w:val="20"/>
                <w:szCs w:val="20"/>
              </w:rPr>
              <w:t>³</w:t>
            </w:r>
            <w:r w:rsidRPr="00D26534">
              <w:rPr>
                <w:rFonts w:ascii="Arial Narrow" w:hAnsi="Arial Narrow" w:cs="Times New Roman"/>
                <w:sz w:val="20"/>
                <w:szCs w:val="20"/>
              </w:rPr>
              <w:t xml:space="preserve"> 50% improvement </w:t>
            </w:r>
          </w:p>
          <w:p w14:paraId="00C5E0D1"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&lt; 50% improvement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4E53DE"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51F4505A"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90 (100.0) </w:t>
            </w:r>
          </w:p>
          <w:p w14:paraId="24BB76CC"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C92B61"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2E91F5B7"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86 (100.0) </w:t>
            </w:r>
          </w:p>
          <w:p w14:paraId="308C4047"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8AB29F"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56F33489"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62 (100.0) </w:t>
            </w:r>
          </w:p>
          <w:p w14:paraId="4B333D24"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BD71F6"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09C9A2B8"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59 (100.0) </w:t>
            </w:r>
          </w:p>
          <w:p w14:paraId="177410BD"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0 </w:t>
            </w:r>
          </w:p>
        </w:tc>
      </w:tr>
      <w:tr w:rsidR="00383313" w:rsidRPr="00D26534" w14:paraId="492C0B45" w14:textId="77777777" w:rsidTr="002F61D6">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D66E00"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Endpoint  </w:t>
            </w:r>
          </w:p>
          <w:p w14:paraId="5246C307" w14:textId="77777777" w:rsidR="00383313" w:rsidRPr="00D26534" w:rsidRDefault="00383313" w:rsidP="002F61D6">
            <w:pPr>
              <w:jc w:val="left"/>
              <w:textAlignment w:val="baseline"/>
              <w:rPr>
                <w:rFonts w:ascii="Times New Roman" w:hAnsi="Times New Roman" w:cs="Times New Roman"/>
              </w:rPr>
            </w:pPr>
            <w:r w:rsidRPr="00D26534">
              <w:rPr>
                <w:rFonts w:ascii="Symbol" w:hAnsi="Symbol" w:cs="Times New Roman"/>
                <w:sz w:val="20"/>
                <w:szCs w:val="20"/>
              </w:rPr>
              <w:t>³</w:t>
            </w:r>
            <w:r w:rsidRPr="00D26534">
              <w:rPr>
                <w:rFonts w:ascii="Arial Narrow" w:hAnsi="Arial Narrow" w:cs="Times New Roman"/>
                <w:sz w:val="20"/>
                <w:szCs w:val="20"/>
              </w:rPr>
              <w:t xml:space="preserve"> 50% improvement </w:t>
            </w:r>
          </w:p>
          <w:p w14:paraId="7FB4B2E3" w14:textId="77777777" w:rsidR="00383313" w:rsidRPr="00D26534" w:rsidRDefault="00383313" w:rsidP="002F61D6">
            <w:pPr>
              <w:jc w:val="left"/>
              <w:textAlignment w:val="baseline"/>
              <w:rPr>
                <w:rFonts w:ascii="Times New Roman" w:hAnsi="Times New Roman" w:cs="Times New Roman"/>
              </w:rPr>
            </w:pPr>
            <w:r w:rsidRPr="00D26534">
              <w:rPr>
                <w:rFonts w:ascii="Arial Narrow" w:hAnsi="Arial Narrow" w:cs="Times New Roman"/>
                <w:sz w:val="20"/>
                <w:szCs w:val="20"/>
              </w:rPr>
              <w:t>&lt; 50% improvement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3FBC61"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722AB046"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67 (75.3) </w:t>
            </w:r>
          </w:p>
          <w:p w14:paraId="6AB961DE"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22 (24.7)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EC65FA"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5C1109FA"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48 (55.8) </w:t>
            </w:r>
          </w:p>
          <w:p w14:paraId="14B893B7"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38 (44.2)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07896F"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24301269"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41 (66.1) </w:t>
            </w:r>
          </w:p>
          <w:p w14:paraId="633F0AA1"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21 (33.9)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879D15"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 </w:t>
            </w:r>
          </w:p>
          <w:p w14:paraId="61A1D2E4"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20 (33.9) </w:t>
            </w:r>
          </w:p>
          <w:p w14:paraId="182471BD" w14:textId="77777777" w:rsidR="00383313" w:rsidRPr="00D26534" w:rsidRDefault="00383313" w:rsidP="002F61D6">
            <w:pPr>
              <w:jc w:val="center"/>
              <w:textAlignment w:val="baseline"/>
              <w:rPr>
                <w:rFonts w:ascii="Times New Roman" w:hAnsi="Times New Roman" w:cs="Times New Roman"/>
              </w:rPr>
            </w:pPr>
            <w:r w:rsidRPr="00D26534">
              <w:rPr>
                <w:rFonts w:ascii="Arial Narrow" w:hAnsi="Arial Narrow" w:cs="Times New Roman"/>
                <w:sz w:val="20"/>
                <w:szCs w:val="20"/>
              </w:rPr>
              <w:t>39 (66.1) </w:t>
            </w:r>
          </w:p>
        </w:tc>
      </w:tr>
    </w:tbl>
    <w:p w14:paraId="39B924F7" w14:textId="77777777" w:rsidR="00383313" w:rsidRPr="00D26534" w:rsidRDefault="00383313" w:rsidP="00383313">
      <w:pPr>
        <w:pStyle w:val="TableFigureFooter"/>
        <w:rPr>
          <w:rFonts w:ascii="Segoe UI" w:hAnsi="Segoe UI"/>
        </w:rPr>
      </w:pPr>
      <w:r w:rsidRPr="00D26534">
        <w:t>Source: Table 2-28, p.143; Table 2-29, p.144 of the July 2022 resubmission </w:t>
      </w:r>
    </w:p>
    <w:p w14:paraId="0ECBFBD7" w14:textId="418B434B" w:rsidR="00383313" w:rsidRPr="00D26534" w:rsidRDefault="00383313" w:rsidP="00383313">
      <w:pPr>
        <w:pStyle w:val="TableFigureFooter"/>
        <w:rPr>
          <w:rFonts w:ascii="Segoe UI" w:hAnsi="Segoe UI"/>
        </w:rPr>
      </w:pPr>
      <w:r w:rsidRPr="00D26534">
        <w:t>Abbreviations: Esk, esketamine; MADRS, Montgomery-Asberg Depression Rating Scale; OAD, oral antidepressant; Pbo, placebo </w:t>
      </w:r>
    </w:p>
    <w:p w14:paraId="42890DFE" w14:textId="77777777" w:rsidR="00383313" w:rsidRPr="00334ED6" w:rsidRDefault="00383313" w:rsidP="00334ED6">
      <w:pPr>
        <w:pStyle w:val="ListParagraph"/>
        <w:numPr>
          <w:ilvl w:val="1"/>
          <w:numId w:val="1"/>
        </w:numPr>
        <w:spacing w:after="120"/>
        <w:ind w:hanging="720"/>
        <w:contextualSpacing w:val="0"/>
        <w:rPr>
          <w:rFonts w:cs="Calibri"/>
          <w:bCs/>
          <w:iCs/>
        </w:rPr>
      </w:pPr>
      <w:r w:rsidRPr="00334ED6">
        <w:rPr>
          <w:rFonts w:cs="Calibri"/>
          <w:bCs/>
          <w:iCs/>
        </w:rPr>
        <w:t>Remission was achieved or maintained by a higher percentage of subjects in the esketamine nasal spray treatment groups. Remission during the maintenance phase among stable remitters decreased less over time in the esketamine nasal spray group compared with the intranasal placebo group (33.6% versus 57.9%), which indicates fewer patients lose remission over the trial period. Similarly, in stable responders, remission was achieved or maintained by a higher percentage of subjects in the esketamine nasal spray treatment groups compared with patients in the intranasal placebo treatment groups. The reduction over time was smaller in the esketamine nasal spray group, indicating fewer patients lost remission over the trial time period when treated with esketamine nasal spray and an OAD versus continuing on an OAD alone. </w:t>
      </w:r>
    </w:p>
    <w:p w14:paraId="1EEAAD88" w14:textId="77777777" w:rsidR="00383313" w:rsidRPr="00334ED6" w:rsidRDefault="00383313" w:rsidP="00334ED6">
      <w:pPr>
        <w:pStyle w:val="ListParagraph"/>
        <w:numPr>
          <w:ilvl w:val="1"/>
          <w:numId w:val="1"/>
        </w:numPr>
        <w:spacing w:after="120"/>
        <w:ind w:hanging="720"/>
        <w:contextualSpacing w:val="0"/>
        <w:rPr>
          <w:rFonts w:cs="Calibri"/>
          <w:bCs/>
          <w:iCs/>
        </w:rPr>
      </w:pPr>
      <w:r w:rsidRPr="00334ED6">
        <w:rPr>
          <w:rFonts w:cs="Calibri"/>
          <w:bCs/>
          <w:iCs/>
        </w:rPr>
        <w:t>Response was also maintained or lost at a slower rate by a higher percentage of subjects in the esketamine nasal spray treatment groups. Response during the maintenance phase among stable remitters decreased from 100% of patients in both the esketamine nasal spray treatment group and intranasal placebo group at baseline to 75.3% and 55.8%, respectively, at endpoint. This suggests that fewer patients lost response over the trial period with esketamine nasal spray. Similarly, subjects with response in stable responders decreased from 100% in the esketamine nasal spray treatment group and 100% in the intranasal placebo group at baseline to 66.1% and 33.9% of subjects, respectively, at endpoint. Fewer patients lost response over the trial time period when treated with esketamine nasal spray. </w:t>
      </w:r>
    </w:p>
    <w:p w14:paraId="598AF2EA" w14:textId="5AEC2415" w:rsidR="00831AE6" w:rsidRPr="00334ED6" w:rsidRDefault="00D92A43" w:rsidP="00334ED6">
      <w:pPr>
        <w:pStyle w:val="ListParagraph"/>
        <w:numPr>
          <w:ilvl w:val="1"/>
          <w:numId w:val="1"/>
        </w:numPr>
        <w:spacing w:after="120"/>
        <w:ind w:hanging="720"/>
        <w:contextualSpacing w:val="0"/>
        <w:rPr>
          <w:rFonts w:cs="Calibri"/>
          <w:bCs/>
          <w:iCs/>
        </w:rPr>
      </w:pPr>
      <w:r w:rsidRPr="00334ED6">
        <w:rPr>
          <w:rFonts w:cs="Calibri"/>
          <w:bCs/>
          <w:iCs/>
        </w:rPr>
        <w:t>The resubmission provided additional data from the long-term optimisation/maintenance phase of the SUSTAIN-3 study (Zaki, Chen et al</w:t>
      </w:r>
      <w:r w:rsidR="00C86962" w:rsidRPr="00334ED6">
        <w:rPr>
          <w:rFonts w:cs="Calibri"/>
          <w:bCs/>
          <w:iCs/>
        </w:rPr>
        <w:t>.</w:t>
      </w:r>
      <w:r w:rsidRPr="00334ED6">
        <w:rPr>
          <w:rFonts w:cs="Calibri"/>
          <w:bCs/>
          <w:iCs/>
        </w:rPr>
        <w:t xml:space="preserve"> 2023), an open-label long term extension safety study of esketamine nasal spray in adult and elderly people with TRD, who previously participated in TRANSFORM-1, TRANSFORM-</w:t>
      </w:r>
      <w:r w:rsidRPr="00334ED6">
        <w:rPr>
          <w:rFonts w:cs="Calibri"/>
          <w:bCs/>
          <w:iCs/>
        </w:rPr>
        <w:lastRenderedPageBreak/>
        <w:t>2, SUSTAIN-1, SUSTAIN-2, TRANSFORM-3 or TRD3006</w:t>
      </w:r>
      <w:r w:rsidR="00351A40" w:rsidRPr="00334ED6">
        <w:rPr>
          <w:rFonts w:cs="Calibri"/>
          <w:bCs/>
          <w:iCs/>
        </w:rPr>
        <w:t xml:space="preserve"> (Chen 2023)</w:t>
      </w:r>
      <w:r w:rsidRPr="00334ED6">
        <w:rPr>
          <w:rFonts w:cs="Calibri"/>
          <w:bCs/>
          <w:iCs/>
        </w:rPr>
        <w:t xml:space="preserve"> studies. Patients entered either a 4 week induction phase followed by an optimisation/maintenance phase of variable duration (n=458), or directly entered the optimisation/maintenance phase (n=690) based on their status at the end of the parent study. Mean esketamine exposure was 42.9 months (SD 24.2 months). Of the 1,110 individuals who participated in the optimisation/maintenance phase, 38.7% discontinued the study, primarily due to adverse events (6.0%), withdrawal by participant (5.3%) and lack of efficacy (4.7%). </w:t>
      </w:r>
    </w:p>
    <w:p w14:paraId="64F5C444" w14:textId="50C95B07" w:rsidR="00D92A43" w:rsidRPr="00334ED6" w:rsidRDefault="00D92A43" w:rsidP="00334ED6">
      <w:pPr>
        <w:pStyle w:val="ListParagraph"/>
        <w:numPr>
          <w:ilvl w:val="1"/>
          <w:numId w:val="1"/>
        </w:numPr>
        <w:spacing w:after="120"/>
        <w:ind w:hanging="720"/>
        <w:contextualSpacing w:val="0"/>
        <w:rPr>
          <w:rFonts w:cs="Calibri"/>
          <w:bCs/>
          <w:iCs/>
        </w:rPr>
      </w:pPr>
      <w:r w:rsidRPr="00334ED6">
        <w:rPr>
          <w:rFonts w:cs="Calibri"/>
          <w:bCs/>
          <w:iCs/>
        </w:rPr>
        <w:t>Over 80% of patients remained on esketamine treatment for 12 months or more, with over half the participants still treated with esketamine after 3.5 years</w:t>
      </w:r>
      <w:r w:rsidR="00334ED6" w:rsidRPr="00334ED6">
        <w:rPr>
          <w:rFonts w:cs="Calibri"/>
          <w:bCs/>
          <w:iCs/>
        </w:rPr>
        <w:t>.</w:t>
      </w:r>
      <w:r w:rsidR="00366293">
        <w:rPr>
          <w:rFonts w:cs="Calibri"/>
          <w:bCs/>
          <w:iCs/>
        </w:rPr>
        <w:t xml:space="preserve"> </w:t>
      </w:r>
      <w:r w:rsidRPr="00334ED6">
        <w:rPr>
          <w:rFonts w:cs="Calibri"/>
          <w:bCs/>
          <w:iCs/>
        </w:rPr>
        <w:t>The resubmission argued that the duration of treatment seen in the SUSTAIN-3 trial was unlikely to be realised in Australian clinical practice. The SUSTAIN-3 study was designed to meet ethical requirements for patients who had previously responded to treatment to continue to receive esketamine prior to registration and reimbursement. Patients were not required to discontinue treatment with esketamine and could remain on treatment indefinitely. The resubmission also noted that the study was conducted at the height of the COVID pandemic and for many patients, the ability to see a psychiatrist at each study visit may have been desirable. In addition, patients were not able to undergo retreatment in the trial, which may have encouraged patients to stay on treatment for longer than was necessary. It is unclear how the resubmission’s proposed restriction for treatment beyond 12 months will impact the average duration of treatment. Under the proposed restriction, once a patient has been approved for esketamine use beyond 12 months, there is no time limit for continued treatment.</w:t>
      </w:r>
    </w:p>
    <w:p w14:paraId="53D08BA7" w14:textId="767CE523" w:rsidR="00D92A43" w:rsidRPr="00334ED6" w:rsidRDefault="00D92A43" w:rsidP="00334ED6">
      <w:pPr>
        <w:pStyle w:val="ListParagraph"/>
        <w:numPr>
          <w:ilvl w:val="1"/>
          <w:numId w:val="1"/>
        </w:numPr>
        <w:spacing w:after="120"/>
        <w:ind w:hanging="720"/>
        <w:contextualSpacing w:val="0"/>
        <w:rPr>
          <w:rFonts w:cs="Calibri"/>
          <w:bCs/>
          <w:iCs/>
        </w:rPr>
      </w:pPr>
      <w:r w:rsidRPr="00334ED6">
        <w:rPr>
          <w:rFonts w:cs="Calibri"/>
          <w:bCs/>
          <w:iCs/>
        </w:rPr>
        <w:t>Maintenance of efficacy was measured using the MADRS total score, with 49.2% of patients (224/455) classed as responders (≥50% reduction in MADRS total score) at the end of the induction phase</w:t>
      </w:r>
      <w:r w:rsidR="007B716B" w:rsidRPr="00334ED6">
        <w:rPr>
          <w:rFonts w:cs="Calibri"/>
          <w:bCs/>
          <w:iCs/>
        </w:rPr>
        <w:t xml:space="preserve">, and approximately 50% of patients </w:t>
      </w:r>
      <w:r w:rsidR="00096C7C" w:rsidRPr="00334ED6">
        <w:rPr>
          <w:rFonts w:cs="Calibri"/>
          <w:bCs/>
          <w:iCs/>
        </w:rPr>
        <w:t>in remission at various timepoints during the maintenance phase of the study</w:t>
      </w:r>
      <w:r w:rsidR="00334ED6" w:rsidRPr="00334ED6">
        <w:rPr>
          <w:rFonts w:cs="Calibri"/>
          <w:bCs/>
          <w:iCs/>
        </w:rPr>
        <w:t>.</w:t>
      </w:r>
    </w:p>
    <w:p w14:paraId="5F5F70E4" w14:textId="3DB10521" w:rsidR="00D92A43" w:rsidRPr="00334ED6" w:rsidRDefault="00D92A43" w:rsidP="00334ED6">
      <w:pPr>
        <w:pStyle w:val="ListParagraph"/>
        <w:numPr>
          <w:ilvl w:val="1"/>
          <w:numId w:val="1"/>
        </w:numPr>
        <w:spacing w:after="120"/>
        <w:ind w:hanging="720"/>
        <w:contextualSpacing w:val="0"/>
        <w:rPr>
          <w:rFonts w:cs="Calibri"/>
          <w:bCs/>
          <w:iCs/>
        </w:rPr>
      </w:pPr>
      <w:r w:rsidRPr="00334ED6">
        <w:rPr>
          <w:rFonts w:cs="Calibri"/>
          <w:bCs/>
          <w:iCs/>
        </w:rPr>
        <w:t>The study also measured improvement in functioning and associated disability using the Sheehan Disability Scale total score, with results indicating maintenance of response from optimisation/maintenance phase baseline to endpoint</w:t>
      </w:r>
      <w:r w:rsidR="00334ED6" w:rsidRPr="00334ED6">
        <w:rPr>
          <w:rFonts w:cs="Calibri"/>
          <w:bCs/>
          <w:iCs/>
        </w:rPr>
        <w:t>.</w:t>
      </w:r>
    </w:p>
    <w:p w14:paraId="46E4DE5F" w14:textId="77777777" w:rsidR="00980B3C" w:rsidRPr="00334ED6" w:rsidRDefault="00980B3C" w:rsidP="00334ED6">
      <w:pPr>
        <w:pStyle w:val="ListParagraph"/>
        <w:numPr>
          <w:ilvl w:val="1"/>
          <w:numId w:val="1"/>
        </w:numPr>
        <w:spacing w:after="120"/>
        <w:ind w:hanging="720"/>
        <w:contextualSpacing w:val="0"/>
        <w:rPr>
          <w:rFonts w:cs="Calibri"/>
          <w:bCs/>
          <w:iCs/>
        </w:rPr>
      </w:pPr>
      <w:r w:rsidRPr="00334ED6">
        <w:rPr>
          <w:rFonts w:cs="Calibri"/>
          <w:bCs/>
          <w:iCs/>
        </w:rPr>
        <w:t>Limitations of the SUSTAIN-3 study were listed in the resubmission, including the study design (open label with no comparator arm), limited generalisability of study findings due to potential bias relating to whether participants chose to continue (or not continue) from the parent study into this study, and no set duration of treatment or requirement to cease treatment at any time. In addition, sample size decreases at later time points in the study may have implications for the representativeness or generalisability of the findings. Given these limitations, the resubmission reiterated that SUSTAIN-3 cannot be used to inform the efficacy assumptions in the economic model, but rather provides supportive efficacy data and relevant long-term safety data.</w:t>
      </w:r>
    </w:p>
    <w:p w14:paraId="18AD9DCB" w14:textId="3E79FB16" w:rsidR="00840779" w:rsidRPr="00334ED6" w:rsidRDefault="00C943E0" w:rsidP="00334ED6">
      <w:pPr>
        <w:pStyle w:val="ListParagraph"/>
        <w:numPr>
          <w:ilvl w:val="1"/>
          <w:numId w:val="1"/>
        </w:numPr>
        <w:spacing w:after="120"/>
        <w:ind w:hanging="720"/>
        <w:contextualSpacing w:val="0"/>
        <w:rPr>
          <w:rFonts w:cs="Calibri"/>
          <w:bCs/>
          <w:iCs/>
        </w:rPr>
      </w:pPr>
      <w:r w:rsidRPr="00334ED6">
        <w:rPr>
          <w:rFonts w:cs="Calibri"/>
          <w:bCs/>
          <w:iCs/>
        </w:rPr>
        <w:lastRenderedPageBreak/>
        <w:t xml:space="preserve">The resubmission summarised the results of two US claims database studies (Teeple 2021; Karkare 2021) reporting real-world use of esketamine to provide data on use of esketamine beyond 12 months, and retreatment with esketamine after relapse. Both studies were only available as poster presentations, which limited the amount of available information. </w:t>
      </w:r>
    </w:p>
    <w:p w14:paraId="183EE3C5" w14:textId="51CE2F07" w:rsidR="00C943E0" w:rsidRPr="00334ED6" w:rsidRDefault="00C943E0" w:rsidP="00334ED6">
      <w:pPr>
        <w:pStyle w:val="ListParagraph"/>
        <w:numPr>
          <w:ilvl w:val="1"/>
          <w:numId w:val="1"/>
        </w:numPr>
        <w:spacing w:after="120"/>
        <w:ind w:hanging="720"/>
        <w:contextualSpacing w:val="0"/>
        <w:rPr>
          <w:rFonts w:cs="Calibri"/>
          <w:bCs/>
          <w:iCs/>
        </w:rPr>
      </w:pPr>
      <w:r w:rsidRPr="00334ED6">
        <w:rPr>
          <w:rFonts w:cs="Calibri"/>
          <w:bCs/>
          <w:iCs/>
        </w:rPr>
        <w:t>Teeple 2021 (N=273; mean age 49.3 years; 66.3% female; median 12.4 months of follow-up) reported that 21.5% of patients receiving esketamine treatment for TRD</w:t>
      </w:r>
      <w:r w:rsidR="007A495D" w:rsidRPr="00334ED6">
        <w:rPr>
          <w:rFonts w:cs="Calibri"/>
          <w:bCs/>
          <w:iCs/>
        </w:rPr>
        <w:t xml:space="preserve"> (with available follow-up data)</w:t>
      </w:r>
      <w:r w:rsidRPr="00334ED6">
        <w:rPr>
          <w:rFonts w:cs="Calibri"/>
          <w:bCs/>
          <w:iCs/>
        </w:rPr>
        <w:t xml:space="preserve"> remained on treatment at 12 months; and, among the 188 patients who discontinued esketamine based on a &gt;60 day gap, 21.3% restarted treatment over available follow up.</w:t>
      </w:r>
    </w:p>
    <w:p w14:paraId="1C86A56F" w14:textId="79148CBF" w:rsidR="00F0228D" w:rsidRPr="00334ED6" w:rsidRDefault="00F0228D" w:rsidP="00334ED6">
      <w:pPr>
        <w:pStyle w:val="ListParagraph"/>
        <w:numPr>
          <w:ilvl w:val="1"/>
          <w:numId w:val="1"/>
        </w:numPr>
        <w:spacing w:after="120"/>
        <w:ind w:hanging="720"/>
        <w:contextualSpacing w:val="0"/>
        <w:rPr>
          <w:rFonts w:cs="Calibri"/>
          <w:bCs/>
          <w:iCs/>
        </w:rPr>
      </w:pPr>
      <w:r w:rsidRPr="00334ED6">
        <w:rPr>
          <w:rFonts w:cs="Calibri"/>
          <w:bCs/>
          <w:iCs/>
        </w:rPr>
        <w:t>Karkare 2021 (N=229; mean age 44.3 years; 62.4% female; media</w:t>
      </w:r>
      <w:r w:rsidR="00B51C82" w:rsidRPr="00334ED6">
        <w:rPr>
          <w:rFonts w:cs="Calibri"/>
          <w:bCs/>
          <w:iCs/>
        </w:rPr>
        <w:t>n</w:t>
      </w:r>
      <w:r w:rsidRPr="00334ED6">
        <w:rPr>
          <w:rFonts w:cs="Calibri"/>
          <w:bCs/>
          <w:iCs/>
        </w:rPr>
        <w:t xml:space="preserve"> 8.8 months follow-up) reported that 23.9% of patients receiving esketamine treatment for TRD </w:t>
      </w:r>
      <w:r w:rsidR="007A495D" w:rsidRPr="00334ED6">
        <w:rPr>
          <w:rFonts w:cs="Calibri"/>
          <w:bCs/>
          <w:iCs/>
        </w:rPr>
        <w:t xml:space="preserve">(with available follow-up data) </w:t>
      </w:r>
      <w:r w:rsidRPr="00334ED6">
        <w:rPr>
          <w:rFonts w:cs="Calibri"/>
          <w:bCs/>
          <w:iCs/>
        </w:rPr>
        <w:t>remained on treatment at 12 months; and, among the 133 patients who discontinued esketamine, 18.0% restarted treatment over available follow-up</w:t>
      </w:r>
    </w:p>
    <w:p w14:paraId="1C2E4DD9" w14:textId="73F3CC5C" w:rsidR="004C5B5D" w:rsidRPr="00334ED6" w:rsidRDefault="00233AC2" w:rsidP="00334ED6">
      <w:pPr>
        <w:pStyle w:val="ListParagraph"/>
        <w:numPr>
          <w:ilvl w:val="1"/>
          <w:numId w:val="1"/>
        </w:numPr>
        <w:spacing w:after="120"/>
        <w:ind w:hanging="720"/>
        <w:contextualSpacing w:val="0"/>
        <w:rPr>
          <w:rFonts w:cs="Calibri"/>
          <w:bCs/>
          <w:iCs/>
        </w:rPr>
      </w:pPr>
      <w:r w:rsidRPr="00334ED6">
        <w:rPr>
          <w:rFonts w:cs="Calibri"/>
          <w:bCs/>
          <w:iCs/>
        </w:rPr>
        <w:t xml:space="preserve">While acknowledging the limitations of these studies, the resubmission noted that the proportion of patients discontinuing / remaining on treatment at 12 months in these real-world US TRD cohorts were consistent with the data reported in the SUSTAIN-1 trial. The resubmission argued that the proportion of patients receiving a second course of esketamine is likely to be an underestimate of the proportion of patients likely to receive retreatment in Australian clinical practice, as the US data </w:t>
      </w:r>
      <w:r w:rsidR="00F0228D" w:rsidRPr="00334ED6">
        <w:rPr>
          <w:rFonts w:cs="Calibri"/>
          <w:bCs/>
          <w:iCs/>
        </w:rPr>
        <w:t>had limited follow-up</w:t>
      </w:r>
      <w:r w:rsidRPr="00334ED6">
        <w:rPr>
          <w:rFonts w:cs="Calibri"/>
          <w:bCs/>
          <w:iCs/>
        </w:rPr>
        <w:t xml:space="preserve"> and the proportion retreated is likely to increase with time. The resubmission argued that these data are the best available, and </w:t>
      </w:r>
      <w:r w:rsidR="00F0228D" w:rsidRPr="00334ED6">
        <w:rPr>
          <w:rFonts w:cs="Calibri"/>
          <w:bCs/>
          <w:iCs/>
        </w:rPr>
        <w:t>the proportion of patients retreated was</w:t>
      </w:r>
      <w:r w:rsidRPr="00334ED6">
        <w:rPr>
          <w:rFonts w:cs="Calibri"/>
          <w:bCs/>
          <w:iCs/>
        </w:rPr>
        <w:t xml:space="preserve"> used to inform the base case economic model.</w:t>
      </w:r>
    </w:p>
    <w:p w14:paraId="2698285A" w14:textId="730DF3CB" w:rsidR="00934988" w:rsidRPr="00334ED6" w:rsidRDefault="00233AC2" w:rsidP="259D127E">
      <w:pPr>
        <w:pStyle w:val="ListParagraph"/>
        <w:numPr>
          <w:ilvl w:val="1"/>
          <w:numId w:val="1"/>
        </w:numPr>
        <w:spacing w:after="120"/>
        <w:ind w:hanging="720"/>
        <w:rPr>
          <w:rFonts w:cs="Calibri"/>
        </w:rPr>
      </w:pPr>
      <w:r w:rsidRPr="259D127E">
        <w:rPr>
          <w:rFonts w:cs="Calibri"/>
        </w:rPr>
        <w:t xml:space="preserve">The resubmission included an analysis of supply data from the sponsor’s early access program (EAP). These data indicate that only </w:t>
      </w:r>
      <w:r w:rsidR="00683384" w:rsidRPr="00A34B18">
        <w:rPr>
          <w:rFonts w:cs="Calibri"/>
          <w:color w:val="000000"/>
          <w:w w:val="15"/>
          <w:shd w:val="solid" w:color="000000" w:fill="000000"/>
          <w:fitText w:val="-20" w:id="-892701171"/>
          <w14:textFill>
            <w14:solidFill>
              <w14:srgbClr w14:val="000000">
                <w14:alpha w14:val="100000"/>
              </w14:srgbClr>
            </w14:solidFill>
          </w14:textFill>
        </w:rPr>
        <w:t xml:space="preserve">|  </w:t>
      </w:r>
      <w:r w:rsidR="00683384" w:rsidRPr="00A34B18">
        <w:rPr>
          <w:rFonts w:cs="Calibri"/>
          <w:color w:val="000000"/>
          <w:spacing w:val="-69"/>
          <w:w w:val="15"/>
          <w:shd w:val="solid" w:color="000000" w:fill="000000"/>
          <w:fitText w:val="-20" w:id="-892701171"/>
          <w14:textFill>
            <w14:solidFill>
              <w14:srgbClr w14:val="000000">
                <w14:alpha w14:val="100000"/>
              </w14:srgbClr>
            </w14:solidFill>
          </w14:textFill>
        </w:rPr>
        <w:t>|</w:t>
      </w:r>
      <w:r w:rsidRPr="00A36DA1">
        <w:rPr>
          <w:rFonts w:cs="Calibri"/>
        </w:rPr>
        <w:t>%</w:t>
      </w:r>
      <w:r w:rsidRPr="259D127E">
        <w:rPr>
          <w:rFonts w:cs="Calibri"/>
        </w:rPr>
        <w:t xml:space="preserve"> of patients have so far been retreated with esketamine after a 4-month gap from treatment. The resubmission argued that retreatment was not encouraged in the EAP, with no limit on the duration of the initial course of therapy, and as such the observed retreatment rate in the EAP is significantly lower than what would be observed in clinical practice where retreatment is allowed and considered to be appropriate. The proportion of patients treated beyond 12</w:t>
      </w:r>
      <w:r w:rsidR="00317042">
        <w:rPr>
          <w:rFonts w:cs="Calibri"/>
        </w:rPr>
        <w:t> </w:t>
      </w:r>
      <w:r w:rsidRPr="259D127E">
        <w:rPr>
          <w:rFonts w:cs="Calibri"/>
        </w:rPr>
        <w:t>months (</w:t>
      </w:r>
      <w:r w:rsidR="00683384" w:rsidRPr="00A34B18">
        <w:rPr>
          <w:rFonts w:cs="Calibri"/>
          <w:color w:val="000000"/>
          <w:w w:val="15"/>
          <w:shd w:val="solid" w:color="000000" w:fill="000000"/>
          <w:fitText w:val="-20" w:id="-892701170"/>
          <w14:textFill>
            <w14:solidFill>
              <w14:srgbClr w14:val="000000">
                <w14:alpha w14:val="100000"/>
              </w14:srgbClr>
            </w14:solidFill>
          </w14:textFill>
        </w:rPr>
        <w:t xml:space="preserve">|  </w:t>
      </w:r>
      <w:r w:rsidR="00683384" w:rsidRPr="00A34B18">
        <w:rPr>
          <w:rFonts w:cs="Calibri"/>
          <w:color w:val="000000"/>
          <w:spacing w:val="-69"/>
          <w:w w:val="15"/>
          <w:shd w:val="solid" w:color="000000" w:fill="000000"/>
          <w:fitText w:val="-20" w:id="-892701170"/>
          <w14:textFill>
            <w14:solidFill>
              <w14:srgbClr w14:val="000000">
                <w14:alpha w14:val="100000"/>
              </w14:srgbClr>
            </w14:solidFill>
          </w14:textFill>
        </w:rPr>
        <w:t>|</w:t>
      </w:r>
      <w:r w:rsidRPr="00A36DA1">
        <w:rPr>
          <w:rFonts w:cs="Calibri"/>
        </w:rPr>
        <w:t>%</w:t>
      </w:r>
      <w:r w:rsidR="00383081" w:rsidRPr="259D127E">
        <w:rPr>
          <w:rFonts w:cs="Calibri"/>
        </w:rPr>
        <w:t>)</w:t>
      </w:r>
      <w:r w:rsidRPr="259D127E">
        <w:rPr>
          <w:rFonts w:cs="Calibri"/>
        </w:rPr>
        <w:t xml:space="preserve"> was used to inform the economic model and financial implications.</w:t>
      </w:r>
      <w:r w:rsidR="00FA2D26" w:rsidRPr="259D127E">
        <w:rPr>
          <w:rFonts w:cs="Calibri"/>
        </w:rPr>
        <w:t xml:space="preserve"> </w:t>
      </w:r>
      <w:r w:rsidR="00D04B9A" w:rsidRPr="259D127E">
        <w:rPr>
          <w:rFonts w:cs="Calibri"/>
        </w:rPr>
        <w:t xml:space="preserve">Limited details were provided on the EAP dataset. </w:t>
      </w:r>
      <w:r w:rsidR="00FA2D26" w:rsidRPr="259D127E">
        <w:rPr>
          <w:rFonts w:cs="Calibri"/>
        </w:rPr>
        <w:t xml:space="preserve">Of the </w:t>
      </w:r>
      <w:r w:rsidR="0047373A" w:rsidRPr="0047373A">
        <w:rPr>
          <w:rFonts w:cs="Calibri"/>
        </w:rPr>
        <w:t>500 to &lt; 5,000</w:t>
      </w:r>
      <w:r w:rsidR="00FA2D26" w:rsidRPr="259D127E">
        <w:rPr>
          <w:rFonts w:cs="Calibri"/>
        </w:rPr>
        <w:t xml:space="preserve"> unique patients included in the EAP data, </w:t>
      </w:r>
      <w:r w:rsidR="00DD27F1">
        <w:rPr>
          <w:rFonts w:cs="Calibri"/>
        </w:rPr>
        <w:t>&lt;500</w:t>
      </w:r>
      <w:r w:rsidR="00DD27F1" w:rsidRPr="00BC4A1F">
        <w:rPr>
          <w:rFonts w:cs="Calibri"/>
        </w:rPr>
        <w:t xml:space="preserve"> </w:t>
      </w:r>
      <w:r w:rsidR="00FA2D26" w:rsidRPr="00BC4A1F">
        <w:rPr>
          <w:rFonts w:cs="Calibri"/>
        </w:rPr>
        <w:t>(</w:t>
      </w:r>
      <w:r w:rsidR="00683384" w:rsidRPr="00A34B18">
        <w:rPr>
          <w:rFonts w:cs="Calibri"/>
          <w:color w:val="000000"/>
          <w:w w:val="15"/>
          <w:shd w:val="solid" w:color="000000" w:fill="000000"/>
          <w:fitText w:val="-20" w:id="-892701169"/>
          <w14:textFill>
            <w14:solidFill>
              <w14:srgbClr w14:val="000000">
                <w14:alpha w14:val="100000"/>
              </w14:srgbClr>
            </w14:solidFill>
          </w14:textFill>
        </w:rPr>
        <w:t xml:space="preserve">|  </w:t>
      </w:r>
      <w:r w:rsidR="00683384" w:rsidRPr="00A34B18">
        <w:rPr>
          <w:rFonts w:cs="Calibri"/>
          <w:color w:val="000000"/>
          <w:spacing w:val="-69"/>
          <w:w w:val="15"/>
          <w:shd w:val="solid" w:color="000000" w:fill="000000"/>
          <w:fitText w:val="-20" w:id="-892701169"/>
          <w14:textFill>
            <w14:solidFill>
              <w14:srgbClr w14:val="000000">
                <w14:alpha w14:val="100000"/>
              </w14:srgbClr>
            </w14:solidFill>
          </w14:textFill>
        </w:rPr>
        <w:t>|</w:t>
      </w:r>
      <w:r w:rsidR="00FA2D26" w:rsidRPr="259D127E">
        <w:rPr>
          <w:rFonts w:cs="Calibri"/>
        </w:rPr>
        <w:t>%) had their initial esketamine treatment less than one year prior to the data cut-off date, which may have underestimated the number of patients that would eventually be treated with esketamine beyond 12</w:t>
      </w:r>
      <w:r w:rsidR="00317042">
        <w:rPr>
          <w:rFonts w:cs="Calibri"/>
        </w:rPr>
        <w:t> </w:t>
      </w:r>
      <w:r w:rsidR="00FA2D26" w:rsidRPr="259D127E">
        <w:rPr>
          <w:rFonts w:cs="Calibri"/>
        </w:rPr>
        <w:t xml:space="preserve">months duration. However, the resubmission noted that the </w:t>
      </w:r>
      <w:r w:rsidR="00683384" w:rsidRPr="00A34B18">
        <w:rPr>
          <w:rFonts w:cs="Calibri"/>
          <w:color w:val="000000"/>
          <w:w w:val="15"/>
          <w:shd w:val="solid" w:color="000000" w:fill="000000"/>
          <w:fitText w:val="-20" w:id="-892701168"/>
          <w14:textFill>
            <w14:solidFill>
              <w14:srgbClr w14:val="000000">
                <w14:alpha w14:val="100000"/>
              </w14:srgbClr>
            </w14:solidFill>
          </w14:textFill>
        </w:rPr>
        <w:t xml:space="preserve">|  </w:t>
      </w:r>
      <w:r w:rsidR="00683384" w:rsidRPr="00A34B18">
        <w:rPr>
          <w:rFonts w:cs="Calibri"/>
          <w:color w:val="000000"/>
          <w:spacing w:val="-69"/>
          <w:w w:val="15"/>
          <w:shd w:val="solid" w:color="000000" w:fill="000000"/>
          <w:fitText w:val="-20" w:id="-892701168"/>
          <w14:textFill>
            <w14:solidFill>
              <w14:srgbClr w14:val="000000">
                <w14:alpha w14:val="100000"/>
              </w14:srgbClr>
            </w14:solidFill>
          </w14:textFill>
        </w:rPr>
        <w:t>|</w:t>
      </w:r>
      <w:r w:rsidR="00FA2D26" w:rsidRPr="259D127E">
        <w:rPr>
          <w:rFonts w:cs="Calibri"/>
        </w:rPr>
        <w:t xml:space="preserve"> of patients estimated to be treated beyond 12 months duration included patients with a break in supply, which may have overestimated patients treated for longer than a year. Overall, the estimates of use of esketamine beyond 12 months based on the EAP data were highly uncertain.</w:t>
      </w:r>
    </w:p>
    <w:p w14:paraId="1452C351" w14:textId="1DBDC586" w:rsidR="00B60939" w:rsidRPr="00043790" w:rsidRDefault="00B60939" w:rsidP="00D86231">
      <w:pPr>
        <w:pStyle w:val="COMH2-non-numbered"/>
      </w:pPr>
      <w:bookmarkStart w:id="33" w:name="_Toc22897642"/>
      <w:bookmarkStart w:id="34" w:name="_Toc167274374"/>
      <w:r w:rsidRPr="00043790">
        <w:lastRenderedPageBreak/>
        <w:t>Comparative harms</w:t>
      </w:r>
      <w:bookmarkEnd w:id="33"/>
      <w:bookmarkEnd w:id="34"/>
    </w:p>
    <w:p w14:paraId="298D187D" w14:textId="77777777" w:rsidR="00BF5C28" w:rsidRPr="00334ED6" w:rsidRDefault="00BF5C28" w:rsidP="00334ED6">
      <w:pPr>
        <w:pStyle w:val="ListParagraph"/>
        <w:numPr>
          <w:ilvl w:val="1"/>
          <w:numId w:val="1"/>
        </w:numPr>
        <w:spacing w:after="120"/>
        <w:ind w:hanging="720"/>
        <w:contextualSpacing w:val="0"/>
        <w:rPr>
          <w:rFonts w:cs="Calibri"/>
          <w:bCs/>
          <w:iCs/>
        </w:rPr>
      </w:pPr>
      <w:r w:rsidRPr="00334ED6">
        <w:rPr>
          <w:rFonts w:cs="Calibri"/>
          <w:bCs/>
          <w:iCs/>
        </w:rPr>
        <w:t xml:space="preserve">Comparative harms were unchanged from the July 2021, July 2022, and July 2023 submissions. </w:t>
      </w:r>
    </w:p>
    <w:p w14:paraId="3B191BDC" w14:textId="535AB5D4" w:rsidR="004C5B5D" w:rsidRPr="00334ED6" w:rsidRDefault="004C5B5D" w:rsidP="00334ED6">
      <w:pPr>
        <w:pStyle w:val="ListParagraph"/>
        <w:numPr>
          <w:ilvl w:val="1"/>
          <w:numId w:val="1"/>
        </w:numPr>
        <w:spacing w:after="120"/>
        <w:ind w:hanging="720"/>
        <w:contextualSpacing w:val="0"/>
        <w:rPr>
          <w:rFonts w:cs="Calibri"/>
          <w:bCs/>
          <w:iCs/>
        </w:rPr>
      </w:pPr>
      <w:r w:rsidRPr="00334ED6">
        <w:rPr>
          <w:rFonts w:cs="Calibri"/>
          <w:bCs/>
          <w:iCs/>
        </w:rPr>
        <w:t xml:space="preserve">A summary of treatment-emergent adverse events from the TRANSFORM trials is presented in </w:t>
      </w:r>
      <w:r w:rsidRPr="00334ED6">
        <w:rPr>
          <w:rFonts w:cs="Calibri"/>
          <w:bCs/>
          <w:iCs/>
        </w:rPr>
        <w:fldChar w:fldCharType="begin" w:fldLock="1"/>
      </w:r>
      <w:r w:rsidRPr="00334ED6">
        <w:rPr>
          <w:rFonts w:cs="Calibri"/>
          <w:bCs/>
          <w:iCs/>
        </w:rPr>
        <w:instrText xml:space="preserve"> REF _Ref134471479 \h  \* MERGEFORMAT </w:instrText>
      </w:r>
      <w:r w:rsidRPr="00334ED6">
        <w:rPr>
          <w:rFonts w:cs="Calibri"/>
          <w:bCs/>
          <w:iCs/>
        </w:rPr>
      </w:r>
      <w:r w:rsidRPr="00334ED6">
        <w:rPr>
          <w:rFonts w:cs="Calibri"/>
          <w:bCs/>
          <w:iCs/>
        </w:rPr>
        <w:fldChar w:fldCharType="separate"/>
      </w:r>
      <w:r w:rsidR="002B3C60" w:rsidRPr="002B3C60">
        <w:rPr>
          <w:rFonts w:cs="Calibri"/>
          <w:bCs/>
          <w:iCs/>
        </w:rPr>
        <w:t>Table 10</w:t>
      </w:r>
      <w:r w:rsidRPr="00334ED6">
        <w:rPr>
          <w:rFonts w:cs="Calibri"/>
          <w:bCs/>
          <w:iCs/>
        </w:rPr>
        <w:fldChar w:fldCharType="end"/>
      </w:r>
      <w:r w:rsidRPr="00334ED6">
        <w:rPr>
          <w:rFonts w:cs="Calibri"/>
          <w:bCs/>
          <w:iCs/>
        </w:rPr>
        <w:t xml:space="preserve"> below.  </w:t>
      </w:r>
    </w:p>
    <w:p w14:paraId="4D4E91C6" w14:textId="00081FC6" w:rsidR="004C5B5D" w:rsidRPr="00D26534" w:rsidRDefault="004C5B5D" w:rsidP="00F0228D">
      <w:pPr>
        <w:pStyle w:val="COMtablefigcaption"/>
        <w:rPr>
          <w:rFonts w:ascii="Segoe UI" w:hAnsi="Segoe UI"/>
          <w:sz w:val="18"/>
          <w:szCs w:val="18"/>
        </w:rPr>
      </w:pPr>
      <w:bookmarkStart w:id="35" w:name="_Ref134471479"/>
      <w:r w:rsidRPr="00D26534">
        <w:t xml:space="preserve">Table </w:t>
      </w:r>
      <w:r w:rsidR="004E64B8">
        <w:fldChar w:fldCharType="begin" w:fldLock="1"/>
      </w:r>
      <w:r w:rsidR="004E64B8">
        <w:instrText xml:space="preserve"> SEQ Table \* ARABIC </w:instrText>
      </w:r>
      <w:r w:rsidR="004E64B8">
        <w:fldChar w:fldCharType="separate"/>
      </w:r>
      <w:r w:rsidR="002B3C60">
        <w:rPr>
          <w:noProof/>
        </w:rPr>
        <w:t>10</w:t>
      </w:r>
      <w:r w:rsidR="004E64B8">
        <w:rPr>
          <w:noProof/>
        </w:rPr>
        <w:fldChar w:fldCharType="end"/>
      </w:r>
      <w:bookmarkEnd w:id="35"/>
      <w:r w:rsidRPr="00D26534">
        <w:t>: Incidence of adverse events in the double-blind induction phase of the TRANSFORM trials (safety analysis set)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10: Incidence of adverse events in the double-blind induction phase of the TRANSFORM trials (safety analysis set) "/>
      </w:tblPr>
      <w:tblGrid>
        <w:gridCol w:w="2119"/>
        <w:gridCol w:w="976"/>
        <w:gridCol w:w="991"/>
        <w:gridCol w:w="976"/>
        <w:gridCol w:w="991"/>
        <w:gridCol w:w="976"/>
        <w:gridCol w:w="976"/>
        <w:gridCol w:w="1006"/>
      </w:tblGrid>
      <w:tr w:rsidR="004C5B5D" w:rsidRPr="00D26534" w14:paraId="64DBB83E" w14:textId="77777777" w:rsidTr="002F61D6">
        <w:tc>
          <w:tcPr>
            <w:tcW w:w="21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A3B4460"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 </w:t>
            </w:r>
          </w:p>
        </w:tc>
        <w:tc>
          <w:tcPr>
            <w:tcW w:w="196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EBB02D9"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TRANSFORM-2</w:t>
            </w:r>
            <w:r w:rsidRPr="00D26534">
              <w:rPr>
                <w:rFonts w:ascii="Arial Narrow" w:hAnsi="Arial Narrow" w:cs="Times New Roman"/>
                <w:sz w:val="20"/>
                <w:szCs w:val="20"/>
              </w:rPr>
              <w:t> </w:t>
            </w:r>
          </w:p>
        </w:tc>
        <w:tc>
          <w:tcPr>
            <w:tcW w:w="196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7690EDB"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TRANSFORM-3</w:t>
            </w:r>
            <w:r w:rsidRPr="00D26534">
              <w:rPr>
                <w:rFonts w:ascii="Arial Narrow" w:hAnsi="Arial Narrow" w:cs="Times New Roman"/>
                <w:sz w:val="20"/>
                <w:szCs w:val="20"/>
              </w:rPr>
              <w:t> </w:t>
            </w:r>
          </w:p>
        </w:tc>
        <w:tc>
          <w:tcPr>
            <w:tcW w:w="295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46BC118"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TRANSFORM-1</w:t>
            </w:r>
            <w:r w:rsidRPr="00D26534">
              <w:rPr>
                <w:rFonts w:ascii="Arial Narrow" w:hAnsi="Arial Narrow" w:cs="Times New Roman"/>
                <w:sz w:val="20"/>
                <w:szCs w:val="20"/>
              </w:rPr>
              <w:t> </w:t>
            </w:r>
          </w:p>
        </w:tc>
      </w:tr>
      <w:tr w:rsidR="004C5B5D" w:rsidRPr="00D26534" w14:paraId="71AD6BA4" w14:textId="77777777" w:rsidTr="002F61D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380C8C" w14:textId="77777777" w:rsidR="004C5B5D" w:rsidRPr="00D26534" w:rsidRDefault="004C5B5D" w:rsidP="00F0228D">
            <w:pPr>
              <w:keepNext/>
              <w:jc w:val="left"/>
              <w:rPr>
                <w:rFonts w:ascii="Times New Roman" w:hAnsi="Times New Roman" w:cs="Times New Roman"/>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63185"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ESK + OAD</w:t>
            </w:r>
            <w:r w:rsidRPr="00D26534">
              <w:rPr>
                <w:rFonts w:ascii="Arial Narrow" w:hAnsi="Arial Narrow" w:cs="Times New Roman"/>
                <w:sz w:val="20"/>
                <w:szCs w:val="20"/>
              </w:rPr>
              <w:t> </w:t>
            </w:r>
          </w:p>
          <w:p w14:paraId="38E6B347"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N = 115</w:t>
            </w:r>
            <w:r w:rsidRPr="00D26534">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87D4B"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PBO + OAD</w:t>
            </w:r>
            <w:r w:rsidRPr="00D26534">
              <w:rPr>
                <w:rFonts w:ascii="Arial Narrow" w:hAnsi="Arial Narrow" w:cs="Times New Roman"/>
                <w:sz w:val="20"/>
                <w:szCs w:val="20"/>
              </w:rPr>
              <w:t> </w:t>
            </w:r>
          </w:p>
          <w:p w14:paraId="7A6B5932"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N = 109</w:t>
            </w:r>
            <w:r w:rsidRPr="00D26534">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49C0CA"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ESK + OAD</w:t>
            </w:r>
            <w:r w:rsidRPr="00D26534">
              <w:rPr>
                <w:rFonts w:ascii="Arial Narrow" w:hAnsi="Arial Narrow" w:cs="Times New Roman"/>
                <w:sz w:val="20"/>
                <w:szCs w:val="20"/>
              </w:rPr>
              <w:t> </w:t>
            </w:r>
          </w:p>
          <w:p w14:paraId="3F75AEF8"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N = 72</w:t>
            </w:r>
            <w:r w:rsidRPr="00D26534">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C632AB"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PBO + OAD</w:t>
            </w:r>
            <w:r w:rsidRPr="00D26534">
              <w:rPr>
                <w:rFonts w:ascii="Arial Narrow" w:hAnsi="Arial Narrow" w:cs="Times New Roman"/>
                <w:sz w:val="20"/>
                <w:szCs w:val="20"/>
              </w:rPr>
              <w:t> </w:t>
            </w:r>
          </w:p>
          <w:p w14:paraId="6E929B0B"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N = 65</w:t>
            </w:r>
            <w:r w:rsidRPr="00D26534">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52D56F"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ESK 56 mg + OAD</w:t>
            </w:r>
            <w:r w:rsidRPr="00D26534">
              <w:rPr>
                <w:rFonts w:ascii="Arial Narrow" w:hAnsi="Arial Narrow" w:cs="Times New Roman"/>
                <w:sz w:val="20"/>
                <w:szCs w:val="20"/>
              </w:rPr>
              <w:t> </w:t>
            </w:r>
          </w:p>
          <w:p w14:paraId="49D2AE1C"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N = 115</w:t>
            </w:r>
            <w:r w:rsidRPr="00D26534">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E3726"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ESK 84 mg + OAD</w:t>
            </w:r>
            <w:r w:rsidRPr="00D26534">
              <w:rPr>
                <w:rFonts w:ascii="Arial Narrow" w:hAnsi="Arial Narrow" w:cs="Times New Roman"/>
                <w:sz w:val="20"/>
                <w:szCs w:val="20"/>
              </w:rPr>
              <w:t> </w:t>
            </w:r>
          </w:p>
          <w:p w14:paraId="49467184"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N = 116</w:t>
            </w:r>
            <w:r w:rsidRPr="00D26534">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7D9E16"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PBO + OAD</w:t>
            </w:r>
            <w:r w:rsidRPr="00D26534">
              <w:rPr>
                <w:rFonts w:ascii="Arial Narrow" w:hAnsi="Arial Narrow" w:cs="Times New Roman"/>
                <w:sz w:val="20"/>
                <w:szCs w:val="20"/>
              </w:rPr>
              <w:t> </w:t>
            </w:r>
          </w:p>
          <w:p w14:paraId="24267042"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N = 113</w:t>
            </w:r>
            <w:r w:rsidRPr="00D26534">
              <w:rPr>
                <w:rFonts w:ascii="Arial Narrow" w:hAnsi="Arial Narrow" w:cs="Times New Roman"/>
                <w:sz w:val="20"/>
                <w:szCs w:val="20"/>
              </w:rPr>
              <w:t> </w:t>
            </w:r>
          </w:p>
        </w:tc>
      </w:tr>
      <w:tr w:rsidR="004C5B5D" w:rsidRPr="00D26534" w14:paraId="65133A03" w14:textId="77777777" w:rsidTr="002F61D6">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7605A"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TEAE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81438"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98 (85.2)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C72AB"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90 (78.3)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81185"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51 (70.8)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4D77B"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39 (60.0)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DB846A"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100 (87.0)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3C4BA"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103 (88.8)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EF4D3"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77 (68.1) </w:t>
            </w:r>
          </w:p>
        </w:tc>
      </w:tr>
      <w:tr w:rsidR="004C5B5D" w:rsidRPr="00D26534" w14:paraId="4FF08741" w14:textId="77777777" w:rsidTr="002F61D6">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56C91"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 xml:space="preserve">TEAE possibly related to intranasal drug </w:t>
            </w:r>
            <w:r w:rsidRPr="00D26534">
              <w:rPr>
                <w:rFonts w:ascii="Arial Narrow" w:hAnsi="Arial Narrow" w:cs="Times New Roman"/>
                <w:sz w:val="16"/>
                <w:szCs w:val="16"/>
                <w:vertAlign w:val="superscript"/>
              </w:rPr>
              <w:t>a</w:t>
            </w:r>
            <w:r w:rsidRPr="00D26534">
              <w:rPr>
                <w:rFonts w:ascii="Arial Narrow" w:hAnsi="Arial Narrow" w:cs="Times New Roman"/>
                <w:sz w:val="16"/>
                <w:szCs w:val="16"/>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42CA99"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90 (78.3)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313D8"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39 (35.8)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D0B27"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42 (58.3)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1AE29"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22 (33.8)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3304F"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89 (77.4)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814999"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92 (79.3)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15903"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54 (47.8) </w:t>
            </w:r>
          </w:p>
        </w:tc>
      </w:tr>
      <w:tr w:rsidR="004C5B5D" w:rsidRPr="00D26534" w14:paraId="63E63071" w14:textId="77777777" w:rsidTr="002F61D6">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1A72C"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 xml:space="preserve">TEAE possibly related to OAD </w:t>
            </w:r>
            <w:r w:rsidRPr="00D26534">
              <w:rPr>
                <w:rFonts w:ascii="Arial Narrow" w:hAnsi="Arial Narrow" w:cs="Times New Roman"/>
                <w:sz w:val="16"/>
                <w:szCs w:val="16"/>
                <w:vertAlign w:val="superscript"/>
              </w:rPr>
              <w:t>a</w:t>
            </w:r>
            <w:r w:rsidRPr="00D26534">
              <w:rPr>
                <w:rFonts w:ascii="Arial Narrow" w:hAnsi="Arial Narrow" w:cs="Times New Roman"/>
                <w:sz w:val="16"/>
                <w:szCs w:val="16"/>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725AA"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39 (33.9)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CCD10"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26 (23.9)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3C4A5"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13 (18.1)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9B9BB8"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11 (16.9)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1E160"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44 (38.3)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1FF033"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43 (37.1)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4EA395"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34 (30.1) </w:t>
            </w:r>
          </w:p>
        </w:tc>
      </w:tr>
      <w:tr w:rsidR="004C5B5D" w:rsidRPr="00D26534" w14:paraId="251BA9BF" w14:textId="77777777" w:rsidTr="002F61D6">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DD4A6D"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TEAE leading to death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D04A0"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73D7A"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E3282"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94801D"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3BF0A"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4A8B1"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861C5"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0 </w:t>
            </w:r>
          </w:p>
        </w:tc>
      </w:tr>
      <w:tr w:rsidR="004C5B5D" w:rsidRPr="00D26534" w14:paraId="4EC95FE5" w14:textId="77777777" w:rsidTr="002F61D6">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BBC6F"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1 or more serious TEAE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8C311"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04DBA"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2974A"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3 (4.2)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2A6A3"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2 (3.1)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F69E4"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2 (1.7)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5E563F"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1FA9FE"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0 </w:t>
            </w:r>
          </w:p>
        </w:tc>
      </w:tr>
      <w:tr w:rsidR="004C5B5D" w:rsidRPr="00D26534" w14:paraId="5A5E4E54" w14:textId="77777777" w:rsidTr="002F61D6">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0C051"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 xml:space="preserve">TEAE possibly related to intranasal drug withdrawn </w:t>
            </w:r>
            <w:r w:rsidRPr="00D26534">
              <w:rPr>
                <w:rFonts w:ascii="Arial Narrow" w:hAnsi="Arial Narrow" w:cs="Times New Roman"/>
                <w:sz w:val="16"/>
                <w:szCs w:val="16"/>
                <w:vertAlign w:val="superscript"/>
              </w:rPr>
              <w:t>b </w:t>
            </w:r>
            <w:r w:rsidRPr="00D26534">
              <w:rPr>
                <w:rFonts w:ascii="Arial Narrow" w:hAnsi="Arial Narrow" w:cs="Times New Roman"/>
                <w:sz w:val="16"/>
                <w:szCs w:val="16"/>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8E9B05"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8 (7.0)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E067B"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B533B"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4 (5.6)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A4E144"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2 (3.1)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2B7A9"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C8C96"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7 (6.0)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A2730"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2 (1.8) </w:t>
            </w:r>
          </w:p>
        </w:tc>
      </w:tr>
      <w:tr w:rsidR="004C5B5D" w:rsidRPr="00D26534" w14:paraId="7D0C691A" w14:textId="77777777" w:rsidTr="002F61D6">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FC9F3"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 xml:space="preserve">TEAE possibly related to OAD withdrawn </w:t>
            </w:r>
            <w:r w:rsidRPr="00D26534">
              <w:rPr>
                <w:rFonts w:ascii="Arial Narrow" w:hAnsi="Arial Narrow" w:cs="Times New Roman"/>
                <w:sz w:val="16"/>
                <w:szCs w:val="16"/>
                <w:vertAlign w:val="superscript"/>
              </w:rPr>
              <w:t>b</w:t>
            </w:r>
            <w:r w:rsidRPr="00D26534">
              <w:rPr>
                <w:rFonts w:ascii="Arial Narrow" w:hAnsi="Arial Narrow" w:cs="Times New Roman"/>
                <w:sz w:val="16"/>
                <w:szCs w:val="16"/>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35C87"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4 (3.5)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A15439"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28FCDB"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 (1.4)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91FDF"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 (1.5)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C87E56"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A3784B"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AA0EC"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2 (1.8) </w:t>
            </w:r>
          </w:p>
        </w:tc>
      </w:tr>
    </w:tbl>
    <w:p w14:paraId="602915CF" w14:textId="77777777" w:rsidR="004C5B5D" w:rsidRPr="00D26534" w:rsidRDefault="004C5B5D" w:rsidP="00F0228D">
      <w:pPr>
        <w:pStyle w:val="TableFigureFooter"/>
        <w:keepNext/>
        <w:rPr>
          <w:rFonts w:ascii="Segoe UI" w:hAnsi="Segoe UI"/>
        </w:rPr>
      </w:pPr>
      <w:r w:rsidRPr="00D26534">
        <w:t>Source: Table 2.5-18, p.167 and Table 2.5-19, p168 of the July 2021 submission </w:t>
      </w:r>
    </w:p>
    <w:p w14:paraId="2336A0B6" w14:textId="4E7C8124" w:rsidR="004C5B5D" w:rsidRPr="00D26534" w:rsidRDefault="004C5B5D" w:rsidP="00F0228D">
      <w:pPr>
        <w:pStyle w:val="TableFigureFooter"/>
        <w:keepNext/>
        <w:rPr>
          <w:rFonts w:ascii="Segoe UI" w:hAnsi="Segoe UI"/>
        </w:rPr>
      </w:pPr>
      <w:r w:rsidRPr="00D26534">
        <w:t>Abbreviations: ESK, esketamine nasal spray; OAD, oral antidepressant; PBO, placebo nasal spray; TEAE, treatment-emergent adverse event </w:t>
      </w:r>
    </w:p>
    <w:p w14:paraId="01C018EC" w14:textId="77777777" w:rsidR="004C5B5D" w:rsidRPr="00D26534" w:rsidRDefault="004C5B5D" w:rsidP="00F0228D">
      <w:pPr>
        <w:pStyle w:val="TableFigureFooter"/>
        <w:keepNext/>
        <w:rPr>
          <w:rFonts w:ascii="Segoe UI" w:hAnsi="Segoe UI"/>
        </w:rPr>
      </w:pPr>
      <w:r w:rsidRPr="00D26534">
        <w:rPr>
          <w:sz w:val="14"/>
          <w:szCs w:val="14"/>
          <w:vertAlign w:val="superscript"/>
        </w:rPr>
        <w:t>a</w:t>
      </w:r>
      <w:r w:rsidRPr="00D26534">
        <w:t xml:space="preserve"> Study drug relationship of possible, probable, and very likely are included in this category </w:t>
      </w:r>
    </w:p>
    <w:p w14:paraId="4188CF0E" w14:textId="77777777" w:rsidR="004C5B5D" w:rsidRPr="00D26534" w:rsidRDefault="004C5B5D" w:rsidP="004C5B5D">
      <w:pPr>
        <w:pStyle w:val="TableFigureFooter"/>
        <w:rPr>
          <w:rFonts w:ascii="Segoe UI" w:hAnsi="Segoe UI"/>
        </w:rPr>
      </w:pPr>
      <w:r w:rsidRPr="00D26534">
        <w:rPr>
          <w:sz w:val="14"/>
          <w:szCs w:val="14"/>
          <w:vertAlign w:val="superscript"/>
        </w:rPr>
        <w:t>b</w:t>
      </w:r>
      <w:r w:rsidRPr="00D26534">
        <w:t xml:space="preserve"> An adverse event that started in the double-blind induction phase and resulted in discontinuation in the follow-up phase is counted as treatment-emergent in the double-blind induction phase </w:t>
      </w:r>
    </w:p>
    <w:p w14:paraId="387C2434" w14:textId="77777777" w:rsidR="004C5B5D" w:rsidRPr="00334ED6" w:rsidRDefault="004C5B5D" w:rsidP="00334ED6">
      <w:pPr>
        <w:pStyle w:val="ListParagraph"/>
        <w:numPr>
          <w:ilvl w:val="1"/>
          <w:numId w:val="1"/>
        </w:numPr>
        <w:spacing w:after="120"/>
        <w:ind w:hanging="720"/>
        <w:contextualSpacing w:val="0"/>
        <w:rPr>
          <w:rFonts w:cs="Calibri"/>
          <w:bCs/>
          <w:iCs/>
        </w:rPr>
      </w:pPr>
      <w:r w:rsidRPr="00334ED6">
        <w:rPr>
          <w:rFonts w:cs="Calibri"/>
          <w:bCs/>
          <w:iCs/>
        </w:rPr>
        <w:t>The overall incidence of adverse events was higher in the esketamine treatment arms compared with the placebo treatment arms across all three trials. There was also a higher incidence of adverse events considered to be related to the intranasal study drug in the esketamine treatment arms. </w:t>
      </w:r>
    </w:p>
    <w:p w14:paraId="0D85C0C0" w14:textId="77777777" w:rsidR="004C5B5D" w:rsidRPr="00334ED6" w:rsidRDefault="004C5B5D" w:rsidP="00334ED6">
      <w:pPr>
        <w:pStyle w:val="ListParagraph"/>
        <w:numPr>
          <w:ilvl w:val="1"/>
          <w:numId w:val="1"/>
        </w:numPr>
        <w:spacing w:after="120"/>
        <w:ind w:hanging="720"/>
        <w:contextualSpacing w:val="0"/>
        <w:rPr>
          <w:rFonts w:cs="Calibri"/>
          <w:bCs/>
          <w:iCs/>
        </w:rPr>
      </w:pPr>
      <w:r w:rsidRPr="00334ED6">
        <w:rPr>
          <w:rFonts w:cs="Calibri"/>
          <w:bCs/>
          <w:iCs/>
        </w:rPr>
        <w:t>Across the TRANSFORM trials, the most common treatment-emergent adverse events in the esketamine nasal spray treatment group included dissociation, nausea, vertigo, dysgeusia, dizziness, headache, somnolence, vision blurred, paraesthesia, anxiety, hypoaesthesia oral, hypoaesthesia, increased blood pressure, and fatigue. In TRANSFORM-3, which enrolled older adults aged 65 years and over, urinary tract infections were also more commonly reported in the esketamine nasal spray treatment group. Across trials, in the placebo treatment group, the most commonly reported treatment emergent adverse events included headache, dysgeusia, somnolence, and nausea. </w:t>
      </w:r>
    </w:p>
    <w:p w14:paraId="5F4041C4" w14:textId="75F7B226" w:rsidR="004C5B5D" w:rsidRPr="00334ED6" w:rsidRDefault="004C5B5D" w:rsidP="00334ED6">
      <w:pPr>
        <w:pStyle w:val="ListParagraph"/>
        <w:numPr>
          <w:ilvl w:val="1"/>
          <w:numId w:val="1"/>
        </w:numPr>
        <w:spacing w:after="120"/>
        <w:ind w:hanging="720"/>
        <w:contextualSpacing w:val="0"/>
        <w:rPr>
          <w:rFonts w:cs="Calibri"/>
          <w:bCs/>
          <w:iCs/>
        </w:rPr>
      </w:pPr>
      <w:r w:rsidRPr="00334ED6">
        <w:rPr>
          <w:rFonts w:cs="Calibri"/>
          <w:bCs/>
          <w:iCs/>
        </w:rPr>
        <w:t xml:space="preserve">A summary of treatment-emergent adverse events by phase, for the induction, optimisation, and maintenance phases of the SUSTAIN-1 trial is included in </w:t>
      </w:r>
      <w:r w:rsidRPr="00334ED6">
        <w:rPr>
          <w:rFonts w:cs="Calibri"/>
          <w:bCs/>
          <w:iCs/>
        </w:rPr>
        <w:fldChar w:fldCharType="begin" w:fldLock="1"/>
      </w:r>
      <w:r w:rsidRPr="00334ED6">
        <w:rPr>
          <w:rFonts w:cs="Calibri"/>
          <w:bCs/>
          <w:iCs/>
        </w:rPr>
        <w:instrText xml:space="preserve"> REF _Ref134471514 \h  \* MERGEFORMAT </w:instrText>
      </w:r>
      <w:r w:rsidRPr="00334ED6">
        <w:rPr>
          <w:rFonts w:cs="Calibri"/>
          <w:bCs/>
          <w:iCs/>
        </w:rPr>
      </w:r>
      <w:r w:rsidRPr="00334ED6">
        <w:rPr>
          <w:rFonts w:cs="Calibri"/>
          <w:bCs/>
          <w:iCs/>
        </w:rPr>
        <w:fldChar w:fldCharType="separate"/>
      </w:r>
      <w:r w:rsidR="002B3C60" w:rsidRPr="002B3C60">
        <w:rPr>
          <w:rFonts w:cs="Calibri"/>
          <w:bCs/>
          <w:iCs/>
        </w:rPr>
        <w:t>Table 11</w:t>
      </w:r>
      <w:r w:rsidRPr="00334ED6">
        <w:rPr>
          <w:rFonts w:cs="Calibri"/>
          <w:bCs/>
          <w:iCs/>
        </w:rPr>
        <w:fldChar w:fldCharType="end"/>
      </w:r>
      <w:r w:rsidRPr="00334ED6">
        <w:rPr>
          <w:rFonts w:cs="Calibri"/>
          <w:bCs/>
          <w:iCs/>
        </w:rPr>
        <w:t xml:space="preserve"> below. </w:t>
      </w:r>
    </w:p>
    <w:p w14:paraId="3F27E900" w14:textId="63C68387" w:rsidR="004C5B5D" w:rsidRPr="00D26534" w:rsidRDefault="004C5B5D" w:rsidP="00F0228D">
      <w:pPr>
        <w:pStyle w:val="COMtablefigcaption"/>
        <w:rPr>
          <w:rFonts w:ascii="Segoe UI" w:hAnsi="Segoe UI"/>
          <w:sz w:val="18"/>
          <w:szCs w:val="18"/>
        </w:rPr>
      </w:pPr>
      <w:bookmarkStart w:id="36" w:name="_Ref134471514"/>
      <w:r w:rsidRPr="00D26534">
        <w:lastRenderedPageBreak/>
        <w:t xml:space="preserve">Table </w:t>
      </w:r>
      <w:r w:rsidR="004E64B8">
        <w:fldChar w:fldCharType="begin" w:fldLock="1"/>
      </w:r>
      <w:r w:rsidR="004E64B8">
        <w:instrText xml:space="preserve"> SEQ Table \* ARABIC </w:instrText>
      </w:r>
      <w:r w:rsidR="004E64B8">
        <w:fldChar w:fldCharType="separate"/>
      </w:r>
      <w:r w:rsidR="002B3C60">
        <w:rPr>
          <w:noProof/>
        </w:rPr>
        <w:t>11</w:t>
      </w:r>
      <w:r w:rsidR="004E64B8">
        <w:rPr>
          <w:noProof/>
        </w:rPr>
        <w:fldChar w:fldCharType="end"/>
      </w:r>
      <w:bookmarkEnd w:id="36"/>
      <w:r w:rsidRPr="00D26534">
        <w:t>: Overall summary of treatment-emergent adverse events; induction phase, optimisation phase and maintenance phase of SUSTAIN-1 (Safety analysis set)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11: Overall summary of treatment-emergent adverse events; induction phase, optimisation phase and maintenance phase of SUSTAIN-1 (Safety analysis set) "/>
      </w:tblPr>
      <w:tblGrid>
        <w:gridCol w:w="3536"/>
        <w:gridCol w:w="1549"/>
        <w:gridCol w:w="1429"/>
        <w:gridCol w:w="1354"/>
        <w:gridCol w:w="1143"/>
      </w:tblGrid>
      <w:tr w:rsidR="004C5B5D" w:rsidRPr="00D26534" w14:paraId="4684244D" w14:textId="77777777" w:rsidTr="002F61D6">
        <w:tc>
          <w:tcPr>
            <w:tcW w:w="35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92274F2"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D60D9"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Induction phase</w:t>
            </w:r>
            <w:r w:rsidRPr="00D26534">
              <w:rPr>
                <w:rFonts w:ascii="Arial Narrow" w:hAnsi="Arial Narrow" w:cs="Times New Roman"/>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A94543"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Optimisation phase</w:t>
            </w:r>
            <w:r w:rsidRPr="00D26534">
              <w:rPr>
                <w:rFonts w:ascii="Arial Narrow" w:hAnsi="Arial Narrow" w:cs="Times New Roman"/>
                <w:sz w:val="20"/>
                <w:szCs w:val="20"/>
              </w:rPr>
              <w:t> </w:t>
            </w:r>
          </w:p>
        </w:tc>
        <w:tc>
          <w:tcPr>
            <w:tcW w:w="24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2D312C7"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Maintenance phase</w:t>
            </w:r>
            <w:r w:rsidRPr="00D26534">
              <w:rPr>
                <w:rFonts w:ascii="Arial Narrow" w:hAnsi="Arial Narrow" w:cs="Times New Roman"/>
                <w:sz w:val="20"/>
                <w:szCs w:val="20"/>
              </w:rPr>
              <w:t> </w:t>
            </w:r>
          </w:p>
        </w:tc>
      </w:tr>
      <w:tr w:rsidR="004C5B5D" w:rsidRPr="00D26534" w14:paraId="48B30552" w14:textId="77777777" w:rsidTr="002F61D6">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7166CD" w14:textId="77777777" w:rsidR="004C5B5D" w:rsidRPr="00D26534" w:rsidRDefault="004C5B5D" w:rsidP="00F0228D">
            <w:pPr>
              <w:keepNext/>
              <w:jc w:val="left"/>
              <w:rPr>
                <w:rFonts w:ascii="Times New Roman" w:hAnsi="Times New Roman" w:cs="Times New Roman"/>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1B597"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ESK + OAD</w:t>
            </w:r>
            <w:r w:rsidRPr="00D26534">
              <w:rPr>
                <w:rFonts w:ascii="Arial Narrow" w:hAnsi="Arial Narrow" w:cs="Times New Roman"/>
                <w:sz w:val="20"/>
                <w:szCs w:val="20"/>
              </w:rPr>
              <w:t> </w:t>
            </w:r>
          </w:p>
          <w:p w14:paraId="26204A02"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N = 437</w:t>
            </w:r>
            <w:r w:rsidRPr="00D26534">
              <w:rPr>
                <w:rFonts w:ascii="Arial Narrow" w:hAnsi="Arial Narrow" w:cs="Times New Roman"/>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C3F4A3"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ESK + OAD</w:t>
            </w:r>
            <w:r w:rsidRPr="00D26534">
              <w:rPr>
                <w:rFonts w:ascii="Arial Narrow" w:hAnsi="Arial Narrow" w:cs="Times New Roman"/>
                <w:sz w:val="20"/>
                <w:szCs w:val="20"/>
              </w:rPr>
              <w:t> </w:t>
            </w:r>
          </w:p>
          <w:p w14:paraId="5B8CD6BF"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N = 455</w:t>
            </w:r>
            <w:r w:rsidRPr="00D26534">
              <w:rPr>
                <w:rFonts w:ascii="Arial Narrow" w:hAnsi="Arial Narrow" w:cs="Times New Roman"/>
                <w:sz w:val="20"/>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174CCE"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ESK + OAD</w:t>
            </w:r>
            <w:r w:rsidRPr="00D26534">
              <w:rPr>
                <w:rFonts w:ascii="Arial Narrow" w:hAnsi="Arial Narrow" w:cs="Times New Roman"/>
                <w:sz w:val="20"/>
                <w:szCs w:val="20"/>
              </w:rPr>
              <w:t> </w:t>
            </w:r>
          </w:p>
          <w:p w14:paraId="29EA587F"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N = 152</w:t>
            </w:r>
            <w:r w:rsidRPr="00D26534">
              <w:rPr>
                <w:rFonts w:ascii="Arial Narrow" w:hAnsi="Arial Narrow" w:cs="Times New Roman"/>
                <w:sz w:val="20"/>
                <w:szCs w:val="20"/>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1DBED"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PBO + OAD</w:t>
            </w:r>
            <w:r w:rsidRPr="00D26534">
              <w:rPr>
                <w:rFonts w:ascii="Arial Narrow" w:hAnsi="Arial Narrow" w:cs="Times New Roman"/>
                <w:sz w:val="20"/>
                <w:szCs w:val="20"/>
              </w:rPr>
              <w:t> </w:t>
            </w:r>
          </w:p>
          <w:p w14:paraId="456EDA21"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b/>
                <w:bCs/>
                <w:sz w:val="20"/>
                <w:szCs w:val="20"/>
              </w:rPr>
              <w:t>N = 145</w:t>
            </w:r>
            <w:r w:rsidRPr="00D26534">
              <w:rPr>
                <w:rFonts w:ascii="Arial Narrow" w:hAnsi="Arial Narrow" w:cs="Times New Roman"/>
                <w:sz w:val="20"/>
                <w:szCs w:val="20"/>
              </w:rPr>
              <w:t> </w:t>
            </w:r>
          </w:p>
        </w:tc>
      </w:tr>
      <w:tr w:rsidR="004C5B5D" w:rsidRPr="00D26534" w14:paraId="16C92166" w14:textId="77777777" w:rsidTr="002F61D6">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16DFF2C2"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Total number with a TEAE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70B965"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336 (76.9)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852505"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335 (73.6)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E9F5AE"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125 (82.2)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82C4EA"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66 (45.5) </w:t>
            </w:r>
          </w:p>
        </w:tc>
      </w:tr>
      <w:tr w:rsidR="004C5B5D" w:rsidRPr="00D26534" w14:paraId="1A08C090" w14:textId="77777777" w:rsidTr="002F61D6">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3D12F81B"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 xml:space="preserve">TEAE possibly related to intranasal drug </w:t>
            </w:r>
            <w:r w:rsidRPr="00D26534">
              <w:rPr>
                <w:rFonts w:ascii="Arial Narrow" w:hAnsi="Arial Narrow" w:cs="Times New Roman"/>
                <w:sz w:val="16"/>
                <w:szCs w:val="16"/>
                <w:vertAlign w:val="superscript"/>
              </w:rPr>
              <w:t>a</w:t>
            </w:r>
            <w:r w:rsidRPr="00D26534">
              <w:rPr>
                <w:rFonts w:ascii="Arial Narrow" w:hAnsi="Arial Narrow" w:cs="Times New Roman"/>
                <w:sz w:val="16"/>
                <w:szCs w:val="16"/>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50A8A"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301 (68.9)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204BB"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281 (61.8)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C6768"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106 (69.7)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7C2CB"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37 (25.5) </w:t>
            </w:r>
          </w:p>
        </w:tc>
      </w:tr>
      <w:tr w:rsidR="004C5B5D" w:rsidRPr="00D26534" w14:paraId="23535FE7" w14:textId="77777777" w:rsidTr="002F61D6">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CD00D7B"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 xml:space="preserve">TEAE possibly related to OAD </w:t>
            </w:r>
            <w:r w:rsidRPr="00D26534">
              <w:rPr>
                <w:rFonts w:ascii="Arial Narrow" w:hAnsi="Arial Narrow" w:cs="Times New Roman"/>
                <w:sz w:val="16"/>
                <w:szCs w:val="16"/>
                <w:vertAlign w:val="superscript"/>
              </w:rPr>
              <w:t>a</w:t>
            </w:r>
            <w:r w:rsidRPr="00D26534">
              <w:rPr>
                <w:rFonts w:ascii="Arial Narrow" w:hAnsi="Arial Narrow" w:cs="Times New Roman"/>
                <w:sz w:val="16"/>
                <w:szCs w:val="16"/>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A2183A"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71 (16.2)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83C2A"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61 (13.4)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901F6"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13 (8.6)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CE0A7"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9 (6.2) </w:t>
            </w:r>
          </w:p>
        </w:tc>
      </w:tr>
      <w:tr w:rsidR="004C5B5D" w:rsidRPr="00D26534" w14:paraId="51DE75A8" w14:textId="77777777" w:rsidTr="002F61D6">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092F6B6"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TEAE leading to death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0F7D22"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405319"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0 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C0C670"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0 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9A729"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0 </w:t>
            </w:r>
          </w:p>
        </w:tc>
      </w:tr>
      <w:tr w:rsidR="004C5B5D" w:rsidRPr="00D26534" w14:paraId="5C171A26" w14:textId="77777777" w:rsidTr="002F61D6">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5E549CD9"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1 or more serious TEAE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122378"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13 (3.0)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7AF5A"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11 (2.4)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ED3CE"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4 (2.6)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5063F2"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1 (0.7) </w:t>
            </w:r>
          </w:p>
        </w:tc>
      </w:tr>
      <w:tr w:rsidR="004C5B5D" w:rsidRPr="00D26534" w14:paraId="0E9EA450" w14:textId="77777777" w:rsidTr="002F61D6">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7D52F878"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 xml:space="preserve">TEAE possibly related to intranasal drug withdrawn </w:t>
            </w:r>
            <w:r w:rsidRPr="00D26534">
              <w:rPr>
                <w:rFonts w:ascii="Arial Narrow" w:hAnsi="Arial Narrow" w:cs="Times New Roman"/>
                <w:sz w:val="16"/>
                <w:szCs w:val="16"/>
                <w:vertAlign w:val="superscript"/>
              </w:rPr>
              <w:t>b </w:t>
            </w:r>
            <w:r w:rsidRPr="00D26534">
              <w:rPr>
                <w:rFonts w:ascii="Arial Narrow" w:hAnsi="Arial Narrow" w:cs="Times New Roman"/>
                <w:sz w:val="16"/>
                <w:szCs w:val="16"/>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31D89"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22 (5.0)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0FA0B"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5 (1.1)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559C8"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4 (2.6)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3202B4"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3 (2.1) </w:t>
            </w:r>
          </w:p>
        </w:tc>
      </w:tr>
      <w:tr w:rsidR="004C5B5D" w:rsidRPr="00D26534" w14:paraId="33ABD5E5" w14:textId="77777777" w:rsidTr="002F61D6">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77123A58" w14:textId="77777777" w:rsidR="004C5B5D" w:rsidRPr="00D26534" w:rsidRDefault="004C5B5D" w:rsidP="00F0228D">
            <w:pPr>
              <w:keepNext/>
              <w:jc w:val="left"/>
              <w:textAlignment w:val="baseline"/>
              <w:rPr>
                <w:rFonts w:ascii="Times New Roman" w:hAnsi="Times New Roman" w:cs="Times New Roman"/>
              </w:rPr>
            </w:pPr>
            <w:r w:rsidRPr="00D26534">
              <w:rPr>
                <w:rFonts w:ascii="Arial Narrow" w:hAnsi="Arial Narrow" w:cs="Times New Roman"/>
                <w:sz w:val="20"/>
                <w:szCs w:val="20"/>
              </w:rPr>
              <w:t xml:space="preserve">TEAE possibly related to OAD withdrawn </w:t>
            </w:r>
            <w:r w:rsidRPr="00D26534">
              <w:rPr>
                <w:rFonts w:ascii="Arial Narrow" w:hAnsi="Arial Narrow" w:cs="Times New Roman"/>
                <w:sz w:val="16"/>
                <w:szCs w:val="16"/>
                <w:vertAlign w:val="superscript"/>
              </w:rPr>
              <w:t>b</w:t>
            </w:r>
            <w:r w:rsidRPr="00D26534">
              <w:rPr>
                <w:rFonts w:ascii="Arial Narrow" w:hAnsi="Arial Narrow" w:cs="Times New Roman"/>
                <w:sz w:val="16"/>
                <w:szCs w:val="16"/>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554565"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8 (1.8)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3FE40"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2 (0.4)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D8676"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3 (2.0)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2C32F6" w14:textId="77777777" w:rsidR="004C5B5D" w:rsidRPr="00D26534" w:rsidRDefault="004C5B5D" w:rsidP="00F0228D">
            <w:pPr>
              <w:keepNext/>
              <w:jc w:val="center"/>
              <w:textAlignment w:val="baseline"/>
              <w:rPr>
                <w:rFonts w:ascii="Times New Roman" w:hAnsi="Times New Roman" w:cs="Times New Roman"/>
              </w:rPr>
            </w:pPr>
            <w:r w:rsidRPr="00D26534">
              <w:rPr>
                <w:rFonts w:ascii="Arial Narrow" w:hAnsi="Arial Narrow" w:cs="Times New Roman"/>
                <w:sz w:val="20"/>
                <w:szCs w:val="20"/>
              </w:rPr>
              <w:t>0 </w:t>
            </w:r>
          </w:p>
        </w:tc>
      </w:tr>
    </w:tbl>
    <w:p w14:paraId="62397374" w14:textId="77777777" w:rsidR="004C5B5D" w:rsidRPr="00D26534" w:rsidRDefault="004C5B5D" w:rsidP="00F0228D">
      <w:pPr>
        <w:pStyle w:val="TableFigureFooter"/>
        <w:keepNext/>
        <w:rPr>
          <w:rFonts w:ascii="Segoe UI" w:hAnsi="Segoe UI"/>
        </w:rPr>
      </w:pPr>
      <w:r w:rsidRPr="00D26534">
        <w:t>Source: Table 2.5-23, p.173 and Table 2.5-24, p.173 of the July 2021 submission </w:t>
      </w:r>
    </w:p>
    <w:p w14:paraId="510F0AFF" w14:textId="77777777" w:rsidR="004C5B5D" w:rsidRPr="00D26534" w:rsidRDefault="004C5B5D" w:rsidP="00F0228D">
      <w:pPr>
        <w:pStyle w:val="TableFigureFooter"/>
        <w:keepNext/>
        <w:rPr>
          <w:rFonts w:ascii="Segoe UI" w:hAnsi="Segoe UI"/>
        </w:rPr>
      </w:pPr>
      <w:r w:rsidRPr="00D26534">
        <w:t>Abbreviations: ESK, esketamine nasal spray; OAD, oral antidepressant; PBO, intranasal placebo </w:t>
      </w:r>
    </w:p>
    <w:p w14:paraId="4925BB04" w14:textId="77777777" w:rsidR="004C5B5D" w:rsidRPr="00D26534" w:rsidRDefault="004C5B5D" w:rsidP="00F0228D">
      <w:pPr>
        <w:pStyle w:val="TableFigureFooter"/>
        <w:keepNext/>
        <w:rPr>
          <w:rFonts w:ascii="Segoe UI" w:hAnsi="Segoe UI"/>
        </w:rPr>
      </w:pPr>
      <w:r w:rsidRPr="00D26534">
        <w:rPr>
          <w:sz w:val="14"/>
          <w:szCs w:val="14"/>
          <w:vertAlign w:val="superscript"/>
        </w:rPr>
        <w:t>a</w:t>
      </w:r>
      <w:r w:rsidRPr="00D26534">
        <w:t xml:space="preserve"> Study drug relationship of possible, probable, and very likely are included in this category </w:t>
      </w:r>
    </w:p>
    <w:p w14:paraId="47847540" w14:textId="77777777" w:rsidR="004C5B5D" w:rsidRPr="00D26534" w:rsidRDefault="004C5B5D" w:rsidP="00F0228D">
      <w:pPr>
        <w:pStyle w:val="TableFigureFooter"/>
        <w:keepNext/>
        <w:rPr>
          <w:rFonts w:ascii="Segoe UI" w:hAnsi="Segoe UI"/>
        </w:rPr>
      </w:pPr>
      <w:r w:rsidRPr="00D26534">
        <w:rPr>
          <w:sz w:val="14"/>
          <w:szCs w:val="14"/>
          <w:vertAlign w:val="superscript"/>
        </w:rPr>
        <w:t>b</w:t>
      </w:r>
      <w:r w:rsidRPr="00D26534">
        <w:t xml:space="preserve"> An adverse event that started in the double-blind induction phase and resulted in discontinuation in the follow-up phase is counted as treatment-emergent in the double-blind induction phase </w:t>
      </w:r>
    </w:p>
    <w:p w14:paraId="3F92E833" w14:textId="77777777" w:rsidR="004C5B5D" w:rsidRPr="00D26534" w:rsidRDefault="004C5B5D" w:rsidP="004C5B5D">
      <w:pPr>
        <w:pStyle w:val="TableFigureFooter"/>
        <w:rPr>
          <w:rFonts w:ascii="Segoe UI" w:hAnsi="Segoe UI"/>
        </w:rPr>
      </w:pPr>
      <w:r w:rsidRPr="00D26534">
        <w:t>* Incidence is based on the number of subjects experiencing at least one adverse event, not the number of events. Adverse events are coded using MedDRA version 20.0. </w:t>
      </w:r>
    </w:p>
    <w:p w14:paraId="01E2BF1A" w14:textId="5BCF1F0A" w:rsidR="004C5B5D" w:rsidRPr="00334ED6" w:rsidRDefault="004C5B5D" w:rsidP="00334ED6">
      <w:pPr>
        <w:pStyle w:val="ListParagraph"/>
        <w:numPr>
          <w:ilvl w:val="1"/>
          <w:numId w:val="1"/>
        </w:numPr>
        <w:spacing w:after="120"/>
        <w:ind w:hanging="720"/>
        <w:contextualSpacing w:val="0"/>
        <w:rPr>
          <w:rFonts w:cs="Calibri"/>
          <w:bCs/>
          <w:iCs/>
        </w:rPr>
      </w:pPr>
      <w:r w:rsidRPr="00334ED6">
        <w:rPr>
          <w:rFonts w:cs="Calibri"/>
          <w:bCs/>
          <w:iCs/>
        </w:rPr>
        <w:t>The types and incidences of most common treatment-emergent adverse events were generally consistent across the 4-week induction phases of the short-term studies and the induction phase of SUSTAIN-1. In the double-blind maintenance phase treatment-emergent adverse events were reported at a higher rate in the esketamine nasal spray versus the intranasal placebo group.</w:t>
      </w:r>
    </w:p>
    <w:p w14:paraId="72CA025D" w14:textId="77777777" w:rsidR="004C5B5D" w:rsidRPr="00334ED6" w:rsidRDefault="004C5B5D" w:rsidP="00334ED6">
      <w:pPr>
        <w:pStyle w:val="ListParagraph"/>
        <w:numPr>
          <w:ilvl w:val="1"/>
          <w:numId w:val="1"/>
        </w:numPr>
        <w:spacing w:after="120"/>
        <w:ind w:hanging="720"/>
        <w:contextualSpacing w:val="0"/>
        <w:rPr>
          <w:rFonts w:cs="Calibri"/>
          <w:bCs/>
          <w:iCs/>
        </w:rPr>
      </w:pPr>
      <w:r w:rsidRPr="00334ED6">
        <w:rPr>
          <w:rFonts w:cs="Calibri"/>
          <w:bCs/>
          <w:iCs/>
        </w:rPr>
        <w:t xml:space="preserve">The most common treatment-emergent adverse events in SUSTAIN-1 included dysgeusia, vertigo, dissociation, somnolence, dizziness, headache, nausea, vision blurred, and hypoaesthesia oral and were consistent with the types of adverse events observed in the induction phase. In the double blinded maintenance phase, these events occurred at a higher incidence in the esketamine nasal spray treatment arm compared with the intranasal placebo treatment arm. </w:t>
      </w:r>
    </w:p>
    <w:p w14:paraId="4AC99349" w14:textId="12A207C3" w:rsidR="004C5B5D" w:rsidRPr="00334ED6" w:rsidRDefault="004C5B5D" w:rsidP="00334ED6">
      <w:pPr>
        <w:pStyle w:val="ListParagraph"/>
        <w:numPr>
          <w:ilvl w:val="1"/>
          <w:numId w:val="1"/>
        </w:numPr>
        <w:spacing w:after="120"/>
        <w:ind w:hanging="720"/>
        <w:contextualSpacing w:val="0"/>
        <w:rPr>
          <w:rFonts w:cs="Calibri"/>
          <w:bCs/>
          <w:iCs/>
        </w:rPr>
      </w:pPr>
      <w:r w:rsidRPr="00334ED6">
        <w:rPr>
          <w:rFonts w:cs="Calibri"/>
          <w:bCs/>
          <w:iCs/>
        </w:rPr>
        <w:t xml:space="preserve">The ESC previously noted that adverse events continued to be experienced at a greater incidence in the esketamine treatment group compared with the placebo treatment group in the SUSTAIN-1 trial, suggesting that adverse events may continue throughout maintenance treatment (para 6.32, </w:t>
      </w:r>
      <w:r w:rsidR="00E71C49" w:rsidRPr="00334ED6">
        <w:rPr>
          <w:rFonts w:cs="Calibri"/>
          <w:bCs/>
          <w:iCs/>
        </w:rPr>
        <w:t>esketamine PSD</w:t>
      </w:r>
      <w:r w:rsidRPr="00334ED6">
        <w:rPr>
          <w:rFonts w:cs="Calibri"/>
          <w:bCs/>
          <w:iCs/>
        </w:rPr>
        <w:t>, July 2022 PBAC meeting). The resubmission stated that although esketamine nasal spray has a distinct side effect profile and patients treated with esketamine nasal spray are likely to experience these upon dosing into the maintenance phase, the majority of esketamine side effects are transient, self-limiting, and mostly mild or moderate in severity. At present, longer-term (&gt;12 months)</w:t>
      </w:r>
      <w:r w:rsidR="0005504D" w:rsidRPr="00334ED6">
        <w:rPr>
          <w:rFonts w:cs="Calibri"/>
          <w:bCs/>
          <w:iCs/>
        </w:rPr>
        <w:t xml:space="preserve"> comparative</w:t>
      </w:r>
      <w:r w:rsidRPr="00334ED6">
        <w:rPr>
          <w:rFonts w:cs="Calibri"/>
          <w:bCs/>
          <w:iCs/>
        </w:rPr>
        <w:t xml:space="preserve"> safety of use of esketamine nasal spray is unknown. The longer term, repeated use of esketamine may potentially lead to adverse effects that are seen with longer-term, repeated use of ketamine, including abuse and addiction, neurotoxicity, bladder toxicity, and hepatoxicity (UpToDate, </w:t>
      </w:r>
      <w:r w:rsidR="00366293" w:rsidRPr="00D01055">
        <w:rPr>
          <w:rFonts w:cs="Calibri"/>
          <w:bCs/>
          <w:i/>
        </w:rPr>
        <w:t>2024</w:t>
      </w:r>
      <w:r w:rsidRPr="00334ED6">
        <w:rPr>
          <w:rFonts w:cs="Calibri"/>
          <w:bCs/>
          <w:iCs/>
        </w:rPr>
        <w:t>).  </w:t>
      </w:r>
    </w:p>
    <w:p w14:paraId="515ACD30" w14:textId="77777777" w:rsidR="0005504D" w:rsidRPr="00334ED6" w:rsidRDefault="004C5B5D" w:rsidP="00334ED6">
      <w:pPr>
        <w:pStyle w:val="ListParagraph"/>
        <w:numPr>
          <w:ilvl w:val="1"/>
          <w:numId w:val="1"/>
        </w:numPr>
        <w:spacing w:after="120"/>
        <w:ind w:hanging="720"/>
        <w:contextualSpacing w:val="0"/>
        <w:rPr>
          <w:rFonts w:cs="Calibri"/>
          <w:bCs/>
          <w:iCs/>
        </w:rPr>
      </w:pPr>
      <w:r w:rsidRPr="00334ED6">
        <w:rPr>
          <w:rFonts w:cs="Calibri"/>
          <w:bCs/>
          <w:iCs/>
        </w:rPr>
        <w:lastRenderedPageBreak/>
        <w:t>Across all studies, adverse events of drug abuse, drug abuser, drug dependence, drug detoxification, drug rehabilitation, drug tolerance, drug tolerance increased, or drug use disorder were not identified. There were no reports from the investigational sites of any subjects requesting an increase either in the dose of esketamine nasal spray or in the frequency of treatment sessions (as a potential early indicator of drug-seeking behaviour). It may be difficult to observe these outcomes in a tightly regulated trial setting; it is unclear whether potential abuse or misuse may occur in clinical practice and this is likely to be dependent upon the model used for administration.</w:t>
      </w:r>
    </w:p>
    <w:p w14:paraId="7E43A741" w14:textId="3E1CF1E9" w:rsidR="005D26B4" w:rsidRPr="00334ED6" w:rsidRDefault="004C5B5D" w:rsidP="00334ED6">
      <w:pPr>
        <w:pStyle w:val="ListParagraph"/>
        <w:numPr>
          <w:ilvl w:val="1"/>
          <w:numId w:val="1"/>
        </w:numPr>
        <w:spacing w:after="120"/>
        <w:ind w:hanging="720"/>
        <w:contextualSpacing w:val="0"/>
        <w:rPr>
          <w:rFonts w:cs="Calibri"/>
          <w:bCs/>
          <w:iCs/>
        </w:rPr>
      </w:pPr>
      <w:r w:rsidRPr="00334ED6">
        <w:rPr>
          <w:rFonts w:cs="Calibri"/>
          <w:bCs/>
          <w:iCs/>
        </w:rPr>
        <w:t>Increased blood pressure or increased heart rate, dizziness/vertigo, and anxiety in all studies were primarily mild or moderate in severity. Suicidality-related adverse events were reported as severe in only a small number of subjects, and most were considered either not related or doubtfully related to esketamine nasal spray treatment in the opinion of the investigator and therefore likely associated with the underlying disease. There were very few reported cases of cystitis (9 subjects in SUSTAIN-1, 5 subjects in SUSTAIN-2 and 8 subjects in SUSTAIN-3) and impaired cognition (1 subject in SUSTAIN-3) in the esketamine nasal spray studies. Adverse events such as impaired cognition may not be observable over short-term trial durations.</w:t>
      </w:r>
    </w:p>
    <w:p w14:paraId="303F4D44" w14:textId="4227126B" w:rsidR="0005504D" w:rsidRPr="00334ED6" w:rsidRDefault="0005504D" w:rsidP="00334ED6">
      <w:pPr>
        <w:pStyle w:val="ListParagraph"/>
        <w:numPr>
          <w:ilvl w:val="1"/>
          <w:numId w:val="1"/>
        </w:numPr>
        <w:spacing w:after="120"/>
        <w:ind w:hanging="720"/>
        <w:contextualSpacing w:val="0"/>
        <w:rPr>
          <w:rFonts w:cs="Calibri"/>
          <w:bCs/>
          <w:iCs/>
        </w:rPr>
      </w:pPr>
      <w:r w:rsidRPr="00334ED6">
        <w:rPr>
          <w:rFonts w:cs="Calibri"/>
          <w:bCs/>
          <w:iCs/>
        </w:rPr>
        <w:t>The most frequently reported adverse events in the optimisation/maintenance phase of SUSTAIN-3 were consistent with those reported in previously included studies of esketamine, namely headache (36.9%), dizziness (33.9%), nausea (33.6%), dissociation (25.5%), nasopharyngitis (23.8%), somnolence (23.1%), and dysgeusia (20.2%). The most common adverse events leading to discontinuation of esketamine treatment (6.3% of participants) were increased blood pressure (0.5%) and dissociation (0.4%). The resubmission stated that only 0.6% of patients required treatment for dissociation, and there were no dissociation-related serious adverse events. Increased blood pressure was reported in 19.9% of patients with incidence rates generally similar throughout the induction and optimisation/maintenance phases. More than 95% of increased blood pressure adverse events occurred and resolved on the day of dosing. No cases of treatment-related interstitial/ulcerative cystitis was identified, with urinary tract infections reported in 15.8% of patients. The distribution of adverse events (other than increased blood pressure) over the maintenance period of the study is unknown. It is unclear whether these events were experienced at a consistent rate from the start of the maintenance period to the end of the study.</w:t>
      </w:r>
    </w:p>
    <w:p w14:paraId="6CD6B0B2" w14:textId="332FC70F" w:rsidR="0005504D" w:rsidRPr="00334ED6" w:rsidRDefault="0005504D" w:rsidP="00334ED6">
      <w:pPr>
        <w:pStyle w:val="ListParagraph"/>
        <w:numPr>
          <w:ilvl w:val="1"/>
          <w:numId w:val="1"/>
        </w:numPr>
        <w:spacing w:after="120"/>
        <w:ind w:hanging="720"/>
        <w:contextualSpacing w:val="0"/>
        <w:rPr>
          <w:rFonts w:cs="Calibri"/>
          <w:bCs/>
          <w:iCs/>
        </w:rPr>
      </w:pPr>
      <w:r w:rsidRPr="00334ED6">
        <w:rPr>
          <w:rFonts w:cs="Calibri"/>
          <w:bCs/>
          <w:iCs/>
        </w:rPr>
        <w:t xml:space="preserve">Serious adverse events were reported in 18.8% of patients, including those related to depression (2.0%), suicidality (2.4%), cholelithiasis (0.9%), COVID-19 (0.8%), pneumonia (0.6%), nephrolithiasis (0.5%), anxiety (0.4%), atrial fibrillation (0.4%), myocardial infarction, back pain, cellulitis, urinary tract infection, intentional overdose, lower limb fracture, headache, cholecystitis, intervertebral disc protrusion and osteoarthritis (0.3% each). Serious adverse events requiring hospitalisation occurred in 2.1% of patients. The study investigators considered that most of the serious adverse events reported were likely unrelated to esketamine. There were 9 (0.8%) deaths reported during the study period (COVID-related (n=3), pneumonia </w:t>
      </w:r>
      <w:r w:rsidRPr="00334ED6">
        <w:rPr>
          <w:rFonts w:cs="Calibri"/>
          <w:bCs/>
          <w:iCs/>
        </w:rPr>
        <w:lastRenderedPageBreak/>
        <w:t>(n=2), completed suicide, myocardial infarction, multiple injuries, unknown cause (n=1 each)), none of which were considered by the investigator to be related to esketamine.</w:t>
      </w:r>
    </w:p>
    <w:p w14:paraId="0C8AC9F8" w14:textId="3AEA9F19" w:rsidR="00B06A45" w:rsidRPr="00334ED6" w:rsidRDefault="00B06A45" w:rsidP="00334ED6">
      <w:pPr>
        <w:pStyle w:val="ListParagraph"/>
        <w:numPr>
          <w:ilvl w:val="1"/>
          <w:numId w:val="1"/>
        </w:numPr>
        <w:spacing w:after="120"/>
        <w:ind w:hanging="720"/>
        <w:contextualSpacing w:val="0"/>
        <w:rPr>
          <w:rFonts w:cs="Calibri"/>
          <w:bCs/>
          <w:iCs/>
        </w:rPr>
      </w:pPr>
      <w:r w:rsidRPr="00334ED6">
        <w:rPr>
          <w:rFonts w:cs="Calibri"/>
          <w:bCs/>
          <w:iCs/>
        </w:rPr>
        <w:t>The resubmission provided a PBRER covering the period 5 March 2022 – 4 March 2023. The resubmission stated that the safety profile for esketamine remains consistent with the profile established during clinical trials, and that esketamine continues to have a favourable benefit-risk profile for the treatment of patients with TRD.</w:t>
      </w:r>
      <w:r w:rsidR="007C2BC5" w:rsidRPr="00334ED6">
        <w:rPr>
          <w:rFonts w:cs="Calibri"/>
          <w:bCs/>
          <w:iCs/>
        </w:rPr>
        <w:t xml:space="preserve"> </w:t>
      </w:r>
      <w:r w:rsidRPr="00334ED6">
        <w:rPr>
          <w:rFonts w:cs="Calibri"/>
          <w:bCs/>
          <w:iCs/>
        </w:rPr>
        <w:t>The important identified risks reported in the PBRER include drug abuse, transient dissociative states and perception disorders, disturbances in consciousness, and blood pressure increase. The important potential risks are cognitive disorders and memory impairment (long-term use), and interstitial cystitis (long-term use). Important missing information included use during pregnancy. No new safety concerns were identified.</w:t>
      </w:r>
    </w:p>
    <w:p w14:paraId="04908C7F" w14:textId="5ACED068" w:rsidR="007F1017" w:rsidRPr="00043790" w:rsidRDefault="007F1017" w:rsidP="00D86231">
      <w:pPr>
        <w:pStyle w:val="COMH2-non-numbered"/>
      </w:pPr>
      <w:bookmarkStart w:id="37" w:name="_Toc22897643"/>
      <w:bookmarkStart w:id="38" w:name="_Toc167274375"/>
      <w:r w:rsidRPr="00043790">
        <w:t>Benefits/harms</w:t>
      </w:r>
      <w:bookmarkEnd w:id="37"/>
      <w:bookmarkEnd w:id="38"/>
    </w:p>
    <w:p w14:paraId="096B7F95" w14:textId="56053E30" w:rsidR="004325C1" w:rsidRPr="00334ED6" w:rsidRDefault="004325C1" w:rsidP="00334ED6">
      <w:pPr>
        <w:pStyle w:val="ListParagraph"/>
        <w:numPr>
          <w:ilvl w:val="1"/>
          <w:numId w:val="1"/>
        </w:numPr>
        <w:spacing w:after="120"/>
        <w:ind w:hanging="720"/>
        <w:contextualSpacing w:val="0"/>
        <w:rPr>
          <w:rFonts w:cs="Calibri"/>
          <w:bCs/>
          <w:iCs/>
        </w:rPr>
      </w:pPr>
      <w:r w:rsidRPr="00334ED6">
        <w:rPr>
          <w:rFonts w:cs="Calibri"/>
          <w:bCs/>
          <w:iCs/>
        </w:rPr>
        <w:t>The benefits and harms are unchanged from the July 2023 resubmission.</w:t>
      </w:r>
    </w:p>
    <w:p w14:paraId="5A4DA132" w14:textId="77777777" w:rsidR="00E571DC" w:rsidRPr="00334ED6" w:rsidRDefault="00E571DC" w:rsidP="00334ED6">
      <w:pPr>
        <w:pStyle w:val="ListParagraph"/>
        <w:numPr>
          <w:ilvl w:val="1"/>
          <w:numId w:val="1"/>
        </w:numPr>
        <w:spacing w:after="120"/>
        <w:ind w:hanging="720"/>
        <w:contextualSpacing w:val="0"/>
        <w:rPr>
          <w:rFonts w:cs="Calibri"/>
          <w:bCs/>
          <w:iCs/>
        </w:rPr>
      </w:pPr>
      <w:r w:rsidRPr="00334ED6">
        <w:rPr>
          <w:rFonts w:cs="Calibri"/>
          <w:bCs/>
          <w:iCs/>
        </w:rPr>
        <w:t>On the basis of the direct evidence presented in the submission (4 weeks of double-blind induction treatment in TRANSFORM-2), for every 100 patients aged 18-64 years with treatment-resistant depression treated with esketamine nasal spray plus an OAD in comparison to intranasal placebo plus an OAD: </w:t>
      </w:r>
    </w:p>
    <w:p w14:paraId="6F2DD6CC" w14:textId="77777777" w:rsidR="00E571DC" w:rsidRPr="00D26534" w:rsidRDefault="00E571DC" w:rsidP="00A60C7B">
      <w:pPr>
        <w:pStyle w:val="COMexecsummbulletlist"/>
        <w:ind w:left="1077" w:hanging="357"/>
      </w:pPr>
      <w:r w:rsidRPr="00D26534">
        <w:t>Approximately 17 more patients would have a response, defined as a ≥50% reduction in symptoms of depression as measured on the MADRS. </w:t>
      </w:r>
    </w:p>
    <w:p w14:paraId="4C9655EE" w14:textId="77777777" w:rsidR="00E571DC" w:rsidRPr="00D26534" w:rsidRDefault="00E571DC" w:rsidP="00A60C7B">
      <w:pPr>
        <w:pStyle w:val="COMexecsummbulletlist"/>
        <w:ind w:left="1077" w:hanging="357"/>
      </w:pPr>
      <w:r w:rsidRPr="00D26534">
        <w:t>Approximately 22 additional patients would experience remission, defined as a MADRS score ≤12. </w:t>
      </w:r>
    </w:p>
    <w:p w14:paraId="3E6B752F" w14:textId="77777777" w:rsidR="00E571DC" w:rsidRPr="00D26534" w:rsidRDefault="00E571DC" w:rsidP="00A60C7B">
      <w:pPr>
        <w:pStyle w:val="COMexecsummbulletlist"/>
        <w:ind w:left="1077" w:hanging="357"/>
      </w:pPr>
      <w:r w:rsidRPr="00D26534">
        <w:t>Approximately 16 patients would experience dizziness. </w:t>
      </w:r>
    </w:p>
    <w:p w14:paraId="3B7B713A" w14:textId="77777777" w:rsidR="00E571DC" w:rsidRPr="00D26534" w:rsidRDefault="00E571DC" w:rsidP="00A60C7B">
      <w:pPr>
        <w:pStyle w:val="COMexecsummbulletlist"/>
        <w:ind w:left="1077" w:hanging="357"/>
      </w:pPr>
      <w:r w:rsidRPr="00D26534">
        <w:t>Approximately 22 patients would experience dissociation. </w:t>
      </w:r>
    </w:p>
    <w:p w14:paraId="09B3A028" w14:textId="77777777" w:rsidR="00E571DC" w:rsidRPr="00D26534" w:rsidRDefault="00E571DC" w:rsidP="00A60C7B">
      <w:pPr>
        <w:pStyle w:val="COMexecsummbulletlist"/>
        <w:ind w:left="1077" w:hanging="357"/>
      </w:pPr>
      <w:r w:rsidRPr="00D26534">
        <w:t>Approximately 23 patients would experience vertigo. </w:t>
      </w:r>
    </w:p>
    <w:p w14:paraId="4B13C917" w14:textId="77777777" w:rsidR="00E571DC" w:rsidRPr="00D26534" w:rsidRDefault="00E571DC" w:rsidP="00A60C7B">
      <w:pPr>
        <w:pStyle w:val="COMexecsummbulletlist"/>
        <w:ind w:left="1077" w:hanging="357"/>
      </w:pPr>
      <w:r w:rsidRPr="00D26534">
        <w:t>Approximately 10 patients would have an increase in blood pressure. </w:t>
      </w:r>
    </w:p>
    <w:p w14:paraId="511657CA" w14:textId="77777777" w:rsidR="00E571DC" w:rsidRPr="00334ED6" w:rsidRDefault="00E571DC" w:rsidP="00334ED6">
      <w:pPr>
        <w:pStyle w:val="ListParagraph"/>
        <w:numPr>
          <w:ilvl w:val="1"/>
          <w:numId w:val="1"/>
        </w:numPr>
        <w:spacing w:after="120"/>
        <w:ind w:hanging="720"/>
        <w:contextualSpacing w:val="0"/>
        <w:rPr>
          <w:rFonts w:cs="Calibri"/>
          <w:bCs/>
          <w:iCs/>
        </w:rPr>
      </w:pPr>
      <w:r w:rsidRPr="00334ED6">
        <w:rPr>
          <w:rFonts w:cs="Calibri"/>
          <w:bCs/>
          <w:iCs/>
        </w:rPr>
        <w:t>On the basis of the direct evidence presented in the submission (4 weeks of double-blind induction treatment in TRANSFORM-3), for every 100 patients aged 65 years and over with treatment-resistant depression treated with esketamine nasal spray plus an OAD in comparison to intranasal placebo plus an OAD: </w:t>
      </w:r>
    </w:p>
    <w:p w14:paraId="6132B174" w14:textId="77777777" w:rsidR="00E571DC" w:rsidRPr="00D26534" w:rsidRDefault="00E571DC" w:rsidP="00A60C7B">
      <w:pPr>
        <w:pStyle w:val="COMexecsummbulletlist"/>
        <w:ind w:left="1077" w:hanging="357"/>
      </w:pPr>
      <w:r w:rsidRPr="00D26534">
        <w:t>Approximately 14 more patients would have a response, defined as a ≥50% reduction in symptoms of depression as measured on the MADRS. </w:t>
      </w:r>
    </w:p>
    <w:p w14:paraId="70CE9D82" w14:textId="77777777" w:rsidR="00E571DC" w:rsidRPr="00D26534" w:rsidRDefault="00E571DC" w:rsidP="00A60C7B">
      <w:pPr>
        <w:pStyle w:val="COMexecsummbulletlist"/>
        <w:ind w:left="1077" w:hanging="357"/>
      </w:pPr>
      <w:r w:rsidRPr="00D26534">
        <w:t>Approximately 11 additional patients would experience remission, defined as a MADRS score ≤12. </w:t>
      </w:r>
    </w:p>
    <w:p w14:paraId="417D736C" w14:textId="77777777" w:rsidR="00E571DC" w:rsidRPr="00D26534" w:rsidRDefault="00E571DC" w:rsidP="00A60C7B">
      <w:pPr>
        <w:pStyle w:val="COMexecsummbulletlist"/>
        <w:ind w:left="1077" w:hanging="357"/>
      </w:pPr>
      <w:r w:rsidRPr="00D26534">
        <w:t>Approximately 13 patients would experience dizziness. </w:t>
      </w:r>
    </w:p>
    <w:p w14:paraId="04C1BEFE" w14:textId="77777777" w:rsidR="00E571DC" w:rsidRPr="00D26534" w:rsidRDefault="00E571DC" w:rsidP="00A60C7B">
      <w:pPr>
        <w:pStyle w:val="COMexecsummbulletlist"/>
        <w:ind w:left="1077" w:hanging="357"/>
      </w:pPr>
      <w:r w:rsidRPr="00D26534">
        <w:t>Approximately 11 patients would experience dissociation. </w:t>
      </w:r>
    </w:p>
    <w:p w14:paraId="17C8D810" w14:textId="77777777" w:rsidR="00E571DC" w:rsidRPr="00D26534" w:rsidRDefault="00E571DC" w:rsidP="00A60C7B">
      <w:pPr>
        <w:pStyle w:val="COMexecsummbulletlist"/>
        <w:ind w:left="1077" w:hanging="357"/>
      </w:pPr>
      <w:r w:rsidRPr="00D26534">
        <w:lastRenderedPageBreak/>
        <w:t>Approximately 8 patients would experience vertigo. </w:t>
      </w:r>
    </w:p>
    <w:p w14:paraId="0F15A3B9" w14:textId="77777777" w:rsidR="00E571DC" w:rsidRPr="00D26534" w:rsidRDefault="00E571DC" w:rsidP="00A60C7B">
      <w:pPr>
        <w:pStyle w:val="COMexecsummbulletlist"/>
        <w:ind w:left="1077" w:hanging="357"/>
      </w:pPr>
      <w:r w:rsidRPr="00D26534">
        <w:t>Approximately 8 patients would have an increase in blood pressure. </w:t>
      </w:r>
    </w:p>
    <w:p w14:paraId="4C36B5BD" w14:textId="77777777" w:rsidR="00E571DC" w:rsidRPr="00334ED6" w:rsidRDefault="00E571DC" w:rsidP="00334ED6">
      <w:pPr>
        <w:pStyle w:val="ListParagraph"/>
        <w:numPr>
          <w:ilvl w:val="1"/>
          <w:numId w:val="1"/>
        </w:numPr>
        <w:spacing w:after="120"/>
        <w:ind w:hanging="720"/>
        <w:contextualSpacing w:val="0"/>
        <w:rPr>
          <w:rFonts w:cs="Calibri"/>
          <w:bCs/>
          <w:iCs/>
        </w:rPr>
      </w:pPr>
      <w:r w:rsidRPr="00334ED6">
        <w:rPr>
          <w:rFonts w:cs="Calibri"/>
          <w:bCs/>
          <w:iCs/>
        </w:rPr>
        <w:t>On the basis of the direct evidence presented in the submission (double-blind maintenance treatment in SUSTAIN-1), for every 100 patients with treatment-resistant depression who achieved remission or response and continued treatment with esketamine nasal spray plus an OAD compared to those who achieved remission or response who then discontinued treatment with esketamine nasal spray, instead receiving an intranasal placebo plus an OAD in the maintenance phase: </w:t>
      </w:r>
    </w:p>
    <w:p w14:paraId="69E70314" w14:textId="77777777" w:rsidR="00E571DC" w:rsidRPr="00D26534" w:rsidRDefault="00E571DC" w:rsidP="00A60C7B">
      <w:pPr>
        <w:pStyle w:val="COMexecsummbulletlist"/>
        <w:ind w:left="1077" w:hanging="357"/>
      </w:pPr>
      <w:r w:rsidRPr="00D26534">
        <w:t>In those who achieved remission, approximately 19 fewer patients would experience relapse to depression. </w:t>
      </w:r>
    </w:p>
    <w:p w14:paraId="5E6DF3ED" w14:textId="77777777" w:rsidR="00E571DC" w:rsidRPr="00D26534" w:rsidRDefault="00E571DC" w:rsidP="00A60C7B">
      <w:pPr>
        <w:pStyle w:val="COMexecsummbulletlist"/>
        <w:ind w:left="1077" w:hanging="357"/>
      </w:pPr>
      <w:r w:rsidRPr="00D26534">
        <w:t>In those who achieved response, approximately 32 fewer patients would experience relapse to depression. </w:t>
      </w:r>
    </w:p>
    <w:p w14:paraId="3B33A6E3" w14:textId="77777777" w:rsidR="00E571DC" w:rsidRPr="00D26534" w:rsidRDefault="00E571DC" w:rsidP="00A60C7B">
      <w:pPr>
        <w:pStyle w:val="COMexecsummbulletlist"/>
        <w:ind w:left="1077" w:hanging="357"/>
      </w:pPr>
      <w:r w:rsidRPr="00D26534">
        <w:t>Approximately 16 patients would experience dizziness. </w:t>
      </w:r>
    </w:p>
    <w:p w14:paraId="4796197F" w14:textId="77777777" w:rsidR="00E571DC" w:rsidRPr="00D26534" w:rsidRDefault="00E571DC" w:rsidP="00A60C7B">
      <w:pPr>
        <w:pStyle w:val="COMexecsummbulletlist"/>
        <w:ind w:left="1077" w:hanging="357"/>
      </w:pPr>
      <w:r w:rsidRPr="00D26534">
        <w:t>Approximately 23 patients would experience dissociation. </w:t>
      </w:r>
    </w:p>
    <w:p w14:paraId="645CFE77" w14:textId="77777777" w:rsidR="00E571DC" w:rsidRPr="00D26534" w:rsidRDefault="00E571DC" w:rsidP="00A60C7B">
      <w:pPr>
        <w:pStyle w:val="COMexecsummbulletlist"/>
        <w:ind w:left="1077" w:hanging="357"/>
      </w:pPr>
      <w:r w:rsidRPr="00D26534">
        <w:t>Approximately 20 patients would experience vertigo. </w:t>
      </w:r>
    </w:p>
    <w:p w14:paraId="3B653B96" w14:textId="2D09B916" w:rsidR="00FC1884" w:rsidRPr="00D26534" w:rsidRDefault="00E571DC" w:rsidP="00A60C7B">
      <w:pPr>
        <w:pStyle w:val="COMexecsummbulletlist"/>
        <w:ind w:left="1077" w:hanging="357"/>
      </w:pPr>
      <w:r w:rsidRPr="00D26534">
        <w:t>Approximately 3 patients would have an increase in blood pressure.</w:t>
      </w:r>
      <w:r w:rsidR="003270E4" w:rsidRPr="00D26534">
        <w:t> </w:t>
      </w:r>
    </w:p>
    <w:p w14:paraId="7A1772B6" w14:textId="23BB3145" w:rsidR="00B60939" w:rsidRPr="00043790" w:rsidRDefault="00B60939" w:rsidP="00E9094A">
      <w:pPr>
        <w:pStyle w:val="COMH2-non-numbered"/>
      </w:pPr>
      <w:bookmarkStart w:id="39" w:name="_Toc22897644"/>
      <w:bookmarkStart w:id="40" w:name="_Toc167274376"/>
      <w:r w:rsidRPr="00043790">
        <w:t>Clinical claim</w:t>
      </w:r>
      <w:bookmarkEnd w:id="39"/>
      <w:bookmarkEnd w:id="40"/>
    </w:p>
    <w:p w14:paraId="0CC8E0AD" w14:textId="77777777" w:rsidR="00C105FB" w:rsidRPr="00334ED6" w:rsidRDefault="00C105FB" w:rsidP="00334ED6">
      <w:pPr>
        <w:pStyle w:val="ListParagraph"/>
        <w:numPr>
          <w:ilvl w:val="1"/>
          <w:numId w:val="1"/>
        </w:numPr>
        <w:spacing w:after="120"/>
        <w:ind w:hanging="720"/>
        <w:contextualSpacing w:val="0"/>
        <w:rPr>
          <w:rFonts w:cs="Calibri"/>
          <w:bCs/>
          <w:iCs/>
        </w:rPr>
      </w:pPr>
      <w:r w:rsidRPr="00334ED6">
        <w:rPr>
          <w:rFonts w:cs="Calibri"/>
          <w:bCs/>
          <w:iCs/>
        </w:rPr>
        <w:t xml:space="preserve">The clinical claim for the resubmission remained the same as the July 2023 resubmission, that is: esketamine nasal spray in combination with a newly initiated OAD is superior in terms of effectiveness and inferior in terms of safety, compared with a newly initiated OAD alone. </w:t>
      </w:r>
    </w:p>
    <w:p w14:paraId="2177D504" w14:textId="12309341" w:rsidR="009E706A" w:rsidRPr="00334ED6" w:rsidRDefault="00C105FB" w:rsidP="00334ED6">
      <w:pPr>
        <w:pStyle w:val="ListParagraph"/>
        <w:numPr>
          <w:ilvl w:val="1"/>
          <w:numId w:val="1"/>
        </w:numPr>
        <w:spacing w:after="120"/>
        <w:ind w:hanging="720"/>
        <w:contextualSpacing w:val="0"/>
        <w:rPr>
          <w:rFonts w:cs="Calibri"/>
          <w:bCs/>
          <w:iCs/>
        </w:rPr>
      </w:pPr>
      <w:r w:rsidRPr="00334ED6">
        <w:rPr>
          <w:rFonts w:cs="Calibri"/>
          <w:bCs/>
          <w:iCs/>
        </w:rPr>
        <w:t xml:space="preserve">The PBAC previously considered that the claim of superior comparative effectiveness may be reasonable, although the magnitude and clinical importance of the observed benefits was uncertain (para 7.10, </w:t>
      </w:r>
      <w:r w:rsidR="00E71C49" w:rsidRPr="00334ED6">
        <w:rPr>
          <w:rFonts w:cs="Calibri"/>
          <w:bCs/>
          <w:iCs/>
        </w:rPr>
        <w:t>esketamine PSD</w:t>
      </w:r>
      <w:r w:rsidRPr="00334ED6">
        <w:rPr>
          <w:rFonts w:cs="Calibri"/>
          <w:bCs/>
          <w:iCs/>
        </w:rPr>
        <w:t xml:space="preserve">, July 2023 PBAC meeting). The PBAC previously considered the claim of non-inferior safety was reasonable, however remained concerned there was limited longer-term safety data. The PBAC previously noted input received via Consumer Comments that the adverse event profile (dissociation, in particular) can be concerning for some patients and considered this may result in them needing additional care (para 7.11, </w:t>
      </w:r>
      <w:r w:rsidR="00E71C49" w:rsidRPr="00334ED6">
        <w:rPr>
          <w:rFonts w:cs="Calibri"/>
          <w:bCs/>
          <w:iCs/>
        </w:rPr>
        <w:t>esketamine PSD</w:t>
      </w:r>
      <w:r w:rsidRPr="00334ED6">
        <w:rPr>
          <w:rFonts w:cs="Calibri"/>
          <w:bCs/>
          <w:iCs/>
        </w:rPr>
        <w:t xml:space="preserve">, July 2023 PBAC meeting). </w:t>
      </w:r>
    </w:p>
    <w:p w14:paraId="520C6F01" w14:textId="18FFDE17" w:rsidR="000F32B9" w:rsidRPr="00334ED6" w:rsidRDefault="000F32B9" w:rsidP="00334ED6">
      <w:pPr>
        <w:pStyle w:val="ListParagraph"/>
        <w:numPr>
          <w:ilvl w:val="1"/>
          <w:numId w:val="1"/>
        </w:numPr>
        <w:spacing w:after="120"/>
        <w:ind w:hanging="720"/>
        <w:contextualSpacing w:val="0"/>
        <w:rPr>
          <w:rFonts w:cs="Calibri"/>
          <w:bCs/>
          <w:iCs/>
        </w:rPr>
      </w:pPr>
      <w:bookmarkStart w:id="41" w:name="_Toc22897645"/>
      <w:r w:rsidRPr="00334ED6">
        <w:rPr>
          <w:rFonts w:cs="Calibri"/>
          <w:bCs/>
          <w:iCs/>
        </w:rPr>
        <w:t>The</w:t>
      </w:r>
      <w:r w:rsidR="00140035">
        <w:rPr>
          <w:rFonts w:cs="Calibri"/>
          <w:bCs/>
          <w:iCs/>
        </w:rPr>
        <w:t xml:space="preserve"> </w:t>
      </w:r>
      <w:r w:rsidR="00140035" w:rsidRPr="008217F1">
        <w:rPr>
          <w:rFonts w:cs="Calibri"/>
          <w:bCs/>
          <w:iCs/>
        </w:rPr>
        <w:t>ESC noted there</w:t>
      </w:r>
      <w:r w:rsidR="00140035" w:rsidRPr="005638BC">
        <w:rPr>
          <w:rFonts w:cs="Calibri"/>
          <w:bCs/>
          <w:i/>
        </w:rPr>
        <w:t xml:space="preserve"> </w:t>
      </w:r>
      <w:r w:rsidRPr="00334ED6">
        <w:rPr>
          <w:rFonts w:cs="Calibri"/>
          <w:bCs/>
          <w:iCs/>
        </w:rPr>
        <w:t>are several outstanding issues which should be considered:</w:t>
      </w:r>
    </w:p>
    <w:p w14:paraId="420B4BEF" w14:textId="62B2F687" w:rsidR="000F32B9" w:rsidRPr="00D26534" w:rsidRDefault="000F32B9" w:rsidP="00A60C7B">
      <w:pPr>
        <w:pStyle w:val="COMexecsummbulletlist"/>
        <w:ind w:left="1077" w:hanging="357"/>
        <w:rPr>
          <w:snapToGrid/>
        </w:rPr>
      </w:pPr>
      <w:r w:rsidRPr="00D26534">
        <w:rPr>
          <w:snapToGrid/>
        </w:rPr>
        <w:t>There are clinical questions which remain unanswered with the available clinical data</w:t>
      </w:r>
      <w:r w:rsidR="003705A9" w:rsidRPr="00D26534">
        <w:rPr>
          <w:snapToGrid/>
        </w:rPr>
        <w:t>, including</w:t>
      </w:r>
      <w:r w:rsidRPr="00D26534">
        <w:rPr>
          <w:snapToGrid/>
        </w:rPr>
        <w:t xml:space="preserve"> how </w:t>
      </w:r>
      <w:r w:rsidR="00406D16" w:rsidRPr="00D26534">
        <w:rPr>
          <w:snapToGrid/>
        </w:rPr>
        <w:t xml:space="preserve">or when </w:t>
      </w:r>
      <w:r w:rsidRPr="00D26534">
        <w:rPr>
          <w:snapToGrid/>
        </w:rPr>
        <w:t>to cease or taper treatment in responders</w:t>
      </w:r>
      <w:r w:rsidR="003705A9" w:rsidRPr="00D26534">
        <w:rPr>
          <w:snapToGrid/>
        </w:rPr>
        <w:t xml:space="preserve"> and</w:t>
      </w:r>
      <w:r w:rsidRPr="00D26534">
        <w:rPr>
          <w:snapToGrid/>
        </w:rPr>
        <w:t xml:space="preserve"> </w:t>
      </w:r>
      <w:r w:rsidR="00406D16" w:rsidRPr="00D26534">
        <w:rPr>
          <w:snapToGrid/>
        </w:rPr>
        <w:t>the optimal duration of treatment</w:t>
      </w:r>
      <w:r w:rsidRPr="00D26534">
        <w:rPr>
          <w:snapToGrid/>
        </w:rPr>
        <w:t>.</w:t>
      </w:r>
    </w:p>
    <w:p w14:paraId="5C44254E" w14:textId="66BF2F65" w:rsidR="000F32B9" w:rsidRPr="00D26534" w:rsidRDefault="000F32B9" w:rsidP="00A60C7B">
      <w:pPr>
        <w:pStyle w:val="COMexecsummbulletlist"/>
        <w:ind w:left="1077" w:hanging="357"/>
        <w:rPr>
          <w:snapToGrid/>
        </w:rPr>
      </w:pPr>
      <w:r w:rsidRPr="00D26534">
        <w:rPr>
          <w:snapToGrid/>
        </w:rPr>
        <w:t>The magnitude of the clinical benefit, and the subgroups most likely to respond to treatment, are uncertain. Only one of the included short-term induction trials showed a statistically significant difference in the primary outcome.</w:t>
      </w:r>
    </w:p>
    <w:p w14:paraId="6AB8776F" w14:textId="7D2AAEC4" w:rsidR="00367F8E" w:rsidRPr="005638BC" w:rsidRDefault="000F32B9" w:rsidP="00A60C7B">
      <w:pPr>
        <w:pStyle w:val="COMexecsummbulletlist"/>
        <w:ind w:left="1077" w:hanging="357"/>
      </w:pPr>
      <w:r w:rsidRPr="00D26534">
        <w:rPr>
          <w:snapToGrid/>
        </w:rPr>
        <w:lastRenderedPageBreak/>
        <w:t>There is limited long-term evidence for</w:t>
      </w:r>
      <w:r w:rsidR="0057289B" w:rsidRPr="00D26534">
        <w:rPr>
          <w:snapToGrid/>
        </w:rPr>
        <w:t xml:space="preserve"> </w:t>
      </w:r>
      <w:r w:rsidR="003705A9" w:rsidRPr="00D26534">
        <w:rPr>
          <w:snapToGrid/>
        </w:rPr>
        <w:t xml:space="preserve">comparative efficacy or </w:t>
      </w:r>
      <w:r w:rsidRPr="00D26534">
        <w:rPr>
          <w:snapToGrid/>
        </w:rPr>
        <w:t>safety</w:t>
      </w:r>
      <w:r w:rsidR="00067447" w:rsidRPr="00D26534">
        <w:rPr>
          <w:snapToGrid/>
        </w:rPr>
        <w:t>, or efficacy of retreatment.</w:t>
      </w:r>
      <w:r w:rsidR="00367F8E">
        <w:rPr>
          <w:snapToGrid/>
        </w:rPr>
        <w:t xml:space="preserve"> </w:t>
      </w:r>
    </w:p>
    <w:p w14:paraId="1B88E738" w14:textId="14B55617" w:rsidR="005638BC" w:rsidRDefault="005638BC" w:rsidP="005638BC">
      <w:pPr>
        <w:pStyle w:val="ListParagraph"/>
        <w:numPr>
          <w:ilvl w:val="1"/>
          <w:numId w:val="1"/>
        </w:numPr>
        <w:spacing w:after="120"/>
        <w:ind w:hanging="720"/>
        <w:contextualSpacing w:val="0"/>
        <w:rPr>
          <w:rFonts w:cs="Calibri"/>
          <w:bCs/>
          <w:iCs/>
        </w:rPr>
      </w:pPr>
      <w:r w:rsidRPr="008217F1">
        <w:rPr>
          <w:rFonts w:cs="Calibri"/>
          <w:bCs/>
          <w:iCs/>
        </w:rPr>
        <w:t>The ESC noted there were limited clinical data for use of esketamine beyond 12</w:t>
      </w:r>
      <w:r w:rsidR="00BD1946">
        <w:rPr>
          <w:rFonts w:cs="Calibri"/>
          <w:bCs/>
          <w:iCs/>
        </w:rPr>
        <w:t> </w:t>
      </w:r>
      <w:r w:rsidRPr="008217F1">
        <w:rPr>
          <w:rFonts w:cs="Calibri"/>
          <w:bCs/>
          <w:iCs/>
        </w:rPr>
        <w:t>months and for retreatment</w:t>
      </w:r>
      <w:r w:rsidR="00152D53" w:rsidRPr="008217F1">
        <w:rPr>
          <w:rFonts w:cs="Calibri"/>
          <w:bCs/>
          <w:iCs/>
        </w:rPr>
        <w:t>,</w:t>
      </w:r>
      <w:r w:rsidRPr="008217F1">
        <w:rPr>
          <w:rFonts w:cs="Calibri"/>
          <w:bCs/>
          <w:iCs/>
        </w:rPr>
        <w:t xml:space="preserve"> and acknowledged there was unlikely to be additional clinical data forthcoming; however, the ESC noted long-term efficacy and safety </w:t>
      </w:r>
      <w:r w:rsidR="00E35A6F" w:rsidRPr="008217F1">
        <w:rPr>
          <w:rFonts w:cs="Calibri"/>
          <w:bCs/>
          <w:iCs/>
        </w:rPr>
        <w:t xml:space="preserve">were </w:t>
      </w:r>
      <w:r w:rsidRPr="008217F1">
        <w:rPr>
          <w:rFonts w:cs="Calibri"/>
          <w:bCs/>
          <w:iCs/>
        </w:rPr>
        <w:t>uncertain.</w:t>
      </w:r>
      <w:r w:rsidR="009E6034">
        <w:rPr>
          <w:rFonts w:cs="Calibri"/>
          <w:bCs/>
          <w:iCs/>
        </w:rPr>
        <w:t xml:space="preserve"> </w:t>
      </w:r>
    </w:p>
    <w:p w14:paraId="13D090B4" w14:textId="2BFEF89E" w:rsidR="009E6034" w:rsidRPr="0039513B" w:rsidRDefault="009E6034" w:rsidP="009E6034">
      <w:pPr>
        <w:widowControl w:val="0"/>
        <w:numPr>
          <w:ilvl w:val="1"/>
          <w:numId w:val="1"/>
        </w:numPr>
        <w:spacing w:after="120"/>
        <w:ind w:left="720" w:hanging="720"/>
        <w:rPr>
          <w:rFonts w:asciiTheme="minorHAnsi" w:hAnsiTheme="minorHAnsi"/>
          <w:snapToGrid w:val="0"/>
          <w:szCs w:val="20"/>
        </w:rPr>
      </w:pPr>
      <w:bookmarkStart w:id="42" w:name="_Hlk76376200"/>
      <w:r w:rsidRPr="0039513B">
        <w:rPr>
          <w:rFonts w:asciiTheme="minorHAnsi" w:hAnsiTheme="minorHAnsi"/>
          <w:iCs/>
          <w:snapToGrid w:val="0"/>
        </w:rPr>
        <w:t>The</w:t>
      </w:r>
      <w:r w:rsidRPr="0039513B">
        <w:rPr>
          <w:rFonts w:asciiTheme="minorHAnsi" w:hAnsiTheme="minorHAnsi"/>
          <w:snapToGrid w:val="0"/>
          <w:szCs w:val="20"/>
        </w:rPr>
        <w:t xml:space="preserve"> PBAC considered that the claim of superior comparative effectiveness was </w:t>
      </w:r>
      <w:r w:rsidR="0039513B" w:rsidRPr="0039513B">
        <w:rPr>
          <w:rFonts w:asciiTheme="minorHAnsi" w:hAnsiTheme="minorHAnsi"/>
          <w:snapToGrid w:val="0"/>
          <w:szCs w:val="20"/>
        </w:rPr>
        <w:t>likely to be reasonable, however the magnitude of benefit remained uncertain.</w:t>
      </w:r>
    </w:p>
    <w:p w14:paraId="2E4226D6" w14:textId="173E4D23" w:rsidR="009E6034" w:rsidRPr="0039513B" w:rsidRDefault="009E6034" w:rsidP="009E6034">
      <w:pPr>
        <w:widowControl w:val="0"/>
        <w:numPr>
          <w:ilvl w:val="1"/>
          <w:numId w:val="1"/>
        </w:numPr>
        <w:spacing w:after="120"/>
        <w:ind w:left="720" w:hanging="720"/>
        <w:rPr>
          <w:rFonts w:asciiTheme="minorHAnsi" w:hAnsiTheme="minorHAnsi"/>
          <w:snapToGrid w:val="0"/>
          <w:szCs w:val="20"/>
        </w:rPr>
      </w:pPr>
      <w:r w:rsidRPr="0039513B">
        <w:rPr>
          <w:rFonts w:asciiTheme="minorHAnsi" w:hAnsiTheme="minorHAnsi"/>
          <w:snapToGrid w:val="0"/>
          <w:szCs w:val="20"/>
        </w:rPr>
        <w:t>The PBAC considered that the claim of inferior comparative safety was reasonable.</w:t>
      </w:r>
      <w:bookmarkEnd w:id="42"/>
    </w:p>
    <w:p w14:paraId="74A1172E" w14:textId="786BFA65" w:rsidR="00B60939" w:rsidRPr="00043790" w:rsidRDefault="00B60939" w:rsidP="000F32B9">
      <w:pPr>
        <w:pStyle w:val="COMH2-non-numbered"/>
      </w:pPr>
      <w:bookmarkStart w:id="43" w:name="_Toc167274377"/>
      <w:r w:rsidRPr="00043790">
        <w:t>Economic analysis</w:t>
      </w:r>
      <w:bookmarkEnd w:id="41"/>
      <w:bookmarkEnd w:id="43"/>
      <w:r w:rsidR="00491B3A" w:rsidRPr="00043790">
        <w:t xml:space="preserve"> </w:t>
      </w:r>
    </w:p>
    <w:p w14:paraId="3E5798D4" w14:textId="77777777" w:rsidR="000B6C0F" w:rsidRPr="00334ED6" w:rsidRDefault="000B6C0F" w:rsidP="00334ED6">
      <w:pPr>
        <w:pStyle w:val="ListParagraph"/>
        <w:numPr>
          <w:ilvl w:val="1"/>
          <w:numId w:val="1"/>
        </w:numPr>
        <w:spacing w:after="120"/>
        <w:ind w:hanging="720"/>
        <w:contextualSpacing w:val="0"/>
        <w:rPr>
          <w:rFonts w:cs="Calibri"/>
          <w:bCs/>
          <w:iCs/>
        </w:rPr>
      </w:pPr>
      <w:r w:rsidRPr="00334ED6">
        <w:rPr>
          <w:rFonts w:cs="Calibri"/>
          <w:bCs/>
          <w:iCs/>
        </w:rPr>
        <w:t xml:space="preserve">The resubmission presented a stepped economic evaluation of esketamine nasal spray plus a newly initiated OAD versus a newly initiated OAD alone in patients with moderate to severe TRD. The economic analysis was based on evidence from the TRANSFORM-2, TRANSFORM-3 and SUSTAIN-1 trials, as well as additional modelled variables. The economic evaluation was presented as a cost-utility analysis. </w:t>
      </w:r>
    </w:p>
    <w:p w14:paraId="4FA6DC81" w14:textId="77777777" w:rsidR="009A7218" w:rsidRPr="00334ED6" w:rsidRDefault="009A7218" w:rsidP="00334ED6">
      <w:pPr>
        <w:pStyle w:val="ListParagraph"/>
        <w:numPr>
          <w:ilvl w:val="1"/>
          <w:numId w:val="1"/>
        </w:numPr>
        <w:spacing w:after="120"/>
        <w:ind w:hanging="720"/>
        <w:contextualSpacing w:val="0"/>
        <w:rPr>
          <w:rFonts w:cs="Calibri"/>
          <w:bCs/>
          <w:iCs/>
        </w:rPr>
      </w:pPr>
      <w:r w:rsidRPr="00334ED6">
        <w:rPr>
          <w:rFonts w:cs="Calibri"/>
          <w:bCs/>
          <w:iCs/>
        </w:rPr>
        <w:t>The key changes to the economic evaluation in the current resubmission compared with the July 2023 submission include:</w:t>
      </w:r>
    </w:p>
    <w:p w14:paraId="4F662471" w14:textId="77777777" w:rsidR="009A7218" w:rsidRPr="00D26534" w:rsidRDefault="009A7218" w:rsidP="00A60C7B">
      <w:pPr>
        <w:pStyle w:val="COMexecsummbulletlist"/>
        <w:ind w:left="1134"/>
      </w:pPr>
      <w:r w:rsidRPr="00D26534">
        <w:t>Allowing patients who respond to initial esketamine treatment and subsequently relapse to be retreated after a treatment break of at least 4 months.</w:t>
      </w:r>
    </w:p>
    <w:p w14:paraId="1C90EC41" w14:textId="77777777" w:rsidR="009A7218" w:rsidRPr="00D26534" w:rsidRDefault="009A7218" w:rsidP="00A60C7B">
      <w:pPr>
        <w:pStyle w:val="COMexecsummbulletlist"/>
        <w:ind w:left="1134"/>
      </w:pPr>
      <w:r w:rsidRPr="00D26534">
        <w:t>Allowing a proportion of patients to remain on esketamine beyond the maximum treatment duration of one year.</w:t>
      </w:r>
    </w:p>
    <w:p w14:paraId="7EC42DFC" w14:textId="77777777" w:rsidR="009A7218" w:rsidRPr="00D26534" w:rsidRDefault="009A7218" w:rsidP="00A60C7B">
      <w:pPr>
        <w:pStyle w:val="COMexecsummbulletlist"/>
        <w:ind w:left="1134"/>
      </w:pPr>
      <w:r w:rsidRPr="00D26534">
        <w:t>Using an alternative approach to estimating disease management costs based on South Australian data (Goldney 2007; previously based on a UK retrospective chart review study, Denee 2021).</w:t>
      </w:r>
    </w:p>
    <w:p w14:paraId="47251B7A" w14:textId="6E60EFE5" w:rsidR="009A7218" w:rsidRPr="00D26534" w:rsidRDefault="009A7218" w:rsidP="00A60C7B">
      <w:pPr>
        <w:pStyle w:val="COMexecsummbulletlist"/>
        <w:ind w:left="1134" w:hanging="357"/>
      </w:pPr>
      <w:r w:rsidRPr="00D26534">
        <w:t>Revising the effective AEMP of esketamine nasal spray from $</w:t>
      </w:r>
      <w:r w:rsidR="00683384" w:rsidRPr="00A34B18">
        <w:rPr>
          <w:color w:val="000000"/>
          <w:w w:val="15"/>
          <w:shd w:val="solid" w:color="000000" w:fill="000000"/>
          <w:fitText w:val="-20" w:id="-892701184"/>
          <w14:textFill>
            <w14:solidFill>
              <w14:srgbClr w14:val="000000">
                <w14:alpha w14:val="100000"/>
              </w14:srgbClr>
            </w14:solidFill>
          </w14:textFill>
        </w:rPr>
        <w:t xml:space="preserve">|  </w:t>
      </w:r>
      <w:r w:rsidR="00683384" w:rsidRPr="00A34B18">
        <w:rPr>
          <w:color w:val="000000"/>
          <w:spacing w:val="-69"/>
          <w:w w:val="15"/>
          <w:shd w:val="solid" w:color="000000" w:fill="000000"/>
          <w:fitText w:val="-20" w:id="-892701184"/>
          <w14:textFill>
            <w14:solidFill>
              <w14:srgbClr w14:val="000000">
                <w14:alpha w14:val="100000"/>
              </w14:srgbClr>
            </w14:solidFill>
          </w14:textFill>
        </w:rPr>
        <w:t>|</w:t>
      </w:r>
      <w:r w:rsidRPr="00D26534">
        <w:t xml:space="preserve"> to $</w:t>
      </w:r>
      <w:r w:rsidR="00683384" w:rsidRPr="00A34B18">
        <w:rPr>
          <w:color w:val="000000"/>
          <w:w w:val="15"/>
          <w:shd w:val="solid" w:color="000000" w:fill="000000"/>
          <w:fitText w:val="-20" w:id="-892701183"/>
          <w14:textFill>
            <w14:solidFill>
              <w14:srgbClr w14:val="000000">
                <w14:alpha w14:val="100000"/>
              </w14:srgbClr>
            </w14:solidFill>
          </w14:textFill>
        </w:rPr>
        <w:t xml:space="preserve">|  </w:t>
      </w:r>
      <w:r w:rsidR="00683384" w:rsidRPr="00A34B18">
        <w:rPr>
          <w:color w:val="000000"/>
          <w:spacing w:val="-69"/>
          <w:w w:val="15"/>
          <w:shd w:val="solid" w:color="000000" w:fill="000000"/>
          <w:fitText w:val="-20" w:id="-892701183"/>
          <w14:textFill>
            <w14:solidFill>
              <w14:srgbClr w14:val="000000">
                <w14:alpha w14:val="100000"/>
              </w14:srgbClr>
            </w14:solidFill>
          </w14:textFill>
        </w:rPr>
        <w:t>|</w:t>
      </w:r>
      <w:r w:rsidRPr="00D26534">
        <w:t xml:space="preserve"> per 28 mg device.</w:t>
      </w:r>
    </w:p>
    <w:p w14:paraId="759BE5C4" w14:textId="04215BB3" w:rsidR="009A7218" w:rsidRPr="00334ED6" w:rsidRDefault="009A7218" w:rsidP="00334ED6">
      <w:pPr>
        <w:pStyle w:val="ListParagraph"/>
        <w:numPr>
          <w:ilvl w:val="1"/>
          <w:numId w:val="1"/>
        </w:numPr>
        <w:spacing w:after="120"/>
        <w:ind w:hanging="720"/>
        <w:contextualSpacing w:val="0"/>
        <w:rPr>
          <w:rFonts w:cs="Calibri"/>
          <w:bCs/>
          <w:iCs/>
        </w:rPr>
      </w:pPr>
      <w:r w:rsidRPr="00334ED6">
        <w:rPr>
          <w:rFonts w:cs="Calibri"/>
          <w:bCs/>
          <w:iCs/>
        </w:rPr>
        <w:fldChar w:fldCharType="begin" w:fldLock="1"/>
      </w:r>
      <w:r w:rsidRPr="00334ED6">
        <w:rPr>
          <w:rFonts w:cs="Calibri"/>
          <w:bCs/>
          <w:iCs/>
        </w:rPr>
        <w:instrText xml:space="preserve"> REF _Ref164421214 \h  \* MERGEFORMAT </w:instrText>
      </w:r>
      <w:r w:rsidRPr="00334ED6">
        <w:rPr>
          <w:rFonts w:cs="Calibri"/>
          <w:bCs/>
          <w:iCs/>
        </w:rPr>
      </w:r>
      <w:r w:rsidRPr="00334ED6">
        <w:rPr>
          <w:rFonts w:cs="Calibri"/>
          <w:bCs/>
          <w:iCs/>
        </w:rPr>
        <w:fldChar w:fldCharType="separate"/>
      </w:r>
      <w:r w:rsidR="002B3C60" w:rsidRPr="002B3C60">
        <w:rPr>
          <w:rFonts w:cs="Calibri"/>
          <w:bCs/>
          <w:iCs/>
        </w:rPr>
        <w:t>Table 12</w:t>
      </w:r>
      <w:r w:rsidRPr="00334ED6">
        <w:rPr>
          <w:rFonts w:cs="Calibri"/>
          <w:bCs/>
          <w:iCs/>
        </w:rPr>
        <w:fldChar w:fldCharType="end"/>
      </w:r>
      <w:r w:rsidRPr="00334ED6">
        <w:rPr>
          <w:rFonts w:cs="Calibri"/>
          <w:bCs/>
          <w:iCs/>
        </w:rPr>
        <w:t xml:space="preserve"> summarises the key components of the economic evaluation.</w:t>
      </w:r>
    </w:p>
    <w:p w14:paraId="14BF564F" w14:textId="4E330F28" w:rsidR="00D46FE3" w:rsidRPr="00D26534" w:rsidRDefault="00D46FE3" w:rsidP="00D46FE3">
      <w:pPr>
        <w:pStyle w:val="COMTableheadingrow"/>
      </w:pPr>
      <w:bookmarkStart w:id="44" w:name="_Ref164421214"/>
      <w:r w:rsidRPr="00D26534">
        <w:t xml:space="preserve">Table </w:t>
      </w:r>
      <w:r w:rsidRPr="00D26534">
        <w:fldChar w:fldCharType="begin" w:fldLock="1"/>
      </w:r>
      <w:r w:rsidRPr="00D26534">
        <w:instrText xml:space="preserve"> SEQ Table \* ARABIC </w:instrText>
      </w:r>
      <w:r w:rsidRPr="00D26534">
        <w:fldChar w:fldCharType="separate"/>
      </w:r>
      <w:r w:rsidR="002B3C60">
        <w:rPr>
          <w:noProof/>
        </w:rPr>
        <w:t>12</w:t>
      </w:r>
      <w:r w:rsidRPr="00D26534">
        <w:fldChar w:fldCharType="end"/>
      </w:r>
      <w:bookmarkEnd w:id="44"/>
      <w:r w:rsidRPr="00D26534">
        <w:t>: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2: Key components of the economic evaluation"/>
      </w:tblPr>
      <w:tblGrid>
        <w:gridCol w:w="1555"/>
        <w:gridCol w:w="7462"/>
      </w:tblGrid>
      <w:tr w:rsidR="00D46FE3" w:rsidRPr="00D26534" w14:paraId="3BE0B6F0" w14:textId="77777777" w:rsidTr="259D127E">
        <w:trPr>
          <w:cantSplit/>
          <w:tblHeader/>
        </w:trPr>
        <w:tc>
          <w:tcPr>
            <w:tcW w:w="862" w:type="pct"/>
            <w:shd w:val="clear" w:color="auto" w:fill="auto"/>
            <w:vAlign w:val="center"/>
          </w:tcPr>
          <w:p w14:paraId="0B5EE267" w14:textId="77777777" w:rsidR="00D46FE3" w:rsidRPr="00D26534" w:rsidRDefault="00D46FE3" w:rsidP="006813A2">
            <w:pPr>
              <w:pStyle w:val="COMTableheadingrow"/>
              <w:rPr>
                <w:lang w:val="en-AU"/>
              </w:rPr>
            </w:pPr>
            <w:r w:rsidRPr="00D26534">
              <w:rPr>
                <w:lang w:val="en-AU"/>
              </w:rPr>
              <w:t>Component</w:t>
            </w:r>
          </w:p>
        </w:tc>
        <w:tc>
          <w:tcPr>
            <w:tcW w:w="4138" w:type="pct"/>
            <w:shd w:val="clear" w:color="auto" w:fill="auto"/>
            <w:vAlign w:val="center"/>
          </w:tcPr>
          <w:p w14:paraId="52204AC1" w14:textId="77777777" w:rsidR="00D46FE3" w:rsidRPr="00D26534" w:rsidRDefault="00D46FE3" w:rsidP="006813A2">
            <w:pPr>
              <w:pStyle w:val="COMTableheadingrow"/>
              <w:rPr>
                <w:lang w:val="en-AU"/>
              </w:rPr>
            </w:pPr>
            <w:r w:rsidRPr="00D26534">
              <w:rPr>
                <w:lang w:val="en-AU"/>
              </w:rPr>
              <w:t>Summary</w:t>
            </w:r>
          </w:p>
        </w:tc>
      </w:tr>
      <w:tr w:rsidR="00D46FE3" w:rsidRPr="00D26534" w14:paraId="7681CBEB" w14:textId="77777777" w:rsidTr="259D127E">
        <w:trPr>
          <w:cantSplit/>
        </w:trPr>
        <w:tc>
          <w:tcPr>
            <w:tcW w:w="862" w:type="pct"/>
            <w:shd w:val="clear" w:color="auto" w:fill="auto"/>
            <w:vAlign w:val="center"/>
          </w:tcPr>
          <w:p w14:paraId="36D6F373" w14:textId="77777777" w:rsidR="00D46FE3" w:rsidRPr="00D26534" w:rsidRDefault="00D46FE3" w:rsidP="006813A2">
            <w:pPr>
              <w:pStyle w:val="COMTabletext"/>
            </w:pPr>
            <w:r w:rsidRPr="00D26534">
              <w:t>Treatments</w:t>
            </w:r>
          </w:p>
        </w:tc>
        <w:tc>
          <w:tcPr>
            <w:tcW w:w="4138" w:type="pct"/>
            <w:shd w:val="clear" w:color="auto" w:fill="auto"/>
          </w:tcPr>
          <w:p w14:paraId="6F464995" w14:textId="77777777" w:rsidR="00D46FE3" w:rsidRPr="00D26534" w:rsidRDefault="00D46FE3" w:rsidP="006813A2">
            <w:pPr>
              <w:pStyle w:val="COMTabletext"/>
            </w:pPr>
            <w:r w:rsidRPr="00D26534">
              <w:rPr>
                <w:rFonts w:cs="Times New Roman"/>
                <w:szCs w:val="20"/>
              </w:rPr>
              <w:t>Esketamine + OAD versus placebo + OAD.  </w:t>
            </w:r>
          </w:p>
        </w:tc>
      </w:tr>
      <w:tr w:rsidR="00D46FE3" w:rsidRPr="00D26534" w14:paraId="6736ADE9" w14:textId="77777777" w:rsidTr="259D127E">
        <w:trPr>
          <w:cantSplit/>
        </w:trPr>
        <w:tc>
          <w:tcPr>
            <w:tcW w:w="862" w:type="pct"/>
            <w:shd w:val="clear" w:color="auto" w:fill="auto"/>
            <w:vAlign w:val="center"/>
          </w:tcPr>
          <w:p w14:paraId="6C78DAB3" w14:textId="77777777" w:rsidR="00D46FE3" w:rsidRPr="00D26534" w:rsidRDefault="00D46FE3" w:rsidP="006813A2">
            <w:pPr>
              <w:pStyle w:val="COMTabletext"/>
              <w:keepNext w:val="0"/>
            </w:pPr>
            <w:r w:rsidRPr="00D26534">
              <w:t>Time horizon</w:t>
            </w:r>
          </w:p>
        </w:tc>
        <w:tc>
          <w:tcPr>
            <w:tcW w:w="4138" w:type="pct"/>
            <w:shd w:val="clear" w:color="auto" w:fill="auto"/>
            <w:vAlign w:val="center"/>
          </w:tcPr>
          <w:p w14:paraId="736AE741" w14:textId="77777777" w:rsidR="00D46FE3" w:rsidRPr="00D26534" w:rsidRDefault="00D46FE3" w:rsidP="006813A2">
            <w:pPr>
              <w:pStyle w:val="COMTabletext"/>
              <w:keepNext w:val="0"/>
            </w:pPr>
            <w:r w:rsidRPr="00D26534">
              <w:t>5 years in the model base case versus 4 weeks in the short-term induction trials (TRANSFORM trials), and a median exposure to intranasal esketamine of 17.7-19.4 weeks in the SUSTAIN-1 trial.</w:t>
            </w:r>
          </w:p>
        </w:tc>
      </w:tr>
      <w:tr w:rsidR="00D46FE3" w:rsidRPr="00D26534" w14:paraId="4CF0875C" w14:textId="77777777" w:rsidTr="259D127E">
        <w:trPr>
          <w:cantSplit/>
        </w:trPr>
        <w:tc>
          <w:tcPr>
            <w:tcW w:w="862" w:type="pct"/>
            <w:shd w:val="clear" w:color="auto" w:fill="auto"/>
            <w:vAlign w:val="center"/>
          </w:tcPr>
          <w:p w14:paraId="37BAA2E1" w14:textId="77777777" w:rsidR="00D46FE3" w:rsidRPr="00D26534" w:rsidRDefault="00D46FE3" w:rsidP="006813A2">
            <w:pPr>
              <w:pStyle w:val="COMTabletext"/>
              <w:keepNext w:val="0"/>
            </w:pPr>
            <w:r w:rsidRPr="00D26534">
              <w:t>Outcomes</w:t>
            </w:r>
          </w:p>
        </w:tc>
        <w:tc>
          <w:tcPr>
            <w:tcW w:w="4138" w:type="pct"/>
            <w:shd w:val="clear" w:color="auto" w:fill="auto"/>
            <w:vAlign w:val="center"/>
          </w:tcPr>
          <w:p w14:paraId="0E076669" w14:textId="77777777" w:rsidR="00D46FE3" w:rsidRPr="00D26534" w:rsidRDefault="00D46FE3" w:rsidP="006813A2">
            <w:pPr>
              <w:pStyle w:val="COMTabletext"/>
              <w:keepNext w:val="0"/>
            </w:pPr>
            <w:r w:rsidRPr="00D26534">
              <w:t>Quality adjusted life years</w:t>
            </w:r>
          </w:p>
        </w:tc>
      </w:tr>
      <w:tr w:rsidR="00D46FE3" w:rsidRPr="00D26534" w14:paraId="63D1A210" w14:textId="77777777" w:rsidTr="259D127E">
        <w:trPr>
          <w:cantSplit/>
        </w:trPr>
        <w:tc>
          <w:tcPr>
            <w:tcW w:w="862" w:type="pct"/>
            <w:shd w:val="clear" w:color="auto" w:fill="auto"/>
            <w:vAlign w:val="center"/>
          </w:tcPr>
          <w:p w14:paraId="4285BD9F" w14:textId="77777777" w:rsidR="00D46FE3" w:rsidRPr="00D26534" w:rsidRDefault="00D46FE3" w:rsidP="006813A2">
            <w:pPr>
              <w:pStyle w:val="COMTabletext"/>
              <w:keepNext w:val="0"/>
            </w:pPr>
            <w:r w:rsidRPr="00D26534">
              <w:t xml:space="preserve">Type of analysis </w:t>
            </w:r>
          </w:p>
        </w:tc>
        <w:tc>
          <w:tcPr>
            <w:tcW w:w="4138" w:type="pct"/>
            <w:shd w:val="clear" w:color="auto" w:fill="auto"/>
            <w:vAlign w:val="center"/>
          </w:tcPr>
          <w:p w14:paraId="1FC85781" w14:textId="77777777" w:rsidR="00D46FE3" w:rsidRPr="00D26534" w:rsidRDefault="00D46FE3" w:rsidP="006813A2">
            <w:pPr>
              <w:pStyle w:val="COMTabletext"/>
              <w:keepNext w:val="0"/>
            </w:pPr>
            <w:r w:rsidRPr="00D26534">
              <w:t>Cost-utility analysis</w:t>
            </w:r>
          </w:p>
        </w:tc>
      </w:tr>
      <w:tr w:rsidR="00D46FE3" w:rsidRPr="00D26534" w14:paraId="0D8510DB" w14:textId="77777777" w:rsidTr="259D127E">
        <w:trPr>
          <w:cantSplit/>
        </w:trPr>
        <w:tc>
          <w:tcPr>
            <w:tcW w:w="862" w:type="pct"/>
            <w:shd w:val="clear" w:color="auto" w:fill="auto"/>
            <w:vAlign w:val="center"/>
          </w:tcPr>
          <w:p w14:paraId="7C433479" w14:textId="77777777" w:rsidR="00D46FE3" w:rsidRPr="00D26534" w:rsidRDefault="00D46FE3" w:rsidP="006813A2">
            <w:pPr>
              <w:pStyle w:val="COMTabletext"/>
              <w:keepNext w:val="0"/>
            </w:pPr>
            <w:r w:rsidRPr="00D26534">
              <w:t>Methods used to generate results</w:t>
            </w:r>
          </w:p>
        </w:tc>
        <w:tc>
          <w:tcPr>
            <w:tcW w:w="4138" w:type="pct"/>
            <w:shd w:val="clear" w:color="auto" w:fill="auto"/>
          </w:tcPr>
          <w:p w14:paraId="3940FF0B" w14:textId="77777777" w:rsidR="00D46FE3" w:rsidRPr="00D26534" w:rsidRDefault="00D46FE3" w:rsidP="006813A2">
            <w:pPr>
              <w:pStyle w:val="COMTabletext"/>
              <w:keepNext w:val="0"/>
            </w:pPr>
            <w:r w:rsidRPr="00D26534">
              <w:rPr>
                <w:rFonts w:cs="Times New Roman"/>
                <w:szCs w:val="20"/>
              </w:rPr>
              <w:t>Markov state transition model with multiple lines of treatment. </w:t>
            </w:r>
          </w:p>
        </w:tc>
      </w:tr>
      <w:tr w:rsidR="00D46FE3" w:rsidRPr="00D26534" w14:paraId="43D4E91E" w14:textId="77777777" w:rsidTr="259D127E">
        <w:trPr>
          <w:cantSplit/>
        </w:trPr>
        <w:tc>
          <w:tcPr>
            <w:tcW w:w="862" w:type="pct"/>
            <w:shd w:val="clear" w:color="auto" w:fill="auto"/>
            <w:vAlign w:val="center"/>
          </w:tcPr>
          <w:p w14:paraId="44E45C74" w14:textId="77777777" w:rsidR="00D46FE3" w:rsidRPr="00D26534" w:rsidRDefault="00D46FE3" w:rsidP="006813A2">
            <w:pPr>
              <w:pStyle w:val="COMTabletext"/>
              <w:keepNext w:val="0"/>
            </w:pPr>
            <w:r w:rsidRPr="00D26534">
              <w:t>Health states</w:t>
            </w:r>
          </w:p>
        </w:tc>
        <w:tc>
          <w:tcPr>
            <w:tcW w:w="4138" w:type="pct"/>
            <w:shd w:val="clear" w:color="auto" w:fill="auto"/>
          </w:tcPr>
          <w:p w14:paraId="07BB9F24" w14:textId="77777777" w:rsidR="00D46FE3" w:rsidRPr="00D26534" w:rsidRDefault="00D46FE3" w:rsidP="006813A2">
            <w:pPr>
              <w:pStyle w:val="COMTabletext"/>
              <w:keepNext w:val="0"/>
            </w:pPr>
            <w:r w:rsidRPr="00D26534">
              <w:rPr>
                <w:rFonts w:cs="Times New Roman"/>
                <w:szCs w:val="20"/>
              </w:rPr>
              <w:t>Major depressive episode, response, remission, recovery, death</w:t>
            </w:r>
          </w:p>
        </w:tc>
      </w:tr>
      <w:tr w:rsidR="00D46FE3" w:rsidRPr="00D26534" w14:paraId="67DB2A12" w14:textId="77777777" w:rsidTr="259D127E">
        <w:trPr>
          <w:cantSplit/>
        </w:trPr>
        <w:tc>
          <w:tcPr>
            <w:tcW w:w="862" w:type="pct"/>
            <w:shd w:val="clear" w:color="auto" w:fill="auto"/>
            <w:vAlign w:val="center"/>
          </w:tcPr>
          <w:p w14:paraId="59FFF0D9" w14:textId="77777777" w:rsidR="00D46FE3" w:rsidRPr="00D26534" w:rsidRDefault="00D46FE3" w:rsidP="006813A2">
            <w:pPr>
              <w:pStyle w:val="COMTabletext"/>
              <w:keepNext w:val="0"/>
            </w:pPr>
            <w:r w:rsidRPr="00D26534">
              <w:t>Cycle length</w:t>
            </w:r>
          </w:p>
        </w:tc>
        <w:tc>
          <w:tcPr>
            <w:tcW w:w="4138" w:type="pct"/>
            <w:shd w:val="clear" w:color="auto" w:fill="auto"/>
            <w:vAlign w:val="center"/>
          </w:tcPr>
          <w:p w14:paraId="4AC7A393" w14:textId="77777777" w:rsidR="00D46FE3" w:rsidRPr="00D26534" w:rsidRDefault="00D46FE3" w:rsidP="006813A2">
            <w:pPr>
              <w:pStyle w:val="COMTabletext"/>
              <w:keepNext w:val="0"/>
            </w:pPr>
            <w:r w:rsidRPr="00D26534">
              <w:t>4 weeks.</w:t>
            </w:r>
          </w:p>
        </w:tc>
      </w:tr>
      <w:tr w:rsidR="00D46FE3" w:rsidRPr="00D26534" w14:paraId="6938D7CD" w14:textId="77777777" w:rsidTr="259D127E">
        <w:trPr>
          <w:cantSplit/>
        </w:trPr>
        <w:tc>
          <w:tcPr>
            <w:tcW w:w="862" w:type="pct"/>
            <w:shd w:val="clear" w:color="auto" w:fill="auto"/>
            <w:vAlign w:val="center"/>
          </w:tcPr>
          <w:p w14:paraId="5DE9F56A" w14:textId="77777777" w:rsidR="00D46FE3" w:rsidRPr="00D26534" w:rsidRDefault="00D46FE3" w:rsidP="006813A2">
            <w:pPr>
              <w:pStyle w:val="COMTabletext"/>
              <w:keepNext w:val="0"/>
            </w:pPr>
            <w:r w:rsidRPr="00D26534">
              <w:lastRenderedPageBreak/>
              <w:t>Transition probabilities</w:t>
            </w:r>
          </w:p>
          <w:p w14:paraId="7378CD87" w14:textId="77777777" w:rsidR="00D46FE3" w:rsidRPr="00D26534" w:rsidRDefault="00D46FE3" w:rsidP="006813A2">
            <w:pPr>
              <w:pStyle w:val="COMTabletext"/>
              <w:keepNext w:val="0"/>
            </w:pPr>
          </w:p>
        </w:tc>
        <w:tc>
          <w:tcPr>
            <w:tcW w:w="4138" w:type="pct"/>
            <w:shd w:val="clear" w:color="auto" w:fill="auto"/>
          </w:tcPr>
          <w:p w14:paraId="7C71B511" w14:textId="77777777" w:rsidR="00D46FE3" w:rsidRPr="00D26534" w:rsidRDefault="00D46FE3" w:rsidP="006813A2">
            <w:pPr>
              <w:pStyle w:val="COMTabletext"/>
              <w:keepNext w:val="0"/>
              <w:spacing w:after="60"/>
            </w:pPr>
            <w:r w:rsidRPr="00D26534">
              <w:t>Unchanged from the July 2023 model, except for the inclusion of esketamine retreatment and allowing a proportion of patients to continue treatment beyond the maximum of 12 months.</w:t>
            </w:r>
          </w:p>
          <w:p w14:paraId="313C4549" w14:textId="77777777" w:rsidR="00D46FE3" w:rsidRPr="00D26534" w:rsidRDefault="00D46FE3" w:rsidP="006813A2">
            <w:pPr>
              <w:pStyle w:val="COMTabletext"/>
              <w:keepNext w:val="0"/>
              <w:spacing w:after="60"/>
            </w:pPr>
            <w:r w:rsidRPr="00D26534">
              <w:t xml:space="preserve">Transitions from MDE to response or remission were based on patients who achieved remission or response in TRANSFORM-2 and TRANSFORM-3, weighted by the proportion of the Australian population aged &lt;65 and ≥65 years. </w:t>
            </w:r>
          </w:p>
          <w:p w14:paraId="703AE1F3" w14:textId="77777777" w:rsidR="00D46FE3" w:rsidRPr="00D26534" w:rsidRDefault="00D46FE3" w:rsidP="006813A2">
            <w:pPr>
              <w:pStyle w:val="COMTabletext"/>
              <w:keepNext w:val="0"/>
              <w:spacing w:after="60"/>
            </w:pPr>
            <w:r w:rsidRPr="00D26534">
              <w:t>Probabilities of loss of response and relapse (from remission) in the esketamine plus OAD arm were based on the SUSTAIN-1 trial; maintenance transitions revert to those of the placebo plus OAD arm once off treatment.</w:t>
            </w:r>
          </w:p>
          <w:p w14:paraId="1DFB1EB7" w14:textId="77777777" w:rsidR="00D46FE3" w:rsidRPr="00D26534" w:rsidRDefault="00D46FE3" w:rsidP="006813A2">
            <w:pPr>
              <w:pStyle w:val="COMTabletext"/>
              <w:keepNext w:val="0"/>
              <w:spacing w:after="60"/>
            </w:pPr>
            <w:r w:rsidRPr="00D26534">
              <w:t xml:space="preserve">Maintenance transitions in the placebo plus OAD arm once were based on the average of 3rd- and 4th-line treatment outcomes from the STAR*D study. </w:t>
            </w:r>
          </w:p>
          <w:p w14:paraId="45D61AA3" w14:textId="77777777" w:rsidR="00D46FE3" w:rsidRPr="00D26534" w:rsidRDefault="00D46FE3" w:rsidP="006813A2">
            <w:pPr>
              <w:pStyle w:val="COMTabletext"/>
              <w:keepNext w:val="0"/>
              <w:spacing w:after="60"/>
            </w:pPr>
            <w:r w:rsidRPr="00D26534">
              <w:t>Transition probabilities for MDE to response or remission, and for response or remission to MDE in patients who failed their initial treatment in the model were based on data from patients in their 4th line of treatment in the STAR*D study.</w:t>
            </w:r>
          </w:p>
          <w:p w14:paraId="41C8B5FB" w14:textId="77777777" w:rsidR="00D46FE3" w:rsidRPr="00D26534" w:rsidRDefault="00D46FE3" w:rsidP="006813A2">
            <w:pPr>
              <w:pStyle w:val="COMTabletext"/>
              <w:keepNext w:val="0"/>
              <w:spacing w:after="60"/>
            </w:pPr>
            <w:r w:rsidRPr="00D26534">
              <w:t>The probability of eligible patients receiving esketamine retreatment (1.48% per cycle) was derived from a calibration exercise with a target of 22% of patients in the esketamine plus OAD arm receiving retreatment over the model time horizon; based on 2 US claims database studies (Karkare 2021; Teeple 2021).</w:t>
            </w:r>
          </w:p>
          <w:p w14:paraId="4BFA450F" w14:textId="77777777" w:rsidR="00D46FE3" w:rsidRPr="00D26534" w:rsidRDefault="00D46FE3" w:rsidP="006813A2">
            <w:pPr>
              <w:pStyle w:val="COMTabletext"/>
              <w:keepNext w:val="0"/>
              <w:spacing w:after="60"/>
            </w:pPr>
            <w:r w:rsidRPr="00D26534">
              <w:t>Transition probabilities in patients receiving esketamine retreatment were based on the assumption that patients who previously achieved response/remission would achieve response/remission with retreatment, with an adjustment for a reduction in efficacy.</w:t>
            </w:r>
          </w:p>
          <w:p w14:paraId="5B383959" w14:textId="516C8A72" w:rsidR="00D46FE3" w:rsidRPr="00D26534" w:rsidRDefault="00D46FE3" w:rsidP="006813A2">
            <w:pPr>
              <w:pStyle w:val="COMTabletext"/>
              <w:keepNext w:val="0"/>
              <w:spacing w:after="60"/>
            </w:pPr>
            <w:r>
              <w:t xml:space="preserve">Esketamine treatment discontinuation for any cause was applied in the continuation, maintenance, and recovery phases (week 5 onwards), based on an exponential distribution fit to all-cause discontinuations in SUSTAIN-1. The maximum treatment duration with esketamine was 12 months, with the exception of a proportion of patients requiring additional </w:t>
            </w:r>
            <w:r w:rsidRPr="00E059CB">
              <w:t>treatment (</w:t>
            </w:r>
            <w:r w:rsidR="00683384" w:rsidRPr="00683384">
              <w:rPr>
                <w:color w:val="000000"/>
                <w:spacing w:val="53"/>
                <w:shd w:val="solid" w:color="000000" w:fill="000000"/>
                <w:fitText w:val="330" w:id="-892701182"/>
                <w14:textFill>
                  <w14:solidFill>
                    <w14:srgbClr w14:val="000000">
                      <w14:alpha w14:val="100000"/>
                    </w14:srgbClr>
                  </w14:solidFill>
                </w14:textFill>
              </w:rPr>
              <w:t>|||</w:t>
            </w:r>
            <w:r w:rsidR="00683384" w:rsidRPr="00683384">
              <w:rPr>
                <w:color w:val="000000"/>
                <w:spacing w:val="1"/>
                <w:shd w:val="solid" w:color="000000" w:fill="000000"/>
                <w:fitText w:val="330" w:id="-892701182"/>
                <w14:textFill>
                  <w14:solidFill>
                    <w14:srgbClr w14:val="000000">
                      <w14:alpha w14:val="100000"/>
                    </w14:srgbClr>
                  </w14:solidFill>
                </w14:textFill>
              </w:rPr>
              <w:t>|</w:t>
            </w:r>
            <w:r w:rsidRPr="00E059CB">
              <w:t>%,</w:t>
            </w:r>
            <w:r>
              <w:t xml:space="preserve"> based on an analysis of esketamine early access program data).</w:t>
            </w:r>
          </w:p>
          <w:p w14:paraId="16FCF090" w14:textId="77777777" w:rsidR="00D46FE3" w:rsidRPr="00D26534" w:rsidRDefault="00D46FE3" w:rsidP="006813A2">
            <w:pPr>
              <w:pStyle w:val="COMTabletext"/>
              <w:keepNext w:val="0"/>
              <w:spacing w:after="60"/>
            </w:pPr>
            <w:r w:rsidRPr="00D26534">
              <w:t>Adverse events in the model were based on the incidence of adverse events from the TRANSFORM-2 trial.</w:t>
            </w:r>
          </w:p>
          <w:p w14:paraId="00A58701" w14:textId="77777777" w:rsidR="00D46FE3" w:rsidRPr="00D26534" w:rsidRDefault="00D46FE3" w:rsidP="006813A2">
            <w:pPr>
              <w:pStyle w:val="COMTabletext"/>
              <w:keepNext w:val="0"/>
            </w:pPr>
            <w:r w:rsidRPr="00D26534">
              <w:t>Age-specific all-cause mortality was modelled based on Australian Bureau of Statistics life tables for males and females (2020-2022; updated). No additional mortality risk associated with TRD was assumed.</w:t>
            </w:r>
          </w:p>
        </w:tc>
      </w:tr>
      <w:tr w:rsidR="00D46FE3" w:rsidRPr="00D26534" w14:paraId="73550938" w14:textId="77777777" w:rsidTr="259D127E">
        <w:trPr>
          <w:cantSplit/>
        </w:trPr>
        <w:tc>
          <w:tcPr>
            <w:tcW w:w="862" w:type="pct"/>
            <w:shd w:val="clear" w:color="auto" w:fill="auto"/>
            <w:vAlign w:val="center"/>
          </w:tcPr>
          <w:p w14:paraId="44BBB448" w14:textId="77777777" w:rsidR="00D46FE3" w:rsidRPr="00D26534" w:rsidRDefault="00D46FE3" w:rsidP="006813A2">
            <w:pPr>
              <w:pStyle w:val="COMTabletext"/>
              <w:keepNext w:val="0"/>
            </w:pPr>
            <w:r w:rsidRPr="00D26534">
              <w:t>Utility values</w:t>
            </w:r>
          </w:p>
        </w:tc>
        <w:tc>
          <w:tcPr>
            <w:tcW w:w="4138" w:type="pct"/>
            <w:shd w:val="clear" w:color="auto" w:fill="auto"/>
          </w:tcPr>
          <w:p w14:paraId="7000072B" w14:textId="77777777" w:rsidR="00D46FE3" w:rsidRPr="00D26534" w:rsidRDefault="00D46FE3" w:rsidP="006813A2">
            <w:pPr>
              <w:pStyle w:val="COMTabletext"/>
              <w:keepNext w:val="0"/>
              <w:spacing w:after="60"/>
            </w:pPr>
            <w:r w:rsidRPr="00D26534">
              <w:t>Unchanged from the July 2023 model.</w:t>
            </w:r>
          </w:p>
          <w:p w14:paraId="4C1FF4BB" w14:textId="0A8A08AD" w:rsidR="00D46FE3" w:rsidRPr="00D26534" w:rsidRDefault="00D46FE3" w:rsidP="006813A2">
            <w:pPr>
              <w:pStyle w:val="COMTabletext"/>
              <w:keepNext w:val="0"/>
              <w:spacing w:after="60"/>
            </w:pPr>
            <w:r w:rsidRPr="00D26534">
              <w:t xml:space="preserve">Patient-level EQ-5D-5L data from baseline and day 28 of the TRANSFORM-2 and TRANSFORM-3 trials were transformed into health state utilities using the UK value set; weighted by the proportion of the Australian population aged &lt;65 and ≥65 years. </w:t>
            </w:r>
            <w:r w:rsidR="00A91B9B" w:rsidRPr="00D26534">
              <w:t>The impact of using the Australian EQ-5D-5L value set was not assessed.</w:t>
            </w:r>
          </w:p>
          <w:p w14:paraId="00FC8A5F" w14:textId="77777777" w:rsidR="00D46FE3" w:rsidRPr="00D26534" w:rsidRDefault="00D46FE3" w:rsidP="006813A2">
            <w:pPr>
              <w:pStyle w:val="COMTabletext"/>
              <w:keepNext w:val="0"/>
            </w:pPr>
            <w:r w:rsidRPr="00D26534">
              <w:t>Adverse event disutilities derived from a number of published sources, weighted by the incidence of adverse events in the TRANSFORM-2 trial; were applied during induction and maintenance treatment (including esketamine treatment).</w:t>
            </w:r>
          </w:p>
        </w:tc>
      </w:tr>
      <w:tr w:rsidR="00D46FE3" w:rsidRPr="00D26534" w14:paraId="1BB834BC" w14:textId="77777777" w:rsidTr="259D127E">
        <w:trPr>
          <w:cantSplit/>
        </w:trPr>
        <w:tc>
          <w:tcPr>
            <w:tcW w:w="862" w:type="pct"/>
            <w:shd w:val="clear" w:color="auto" w:fill="auto"/>
            <w:vAlign w:val="center"/>
          </w:tcPr>
          <w:p w14:paraId="204F97B7" w14:textId="77777777" w:rsidR="00D46FE3" w:rsidRPr="00D26534" w:rsidRDefault="00D46FE3" w:rsidP="006813A2">
            <w:pPr>
              <w:pStyle w:val="COMTabletext"/>
              <w:keepNext w:val="0"/>
            </w:pPr>
            <w:r w:rsidRPr="00D26534">
              <w:lastRenderedPageBreak/>
              <w:t>Costs</w:t>
            </w:r>
          </w:p>
        </w:tc>
        <w:tc>
          <w:tcPr>
            <w:tcW w:w="4138" w:type="pct"/>
            <w:shd w:val="clear" w:color="auto" w:fill="auto"/>
            <w:vAlign w:val="center"/>
          </w:tcPr>
          <w:p w14:paraId="287C1BED" w14:textId="77777777" w:rsidR="00D46FE3" w:rsidRPr="00D26534" w:rsidRDefault="00D46FE3" w:rsidP="006813A2">
            <w:pPr>
              <w:pStyle w:val="COMTabletext"/>
              <w:keepNext w:val="0"/>
              <w:spacing w:after="60"/>
            </w:pPr>
            <w:r w:rsidRPr="00D26534">
              <w:t>Esketamine drug costs were updated, based on the revised effective DPMQ, with a weighted public/private split (20/80). Mean dose and frequency of administration were based on the TRANSFORM-2 and TRANSFORM-3 trials, weighted by the proportion of patients aged &lt;65 and ≥65 years for the induction period; and the SUSTAIN-1 trial for maintenance periods.</w:t>
            </w:r>
          </w:p>
          <w:p w14:paraId="3C4821C6" w14:textId="77777777" w:rsidR="00D46FE3" w:rsidRPr="00D26534" w:rsidRDefault="00D46FE3" w:rsidP="006813A2">
            <w:pPr>
              <w:pStyle w:val="COMTabletext"/>
              <w:keepNext w:val="0"/>
              <w:spacing w:after="60"/>
            </w:pPr>
            <w:r w:rsidRPr="00D26534">
              <w:t>Oral antidepressant drug costs were updated, based on the February 2024 PBS Schedule, with dosage based on product information documents, weighted by utilisation from PBS item reports (December 2022 to November 2023).</w:t>
            </w:r>
          </w:p>
          <w:p w14:paraId="36447821" w14:textId="3892CAFE" w:rsidR="00D46FE3" w:rsidRPr="00D26534" w:rsidRDefault="00D46FE3" w:rsidP="006813A2">
            <w:pPr>
              <w:pStyle w:val="COMTabletext"/>
              <w:keepNext w:val="0"/>
              <w:spacing w:after="60"/>
            </w:pPr>
            <w:r w:rsidRPr="00D26534">
              <w:t>Esketamine administration</w:t>
            </w:r>
            <w:r w:rsidR="00B20CC6" w:rsidRPr="00D26534">
              <w:t>/monitoring</w:t>
            </w:r>
            <w:r w:rsidRPr="00D26534">
              <w:t xml:space="preserve"> costs were updated, based on the March 2024 MBS item 308 (psychiatrist consultation &gt;75 minutes)</w:t>
            </w:r>
            <w:r w:rsidR="005D5E49" w:rsidRPr="00D26534">
              <w:t xml:space="preserve"> as a </w:t>
            </w:r>
            <w:r w:rsidR="00B20CC6" w:rsidRPr="00D26534">
              <w:t xml:space="preserve">proxy for esketamine administration and monitoring costs. </w:t>
            </w:r>
            <w:r w:rsidRPr="00D26534">
              <w:t>There were no administration costs for the placebo arm.</w:t>
            </w:r>
          </w:p>
          <w:p w14:paraId="7BC16399" w14:textId="77777777" w:rsidR="00D46FE3" w:rsidRPr="00D26534" w:rsidRDefault="00D46FE3" w:rsidP="006813A2">
            <w:pPr>
              <w:pStyle w:val="COMTabletext"/>
              <w:keepNext w:val="0"/>
              <w:spacing w:after="60"/>
            </w:pPr>
            <w:r w:rsidRPr="00D26534">
              <w:t>Health care resource use was revised, based on Australian data (Goldney 2007; previously based on UK data from Denee 2021). Hospitalisation data were adjusted for the risk of hospitalisation in patients with TRD versus non-TRD MDD (Zhang 2018); with the number of days per hospitalisation from a study of patients with TRD admitted to a Melbourne clinic. Hospitalisation (inpatient and outpatient) and emergency department costs were based on NHCDC 2020-2021 data. GP and specialist visit costs were based on the March 2024 MBS (item 23: level B GP consultation; average of items 300, 302, 304, 306, 308: psychiatrist consultations ≤15 to &gt;75 minutes; weighted by MBS item reports July 2022 to June 2023).</w:t>
            </w:r>
          </w:p>
          <w:p w14:paraId="4516EE13" w14:textId="77777777" w:rsidR="00D46FE3" w:rsidRPr="00D26534" w:rsidRDefault="00D46FE3" w:rsidP="006813A2">
            <w:pPr>
              <w:pStyle w:val="COMTabletext"/>
              <w:keepNext w:val="0"/>
            </w:pPr>
            <w:r w:rsidRPr="00D26534">
              <w:t>Adverse event costs were updated. Treatment of increased blood pressure, urinary tract infection, and bladder discomfort/pain included the cost of a GP visit (March 2024 MBS item 23: level B GP consultation) and published DPMQs for antihypertensives or course of antibiotics from February 2024 PBS items.</w:t>
            </w:r>
          </w:p>
        </w:tc>
      </w:tr>
      <w:tr w:rsidR="00D46FE3" w:rsidRPr="00D26534" w14:paraId="4CE697C1" w14:textId="77777777" w:rsidTr="259D127E">
        <w:trPr>
          <w:cantSplit/>
        </w:trPr>
        <w:tc>
          <w:tcPr>
            <w:tcW w:w="862" w:type="pct"/>
            <w:shd w:val="clear" w:color="auto" w:fill="auto"/>
            <w:vAlign w:val="center"/>
          </w:tcPr>
          <w:p w14:paraId="04CBBE02" w14:textId="77777777" w:rsidR="00D46FE3" w:rsidRPr="00D26534" w:rsidRDefault="00D46FE3" w:rsidP="006813A2">
            <w:pPr>
              <w:pStyle w:val="COMTabletext"/>
              <w:keepNext w:val="0"/>
            </w:pPr>
            <w:r w:rsidRPr="00D26534">
              <w:t xml:space="preserve">Software package </w:t>
            </w:r>
          </w:p>
        </w:tc>
        <w:tc>
          <w:tcPr>
            <w:tcW w:w="4138" w:type="pct"/>
            <w:shd w:val="clear" w:color="auto" w:fill="auto"/>
            <w:vAlign w:val="center"/>
          </w:tcPr>
          <w:p w14:paraId="1744FE90" w14:textId="77777777" w:rsidR="00D46FE3" w:rsidRPr="00D26534" w:rsidRDefault="00D46FE3" w:rsidP="006813A2">
            <w:pPr>
              <w:pStyle w:val="COMTabletext"/>
              <w:keepNext w:val="0"/>
            </w:pPr>
            <w:r w:rsidRPr="00D26534">
              <w:t>Microsoft Excel</w:t>
            </w:r>
          </w:p>
        </w:tc>
      </w:tr>
    </w:tbl>
    <w:p w14:paraId="45589EDB" w14:textId="77777777" w:rsidR="00D46FE3" w:rsidRPr="00D26534" w:rsidRDefault="00D46FE3" w:rsidP="00D46FE3">
      <w:pPr>
        <w:pStyle w:val="COMTablefooter"/>
      </w:pPr>
      <w:r w:rsidRPr="00D26534">
        <w:t>Source: Constructed during the evaluation using information in Section 3, pp67-126 of the resubmission.</w:t>
      </w:r>
    </w:p>
    <w:p w14:paraId="73D305EE" w14:textId="77777777" w:rsidR="00D46FE3" w:rsidRPr="00D26534" w:rsidRDefault="00D46FE3" w:rsidP="00D46FE3">
      <w:pPr>
        <w:pStyle w:val="COMTablefooter"/>
      </w:pPr>
      <w:r w:rsidRPr="00D26534">
        <w:t>Abbreviations: DPMQ, dispensed price for maximum quantity; GP, general practitioner; MBS, Medicare Benefits Schedule; MDD, major depressive disorder; MDE, major depressive episode; NHCDC, National Hospital Cost Data Collection; OAD, oral antidepressant; PBS, Pharmaceutical Benefits Scheme; TRD, treatment-resistant depression</w:t>
      </w:r>
    </w:p>
    <w:p w14:paraId="265E893D" w14:textId="767D7E6F" w:rsidR="00334598" w:rsidRPr="00334ED6" w:rsidRDefault="00334598" w:rsidP="00334ED6">
      <w:pPr>
        <w:pStyle w:val="ListParagraph"/>
        <w:numPr>
          <w:ilvl w:val="1"/>
          <w:numId w:val="1"/>
        </w:numPr>
        <w:spacing w:after="120"/>
        <w:ind w:hanging="720"/>
        <w:contextualSpacing w:val="0"/>
        <w:rPr>
          <w:rFonts w:cs="Calibri"/>
          <w:bCs/>
          <w:iCs/>
        </w:rPr>
      </w:pPr>
      <w:r w:rsidRPr="00334ED6">
        <w:rPr>
          <w:rFonts w:cs="Calibri"/>
          <w:bCs/>
          <w:iCs/>
        </w:rPr>
        <w:fldChar w:fldCharType="begin" w:fldLock="1"/>
      </w:r>
      <w:r w:rsidRPr="00334ED6">
        <w:rPr>
          <w:rFonts w:cs="Calibri"/>
          <w:bCs/>
          <w:iCs/>
        </w:rPr>
        <w:instrText xml:space="preserve"> REF _Ref164425276 \h </w:instrText>
      </w:r>
      <w:r w:rsidR="00D26534" w:rsidRPr="00334ED6">
        <w:rPr>
          <w:rFonts w:cs="Calibri"/>
          <w:bCs/>
          <w:iCs/>
        </w:rPr>
        <w:instrText xml:space="preserve"> \* MERGEFORMAT </w:instrText>
      </w:r>
      <w:r w:rsidRPr="00334ED6">
        <w:rPr>
          <w:rFonts w:cs="Calibri"/>
          <w:bCs/>
          <w:iCs/>
        </w:rPr>
      </w:r>
      <w:r w:rsidRPr="00334ED6">
        <w:rPr>
          <w:rFonts w:cs="Calibri"/>
          <w:bCs/>
          <w:iCs/>
        </w:rPr>
        <w:fldChar w:fldCharType="separate"/>
      </w:r>
      <w:r w:rsidR="002B3C60" w:rsidRPr="002B3C60">
        <w:rPr>
          <w:rFonts w:cs="Calibri"/>
          <w:bCs/>
          <w:iCs/>
        </w:rPr>
        <w:t>Figure 1</w:t>
      </w:r>
      <w:r w:rsidRPr="00334ED6">
        <w:rPr>
          <w:rFonts w:cs="Calibri"/>
          <w:bCs/>
          <w:iCs/>
        </w:rPr>
        <w:fldChar w:fldCharType="end"/>
      </w:r>
      <w:r w:rsidRPr="00334ED6">
        <w:rPr>
          <w:rFonts w:cs="Calibri"/>
          <w:bCs/>
          <w:iCs/>
        </w:rPr>
        <w:t xml:space="preserve"> illustrates the structure of the economic model in the resubmission.</w:t>
      </w:r>
    </w:p>
    <w:p w14:paraId="4E2F2348" w14:textId="2F6AC67A" w:rsidR="00DD50B2" w:rsidRPr="00F208BB" w:rsidRDefault="00DD50B2" w:rsidP="00F208BB">
      <w:pPr>
        <w:pStyle w:val="Caption"/>
        <w:keepNext/>
        <w:spacing w:after="0"/>
        <w:rPr>
          <w:rFonts w:ascii="Arial Narrow" w:hAnsi="Arial Narrow"/>
          <w:iCs w:val="0"/>
          <w:szCs w:val="20"/>
        </w:rPr>
      </w:pPr>
      <w:bookmarkStart w:id="45" w:name="_Ref164425276"/>
      <w:r w:rsidRPr="00F208BB">
        <w:rPr>
          <w:rFonts w:ascii="Arial Narrow" w:hAnsi="Arial Narrow"/>
          <w:iCs w:val="0"/>
          <w:szCs w:val="20"/>
        </w:rPr>
        <w:lastRenderedPageBreak/>
        <w:t xml:space="preserve">Figure </w:t>
      </w:r>
      <w:r w:rsidR="00D26534" w:rsidRPr="00F208BB">
        <w:rPr>
          <w:rFonts w:ascii="Arial Narrow" w:hAnsi="Arial Narrow"/>
          <w:iCs w:val="0"/>
          <w:szCs w:val="20"/>
        </w:rPr>
        <w:fldChar w:fldCharType="begin" w:fldLock="1"/>
      </w:r>
      <w:r w:rsidR="00D26534" w:rsidRPr="00F208BB">
        <w:rPr>
          <w:rFonts w:ascii="Arial Narrow" w:hAnsi="Arial Narrow"/>
          <w:iCs w:val="0"/>
          <w:szCs w:val="20"/>
        </w:rPr>
        <w:instrText xml:space="preserve"> SEQ Figure \* ARABIC </w:instrText>
      </w:r>
      <w:r w:rsidR="00D26534" w:rsidRPr="00F208BB">
        <w:rPr>
          <w:rFonts w:ascii="Arial Narrow" w:hAnsi="Arial Narrow"/>
          <w:iCs w:val="0"/>
          <w:szCs w:val="20"/>
        </w:rPr>
        <w:fldChar w:fldCharType="separate"/>
      </w:r>
      <w:r w:rsidR="002B3C60" w:rsidRPr="00F208BB">
        <w:rPr>
          <w:rFonts w:ascii="Arial Narrow" w:hAnsi="Arial Narrow"/>
          <w:iCs w:val="0"/>
          <w:noProof/>
          <w:szCs w:val="20"/>
        </w:rPr>
        <w:t>1</w:t>
      </w:r>
      <w:r w:rsidR="00D26534" w:rsidRPr="00F208BB">
        <w:rPr>
          <w:rFonts w:ascii="Arial Narrow" w:hAnsi="Arial Narrow"/>
          <w:iCs w:val="0"/>
          <w:noProof/>
          <w:szCs w:val="20"/>
        </w:rPr>
        <w:fldChar w:fldCharType="end"/>
      </w:r>
      <w:bookmarkEnd w:id="45"/>
      <w:r w:rsidRPr="00F208BB">
        <w:rPr>
          <w:rFonts w:ascii="Arial Narrow" w:hAnsi="Arial Narrow"/>
          <w:iCs w:val="0"/>
          <w:szCs w:val="20"/>
        </w:rPr>
        <w:t>: Model structure</w:t>
      </w:r>
    </w:p>
    <w:p w14:paraId="01695202" w14:textId="77777777" w:rsidR="00DD50B2" w:rsidRPr="00D26534" w:rsidRDefault="00DD50B2" w:rsidP="00F208BB">
      <w:pPr>
        <w:pStyle w:val="COMexecsumnumberedpara"/>
        <w:keepNext/>
        <w:spacing w:after="0"/>
        <w:rPr>
          <w:color w:val="0066FF"/>
        </w:rPr>
      </w:pPr>
      <w:r w:rsidRPr="00D26534">
        <w:rPr>
          <w:noProof/>
        </w:rPr>
        <w:drawing>
          <wp:inline distT="0" distB="0" distL="0" distR="0" wp14:anchorId="134D6BBF" wp14:editId="1EB9D7FE">
            <wp:extent cx="5732145" cy="2265835"/>
            <wp:effectExtent l="0" t="0" r="1905" b="1270"/>
            <wp:docPr id="59812765" name="Graphic 59812765" descr="Figure 1: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2765" name="Graphic 59812765" descr="Figure 1: Model structure"/>
                    <pic:cNvPicPr/>
                  </pic:nvPicPr>
                  <pic:blipFill rotWithShape="1">
                    <a:blip r:embed="rId8">
                      <a:extLst>
                        <a:ext uri="{96DAC541-7B7A-43D3-8B79-37D633B846F1}">
                          <asvg:svgBlip xmlns:asvg="http://schemas.microsoft.com/office/drawing/2016/SVG/main" r:embed="rId9"/>
                        </a:ext>
                      </a:extLst>
                    </a:blip>
                    <a:srcRect t="9819" b="19908"/>
                    <a:stretch/>
                  </pic:blipFill>
                  <pic:spPr bwMode="auto">
                    <a:xfrm>
                      <a:off x="0" y="0"/>
                      <a:ext cx="5732145" cy="2265835"/>
                    </a:xfrm>
                    <a:prstGeom prst="rect">
                      <a:avLst/>
                    </a:prstGeom>
                    <a:ln>
                      <a:noFill/>
                    </a:ln>
                    <a:extLst>
                      <a:ext uri="{53640926-AAD7-44D8-BBD7-CCE9431645EC}">
                        <a14:shadowObscured xmlns:a14="http://schemas.microsoft.com/office/drawing/2010/main"/>
                      </a:ext>
                    </a:extLst>
                  </pic:spPr>
                </pic:pic>
              </a:graphicData>
            </a:graphic>
          </wp:inline>
        </w:drawing>
      </w:r>
    </w:p>
    <w:p w14:paraId="407BC9D4" w14:textId="77777777" w:rsidR="00DD50B2" w:rsidRPr="00D26534" w:rsidRDefault="00DD50B2" w:rsidP="003A21D0">
      <w:pPr>
        <w:pStyle w:val="COMTablefooter"/>
        <w:keepNext/>
      </w:pPr>
      <w:r w:rsidRPr="00D26534">
        <w:t>Source: Figure 3-1, p84 of the resubmission</w:t>
      </w:r>
    </w:p>
    <w:p w14:paraId="67FA9F35" w14:textId="77777777" w:rsidR="00DD50B2" w:rsidRPr="00D26534" w:rsidRDefault="00DD50B2" w:rsidP="003A21D0">
      <w:pPr>
        <w:pStyle w:val="COMTablefooter"/>
        <w:keepNext/>
      </w:pPr>
      <w:r w:rsidRPr="00D26534">
        <w:t xml:space="preserve">Abbreviations: MADRS, </w:t>
      </w:r>
      <w:r w:rsidRPr="00D26534">
        <w:rPr>
          <w:rFonts w:cs="Segoe UI"/>
          <w:szCs w:val="18"/>
        </w:rPr>
        <w:t>Montgomery-Asberg Depression Rating Scale</w:t>
      </w:r>
      <w:r w:rsidRPr="00D26534">
        <w:t>; MDE, major depressive episode; TRD, treatment-resistant depression; Tx, treatment</w:t>
      </w:r>
    </w:p>
    <w:p w14:paraId="14BAADB7" w14:textId="77777777" w:rsidR="00DD50B2" w:rsidRPr="00D26534" w:rsidRDefault="00DD50B2" w:rsidP="003A21D0">
      <w:pPr>
        <w:pStyle w:val="COMTablefooter"/>
        <w:keepNext/>
      </w:pPr>
      <w:r w:rsidRPr="00D26534">
        <w:rPr>
          <w:vertAlign w:val="superscript"/>
        </w:rPr>
        <w:t xml:space="preserve">‡ </w:t>
      </w:r>
      <w:r w:rsidRPr="00D26534">
        <w:t>Age- and sex-adjusted background mortality.</w:t>
      </w:r>
    </w:p>
    <w:p w14:paraId="58A709D0" w14:textId="77777777" w:rsidR="00DD50B2" w:rsidRPr="00D26534" w:rsidRDefault="00DD50B2" w:rsidP="003A21D0">
      <w:pPr>
        <w:pStyle w:val="COMTablefooter"/>
        <w:keepNext/>
      </w:pPr>
      <w:r w:rsidRPr="00D26534">
        <w:t>*</w:t>
      </w:r>
      <w:r w:rsidRPr="00D26534">
        <w:rPr>
          <w:vertAlign w:val="superscript"/>
        </w:rPr>
        <w:t xml:space="preserve"> </w:t>
      </w:r>
      <w:r w:rsidRPr="00D26534">
        <w:t>Treatment-dependent adverse event rates may be assigned.</w:t>
      </w:r>
    </w:p>
    <w:p w14:paraId="1B306394" w14:textId="77777777" w:rsidR="00DD50B2" w:rsidRPr="00D26534" w:rsidRDefault="00DD50B2" w:rsidP="003A21D0">
      <w:pPr>
        <w:pStyle w:val="COMTablefooter"/>
        <w:keepNext/>
      </w:pPr>
      <w:r w:rsidRPr="00D26534">
        <w:rPr>
          <w:vertAlign w:val="superscript"/>
        </w:rPr>
        <w:t xml:space="preserve">§ </w:t>
      </w:r>
      <w:r w:rsidRPr="00D26534">
        <w:t>Includes patients who had no response or stop responding to the initial treatment selected in the model.</w:t>
      </w:r>
    </w:p>
    <w:p w14:paraId="2A68F7A3" w14:textId="77777777" w:rsidR="00DD50B2" w:rsidRPr="00D26534" w:rsidRDefault="00DD50B2" w:rsidP="00A60C7B">
      <w:pPr>
        <w:pStyle w:val="COMTablefooter"/>
        <w:keepNext/>
      </w:pPr>
      <w:r w:rsidRPr="00D26534">
        <w:t>^ User may provide separate transition probabilities for patients ‘on treatment’ and ‘off treatment’.</w:t>
      </w:r>
    </w:p>
    <w:p w14:paraId="50D7D1FE" w14:textId="17F0FE03" w:rsidR="008A55E5" w:rsidRPr="00D26534" w:rsidRDefault="00DD50B2" w:rsidP="00A60C7B">
      <w:pPr>
        <w:pStyle w:val="COMTablefooter"/>
        <w:keepNext/>
      </w:pPr>
      <w:r w:rsidRPr="00D26534">
        <w:rPr>
          <w:vertAlign w:val="superscript"/>
        </w:rPr>
        <w:t xml:space="preserve">% </w:t>
      </w:r>
      <w:r w:rsidRPr="00D26534">
        <w:t>Efficacy rates can vary for initial treatment and retreatment.</w:t>
      </w:r>
    </w:p>
    <w:p w14:paraId="15A6F2D8" w14:textId="77777777" w:rsidR="00C03724" w:rsidRPr="00D26534" w:rsidRDefault="00C03724" w:rsidP="00C03724">
      <w:pPr>
        <w:pStyle w:val="COMTablefooter"/>
      </w:pPr>
      <w:r w:rsidRPr="00D26534">
        <w:rPr>
          <w:vertAlign w:val="superscript"/>
        </w:rPr>
        <w:t xml:space="preserve">&amp; </w:t>
      </w:r>
      <w:r w:rsidRPr="00D26534">
        <w:t>Not all retreatment eligible patients will reinitiate esketamine, and some may reinitiate while on subsequent treatment in the MDE state.</w:t>
      </w:r>
    </w:p>
    <w:p w14:paraId="4DF90B8F" w14:textId="20E860A3" w:rsidR="00B34251" w:rsidRPr="00334ED6" w:rsidRDefault="00B34251" w:rsidP="00334ED6">
      <w:pPr>
        <w:pStyle w:val="ListParagraph"/>
        <w:numPr>
          <w:ilvl w:val="1"/>
          <w:numId w:val="1"/>
        </w:numPr>
        <w:spacing w:after="120"/>
        <w:ind w:hanging="720"/>
        <w:contextualSpacing w:val="0"/>
        <w:rPr>
          <w:rFonts w:cs="Calibri"/>
          <w:bCs/>
          <w:iCs/>
        </w:rPr>
      </w:pPr>
      <w:r w:rsidRPr="00334ED6">
        <w:rPr>
          <w:rFonts w:cs="Calibri"/>
          <w:bCs/>
          <w:iCs/>
        </w:rPr>
        <w:t xml:space="preserve">The July 2023 model structure was amended to include retreatment and allow a proportion of patients to continue treatment beyond the maximum 12 months, in response to PBAC concerns that it was likely that a high proportion of patients would receive more than one course of esketamine treatment over the 5-year time horizon (para 7.1 and 7.12, </w:t>
      </w:r>
      <w:r w:rsidR="00CD05C8" w:rsidRPr="00334ED6">
        <w:rPr>
          <w:rFonts w:cs="Calibri"/>
          <w:bCs/>
          <w:iCs/>
        </w:rPr>
        <w:t>e</w:t>
      </w:r>
      <w:r w:rsidRPr="00334ED6">
        <w:rPr>
          <w:rFonts w:cs="Calibri"/>
          <w:bCs/>
          <w:iCs/>
        </w:rPr>
        <w:t xml:space="preserve">sketamine PSD, July 2023 PBAC meeting); and that stakeholders considered there needed to be some flexibility regarding the maximum 12-month treatment duration (para 7.4, </w:t>
      </w:r>
      <w:r w:rsidR="005E7896" w:rsidRPr="00334ED6">
        <w:rPr>
          <w:rFonts w:cs="Calibri"/>
          <w:bCs/>
          <w:iCs/>
        </w:rPr>
        <w:t>esketamine PSD</w:t>
      </w:r>
      <w:r w:rsidRPr="00334ED6">
        <w:rPr>
          <w:rFonts w:cs="Calibri"/>
          <w:bCs/>
          <w:iCs/>
        </w:rPr>
        <w:t>, July 2023 PBAC meeting).</w:t>
      </w:r>
    </w:p>
    <w:p w14:paraId="74E5245F" w14:textId="77777777" w:rsidR="00B34251" w:rsidRPr="00334ED6" w:rsidRDefault="00B34251" w:rsidP="00334ED6">
      <w:pPr>
        <w:pStyle w:val="ListParagraph"/>
        <w:numPr>
          <w:ilvl w:val="1"/>
          <w:numId w:val="1"/>
        </w:numPr>
        <w:spacing w:after="120"/>
        <w:ind w:hanging="720"/>
        <w:contextualSpacing w:val="0"/>
        <w:rPr>
          <w:rFonts w:cs="Calibri"/>
          <w:bCs/>
          <w:iCs/>
        </w:rPr>
      </w:pPr>
      <w:r w:rsidRPr="00334ED6">
        <w:rPr>
          <w:rFonts w:cs="Calibri"/>
          <w:bCs/>
          <w:iCs/>
        </w:rPr>
        <w:t>To incorporate these changes, additional tunnel states were included to track patient eligibility for retreatment (previously responded to initial treatment of esketamine, have discontinued treatment for at least 4 months, and experienced a subsequent relapse).</w:t>
      </w:r>
    </w:p>
    <w:p w14:paraId="55F0069F" w14:textId="56176783" w:rsidR="00DD50B2" w:rsidRPr="00334ED6" w:rsidRDefault="00B34251" w:rsidP="00334ED6">
      <w:pPr>
        <w:pStyle w:val="ListParagraph"/>
        <w:numPr>
          <w:ilvl w:val="1"/>
          <w:numId w:val="1"/>
        </w:numPr>
        <w:spacing w:after="120"/>
        <w:ind w:hanging="720"/>
        <w:contextualSpacing w:val="0"/>
        <w:rPr>
          <w:rFonts w:cs="Calibri"/>
          <w:bCs/>
          <w:iCs/>
        </w:rPr>
      </w:pPr>
      <w:r w:rsidRPr="00334ED6">
        <w:rPr>
          <w:rFonts w:cs="Calibri"/>
          <w:bCs/>
          <w:iCs/>
        </w:rPr>
        <w:t xml:space="preserve">Key drivers of the model are summarised in </w:t>
      </w:r>
      <w:r w:rsidRPr="00334ED6">
        <w:rPr>
          <w:rFonts w:cs="Calibri"/>
          <w:bCs/>
          <w:iCs/>
        </w:rPr>
        <w:fldChar w:fldCharType="begin" w:fldLock="1"/>
      </w:r>
      <w:r w:rsidRPr="00334ED6">
        <w:rPr>
          <w:rFonts w:cs="Calibri"/>
          <w:bCs/>
          <w:iCs/>
        </w:rPr>
        <w:instrText xml:space="preserve"> REF _Ref104805122 \h  \* MERGEFORMAT </w:instrText>
      </w:r>
      <w:r w:rsidRPr="00334ED6">
        <w:rPr>
          <w:rFonts w:cs="Calibri"/>
          <w:bCs/>
          <w:iCs/>
        </w:rPr>
      </w:r>
      <w:r w:rsidRPr="00334ED6">
        <w:rPr>
          <w:rFonts w:cs="Calibri"/>
          <w:bCs/>
          <w:iCs/>
        </w:rPr>
        <w:fldChar w:fldCharType="separate"/>
      </w:r>
      <w:r w:rsidR="002B3C60" w:rsidRPr="002B3C60">
        <w:rPr>
          <w:rFonts w:cs="Calibri"/>
          <w:bCs/>
          <w:iCs/>
        </w:rPr>
        <w:t>Table 13</w:t>
      </w:r>
      <w:r w:rsidRPr="00334ED6">
        <w:rPr>
          <w:rFonts w:cs="Calibri"/>
          <w:bCs/>
          <w:iCs/>
        </w:rPr>
        <w:fldChar w:fldCharType="end"/>
      </w:r>
      <w:r w:rsidRPr="00334ED6">
        <w:rPr>
          <w:rFonts w:cs="Calibri"/>
          <w:bCs/>
          <w:iCs/>
        </w:rPr>
        <w:t xml:space="preserve"> below.</w:t>
      </w:r>
    </w:p>
    <w:p w14:paraId="05559C4E" w14:textId="1B01977E" w:rsidR="00AA3B0B" w:rsidRPr="00D26534" w:rsidRDefault="00AA3B0B" w:rsidP="00AA3B0B">
      <w:pPr>
        <w:pStyle w:val="COMtablefigcaption"/>
      </w:pPr>
      <w:bookmarkStart w:id="46" w:name="_Ref104805122"/>
      <w:r w:rsidRPr="00D26534">
        <w:t xml:space="preserve">Table </w:t>
      </w:r>
      <w:r w:rsidR="004E64B8">
        <w:fldChar w:fldCharType="begin" w:fldLock="1"/>
      </w:r>
      <w:r w:rsidR="004E64B8">
        <w:instrText xml:space="preserve"> SEQ Table \* ARABIC </w:instrText>
      </w:r>
      <w:r w:rsidR="004E64B8">
        <w:fldChar w:fldCharType="separate"/>
      </w:r>
      <w:r w:rsidR="002B3C60">
        <w:rPr>
          <w:noProof/>
        </w:rPr>
        <w:t>13</w:t>
      </w:r>
      <w:r w:rsidR="004E64B8">
        <w:rPr>
          <w:noProof/>
        </w:rPr>
        <w:fldChar w:fldCharType="end"/>
      </w:r>
      <w:bookmarkEnd w:id="46"/>
      <w:r w:rsidRPr="00D26534">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3: Key drivers of the model"/>
      </w:tblPr>
      <w:tblGrid>
        <w:gridCol w:w="1604"/>
        <w:gridCol w:w="6096"/>
        <w:gridCol w:w="1317"/>
      </w:tblGrid>
      <w:tr w:rsidR="00AA3B0B" w:rsidRPr="008217F1" w14:paraId="0433B7FA" w14:textId="77777777" w:rsidTr="259D127E">
        <w:trPr>
          <w:tblHeader/>
        </w:trPr>
        <w:tc>
          <w:tcPr>
            <w:tcW w:w="1604" w:type="dxa"/>
            <w:shd w:val="clear" w:color="auto" w:fill="auto"/>
            <w:vAlign w:val="center"/>
            <w:hideMark/>
          </w:tcPr>
          <w:p w14:paraId="4059FD14" w14:textId="77777777" w:rsidR="00AA3B0B" w:rsidRPr="008217F1" w:rsidRDefault="00AA3B0B" w:rsidP="006813A2">
            <w:pPr>
              <w:jc w:val="left"/>
              <w:textAlignment w:val="baseline"/>
              <w:rPr>
                <w:rFonts w:ascii="Times New Roman" w:hAnsi="Times New Roman" w:cs="Times New Roman"/>
                <w:b/>
                <w:bCs/>
              </w:rPr>
            </w:pPr>
            <w:r w:rsidRPr="008217F1">
              <w:rPr>
                <w:rFonts w:ascii="Arial Narrow" w:hAnsi="Arial Narrow" w:cs="Times New Roman"/>
                <w:b/>
                <w:bCs/>
                <w:sz w:val="20"/>
                <w:szCs w:val="20"/>
              </w:rPr>
              <w:t>Description </w:t>
            </w:r>
          </w:p>
        </w:tc>
        <w:tc>
          <w:tcPr>
            <w:tcW w:w="6096" w:type="dxa"/>
            <w:shd w:val="clear" w:color="auto" w:fill="auto"/>
            <w:vAlign w:val="center"/>
            <w:hideMark/>
          </w:tcPr>
          <w:p w14:paraId="574ED091" w14:textId="77777777" w:rsidR="00AA3B0B" w:rsidRPr="008217F1" w:rsidRDefault="00AA3B0B" w:rsidP="006813A2">
            <w:pPr>
              <w:jc w:val="center"/>
              <w:textAlignment w:val="baseline"/>
              <w:rPr>
                <w:rFonts w:ascii="Times New Roman" w:hAnsi="Times New Roman" w:cs="Times New Roman"/>
                <w:b/>
                <w:bCs/>
              </w:rPr>
            </w:pPr>
            <w:r w:rsidRPr="008217F1">
              <w:rPr>
                <w:rFonts w:ascii="Arial Narrow" w:hAnsi="Arial Narrow" w:cs="Times New Roman"/>
                <w:b/>
                <w:bCs/>
                <w:sz w:val="20"/>
                <w:szCs w:val="20"/>
              </w:rPr>
              <w:t>Method/Value </w:t>
            </w:r>
          </w:p>
        </w:tc>
        <w:tc>
          <w:tcPr>
            <w:tcW w:w="1317" w:type="dxa"/>
            <w:shd w:val="clear" w:color="auto" w:fill="auto"/>
            <w:vAlign w:val="center"/>
            <w:hideMark/>
          </w:tcPr>
          <w:p w14:paraId="05A41E86" w14:textId="77777777" w:rsidR="00AA3B0B" w:rsidRPr="008217F1" w:rsidRDefault="00AA3B0B" w:rsidP="006813A2">
            <w:pPr>
              <w:jc w:val="center"/>
              <w:textAlignment w:val="baseline"/>
              <w:rPr>
                <w:rFonts w:ascii="Times New Roman" w:hAnsi="Times New Roman" w:cs="Times New Roman"/>
                <w:b/>
                <w:bCs/>
              </w:rPr>
            </w:pPr>
            <w:r w:rsidRPr="008217F1">
              <w:rPr>
                <w:rFonts w:ascii="Arial Narrow" w:hAnsi="Arial Narrow" w:cs="Times New Roman"/>
                <w:b/>
                <w:bCs/>
                <w:sz w:val="20"/>
                <w:szCs w:val="20"/>
              </w:rPr>
              <w:t>Impact </w:t>
            </w:r>
          </w:p>
        </w:tc>
      </w:tr>
      <w:tr w:rsidR="00AA3B0B" w:rsidRPr="008217F1" w14:paraId="56E5CAC4" w14:textId="77777777" w:rsidTr="259D127E">
        <w:tc>
          <w:tcPr>
            <w:tcW w:w="1604" w:type="dxa"/>
            <w:shd w:val="clear" w:color="auto" w:fill="auto"/>
            <w:vAlign w:val="center"/>
          </w:tcPr>
          <w:p w14:paraId="4F259543" w14:textId="77777777" w:rsidR="00AA3B0B" w:rsidRPr="008217F1" w:rsidRDefault="00AA3B0B" w:rsidP="006813A2">
            <w:pPr>
              <w:jc w:val="left"/>
              <w:textAlignment w:val="baseline"/>
              <w:rPr>
                <w:rFonts w:ascii="Arial Narrow" w:hAnsi="Arial Narrow" w:cs="Times New Roman"/>
                <w:sz w:val="20"/>
                <w:szCs w:val="20"/>
              </w:rPr>
            </w:pPr>
            <w:r w:rsidRPr="008217F1">
              <w:rPr>
                <w:rFonts w:ascii="Arial Narrow" w:hAnsi="Arial Narrow" w:cs="Times New Roman"/>
                <w:sz w:val="20"/>
                <w:szCs w:val="20"/>
              </w:rPr>
              <w:t>Applicability of continuation criteria</w:t>
            </w:r>
          </w:p>
        </w:tc>
        <w:tc>
          <w:tcPr>
            <w:tcW w:w="6096" w:type="dxa"/>
            <w:shd w:val="clear" w:color="auto" w:fill="auto"/>
            <w:vAlign w:val="center"/>
          </w:tcPr>
          <w:p w14:paraId="6FDC01F4" w14:textId="32A649F6" w:rsidR="00BA429C" w:rsidRPr="008217F1" w:rsidRDefault="00AA3B0B" w:rsidP="006813A2">
            <w:pPr>
              <w:pStyle w:val="ListBullet"/>
              <w:tabs>
                <w:tab w:val="clear" w:pos="360"/>
              </w:tabs>
              <w:ind w:left="0" w:firstLine="0"/>
              <w:jc w:val="left"/>
              <w:rPr>
                <w:rFonts w:ascii="Arial Narrow" w:hAnsi="Arial Narrow" w:cs="Times New Roman"/>
                <w:sz w:val="20"/>
                <w:szCs w:val="20"/>
              </w:rPr>
            </w:pPr>
            <w:r w:rsidRPr="008217F1">
              <w:rPr>
                <w:rFonts w:ascii="Arial Narrow" w:hAnsi="Arial Narrow"/>
                <w:sz w:val="20"/>
                <w:szCs w:val="20"/>
              </w:rPr>
              <w:t xml:space="preserve">The criteria for continuing treatment in the economic model was based on estimates of response and remission from the TRANSFORM-2 and TRANSFORM-3 trials (response: ≥50% improvement in MADRS score; remission: MADRS total score ≤12). </w:t>
            </w:r>
          </w:p>
        </w:tc>
        <w:tc>
          <w:tcPr>
            <w:tcW w:w="1317" w:type="dxa"/>
            <w:shd w:val="clear" w:color="auto" w:fill="auto"/>
            <w:vAlign w:val="center"/>
          </w:tcPr>
          <w:p w14:paraId="6643ECF1" w14:textId="77777777" w:rsidR="00AA3B0B" w:rsidRPr="008217F1" w:rsidRDefault="00AA3B0B" w:rsidP="006813A2">
            <w:pPr>
              <w:jc w:val="left"/>
              <w:textAlignment w:val="baseline"/>
              <w:rPr>
                <w:rFonts w:ascii="Arial Narrow" w:hAnsi="Arial Narrow" w:cs="Times New Roman"/>
                <w:sz w:val="20"/>
                <w:szCs w:val="20"/>
              </w:rPr>
            </w:pPr>
            <w:r w:rsidRPr="008217F1">
              <w:rPr>
                <w:rFonts w:ascii="Arial Narrow" w:hAnsi="Arial Narrow" w:cs="Times New Roman"/>
                <w:sz w:val="20"/>
                <w:szCs w:val="20"/>
              </w:rPr>
              <w:t>High, favours esketamine</w:t>
            </w:r>
          </w:p>
        </w:tc>
      </w:tr>
      <w:tr w:rsidR="00AA3B0B" w:rsidRPr="008217F1" w14:paraId="2E40FD34" w14:textId="77777777" w:rsidTr="259D127E">
        <w:tc>
          <w:tcPr>
            <w:tcW w:w="1604" w:type="dxa"/>
            <w:shd w:val="clear" w:color="auto" w:fill="auto"/>
            <w:vAlign w:val="center"/>
          </w:tcPr>
          <w:p w14:paraId="48A0ACA6" w14:textId="77777777" w:rsidR="00AA3B0B" w:rsidRPr="008217F1" w:rsidRDefault="00AA3B0B" w:rsidP="006813A2">
            <w:pPr>
              <w:jc w:val="left"/>
              <w:textAlignment w:val="baseline"/>
              <w:rPr>
                <w:rFonts w:ascii="Arial Narrow" w:hAnsi="Arial Narrow" w:cs="Times New Roman"/>
                <w:sz w:val="20"/>
                <w:szCs w:val="20"/>
              </w:rPr>
            </w:pPr>
            <w:r w:rsidRPr="008217F1">
              <w:rPr>
                <w:rFonts w:ascii="Arial Narrow" w:hAnsi="Arial Narrow" w:cs="Times New Roman"/>
                <w:sz w:val="20"/>
                <w:szCs w:val="20"/>
              </w:rPr>
              <w:t>Proportion of patients continuing treatment beyond 12 months</w:t>
            </w:r>
          </w:p>
        </w:tc>
        <w:tc>
          <w:tcPr>
            <w:tcW w:w="6096" w:type="dxa"/>
            <w:shd w:val="clear" w:color="auto" w:fill="auto"/>
            <w:vAlign w:val="center"/>
          </w:tcPr>
          <w:p w14:paraId="570C4846" w14:textId="3B92D903" w:rsidR="00AA3B0B" w:rsidRPr="008217F1" w:rsidRDefault="00AA3B0B" w:rsidP="006813A2">
            <w:pPr>
              <w:pStyle w:val="CommentText"/>
              <w:spacing w:after="60"/>
              <w:jc w:val="left"/>
              <w:rPr>
                <w:rFonts w:ascii="Arial Narrow" w:hAnsi="Arial Narrow"/>
              </w:rPr>
            </w:pPr>
            <w:r w:rsidRPr="259D127E">
              <w:rPr>
                <w:rFonts w:ascii="Arial Narrow" w:hAnsi="Arial Narrow"/>
              </w:rPr>
              <w:t xml:space="preserve">Based on data from the Australian early access program which indicated that </w:t>
            </w:r>
            <w:r w:rsidR="00683384" w:rsidRPr="00683384">
              <w:rPr>
                <w:rFonts w:ascii="Arial Narrow" w:hAnsi="Arial Narrow"/>
                <w:color w:val="000000"/>
                <w:spacing w:val="53"/>
                <w:shd w:val="solid" w:color="000000" w:fill="000000"/>
                <w:fitText w:val="330" w:id="-892701181"/>
                <w14:textFill>
                  <w14:solidFill>
                    <w14:srgbClr w14:val="000000">
                      <w14:alpha w14:val="100000"/>
                    </w14:srgbClr>
                  </w14:solidFill>
                </w14:textFill>
              </w:rPr>
              <w:t>|||</w:t>
            </w:r>
            <w:r w:rsidR="00683384" w:rsidRPr="00683384">
              <w:rPr>
                <w:rFonts w:ascii="Arial Narrow" w:hAnsi="Arial Narrow"/>
                <w:color w:val="000000"/>
                <w:spacing w:val="1"/>
                <w:shd w:val="solid" w:color="000000" w:fill="000000"/>
                <w:fitText w:val="330" w:id="-892701181"/>
                <w14:textFill>
                  <w14:solidFill>
                    <w14:srgbClr w14:val="000000">
                      <w14:alpha w14:val="100000"/>
                    </w14:srgbClr>
                  </w14:solidFill>
                </w14:textFill>
              </w:rPr>
              <w:t>|</w:t>
            </w:r>
            <w:r w:rsidRPr="00075E33">
              <w:rPr>
                <w:rFonts w:ascii="Arial Narrow" w:hAnsi="Arial Narrow"/>
              </w:rPr>
              <w:t>%</w:t>
            </w:r>
            <w:r w:rsidRPr="259D127E">
              <w:rPr>
                <w:rFonts w:ascii="Arial Narrow" w:hAnsi="Arial Narrow"/>
              </w:rPr>
              <w:t xml:space="preserve"> of patients had received treatment beyond 12 months, applied as a reduction to the proportion of patients in the on-treatment recovery health state </w:t>
            </w:r>
            <w:r w:rsidR="1A5062D1" w:rsidRPr="259D127E">
              <w:rPr>
                <w:rFonts w:ascii="Arial Narrow" w:hAnsi="Arial Narrow"/>
              </w:rPr>
              <w:t>(with no adjustment to patients in the on-treatment remission and response health states)</w:t>
            </w:r>
            <w:r w:rsidRPr="259D127E">
              <w:rPr>
                <w:rFonts w:ascii="Arial Narrow" w:hAnsi="Arial Narrow"/>
              </w:rPr>
              <w:t xml:space="preserve">. Patients who are in response or remission (and the remaining patients in the recovery health state) were assumed to remain on treatment for a variety of reasons. </w:t>
            </w:r>
          </w:p>
          <w:p w14:paraId="0D3D9BD2" w14:textId="386D1CAD" w:rsidR="00AA3B0B" w:rsidRPr="008217F1" w:rsidRDefault="00AA3B0B" w:rsidP="006813A2">
            <w:pPr>
              <w:pStyle w:val="CommentText"/>
              <w:spacing w:after="60"/>
              <w:jc w:val="left"/>
              <w:rPr>
                <w:rFonts w:ascii="Arial Narrow" w:hAnsi="Arial Narrow"/>
              </w:rPr>
            </w:pPr>
            <w:r w:rsidRPr="259D127E">
              <w:rPr>
                <w:rFonts w:ascii="Arial Narrow" w:hAnsi="Arial Narrow"/>
              </w:rPr>
              <w:lastRenderedPageBreak/>
              <w:t xml:space="preserve">The </w:t>
            </w:r>
            <w:r w:rsidR="00683384" w:rsidRPr="00683384">
              <w:rPr>
                <w:rFonts w:ascii="Arial Narrow" w:hAnsi="Arial Narrow"/>
                <w:color w:val="000000"/>
                <w:spacing w:val="53"/>
                <w:shd w:val="solid" w:color="000000" w:fill="000000"/>
                <w:fitText w:val="330" w:id="-892701180"/>
                <w14:textFill>
                  <w14:solidFill>
                    <w14:srgbClr w14:val="000000">
                      <w14:alpha w14:val="100000"/>
                    </w14:srgbClr>
                  </w14:solidFill>
                </w14:textFill>
              </w:rPr>
              <w:t>|||</w:t>
            </w:r>
            <w:r w:rsidR="00683384" w:rsidRPr="00683384">
              <w:rPr>
                <w:rFonts w:ascii="Arial Narrow" w:hAnsi="Arial Narrow"/>
                <w:color w:val="000000"/>
                <w:spacing w:val="1"/>
                <w:shd w:val="solid" w:color="000000" w:fill="000000"/>
                <w:fitText w:val="330" w:id="-892701180"/>
                <w14:textFill>
                  <w14:solidFill>
                    <w14:srgbClr w14:val="000000">
                      <w14:alpha w14:val="100000"/>
                    </w14:srgbClr>
                  </w14:solidFill>
                </w14:textFill>
              </w:rPr>
              <w:t>|</w:t>
            </w:r>
            <w:r w:rsidRPr="00075E33">
              <w:rPr>
                <w:rFonts w:ascii="Arial Narrow" w:hAnsi="Arial Narrow"/>
              </w:rPr>
              <w:t>%</w:t>
            </w:r>
            <w:r w:rsidRPr="259D127E">
              <w:rPr>
                <w:rFonts w:ascii="Arial Narrow" w:hAnsi="Arial Narrow"/>
              </w:rPr>
              <w:t xml:space="preserve"> estimate from the early access program included patients who had been in the program for less than 12 months, with insufficient follow-up to meet the ≥12 month treatment criterion, but who contribute to the number of patients included in the analysis. Excluding these patients from the analysis results in a higher proportion of patients continuing treatment (20%).</w:t>
            </w:r>
          </w:p>
          <w:p w14:paraId="594DC522" w14:textId="77777777" w:rsidR="009657F6" w:rsidRPr="008217F1" w:rsidRDefault="009657F6" w:rsidP="006813A2">
            <w:pPr>
              <w:pStyle w:val="CommentText"/>
              <w:jc w:val="left"/>
              <w:rPr>
                <w:rFonts w:ascii="Arial Narrow" w:hAnsi="Arial Narrow"/>
              </w:rPr>
            </w:pPr>
          </w:p>
          <w:p w14:paraId="3DC6042E" w14:textId="3E30B9F8" w:rsidR="009657F6" w:rsidRPr="008217F1" w:rsidRDefault="7863CB87" w:rsidP="006813A2">
            <w:pPr>
              <w:pStyle w:val="CommentText"/>
              <w:jc w:val="left"/>
              <w:rPr>
                <w:rFonts w:ascii="Arial Narrow" w:hAnsi="Arial Narrow"/>
              </w:rPr>
            </w:pPr>
            <w:r w:rsidRPr="259D127E">
              <w:rPr>
                <w:rFonts w:ascii="Arial Narrow" w:hAnsi="Arial Narrow"/>
              </w:rPr>
              <w:t xml:space="preserve">The PSCR noted access program data was used to inform these inputs and argued that the design of the program, where patients do not have restrictions on treatment duration and most patients do not pay for esketamine (but do bear the cost of administration), likely means that in practice, a lower proportion would continue on treatment than in the access program. The Response argued the </w:t>
            </w:r>
            <w:r w:rsidR="00683384" w:rsidRPr="00683384">
              <w:rPr>
                <w:rFonts w:ascii="Arial Narrow" w:hAnsi="Arial Narrow"/>
                <w:color w:val="000000"/>
                <w:spacing w:val="53"/>
                <w:shd w:val="solid" w:color="000000" w:fill="000000"/>
                <w:fitText w:val="330" w:id="-892701179"/>
                <w14:textFill>
                  <w14:solidFill>
                    <w14:srgbClr w14:val="000000">
                      <w14:alpha w14:val="100000"/>
                    </w14:srgbClr>
                  </w14:solidFill>
                </w14:textFill>
              </w:rPr>
              <w:t>|||</w:t>
            </w:r>
            <w:r w:rsidR="00683384" w:rsidRPr="00683384">
              <w:rPr>
                <w:rFonts w:ascii="Arial Narrow" w:hAnsi="Arial Narrow"/>
                <w:color w:val="000000"/>
                <w:spacing w:val="1"/>
                <w:shd w:val="solid" w:color="000000" w:fill="000000"/>
                <w:fitText w:val="330" w:id="-892701179"/>
                <w14:textFill>
                  <w14:solidFill>
                    <w14:srgbClr w14:val="000000">
                      <w14:alpha w14:val="100000"/>
                    </w14:srgbClr>
                  </w14:solidFill>
                </w14:textFill>
              </w:rPr>
              <w:t>|</w:t>
            </w:r>
            <w:r w:rsidRPr="259D127E">
              <w:rPr>
                <w:rFonts w:ascii="Arial Narrow" w:hAnsi="Arial Narrow"/>
              </w:rPr>
              <w:t>% estimated by removing an index start date less than 12 months from data read-out cannot account for patients who should be excluded based on insufficient follow-</w:t>
            </w:r>
            <w:r w:rsidR="1F22738D" w:rsidRPr="259D127E">
              <w:rPr>
                <w:rFonts w:ascii="Arial Narrow" w:hAnsi="Arial Narrow"/>
              </w:rPr>
              <w:t>up and missing data on a break in supply, therefore represents an overestimate.</w:t>
            </w:r>
          </w:p>
          <w:p w14:paraId="12C675B9" w14:textId="77777777" w:rsidR="00BA429C" w:rsidRPr="008217F1" w:rsidRDefault="00BA429C" w:rsidP="006813A2">
            <w:pPr>
              <w:pStyle w:val="CommentText"/>
              <w:jc w:val="left"/>
              <w:rPr>
                <w:rFonts w:ascii="Arial Narrow" w:hAnsi="Arial Narrow"/>
              </w:rPr>
            </w:pPr>
          </w:p>
          <w:p w14:paraId="0F8F7A78" w14:textId="4E3175CC" w:rsidR="00BA429C" w:rsidRPr="008217F1" w:rsidRDefault="00BA429C" w:rsidP="006813A2">
            <w:pPr>
              <w:pStyle w:val="CommentText"/>
              <w:jc w:val="left"/>
              <w:rPr>
                <w:rFonts w:ascii="Arial Narrow" w:hAnsi="Arial Narrow"/>
              </w:rPr>
            </w:pPr>
            <w:r w:rsidRPr="008217F1">
              <w:rPr>
                <w:rFonts w:ascii="Arial Narrow" w:hAnsi="Arial Narrow"/>
              </w:rPr>
              <w:t xml:space="preserve">The ESC considered the proportion of patients continuing beyond 12 months was uncertain, and noted the ICER increases if more patients continue treatment. </w:t>
            </w:r>
          </w:p>
        </w:tc>
        <w:tc>
          <w:tcPr>
            <w:tcW w:w="1317" w:type="dxa"/>
            <w:shd w:val="clear" w:color="auto" w:fill="auto"/>
            <w:vAlign w:val="center"/>
          </w:tcPr>
          <w:p w14:paraId="0E5A0365" w14:textId="77777777" w:rsidR="00AA3B0B" w:rsidRPr="008217F1" w:rsidRDefault="00AA3B0B" w:rsidP="006813A2">
            <w:pPr>
              <w:jc w:val="left"/>
              <w:textAlignment w:val="baseline"/>
              <w:rPr>
                <w:rFonts w:ascii="Arial Narrow" w:hAnsi="Arial Narrow" w:cs="Times New Roman"/>
                <w:sz w:val="20"/>
                <w:szCs w:val="20"/>
              </w:rPr>
            </w:pPr>
            <w:r w:rsidRPr="008217F1">
              <w:rPr>
                <w:rFonts w:ascii="Arial Narrow" w:hAnsi="Arial Narrow" w:cs="Times New Roman"/>
                <w:sz w:val="20"/>
                <w:szCs w:val="20"/>
              </w:rPr>
              <w:lastRenderedPageBreak/>
              <w:t>Moderate, direction unclear</w:t>
            </w:r>
          </w:p>
        </w:tc>
      </w:tr>
      <w:tr w:rsidR="00AA3B0B" w:rsidRPr="008217F1" w14:paraId="539758AA" w14:textId="77777777" w:rsidTr="259D127E">
        <w:tc>
          <w:tcPr>
            <w:tcW w:w="1604" w:type="dxa"/>
            <w:shd w:val="clear" w:color="auto" w:fill="auto"/>
            <w:vAlign w:val="center"/>
          </w:tcPr>
          <w:p w14:paraId="0E3E809F" w14:textId="77777777" w:rsidR="00AA3B0B" w:rsidRPr="008217F1" w:rsidRDefault="00AA3B0B" w:rsidP="006813A2">
            <w:pPr>
              <w:jc w:val="left"/>
              <w:textAlignment w:val="baseline"/>
              <w:rPr>
                <w:rFonts w:ascii="Arial Narrow" w:hAnsi="Arial Narrow" w:cs="Times New Roman"/>
                <w:sz w:val="20"/>
                <w:szCs w:val="20"/>
              </w:rPr>
            </w:pPr>
            <w:r w:rsidRPr="008217F1">
              <w:rPr>
                <w:rFonts w:ascii="Arial Narrow" w:hAnsi="Arial Narrow" w:cs="Times New Roman"/>
                <w:sz w:val="20"/>
                <w:szCs w:val="20"/>
              </w:rPr>
              <w:t>Proportion of patients retreated</w:t>
            </w:r>
          </w:p>
        </w:tc>
        <w:tc>
          <w:tcPr>
            <w:tcW w:w="6096" w:type="dxa"/>
            <w:shd w:val="clear" w:color="auto" w:fill="auto"/>
            <w:vAlign w:val="center"/>
          </w:tcPr>
          <w:p w14:paraId="0ED9073E" w14:textId="77777777" w:rsidR="00AA3B0B" w:rsidRPr="008217F1" w:rsidRDefault="00AA3B0B" w:rsidP="006813A2">
            <w:pPr>
              <w:pStyle w:val="CommentText"/>
              <w:spacing w:after="60"/>
              <w:jc w:val="left"/>
              <w:rPr>
                <w:rFonts w:ascii="Arial Narrow" w:hAnsi="Arial Narrow"/>
              </w:rPr>
            </w:pPr>
            <w:r w:rsidRPr="008217F1">
              <w:rPr>
                <w:rFonts w:ascii="Arial Narrow" w:hAnsi="Arial Narrow"/>
              </w:rPr>
              <w:t xml:space="preserve">The model assumes that </w:t>
            </w:r>
            <w:r w:rsidRPr="00E93A82">
              <w:rPr>
                <w:rFonts w:ascii="Arial Narrow" w:hAnsi="Arial Narrow"/>
              </w:rPr>
              <w:t>22</w:t>
            </w:r>
            <w:r w:rsidRPr="008217F1">
              <w:rPr>
                <w:rFonts w:ascii="Arial Narrow" w:hAnsi="Arial Narrow"/>
              </w:rPr>
              <w:t>% of patients are retreated over the 5-year model duration, based on the results of 2 US claims data studies (Karkare 2021, Teeple 2021). The resubmission acknowledged limitations of these studies (limited follow-up, the reasons for discontinuation and whether patients restarting treatment have relapsed and experienced a new major depressive episode are unknown).</w:t>
            </w:r>
          </w:p>
          <w:p w14:paraId="36F780D5" w14:textId="391ABD1F" w:rsidR="00AA3B0B" w:rsidRPr="008217F1" w:rsidRDefault="00AA3B0B" w:rsidP="006813A2">
            <w:pPr>
              <w:pStyle w:val="CommentText"/>
              <w:spacing w:after="60"/>
              <w:jc w:val="left"/>
              <w:rPr>
                <w:rFonts w:ascii="Arial Narrow" w:hAnsi="Arial Narrow"/>
              </w:rPr>
            </w:pPr>
            <w:r w:rsidRPr="008217F1">
              <w:rPr>
                <w:rFonts w:ascii="Arial Narrow" w:hAnsi="Arial Narrow"/>
              </w:rPr>
              <w:t>The</w:t>
            </w:r>
            <w:r w:rsidR="0030564A">
              <w:rPr>
                <w:rFonts w:ascii="Arial Narrow" w:hAnsi="Arial Narrow"/>
              </w:rPr>
              <w:t xml:space="preserve"> evaluation noted the</w:t>
            </w:r>
            <w:r w:rsidRPr="008217F1">
              <w:rPr>
                <w:rFonts w:ascii="Arial Narrow" w:hAnsi="Arial Narrow"/>
              </w:rPr>
              <w:t xml:space="preserve"> 22% estimate was applied to all patients who initiate esketamine in the model, rather than to patients who have discontinued and become eligible for retreatment (consistent with the estimates from the US studies), overestimating the proportion of patients retreated.</w:t>
            </w:r>
            <w:r w:rsidR="009657F6" w:rsidRPr="008217F1">
              <w:rPr>
                <w:rFonts w:ascii="Arial Narrow" w:hAnsi="Arial Narrow"/>
              </w:rPr>
              <w:t xml:space="preserve"> The PSCR (pp. 2-3) argued the proportion of patients re-treated with esketamine was based on US real world evidence that indicated 18-22% of patients who discontinued over a 1 year period received a second course of treatment, but further argued this was likely to be an underestimate as the US data covers a 1 year period. The Response acknowledged the re-treatment proportion was applied </w:t>
            </w:r>
            <w:r w:rsidR="0039513B">
              <w:rPr>
                <w:rFonts w:ascii="Arial Narrow" w:hAnsi="Arial Narrow"/>
              </w:rPr>
              <w:t xml:space="preserve">to all patients who initiate esketamine </w:t>
            </w:r>
            <w:r w:rsidR="009657F6" w:rsidRPr="008217F1">
              <w:rPr>
                <w:rFonts w:ascii="Arial Narrow" w:hAnsi="Arial Narrow"/>
              </w:rPr>
              <w:t xml:space="preserve">in the model, however argued this is compensated for by the time period of 5 years over which it is applied in the model versus the real world evidence, meaning the re-treatment rate in the model is lower than what would be required to achieve the same proportion over a shorter time period, and reiterated that a higher level of re-treatment lowers the ICER for esketamine in the model. </w:t>
            </w:r>
          </w:p>
          <w:p w14:paraId="015907CC" w14:textId="053E3E40" w:rsidR="00AA3B0B" w:rsidRPr="008217F1" w:rsidRDefault="00AA3B0B" w:rsidP="006813A2">
            <w:pPr>
              <w:pStyle w:val="CommentText"/>
              <w:spacing w:after="60"/>
              <w:jc w:val="left"/>
              <w:rPr>
                <w:rFonts w:ascii="Arial Narrow" w:hAnsi="Arial Narrow"/>
              </w:rPr>
            </w:pPr>
            <w:r w:rsidRPr="008217F1">
              <w:rPr>
                <w:rFonts w:ascii="Arial Narrow" w:hAnsi="Arial Narrow"/>
              </w:rPr>
              <w:t xml:space="preserve">The economic model is also sensitive to assumptions regarding any reduction in esketamine efficacy associated with retreatment, based on an assumed cumulative 15% relative reduction in efficacy assuming all patients receiving retreatment </w:t>
            </w:r>
            <w:r w:rsidR="00401120" w:rsidRPr="008217F1">
              <w:rPr>
                <w:rFonts w:ascii="Arial Narrow" w:hAnsi="Arial Narrow"/>
              </w:rPr>
              <w:t xml:space="preserve">(who have previously responded to treatment) </w:t>
            </w:r>
            <w:r w:rsidRPr="008217F1">
              <w:rPr>
                <w:rFonts w:ascii="Arial Narrow" w:hAnsi="Arial Narrow"/>
              </w:rPr>
              <w:t xml:space="preserve">would otherwise </w:t>
            </w:r>
            <w:r w:rsidRPr="0058328A">
              <w:rPr>
                <w:rFonts w:ascii="Arial Narrow" w:hAnsi="Arial Narrow"/>
              </w:rPr>
              <w:t>achieve 100%</w:t>
            </w:r>
            <w:r w:rsidRPr="008217F1">
              <w:rPr>
                <w:rFonts w:ascii="Arial Narrow" w:hAnsi="Arial Narrow"/>
              </w:rPr>
              <w:t xml:space="preserve"> response or remission (see </w:t>
            </w:r>
            <w:r w:rsidRPr="008217F1">
              <w:rPr>
                <w:rFonts w:ascii="Arial Narrow" w:hAnsi="Arial Narrow"/>
              </w:rPr>
              <w:fldChar w:fldCharType="begin" w:fldLock="1"/>
            </w:r>
            <w:r w:rsidRPr="008217F1">
              <w:rPr>
                <w:rFonts w:ascii="Arial Narrow" w:hAnsi="Arial Narrow"/>
              </w:rPr>
              <w:instrText xml:space="preserve"> REF _Ref104804865 \h  \* MERGEFORMAT </w:instrText>
            </w:r>
            <w:r w:rsidRPr="008217F1">
              <w:rPr>
                <w:rFonts w:ascii="Arial Narrow" w:hAnsi="Arial Narrow"/>
              </w:rPr>
            </w:r>
            <w:r w:rsidRPr="008217F1">
              <w:rPr>
                <w:rFonts w:ascii="Arial Narrow" w:hAnsi="Arial Narrow"/>
              </w:rPr>
              <w:fldChar w:fldCharType="separate"/>
            </w:r>
            <w:r w:rsidR="002B3C60" w:rsidRPr="008217F1">
              <w:rPr>
                <w:rFonts w:ascii="Arial Narrow" w:hAnsi="Arial Narrow"/>
              </w:rPr>
              <w:t>Table 15</w:t>
            </w:r>
            <w:r w:rsidRPr="008217F1">
              <w:rPr>
                <w:rFonts w:ascii="Arial Narrow" w:hAnsi="Arial Narrow"/>
              </w:rPr>
              <w:fldChar w:fldCharType="end"/>
            </w:r>
            <w:r w:rsidRPr="008217F1">
              <w:rPr>
                <w:rFonts w:ascii="Arial Narrow" w:hAnsi="Arial Narrow"/>
              </w:rPr>
              <w:t xml:space="preserve"> below).</w:t>
            </w:r>
          </w:p>
          <w:p w14:paraId="080DC3D6" w14:textId="77777777" w:rsidR="00AA3B0B" w:rsidRPr="008217F1" w:rsidRDefault="00AA3B0B" w:rsidP="006813A2">
            <w:pPr>
              <w:pStyle w:val="CommentText"/>
              <w:jc w:val="left"/>
              <w:rPr>
                <w:rFonts w:ascii="Arial Narrow" w:hAnsi="Arial Narrow"/>
              </w:rPr>
            </w:pPr>
            <w:r w:rsidRPr="008217F1">
              <w:rPr>
                <w:rFonts w:ascii="Arial Narrow" w:hAnsi="Arial Narrow"/>
              </w:rPr>
              <w:t>Overall, there are limited data to inform the proportion of eligible patients likely to receive esketamine retreatment, as well as esketamine outcomes associated with retreatment.</w:t>
            </w:r>
            <w:r w:rsidR="00BA429C" w:rsidRPr="008217F1">
              <w:rPr>
                <w:rFonts w:ascii="Arial Narrow" w:hAnsi="Arial Narrow"/>
              </w:rPr>
              <w:t xml:space="preserve"> </w:t>
            </w:r>
          </w:p>
          <w:p w14:paraId="333D56F7" w14:textId="77777777" w:rsidR="00BA429C" w:rsidRPr="008217F1" w:rsidRDefault="00BA429C" w:rsidP="006813A2">
            <w:pPr>
              <w:pStyle w:val="CommentText"/>
              <w:jc w:val="left"/>
              <w:rPr>
                <w:rFonts w:ascii="Arial Narrow" w:hAnsi="Arial Narrow"/>
              </w:rPr>
            </w:pPr>
          </w:p>
          <w:p w14:paraId="4F8CC27F" w14:textId="58D6EF23" w:rsidR="00BA429C" w:rsidRPr="008217F1" w:rsidRDefault="00BA429C" w:rsidP="006813A2">
            <w:pPr>
              <w:pStyle w:val="CommentText"/>
              <w:jc w:val="left"/>
              <w:rPr>
                <w:rFonts w:ascii="Arial Narrow" w:hAnsi="Arial Narrow"/>
              </w:rPr>
            </w:pPr>
            <w:r w:rsidRPr="008217F1">
              <w:rPr>
                <w:rFonts w:ascii="Arial Narrow" w:hAnsi="Arial Narrow"/>
              </w:rPr>
              <w:t>The ESC considered the proportion of patients who may be retreated with esketamine to be  uncertain, and noted the ICER decreases if more patients receive re-treatment</w:t>
            </w:r>
            <w:r w:rsidR="00AB6D93" w:rsidRPr="008217F1">
              <w:rPr>
                <w:rFonts w:ascii="Arial Narrow" w:hAnsi="Arial Narrow"/>
              </w:rPr>
              <w:t xml:space="preserve">. </w:t>
            </w:r>
            <w:r w:rsidR="00D01055" w:rsidRPr="008217F1">
              <w:rPr>
                <w:rFonts w:ascii="Arial Narrow" w:hAnsi="Arial Narrow"/>
              </w:rPr>
              <w:t>T</w:t>
            </w:r>
            <w:r w:rsidR="00AB6D93" w:rsidRPr="008217F1">
              <w:rPr>
                <w:rFonts w:ascii="Arial Narrow" w:hAnsi="Arial Narrow"/>
              </w:rPr>
              <w:t>he ESC also considered the assumption of a cumulative 15% relative reduction in efficacy for re-treatment to be highly uncertain, and the likely magnitude of effectiveness in re-treat</w:t>
            </w:r>
            <w:r w:rsidR="0039513B">
              <w:rPr>
                <w:rFonts w:ascii="Arial Narrow" w:hAnsi="Arial Narrow"/>
              </w:rPr>
              <w:t>ed</w:t>
            </w:r>
            <w:r w:rsidR="00AB6D93" w:rsidRPr="008217F1">
              <w:rPr>
                <w:rFonts w:ascii="Arial Narrow" w:hAnsi="Arial Narrow"/>
              </w:rPr>
              <w:t xml:space="preserve"> patients was unknown. </w:t>
            </w:r>
          </w:p>
        </w:tc>
        <w:tc>
          <w:tcPr>
            <w:tcW w:w="1317" w:type="dxa"/>
            <w:shd w:val="clear" w:color="auto" w:fill="auto"/>
            <w:vAlign w:val="center"/>
          </w:tcPr>
          <w:p w14:paraId="660E747A" w14:textId="77777777" w:rsidR="00AA3B0B" w:rsidRPr="008217F1" w:rsidRDefault="00AA3B0B" w:rsidP="006813A2">
            <w:pPr>
              <w:jc w:val="left"/>
              <w:textAlignment w:val="baseline"/>
              <w:rPr>
                <w:rFonts w:ascii="Arial Narrow" w:hAnsi="Arial Narrow" w:cs="Times New Roman"/>
                <w:sz w:val="20"/>
                <w:szCs w:val="20"/>
              </w:rPr>
            </w:pPr>
            <w:r w:rsidRPr="008217F1">
              <w:rPr>
                <w:rFonts w:ascii="Arial Narrow" w:hAnsi="Arial Narrow" w:cs="Times New Roman"/>
                <w:sz w:val="20"/>
                <w:szCs w:val="20"/>
              </w:rPr>
              <w:t>Moderate, direction unclear</w:t>
            </w:r>
          </w:p>
        </w:tc>
      </w:tr>
      <w:tr w:rsidR="00AA3B0B" w:rsidRPr="008217F1" w14:paraId="1EEC9867" w14:textId="77777777" w:rsidTr="259D127E">
        <w:tc>
          <w:tcPr>
            <w:tcW w:w="1604" w:type="dxa"/>
            <w:shd w:val="clear" w:color="auto" w:fill="auto"/>
            <w:vAlign w:val="center"/>
          </w:tcPr>
          <w:p w14:paraId="7031649F" w14:textId="77777777" w:rsidR="00AA3B0B" w:rsidRPr="008217F1" w:rsidRDefault="00AA3B0B" w:rsidP="006813A2">
            <w:pPr>
              <w:jc w:val="left"/>
              <w:textAlignment w:val="baseline"/>
              <w:rPr>
                <w:rFonts w:ascii="Times New Roman" w:hAnsi="Times New Roman" w:cs="Times New Roman"/>
              </w:rPr>
            </w:pPr>
            <w:r w:rsidRPr="008217F1">
              <w:rPr>
                <w:rFonts w:ascii="Arial Narrow" w:hAnsi="Arial Narrow" w:cs="Times New Roman"/>
                <w:sz w:val="20"/>
                <w:szCs w:val="20"/>
              </w:rPr>
              <w:lastRenderedPageBreak/>
              <w:t>Healthcare resource use and costs </w:t>
            </w:r>
          </w:p>
        </w:tc>
        <w:tc>
          <w:tcPr>
            <w:tcW w:w="6096" w:type="dxa"/>
            <w:shd w:val="clear" w:color="auto" w:fill="auto"/>
            <w:vAlign w:val="center"/>
          </w:tcPr>
          <w:p w14:paraId="31EE130F" w14:textId="77777777" w:rsidR="00AA3B0B" w:rsidRPr="008217F1" w:rsidRDefault="00AA3B0B" w:rsidP="006813A2">
            <w:pPr>
              <w:spacing w:after="60"/>
              <w:rPr>
                <w:rFonts w:ascii="Arial Narrow" w:hAnsi="Arial Narrow"/>
                <w:sz w:val="20"/>
                <w:szCs w:val="20"/>
              </w:rPr>
            </w:pPr>
            <w:r w:rsidRPr="008217F1">
              <w:rPr>
                <w:rFonts w:ascii="Arial Narrow" w:hAnsi="Arial Narrow"/>
                <w:sz w:val="20"/>
                <w:szCs w:val="20"/>
              </w:rPr>
              <w:t>The resubmission used an alternative approach to estimating disease management resource use compared to previous esketamine submissions, to address PBAC concerns with the applicability of the health care resource use source data, a UK retrospective chart review study (Denee 2021).</w:t>
            </w:r>
          </w:p>
          <w:p w14:paraId="155E047D" w14:textId="77777777" w:rsidR="00AA3B0B" w:rsidRPr="008217F1" w:rsidRDefault="00AA3B0B" w:rsidP="006813A2">
            <w:pPr>
              <w:spacing w:after="60"/>
              <w:jc w:val="left"/>
              <w:textAlignment w:val="baseline"/>
              <w:rPr>
                <w:rFonts w:ascii="Arial Narrow" w:hAnsi="Arial Narrow"/>
                <w:sz w:val="20"/>
                <w:szCs w:val="20"/>
              </w:rPr>
            </w:pPr>
            <w:r w:rsidRPr="008217F1">
              <w:rPr>
                <w:rFonts w:ascii="Arial Narrow" w:hAnsi="Arial Narrow"/>
                <w:sz w:val="20"/>
                <w:szCs w:val="20"/>
              </w:rPr>
              <w:t>Based on the revised estimates, patients in the esketamine plus OAD arm are hospitalised for 31.2 days compared with 37.6 days for patients in the placebo plus OAD arm over the 5-year model duration. Esketamine plus OAD is associated with a reduction of 6.43 hospitalised days (compared to a reduction of 9.00 days based on Denee 2021).</w:t>
            </w:r>
          </w:p>
          <w:p w14:paraId="4B4FFD12" w14:textId="77777777" w:rsidR="00AA3B0B" w:rsidRPr="008217F1" w:rsidRDefault="00AA3B0B" w:rsidP="006813A2">
            <w:pPr>
              <w:jc w:val="left"/>
              <w:textAlignment w:val="baseline"/>
              <w:rPr>
                <w:rFonts w:ascii="Arial Narrow" w:hAnsi="Arial Narrow"/>
                <w:sz w:val="20"/>
                <w:szCs w:val="20"/>
              </w:rPr>
            </w:pPr>
            <w:r w:rsidRPr="008217F1">
              <w:rPr>
                <w:rFonts w:ascii="Arial Narrow" w:hAnsi="Arial Narrow"/>
                <w:sz w:val="20"/>
                <w:szCs w:val="20"/>
              </w:rPr>
              <w:t xml:space="preserve">However, the applicability of the resource use estimates to current clinical practice is unclear, given the estimates were based on older Australian data in patients with MDD from the 2004 South Australian Health Omnibus Survey (Goldney 2007); with estimates of hospitalisation further adjusted to account for differences in resource use between patients with non-TRD MDD and TRD (an incidence rate ratio of 1.9) based on survey data from the US and Europe (Zhang 2018, available as an abstract only); with the length of stay per hospitalisation (21 days) based on a post hoc analysis of inpatients with TRD from a single Melbourne clinic. </w:t>
            </w:r>
          </w:p>
          <w:p w14:paraId="3458D6CB" w14:textId="77777777" w:rsidR="00190333" w:rsidRPr="008217F1" w:rsidRDefault="00190333" w:rsidP="006813A2">
            <w:pPr>
              <w:jc w:val="left"/>
              <w:textAlignment w:val="baseline"/>
              <w:rPr>
                <w:rFonts w:ascii="Arial Narrow" w:hAnsi="Arial Narrow"/>
                <w:sz w:val="20"/>
                <w:szCs w:val="20"/>
              </w:rPr>
            </w:pPr>
          </w:p>
          <w:p w14:paraId="52DEE150" w14:textId="1CED141B" w:rsidR="00190333" w:rsidRPr="008217F1" w:rsidRDefault="00190333" w:rsidP="006813A2">
            <w:pPr>
              <w:jc w:val="left"/>
              <w:textAlignment w:val="baseline"/>
              <w:rPr>
                <w:rFonts w:ascii="Arial Narrow" w:hAnsi="Arial Narrow"/>
                <w:sz w:val="20"/>
                <w:szCs w:val="20"/>
              </w:rPr>
            </w:pPr>
            <w:r w:rsidRPr="008217F1">
              <w:rPr>
                <w:rFonts w:ascii="Arial Narrow" w:hAnsi="Arial Narrow"/>
                <w:sz w:val="20"/>
                <w:szCs w:val="20"/>
              </w:rPr>
              <w:t>The ESC considered the</w:t>
            </w:r>
            <w:r w:rsidR="00BA429C" w:rsidRPr="008217F1">
              <w:rPr>
                <w:rFonts w:ascii="Arial Narrow" w:hAnsi="Arial Narrow"/>
                <w:sz w:val="20"/>
                <w:szCs w:val="20"/>
              </w:rPr>
              <w:t xml:space="preserve"> revised sources for health care resource use were more reasonable than previous submissions as they were based on Australian data, however considered they remained uncertain given the age of the South Australian study and limitations of the data to inform the length of stay per hospitalisation. The ESC noted the ICER is </w:t>
            </w:r>
            <w:r w:rsidR="00585D74" w:rsidRPr="008217F1">
              <w:rPr>
                <w:rFonts w:ascii="Arial Narrow" w:hAnsi="Arial Narrow"/>
                <w:sz w:val="20"/>
                <w:szCs w:val="20"/>
              </w:rPr>
              <w:t>sensitive to</w:t>
            </w:r>
            <w:r w:rsidR="00BA429C" w:rsidRPr="008217F1">
              <w:rPr>
                <w:rFonts w:ascii="Arial Narrow" w:hAnsi="Arial Narrow"/>
                <w:sz w:val="20"/>
                <w:szCs w:val="20"/>
              </w:rPr>
              <w:t xml:space="preserve"> these inputs.</w:t>
            </w:r>
          </w:p>
        </w:tc>
        <w:tc>
          <w:tcPr>
            <w:tcW w:w="1317" w:type="dxa"/>
            <w:shd w:val="clear" w:color="auto" w:fill="auto"/>
            <w:vAlign w:val="center"/>
          </w:tcPr>
          <w:p w14:paraId="4B7692DA" w14:textId="77777777" w:rsidR="00AA3B0B" w:rsidRPr="008217F1" w:rsidRDefault="00AA3B0B" w:rsidP="006813A2">
            <w:pPr>
              <w:jc w:val="left"/>
              <w:textAlignment w:val="baseline"/>
              <w:rPr>
                <w:rFonts w:ascii="Times New Roman" w:hAnsi="Times New Roman" w:cs="Times New Roman"/>
              </w:rPr>
            </w:pPr>
            <w:r w:rsidRPr="008217F1">
              <w:rPr>
                <w:rFonts w:ascii="Arial Narrow" w:hAnsi="Arial Narrow" w:cs="Times New Roman"/>
                <w:sz w:val="20"/>
                <w:szCs w:val="20"/>
              </w:rPr>
              <w:t>High, favours esketamine.</w:t>
            </w:r>
          </w:p>
        </w:tc>
      </w:tr>
      <w:tr w:rsidR="00AA3B0B" w:rsidRPr="008217F1" w14:paraId="07309CEB" w14:textId="77777777" w:rsidTr="259D127E">
        <w:tc>
          <w:tcPr>
            <w:tcW w:w="1604" w:type="dxa"/>
            <w:shd w:val="clear" w:color="auto" w:fill="auto"/>
            <w:vAlign w:val="center"/>
            <w:hideMark/>
          </w:tcPr>
          <w:p w14:paraId="759F6DC6" w14:textId="77777777" w:rsidR="00AA3B0B" w:rsidRPr="008217F1" w:rsidRDefault="00AA3B0B" w:rsidP="006813A2">
            <w:pPr>
              <w:jc w:val="left"/>
              <w:textAlignment w:val="baseline"/>
              <w:rPr>
                <w:rFonts w:ascii="Times New Roman" w:hAnsi="Times New Roman" w:cs="Times New Roman"/>
              </w:rPr>
            </w:pPr>
            <w:r w:rsidRPr="008217F1">
              <w:rPr>
                <w:rFonts w:ascii="Arial Narrow" w:hAnsi="Arial Narrow" w:cs="Times New Roman"/>
                <w:sz w:val="20"/>
                <w:szCs w:val="20"/>
              </w:rPr>
              <w:t>Costs of administration and monitoring </w:t>
            </w:r>
          </w:p>
        </w:tc>
        <w:tc>
          <w:tcPr>
            <w:tcW w:w="6096" w:type="dxa"/>
            <w:shd w:val="clear" w:color="auto" w:fill="auto"/>
            <w:vAlign w:val="center"/>
            <w:hideMark/>
          </w:tcPr>
          <w:p w14:paraId="00433447" w14:textId="52779624" w:rsidR="00AA3B0B" w:rsidRPr="008217F1" w:rsidRDefault="00AA3B0B" w:rsidP="006813A2">
            <w:pPr>
              <w:jc w:val="left"/>
              <w:textAlignment w:val="baseline"/>
              <w:rPr>
                <w:rFonts w:ascii="Arial Narrow" w:hAnsi="Arial Narrow" w:cs="Times New Roman"/>
                <w:sz w:val="20"/>
                <w:szCs w:val="20"/>
              </w:rPr>
            </w:pPr>
            <w:r w:rsidRPr="008217F1">
              <w:rPr>
                <w:rFonts w:ascii="Arial Narrow" w:hAnsi="Arial Narrow" w:cs="Times New Roman"/>
                <w:sz w:val="20"/>
                <w:szCs w:val="20"/>
              </w:rPr>
              <w:t>The cost associated with administration and monitoring of esketamine was based on a psychiatrist consultation (MBS item 308 – psychiatrist consultation &gt;75 minutes</w:t>
            </w:r>
            <w:r w:rsidR="00440ABF" w:rsidRPr="008217F1">
              <w:rPr>
                <w:rFonts w:ascii="Arial Narrow" w:hAnsi="Arial Narrow" w:cs="Times New Roman"/>
                <w:sz w:val="20"/>
                <w:szCs w:val="20"/>
              </w:rPr>
              <w:t>, $238.15</w:t>
            </w:r>
            <w:r w:rsidRPr="008217F1">
              <w:rPr>
                <w:rFonts w:ascii="Arial Narrow" w:hAnsi="Arial Narrow" w:cs="Times New Roman"/>
                <w:sz w:val="20"/>
                <w:szCs w:val="20"/>
              </w:rPr>
              <w:t>)</w:t>
            </w:r>
            <w:r w:rsidR="0039513B">
              <w:rPr>
                <w:rFonts w:ascii="Arial Narrow" w:hAnsi="Arial Narrow" w:cs="Times New Roman"/>
                <w:sz w:val="20"/>
                <w:szCs w:val="20"/>
              </w:rPr>
              <w:t xml:space="preserve"> as a proxy cost</w:t>
            </w:r>
            <w:r w:rsidRPr="008217F1">
              <w:rPr>
                <w:rFonts w:ascii="Arial Narrow" w:hAnsi="Arial Narrow" w:cs="Times New Roman"/>
                <w:sz w:val="20"/>
                <w:szCs w:val="20"/>
              </w:rPr>
              <w:t xml:space="preserve">. However, it is unclear whether this is an appropriate proxy for post-administration monitoring, which the resubmission claimed would last 1–2 hours, with supervision predominantly by nurses. The ESC previously considered it was unclear what the likely true cost of administration and monitoring would be in practice, and noted the ICER was moderately sensitive to the assumed cost (para 6.65, </w:t>
            </w:r>
            <w:r w:rsidR="005E7896" w:rsidRPr="008217F1">
              <w:rPr>
                <w:rFonts w:ascii="Arial Narrow" w:hAnsi="Arial Narrow" w:cs="Times New Roman"/>
                <w:sz w:val="20"/>
                <w:szCs w:val="20"/>
              </w:rPr>
              <w:t>esketamine PSD</w:t>
            </w:r>
            <w:r w:rsidRPr="008217F1">
              <w:rPr>
                <w:rFonts w:ascii="Arial Narrow" w:hAnsi="Arial Narrow" w:cs="Times New Roman"/>
                <w:sz w:val="20"/>
                <w:szCs w:val="20"/>
              </w:rPr>
              <w:t>, July 2023 PBAC meeting).</w:t>
            </w:r>
          </w:p>
        </w:tc>
        <w:tc>
          <w:tcPr>
            <w:tcW w:w="1317" w:type="dxa"/>
            <w:shd w:val="clear" w:color="auto" w:fill="auto"/>
            <w:vAlign w:val="center"/>
            <w:hideMark/>
          </w:tcPr>
          <w:p w14:paraId="2D393846" w14:textId="502C6D2E" w:rsidR="00AA3B0B" w:rsidRPr="008217F1" w:rsidRDefault="00AA3B0B" w:rsidP="006813A2">
            <w:pPr>
              <w:jc w:val="left"/>
              <w:textAlignment w:val="baseline"/>
              <w:rPr>
                <w:rFonts w:ascii="Times New Roman" w:hAnsi="Times New Roman" w:cs="Times New Roman"/>
              </w:rPr>
            </w:pPr>
            <w:r w:rsidRPr="008217F1">
              <w:rPr>
                <w:rFonts w:ascii="Arial Narrow" w:hAnsi="Arial Narrow" w:cs="Times New Roman"/>
                <w:sz w:val="20"/>
                <w:szCs w:val="20"/>
              </w:rPr>
              <w:t xml:space="preserve">Moderate, </w:t>
            </w:r>
            <w:r w:rsidR="005638BC" w:rsidRPr="008217F1">
              <w:rPr>
                <w:rFonts w:ascii="Arial Narrow" w:hAnsi="Arial Narrow" w:cs="Times New Roman"/>
                <w:sz w:val="20"/>
                <w:szCs w:val="20"/>
              </w:rPr>
              <w:t>unclear direction</w:t>
            </w:r>
            <w:r w:rsidRPr="008217F1">
              <w:rPr>
                <w:rFonts w:ascii="Arial Narrow" w:hAnsi="Arial Narrow" w:cs="Times New Roman"/>
                <w:sz w:val="20"/>
                <w:szCs w:val="20"/>
              </w:rPr>
              <w:t>. </w:t>
            </w:r>
          </w:p>
        </w:tc>
      </w:tr>
      <w:tr w:rsidR="00AA3B0B" w:rsidRPr="008217F1" w14:paraId="3A06328F" w14:textId="77777777" w:rsidTr="259D127E">
        <w:tc>
          <w:tcPr>
            <w:tcW w:w="1604" w:type="dxa"/>
            <w:shd w:val="clear" w:color="auto" w:fill="auto"/>
            <w:vAlign w:val="center"/>
          </w:tcPr>
          <w:p w14:paraId="6F0089CF" w14:textId="77777777" w:rsidR="00AA3B0B" w:rsidRPr="008217F1" w:rsidRDefault="00AA3B0B" w:rsidP="006813A2">
            <w:pPr>
              <w:jc w:val="left"/>
              <w:textAlignment w:val="baseline"/>
              <w:rPr>
                <w:rFonts w:ascii="Arial Narrow" w:hAnsi="Arial Narrow" w:cs="Times New Roman"/>
                <w:sz w:val="20"/>
                <w:szCs w:val="20"/>
              </w:rPr>
            </w:pPr>
            <w:r w:rsidRPr="008217F1">
              <w:rPr>
                <w:rFonts w:ascii="Arial Narrow" w:hAnsi="Arial Narrow" w:cs="Times New Roman"/>
                <w:sz w:val="20"/>
                <w:szCs w:val="20"/>
              </w:rPr>
              <w:t>Circumstances of use</w:t>
            </w:r>
          </w:p>
        </w:tc>
        <w:tc>
          <w:tcPr>
            <w:tcW w:w="6096" w:type="dxa"/>
            <w:shd w:val="clear" w:color="auto" w:fill="auto"/>
            <w:vAlign w:val="center"/>
          </w:tcPr>
          <w:p w14:paraId="02B3AB03" w14:textId="77777777" w:rsidR="00AA3B0B" w:rsidRPr="008217F1" w:rsidRDefault="00AA3B0B" w:rsidP="006813A2">
            <w:pPr>
              <w:textAlignment w:val="baseline"/>
              <w:rPr>
                <w:rFonts w:ascii="Arial Narrow" w:hAnsi="Arial Narrow" w:cs="Times New Roman"/>
                <w:sz w:val="20"/>
                <w:szCs w:val="20"/>
              </w:rPr>
            </w:pPr>
            <w:r w:rsidRPr="008217F1">
              <w:rPr>
                <w:rFonts w:ascii="Arial Narrow" w:hAnsi="Arial Narrow" w:cs="Times New Roman"/>
                <w:sz w:val="20"/>
                <w:szCs w:val="20"/>
              </w:rPr>
              <w:t xml:space="preserve">Esketamine frequency of administration and dose in the maintenance phases can vary, and in the model was based on use in the clinical trials. It is unlikely that usage in the clinical trials will be replicated in clinical practice. More or less frequent use than was observed in the trials will impact the cost-effectiveness of esketamine. </w:t>
            </w:r>
          </w:p>
        </w:tc>
        <w:tc>
          <w:tcPr>
            <w:tcW w:w="1317" w:type="dxa"/>
            <w:shd w:val="clear" w:color="auto" w:fill="auto"/>
            <w:vAlign w:val="center"/>
          </w:tcPr>
          <w:p w14:paraId="41B43947" w14:textId="77777777" w:rsidR="00AA3B0B" w:rsidRPr="008217F1" w:rsidRDefault="00AA3B0B" w:rsidP="006813A2">
            <w:pPr>
              <w:jc w:val="left"/>
              <w:textAlignment w:val="baseline"/>
              <w:rPr>
                <w:rFonts w:ascii="Arial Narrow" w:hAnsi="Arial Narrow" w:cs="Times New Roman"/>
                <w:sz w:val="20"/>
                <w:szCs w:val="20"/>
              </w:rPr>
            </w:pPr>
            <w:r w:rsidRPr="008217F1">
              <w:rPr>
                <w:rFonts w:ascii="Arial Narrow" w:hAnsi="Arial Narrow" w:cs="Times New Roman"/>
                <w:sz w:val="20"/>
                <w:szCs w:val="20"/>
              </w:rPr>
              <w:t>Moderate, unclear direction. </w:t>
            </w:r>
          </w:p>
        </w:tc>
      </w:tr>
    </w:tbl>
    <w:p w14:paraId="1ACE79A9" w14:textId="77777777" w:rsidR="00AA3B0B" w:rsidRPr="00D26534" w:rsidRDefault="00AA3B0B" w:rsidP="00AA3B0B">
      <w:pPr>
        <w:pStyle w:val="COMTablefooter"/>
      </w:pPr>
      <w:r w:rsidRPr="00D26534">
        <w:t>Source: Constructed during the evaluation</w:t>
      </w:r>
    </w:p>
    <w:p w14:paraId="4E331112" w14:textId="7E1DF679" w:rsidR="00B34251" w:rsidRPr="00D26534" w:rsidRDefault="00AA3B0B" w:rsidP="00AA3B0B">
      <w:pPr>
        <w:pStyle w:val="COMTablefooter"/>
      </w:pPr>
      <w:r w:rsidRPr="00D26534">
        <w:t>Abbreviations: ICER, incremental cost-effectiveness ratio; MBS, Medicare Benefits Schedule; MDD, major depressive disorder; OAD, oral antidepressant; TRD, treatment resistant depression</w:t>
      </w:r>
    </w:p>
    <w:p w14:paraId="02F016CB" w14:textId="7130FAE8" w:rsidR="008527A6" w:rsidRPr="008217F1" w:rsidRDefault="008527A6" w:rsidP="008527A6">
      <w:pPr>
        <w:pStyle w:val="ListParagraph"/>
        <w:numPr>
          <w:ilvl w:val="1"/>
          <w:numId w:val="1"/>
        </w:numPr>
        <w:spacing w:after="120"/>
        <w:ind w:hanging="720"/>
        <w:contextualSpacing w:val="0"/>
        <w:rPr>
          <w:rFonts w:cs="Calibri"/>
          <w:bCs/>
          <w:iCs/>
        </w:rPr>
      </w:pPr>
      <w:r w:rsidRPr="008217F1">
        <w:rPr>
          <w:rFonts w:cs="Calibri"/>
          <w:bCs/>
          <w:iCs/>
        </w:rPr>
        <w:t xml:space="preserve">The evaluation noted the cost-effectiveness of esketamine was primarily based on the circumstances of use and response criteria in the key trials, which may not be applicable to the proposed PBS population given the broad and subjective nature of the proposed restrictions. </w:t>
      </w:r>
      <w:r w:rsidR="00EA3209" w:rsidRPr="008217F1">
        <w:rPr>
          <w:rFonts w:cs="Calibri"/>
          <w:bCs/>
          <w:iCs/>
        </w:rPr>
        <w:t>The ESC</w:t>
      </w:r>
      <w:r w:rsidR="0039513B">
        <w:rPr>
          <w:rFonts w:cs="Calibri"/>
          <w:bCs/>
          <w:iCs/>
        </w:rPr>
        <w:t xml:space="preserve"> and PBAC</w:t>
      </w:r>
      <w:r w:rsidR="00EA3209" w:rsidRPr="008217F1">
        <w:rPr>
          <w:rFonts w:cs="Calibri"/>
          <w:bCs/>
          <w:iCs/>
        </w:rPr>
        <w:t xml:space="preserve"> noted that, a</w:t>
      </w:r>
      <w:r w:rsidRPr="008217F1">
        <w:rPr>
          <w:rFonts w:cs="Calibri"/>
          <w:bCs/>
          <w:iCs/>
        </w:rPr>
        <w:t xml:space="preserve">s discussed in paragraph </w:t>
      </w:r>
      <w:r w:rsidRPr="008217F1">
        <w:rPr>
          <w:rFonts w:cs="Calibri"/>
          <w:bCs/>
          <w:iCs/>
        </w:rPr>
        <w:fldChar w:fldCharType="begin" w:fldLock="1"/>
      </w:r>
      <w:r w:rsidRPr="008217F1">
        <w:rPr>
          <w:rFonts w:cs="Calibri"/>
          <w:bCs/>
          <w:iCs/>
        </w:rPr>
        <w:instrText xml:space="preserve"> REF _Ref169851015 \r \h  \* MERGEFORMAT </w:instrText>
      </w:r>
      <w:r w:rsidRPr="008217F1">
        <w:rPr>
          <w:rFonts w:cs="Calibri"/>
          <w:bCs/>
          <w:iCs/>
        </w:rPr>
      </w:r>
      <w:r w:rsidRPr="008217F1">
        <w:rPr>
          <w:rFonts w:cs="Calibri"/>
          <w:bCs/>
          <w:iCs/>
        </w:rPr>
        <w:fldChar w:fldCharType="separate"/>
      </w:r>
      <w:r w:rsidR="002B3C60" w:rsidRPr="008217F1">
        <w:rPr>
          <w:rFonts w:cs="Calibri"/>
          <w:bCs/>
          <w:iCs/>
        </w:rPr>
        <w:t>3.10</w:t>
      </w:r>
      <w:r w:rsidRPr="008217F1">
        <w:rPr>
          <w:rFonts w:cs="Calibri"/>
          <w:bCs/>
          <w:iCs/>
        </w:rPr>
        <w:fldChar w:fldCharType="end"/>
      </w:r>
      <w:r w:rsidRPr="008217F1">
        <w:rPr>
          <w:rFonts w:cs="Calibri"/>
          <w:bCs/>
          <w:iCs/>
        </w:rPr>
        <w:t xml:space="preserve">, </w:t>
      </w:r>
      <w:r w:rsidR="00EA3209" w:rsidRPr="008217F1">
        <w:rPr>
          <w:rFonts w:cs="Calibri"/>
          <w:bCs/>
          <w:iCs/>
        </w:rPr>
        <w:t xml:space="preserve">the intention was for the proposed restrictions to reflect the population of patients included in the economic model. </w:t>
      </w:r>
    </w:p>
    <w:p w14:paraId="26063C38" w14:textId="34944F6C" w:rsidR="00A84E4F" w:rsidRPr="00334ED6" w:rsidRDefault="00A84E4F" w:rsidP="00334ED6">
      <w:pPr>
        <w:pStyle w:val="ListParagraph"/>
        <w:numPr>
          <w:ilvl w:val="1"/>
          <w:numId w:val="1"/>
        </w:numPr>
        <w:spacing w:after="120"/>
        <w:ind w:hanging="720"/>
        <w:contextualSpacing w:val="0"/>
        <w:rPr>
          <w:rFonts w:cs="Calibri"/>
          <w:bCs/>
          <w:iCs/>
        </w:rPr>
      </w:pPr>
      <w:r w:rsidRPr="00334ED6">
        <w:rPr>
          <w:rFonts w:cs="Calibri"/>
          <w:bCs/>
          <w:iCs/>
        </w:rPr>
        <w:fldChar w:fldCharType="begin" w:fldLock="1"/>
      </w:r>
      <w:r w:rsidRPr="00334ED6">
        <w:rPr>
          <w:rFonts w:cs="Calibri"/>
          <w:bCs/>
          <w:iCs/>
        </w:rPr>
        <w:instrText xml:space="preserve"> REF _Ref164427693 \h  \* MERGEFORMAT </w:instrText>
      </w:r>
      <w:r w:rsidRPr="00334ED6">
        <w:rPr>
          <w:rFonts w:cs="Calibri"/>
          <w:bCs/>
          <w:iCs/>
        </w:rPr>
      </w:r>
      <w:r w:rsidRPr="00334ED6">
        <w:rPr>
          <w:rFonts w:cs="Calibri"/>
          <w:bCs/>
          <w:iCs/>
        </w:rPr>
        <w:fldChar w:fldCharType="separate"/>
      </w:r>
      <w:r w:rsidR="002B3C60" w:rsidRPr="002B3C60">
        <w:rPr>
          <w:rFonts w:cs="Calibri"/>
          <w:bCs/>
          <w:iCs/>
        </w:rPr>
        <w:t>Figure 2</w:t>
      </w:r>
      <w:r w:rsidRPr="00334ED6">
        <w:rPr>
          <w:rFonts w:cs="Calibri"/>
          <w:bCs/>
          <w:iCs/>
        </w:rPr>
        <w:fldChar w:fldCharType="end"/>
      </w:r>
      <w:r w:rsidRPr="00334ED6">
        <w:rPr>
          <w:rFonts w:cs="Calibri"/>
          <w:bCs/>
          <w:iCs/>
        </w:rPr>
        <w:t xml:space="preserve"> compares the proportion of patients in the response, remission or recovery health states in the esketamine plus OAD base case (allowing retreatment and a proportion of patients to continue treatment beyond 12 months); the esketamine plus OAD July 2023 model scenario (with no retreatment and a limit of 12 months treatment) and the placebo plus OAD treatment arm, over the model time horizon.</w:t>
      </w:r>
    </w:p>
    <w:p w14:paraId="4F9B5C7E" w14:textId="301ACE04" w:rsidR="00A84E4F" w:rsidRPr="00D26534" w:rsidRDefault="00A84E4F" w:rsidP="006143D4">
      <w:pPr>
        <w:pStyle w:val="COMTableheadingrow"/>
      </w:pPr>
      <w:bookmarkStart w:id="47" w:name="_Ref164427693"/>
      <w:r w:rsidRPr="00D26534">
        <w:lastRenderedPageBreak/>
        <w:t xml:space="preserve">Figure </w:t>
      </w:r>
      <w:r w:rsidRPr="00D26534">
        <w:fldChar w:fldCharType="begin" w:fldLock="1"/>
      </w:r>
      <w:r w:rsidRPr="00D26534">
        <w:instrText xml:space="preserve"> SEQ Figure \* ARABIC </w:instrText>
      </w:r>
      <w:r w:rsidRPr="00D26534">
        <w:fldChar w:fldCharType="separate"/>
      </w:r>
      <w:r w:rsidR="002B3C60">
        <w:rPr>
          <w:noProof/>
        </w:rPr>
        <w:t>2</w:t>
      </w:r>
      <w:r w:rsidRPr="00D26534">
        <w:fldChar w:fldCharType="end"/>
      </w:r>
      <w:bookmarkEnd w:id="47"/>
      <w:r w:rsidRPr="00D26534">
        <w:t xml:space="preserve">: Proportion of patients achieving response, </w:t>
      </w:r>
      <w:proofErr w:type="gramStart"/>
      <w:r w:rsidRPr="00D26534">
        <w:t>remission</w:t>
      </w:r>
      <w:proofErr w:type="gramEnd"/>
      <w:r w:rsidRPr="00D26534">
        <w:t xml:space="preserve"> or recovery for esketamine plus OAD (base case and July 2023 model scenario) and placebo plus OAD </w:t>
      </w:r>
      <w:r w:rsidR="006143D4">
        <w:rPr>
          <w:noProof/>
        </w:rPr>
        <w:drawing>
          <wp:inline distT="0" distB="0" distL="0" distR="0" wp14:anchorId="4FBE0DBB" wp14:editId="1D285581">
            <wp:extent cx="5676900" cy="3498215"/>
            <wp:effectExtent l="0" t="0" r="0" b="6985"/>
            <wp:docPr id="50178000" name="Picture 1" descr="Figure 2: Proportion of patients achieving response, remission or recovery for esketamine plus OAD (base case and July 2023 model scenario) and placebo plus 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8000" name="Picture 1" descr="Figure 2: Proportion of patients achieving response, remission or recovery for esketamine plus OAD (base case and July 2023 model scenario) and placebo plus OAD "/>
                    <pic:cNvPicPr/>
                  </pic:nvPicPr>
                  <pic:blipFill rotWithShape="1">
                    <a:blip r:embed="rId10"/>
                    <a:srcRect l="-1" r="964"/>
                    <a:stretch/>
                  </pic:blipFill>
                  <pic:spPr bwMode="auto">
                    <a:xfrm>
                      <a:off x="0" y="0"/>
                      <a:ext cx="5676900" cy="3498215"/>
                    </a:xfrm>
                    <a:prstGeom prst="rect">
                      <a:avLst/>
                    </a:prstGeom>
                    <a:ln>
                      <a:noFill/>
                    </a:ln>
                    <a:extLst>
                      <a:ext uri="{53640926-AAD7-44D8-BBD7-CCE9431645EC}">
                        <a14:shadowObscured xmlns:a14="http://schemas.microsoft.com/office/drawing/2010/main"/>
                      </a:ext>
                    </a:extLst>
                  </pic:spPr>
                </pic:pic>
              </a:graphicData>
            </a:graphic>
          </wp:inline>
        </w:drawing>
      </w:r>
    </w:p>
    <w:p w14:paraId="16381BED" w14:textId="77777777" w:rsidR="00A84E4F" w:rsidRPr="00D26534" w:rsidRDefault="00A84E4F" w:rsidP="003A21D0">
      <w:pPr>
        <w:pStyle w:val="COMTablefooter"/>
        <w:keepNext/>
      </w:pPr>
      <w:r w:rsidRPr="00D26534">
        <w:t>Source: Constructed during the evaluation using ‘Attachment 3.4 - Esketamine TRD CE Retreatment model’ spreadsheet</w:t>
      </w:r>
    </w:p>
    <w:p w14:paraId="019417E3" w14:textId="77777777" w:rsidR="00A84E4F" w:rsidRPr="00D26534" w:rsidRDefault="00A84E4F" w:rsidP="003A21D0">
      <w:pPr>
        <w:pStyle w:val="COMTablefooter"/>
        <w:keepNext/>
      </w:pPr>
      <w:r w:rsidRPr="00D26534">
        <w:t>Abbreviations: ESK, esketamine; OAD, oral antidepressant; PBO, placebo</w:t>
      </w:r>
    </w:p>
    <w:p w14:paraId="536959A0" w14:textId="29650934" w:rsidR="00B34251" w:rsidRPr="00D26534" w:rsidRDefault="00A84E4F" w:rsidP="0082586B">
      <w:pPr>
        <w:pStyle w:val="COMTablefooter"/>
      </w:pPr>
      <w:r w:rsidRPr="00D26534">
        <w:t>Note: There are minor differences between the esketamine plus OAD July 2023 scenario and placebo plus OAD arm compared with the July 2023 model, due to the current model updating the Australian life tables used to estimate mortality</w:t>
      </w:r>
    </w:p>
    <w:p w14:paraId="64D69962" w14:textId="2238B61F" w:rsidR="00F24EC5" w:rsidRPr="00334ED6" w:rsidRDefault="00F24EC5" w:rsidP="00334ED6">
      <w:pPr>
        <w:pStyle w:val="ListParagraph"/>
        <w:numPr>
          <w:ilvl w:val="1"/>
          <w:numId w:val="1"/>
        </w:numPr>
        <w:spacing w:after="120"/>
        <w:ind w:hanging="720"/>
        <w:contextualSpacing w:val="0"/>
        <w:rPr>
          <w:rFonts w:cs="Calibri"/>
          <w:bCs/>
          <w:iCs/>
        </w:rPr>
      </w:pPr>
      <w:r w:rsidRPr="00334ED6">
        <w:rPr>
          <w:rFonts w:cs="Calibri"/>
          <w:bCs/>
          <w:iCs/>
        </w:rPr>
        <w:t>The base case model in the resubmission generates a larger difference in the proportion of patients in the response, remission and recovery health states between treatment arms, consistent with the inclusion of esketamine treatment beyond 12</w:t>
      </w:r>
      <w:r w:rsidR="00BD1946">
        <w:rPr>
          <w:rFonts w:cs="Calibri"/>
          <w:bCs/>
          <w:iCs/>
        </w:rPr>
        <w:t> </w:t>
      </w:r>
      <w:r w:rsidRPr="00334ED6">
        <w:rPr>
          <w:rFonts w:cs="Calibri"/>
          <w:bCs/>
          <w:iCs/>
        </w:rPr>
        <w:t>months for a proportion of patients and allowing esketamine retreatment. The esketamine plus OAD arm for the current model base case starts to diverge from the esketamine July 2023 model scenario from cycle 8 (at approximately 7 months), after a proportion of patients become eligible for retreatment from cycle 7.</w:t>
      </w:r>
    </w:p>
    <w:p w14:paraId="6AF5FF37" w14:textId="39E76210" w:rsidR="0082586B" w:rsidRPr="00334ED6" w:rsidRDefault="00F24EC5" w:rsidP="00334ED6">
      <w:pPr>
        <w:pStyle w:val="ListParagraph"/>
        <w:numPr>
          <w:ilvl w:val="1"/>
          <w:numId w:val="1"/>
        </w:numPr>
        <w:spacing w:after="120"/>
        <w:ind w:hanging="720"/>
        <w:contextualSpacing w:val="0"/>
        <w:rPr>
          <w:rFonts w:cs="Calibri"/>
          <w:bCs/>
          <w:iCs/>
        </w:rPr>
      </w:pPr>
      <w:r w:rsidRPr="00334ED6">
        <w:rPr>
          <w:rFonts w:cs="Calibri"/>
          <w:bCs/>
          <w:iCs/>
        </w:rPr>
        <w:fldChar w:fldCharType="begin" w:fldLock="1"/>
      </w:r>
      <w:r w:rsidRPr="00334ED6">
        <w:rPr>
          <w:rFonts w:cs="Calibri"/>
          <w:bCs/>
          <w:iCs/>
        </w:rPr>
        <w:instrText xml:space="preserve"> REF _Ref164427849 \h </w:instrText>
      </w:r>
      <w:r w:rsidR="00D26534" w:rsidRPr="00334ED6">
        <w:rPr>
          <w:rFonts w:cs="Calibri"/>
          <w:bCs/>
          <w:iCs/>
        </w:rPr>
        <w:instrText xml:space="preserve"> \* MERGEFORMAT </w:instrText>
      </w:r>
      <w:r w:rsidRPr="00334ED6">
        <w:rPr>
          <w:rFonts w:cs="Calibri"/>
          <w:bCs/>
          <w:iCs/>
        </w:rPr>
      </w:r>
      <w:r w:rsidRPr="00334ED6">
        <w:rPr>
          <w:rFonts w:cs="Calibri"/>
          <w:bCs/>
          <w:iCs/>
        </w:rPr>
        <w:fldChar w:fldCharType="separate"/>
      </w:r>
      <w:r w:rsidR="002B3C60" w:rsidRPr="002B3C60">
        <w:rPr>
          <w:rFonts w:cs="Calibri"/>
          <w:bCs/>
          <w:iCs/>
        </w:rPr>
        <w:t>Figure 3</w:t>
      </w:r>
      <w:r w:rsidRPr="00334ED6">
        <w:rPr>
          <w:rFonts w:cs="Calibri"/>
          <w:bCs/>
          <w:iCs/>
        </w:rPr>
        <w:fldChar w:fldCharType="end"/>
      </w:r>
      <w:r w:rsidRPr="00334ED6">
        <w:rPr>
          <w:rFonts w:cs="Calibri"/>
          <w:bCs/>
          <w:iCs/>
        </w:rPr>
        <w:t xml:space="preserve"> summarises the cumulative costs associated with the esketamine plus OAD base case (allowing retreatment and a proportion of patients to continue treatment beyond 12 months); the esketamine plus OAD July 2023 model scenario (with no retreatment and a limit of 12 months treatment) and the placebo plus OAD treatment arm, over the model time horizon.</w:t>
      </w:r>
    </w:p>
    <w:p w14:paraId="091C9E75" w14:textId="7865C7F6" w:rsidR="00D13C38" w:rsidRPr="00D26534" w:rsidRDefault="00D13C38" w:rsidP="00D13C38">
      <w:pPr>
        <w:pStyle w:val="COMTableheadingrow"/>
      </w:pPr>
      <w:bookmarkStart w:id="48" w:name="_Ref164427849"/>
      <w:r w:rsidRPr="00D26534">
        <w:lastRenderedPageBreak/>
        <w:t xml:space="preserve">Figure </w:t>
      </w:r>
      <w:r w:rsidRPr="00D26534">
        <w:fldChar w:fldCharType="begin" w:fldLock="1"/>
      </w:r>
      <w:r w:rsidRPr="00D26534">
        <w:instrText xml:space="preserve"> SEQ Figure \* ARABIC </w:instrText>
      </w:r>
      <w:r w:rsidRPr="00D26534">
        <w:fldChar w:fldCharType="separate"/>
      </w:r>
      <w:r w:rsidR="002B3C60">
        <w:rPr>
          <w:noProof/>
        </w:rPr>
        <w:t>3</w:t>
      </w:r>
      <w:r w:rsidRPr="00D26534">
        <w:rPr>
          <w:noProof/>
        </w:rPr>
        <w:fldChar w:fldCharType="end"/>
      </w:r>
      <w:bookmarkEnd w:id="48"/>
      <w:r w:rsidRPr="00D26534">
        <w:t xml:space="preserve">: Cumulative costs for esketamine plus OAD (base case and July 2023 model scenario) and placebo plus OAD </w:t>
      </w:r>
    </w:p>
    <w:p w14:paraId="29F7A068" w14:textId="77777777" w:rsidR="00D13C38" w:rsidRPr="00D26534" w:rsidRDefault="00D13C38" w:rsidP="00D13C38">
      <w:r w:rsidRPr="00D26534">
        <w:rPr>
          <w:noProof/>
        </w:rPr>
        <w:drawing>
          <wp:inline distT="0" distB="0" distL="0" distR="0" wp14:anchorId="1F2DE93F" wp14:editId="0B40F998">
            <wp:extent cx="5688330" cy="3755390"/>
            <wp:effectExtent l="0" t="0" r="7620" b="0"/>
            <wp:docPr id="337277416" name="Picture 3" descr="Figure 3: Cumulative costs for esketamine plus OAD (base case and July 2023 model scenario) and placebo plus 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77416" name="Picture 3" descr="Figure 3: Cumulative costs for esketamine plus OAD (base case and July 2023 model scenario) and placebo plus OA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8330" cy="3755390"/>
                    </a:xfrm>
                    <a:prstGeom prst="rect">
                      <a:avLst/>
                    </a:prstGeom>
                    <a:noFill/>
                  </pic:spPr>
                </pic:pic>
              </a:graphicData>
            </a:graphic>
          </wp:inline>
        </w:drawing>
      </w:r>
    </w:p>
    <w:p w14:paraId="1BD18E93" w14:textId="77777777" w:rsidR="00D13C38" w:rsidRPr="00D26534" w:rsidRDefault="00D13C38" w:rsidP="00D13C38">
      <w:pPr>
        <w:pStyle w:val="COMTablefooter"/>
      </w:pPr>
      <w:r w:rsidRPr="00D26534">
        <w:t>Source: Constructed during the evaluation using ‘Attachment 3.4 - Esketamine TRD CE Retreatment model’ spreadsheet</w:t>
      </w:r>
    </w:p>
    <w:p w14:paraId="505CFEE4" w14:textId="51575A3E" w:rsidR="00F24EC5" w:rsidRPr="00D26534" w:rsidRDefault="00D13C38" w:rsidP="00D13C38">
      <w:pPr>
        <w:pStyle w:val="COMTablefooter"/>
      </w:pPr>
      <w:r w:rsidRPr="00D26534">
        <w:t>Abbreviations: admin, administration; AE, adverse event; ESK, esketamine plus OAD; HCRU, health care resource use; 12m, 12 months; no retx, no retreatment; OAD, oral antidepressant; PBO, placebo plus OAD</w:t>
      </w:r>
    </w:p>
    <w:p w14:paraId="2920B2C6" w14:textId="77777777" w:rsidR="00EE726A" w:rsidRPr="00D26534" w:rsidRDefault="00EE726A" w:rsidP="00BF16FB">
      <w:pPr>
        <w:numPr>
          <w:ilvl w:val="1"/>
          <w:numId w:val="1"/>
        </w:numPr>
        <w:spacing w:after="120"/>
        <w:ind w:left="720" w:hanging="720"/>
      </w:pPr>
      <w:r w:rsidRPr="00D26534">
        <w:rPr>
          <w:rFonts w:asciiTheme="minorHAnsi" w:hAnsiTheme="minorHAnsi"/>
          <w:snapToGrid w:val="0"/>
        </w:rPr>
        <w:t>The base case esketamine plus OAD scenario, including retreatment and allowing a proportion of patients to continue treatment beyond the 12 month limit, results in an increase in drug, administration and adverse event costs and a reduction in health care resource use, compared with the esketamine plus OAD scenario based on the July 2023 submission (no retreatment and treatment limited to 12 months). Both esketamine plus OAD scenarios are associated with higher drug, administration and adverse event costs, but lower health care resource use costs compared to placebo plus OAD.</w:t>
      </w:r>
    </w:p>
    <w:p w14:paraId="6B4BF6DA" w14:textId="724020FC" w:rsidR="00D13C38" w:rsidRPr="00D26534" w:rsidRDefault="00EE726A" w:rsidP="00BF16FB">
      <w:pPr>
        <w:numPr>
          <w:ilvl w:val="1"/>
          <w:numId w:val="1"/>
        </w:numPr>
        <w:spacing w:after="120"/>
        <w:ind w:left="720" w:hanging="720"/>
      </w:pPr>
      <w:r w:rsidRPr="00D26534">
        <w:t xml:space="preserve">The results of the stepped economic evaluation from the July 2023 base case to the current model base case are summarised in </w:t>
      </w:r>
      <w:r w:rsidRPr="00D26534">
        <w:fldChar w:fldCharType="begin" w:fldLock="1"/>
      </w:r>
      <w:r w:rsidRPr="00D26534">
        <w:instrText xml:space="preserve"> REF _Ref104805160 \h  \* MERGEFORMAT </w:instrText>
      </w:r>
      <w:r w:rsidRPr="00D26534">
        <w:fldChar w:fldCharType="separate"/>
      </w:r>
      <w:r w:rsidR="002B3C60" w:rsidRPr="00D26534">
        <w:t xml:space="preserve">Table </w:t>
      </w:r>
      <w:r w:rsidR="002B3C60">
        <w:t>14</w:t>
      </w:r>
      <w:r w:rsidRPr="00D26534">
        <w:fldChar w:fldCharType="end"/>
      </w:r>
      <w:r w:rsidRPr="00D26534">
        <w:t xml:space="preserve"> below.</w:t>
      </w:r>
    </w:p>
    <w:p w14:paraId="36CF3FF1" w14:textId="679DE56C" w:rsidR="001E3840" w:rsidRPr="00D26534" w:rsidRDefault="001E3840" w:rsidP="001E3840">
      <w:pPr>
        <w:pStyle w:val="COMtablefigcaption"/>
      </w:pPr>
      <w:bookmarkStart w:id="49" w:name="_Ref104805160"/>
      <w:r w:rsidRPr="00D26534">
        <w:lastRenderedPageBreak/>
        <w:t xml:space="preserve">Table </w:t>
      </w:r>
      <w:r w:rsidR="004E64B8">
        <w:fldChar w:fldCharType="begin" w:fldLock="1"/>
      </w:r>
      <w:r w:rsidR="004E64B8">
        <w:instrText xml:space="preserve"> SEQ Table \* ARABIC </w:instrText>
      </w:r>
      <w:r w:rsidR="004E64B8">
        <w:fldChar w:fldCharType="separate"/>
      </w:r>
      <w:r w:rsidR="002B3C60">
        <w:rPr>
          <w:noProof/>
        </w:rPr>
        <w:t>14</w:t>
      </w:r>
      <w:r w:rsidR="004E64B8">
        <w:rPr>
          <w:noProof/>
        </w:rPr>
        <w:fldChar w:fldCharType="end"/>
      </w:r>
      <w:bookmarkEnd w:id="49"/>
      <w:r w:rsidRPr="00D26534">
        <w:t>: Results of the stepped economic evaluation from the July 2023 base case to the current model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Results of the stepped economic evaluation from the July 2023 base case to the current model base case"/>
      </w:tblPr>
      <w:tblGrid>
        <w:gridCol w:w="2755"/>
        <w:gridCol w:w="2087"/>
        <w:gridCol w:w="2088"/>
        <w:gridCol w:w="2087"/>
      </w:tblGrid>
      <w:tr w:rsidR="001E3840" w:rsidRPr="00D26534" w14:paraId="044ED600" w14:textId="77777777" w:rsidTr="385B995D">
        <w:trPr>
          <w:tblHeader/>
        </w:trPr>
        <w:tc>
          <w:tcPr>
            <w:tcW w:w="1528" w:type="pct"/>
            <w:vAlign w:val="center"/>
          </w:tcPr>
          <w:p w14:paraId="47D4D0F3" w14:textId="77777777" w:rsidR="001E3840" w:rsidRPr="00D26534" w:rsidRDefault="001E3840" w:rsidP="006813A2">
            <w:pPr>
              <w:pStyle w:val="COMTableheadingrow"/>
              <w:rPr>
                <w:lang w:val="en-AU"/>
              </w:rPr>
            </w:pPr>
            <w:r w:rsidRPr="00D26534">
              <w:rPr>
                <w:lang w:val="en-AU"/>
              </w:rPr>
              <w:t>Step and component</w:t>
            </w:r>
          </w:p>
        </w:tc>
        <w:tc>
          <w:tcPr>
            <w:tcW w:w="1157" w:type="pct"/>
            <w:vAlign w:val="center"/>
          </w:tcPr>
          <w:p w14:paraId="4A60D04B" w14:textId="77777777" w:rsidR="001E3840" w:rsidRPr="00D26534" w:rsidRDefault="001E3840" w:rsidP="006813A2">
            <w:pPr>
              <w:pStyle w:val="COMTableheadingrow"/>
              <w:jc w:val="center"/>
              <w:rPr>
                <w:lang w:val="en-AU"/>
              </w:rPr>
            </w:pPr>
            <w:r w:rsidRPr="00D26534">
              <w:rPr>
                <w:lang w:val="en-AU"/>
              </w:rPr>
              <w:t>Esketamine + OAD</w:t>
            </w:r>
          </w:p>
        </w:tc>
        <w:tc>
          <w:tcPr>
            <w:tcW w:w="1158" w:type="pct"/>
            <w:vAlign w:val="center"/>
          </w:tcPr>
          <w:p w14:paraId="7F23BB2A" w14:textId="77777777" w:rsidR="001E3840" w:rsidRPr="00D26534" w:rsidRDefault="001E3840" w:rsidP="006813A2">
            <w:pPr>
              <w:pStyle w:val="COMTableheadingrow"/>
              <w:jc w:val="center"/>
              <w:rPr>
                <w:lang w:val="en-AU"/>
              </w:rPr>
            </w:pPr>
            <w:r w:rsidRPr="00D26534">
              <w:rPr>
                <w:lang w:val="en-AU"/>
              </w:rPr>
              <w:t>Placebo + OAD</w:t>
            </w:r>
          </w:p>
        </w:tc>
        <w:tc>
          <w:tcPr>
            <w:tcW w:w="1157" w:type="pct"/>
            <w:vAlign w:val="center"/>
          </w:tcPr>
          <w:p w14:paraId="18D02602" w14:textId="77777777" w:rsidR="001E3840" w:rsidRPr="00D26534" w:rsidRDefault="001E3840" w:rsidP="006813A2">
            <w:pPr>
              <w:pStyle w:val="COMTableheadingrow"/>
              <w:jc w:val="center"/>
              <w:rPr>
                <w:lang w:val="en-AU"/>
              </w:rPr>
            </w:pPr>
            <w:r w:rsidRPr="00D26534">
              <w:rPr>
                <w:lang w:val="en-AU"/>
              </w:rPr>
              <w:t>Increment</w:t>
            </w:r>
          </w:p>
        </w:tc>
      </w:tr>
      <w:tr w:rsidR="001E3840" w:rsidRPr="00D26534" w14:paraId="0F57DC56" w14:textId="77777777" w:rsidTr="385B995D">
        <w:tc>
          <w:tcPr>
            <w:tcW w:w="5000" w:type="pct"/>
            <w:gridSpan w:val="4"/>
            <w:vAlign w:val="center"/>
          </w:tcPr>
          <w:p w14:paraId="5F74651C" w14:textId="77777777" w:rsidR="001E3840" w:rsidRPr="00D26534" w:rsidRDefault="001E3840" w:rsidP="006813A2">
            <w:pPr>
              <w:pStyle w:val="COMTabletext"/>
              <w:rPr>
                <w:b/>
                <w:bCs w:val="0"/>
              </w:rPr>
            </w:pPr>
            <w:r w:rsidRPr="00D26534">
              <w:rPr>
                <w:b/>
                <w:bCs w:val="0"/>
              </w:rPr>
              <w:t>Step 0: July 2023 base case</w:t>
            </w:r>
          </w:p>
        </w:tc>
      </w:tr>
      <w:tr w:rsidR="001E3840" w:rsidRPr="00D26534" w14:paraId="726763BF" w14:textId="77777777" w:rsidTr="385B995D">
        <w:tc>
          <w:tcPr>
            <w:tcW w:w="1528" w:type="pct"/>
            <w:vAlign w:val="center"/>
          </w:tcPr>
          <w:p w14:paraId="38AC77B4" w14:textId="77777777" w:rsidR="001E3840" w:rsidRPr="00D26534" w:rsidRDefault="001E3840" w:rsidP="006813A2">
            <w:pPr>
              <w:pStyle w:val="COMTabletext"/>
              <w:rPr>
                <w:rFonts w:ascii="Times" w:hAnsi="Times"/>
              </w:rPr>
            </w:pPr>
            <w:r w:rsidRPr="00D26534">
              <w:t>Costs</w:t>
            </w:r>
          </w:p>
        </w:tc>
        <w:tc>
          <w:tcPr>
            <w:tcW w:w="1157" w:type="pct"/>
            <w:vAlign w:val="center"/>
          </w:tcPr>
          <w:p w14:paraId="4B791187" w14:textId="518A5CCD" w:rsidR="001E3840" w:rsidRPr="00D26534" w:rsidRDefault="001E3840" w:rsidP="006813A2">
            <w:pPr>
              <w:pStyle w:val="COMTabletext"/>
              <w:jc w:val="center"/>
              <w:rPr>
                <w:rFonts w:ascii="Times" w:hAnsi="Times"/>
              </w:rPr>
            </w:pPr>
            <w:r w:rsidRPr="00D26534">
              <w:rPr>
                <w:rStyle w:val="normaltextrun"/>
                <w:rFonts w:cs="Arial"/>
                <w:szCs w:val="20"/>
              </w:rPr>
              <w:t>$</w:t>
            </w:r>
            <w:r w:rsidR="00683384" w:rsidRPr="00683384">
              <w:rPr>
                <w:rStyle w:val="normaltextrun"/>
                <w:rFonts w:cs="Arial"/>
                <w:color w:val="000000"/>
                <w:szCs w:val="20"/>
                <w:shd w:val="solid" w:color="000000" w:fill="000000"/>
                <w14:textFill>
                  <w14:solidFill>
                    <w14:srgbClr w14:val="000000">
                      <w14:alpha w14:val="100000"/>
                    </w14:srgbClr>
                  </w14:solidFill>
                </w14:textFill>
              </w:rPr>
              <w:t>|</w:t>
            </w:r>
            <w:r w:rsidRPr="00D26534">
              <w:rPr>
                <w:rStyle w:val="eop"/>
                <w:rFonts w:ascii="Arial" w:hAnsi="Arial" w:cs="Arial"/>
                <w:szCs w:val="20"/>
              </w:rPr>
              <w:t> </w:t>
            </w:r>
          </w:p>
        </w:tc>
        <w:tc>
          <w:tcPr>
            <w:tcW w:w="1158" w:type="pct"/>
            <w:vAlign w:val="center"/>
          </w:tcPr>
          <w:p w14:paraId="7EA23969" w14:textId="77777777" w:rsidR="001E3840" w:rsidRPr="00D26534" w:rsidRDefault="001E3840" w:rsidP="006813A2">
            <w:pPr>
              <w:pStyle w:val="COMTabletext"/>
              <w:jc w:val="center"/>
              <w:rPr>
                <w:rFonts w:ascii="Times" w:hAnsi="Times"/>
              </w:rPr>
            </w:pPr>
            <w:r w:rsidRPr="00D26534">
              <w:rPr>
                <w:rStyle w:val="normaltextrun"/>
                <w:rFonts w:cs="Arial"/>
                <w:szCs w:val="20"/>
              </w:rPr>
              <w:t>$100,328</w:t>
            </w:r>
            <w:r w:rsidRPr="00D26534">
              <w:rPr>
                <w:rStyle w:val="eop"/>
                <w:rFonts w:ascii="Arial" w:hAnsi="Arial" w:cs="Arial"/>
                <w:szCs w:val="20"/>
              </w:rPr>
              <w:t> </w:t>
            </w:r>
          </w:p>
        </w:tc>
        <w:tc>
          <w:tcPr>
            <w:tcW w:w="1157" w:type="pct"/>
            <w:vAlign w:val="center"/>
          </w:tcPr>
          <w:p w14:paraId="30817B63" w14:textId="62136A39" w:rsidR="001E3840" w:rsidRPr="00D26534" w:rsidRDefault="001E3840" w:rsidP="006813A2">
            <w:pPr>
              <w:pStyle w:val="COMTabletext"/>
              <w:jc w:val="center"/>
              <w:rPr>
                <w:rFonts w:ascii="Times" w:hAnsi="Times"/>
              </w:rPr>
            </w:pPr>
            <w:r w:rsidRPr="00D26534">
              <w:rPr>
                <w:rStyle w:val="normaltextrun"/>
                <w:rFonts w:cs="Arial"/>
                <w:szCs w:val="20"/>
              </w:rPr>
              <w:t>$</w:t>
            </w:r>
            <w:r w:rsidR="00683384" w:rsidRPr="00683384">
              <w:rPr>
                <w:rStyle w:val="normaltextrun"/>
                <w:rFonts w:cs="Arial"/>
                <w:color w:val="000000"/>
                <w:szCs w:val="20"/>
                <w:shd w:val="solid" w:color="000000" w:fill="000000"/>
                <w14:textFill>
                  <w14:solidFill>
                    <w14:srgbClr w14:val="000000">
                      <w14:alpha w14:val="100000"/>
                    </w14:srgbClr>
                  </w14:solidFill>
                </w14:textFill>
              </w:rPr>
              <w:t>|</w:t>
            </w:r>
            <w:r w:rsidRPr="00D26534">
              <w:rPr>
                <w:rStyle w:val="eop"/>
                <w:rFonts w:ascii="Arial" w:hAnsi="Arial" w:cs="Arial"/>
                <w:szCs w:val="20"/>
              </w:rPr>
              <w:t> </w:t>
            </w:r>
          </w:p>
        </w:tc>
      </w:tr>
      <w:tr w:rsidR="001E3840" w:rsidRPr="00D26534" w14:paraId="190F419E" w14:textId="77777777" w:rsidTr="385B995D">
        <w:tc>
          <w:tcPr>
            <w:tcW w:w="1528" w:type="pct"/>
            <w:vAlign w:val="center"/>
          </w:tcPr>
          <w:p w14:paraId="036A8DFA" w14:textId="77777777" w:rsidR="001E3840" w:rsidRPr="00D26534" w:rsidRDefault="001E3840" w:rsidP="006813A2">
            <w:pPr>
              <w:pStyle w:val="COMTabletext"/>
              <w:rPr>
                <w:rFonts w:ascii="Times" w:hAnsi="Times"/>
              </w:rPr>
            </w:pPr>
            <w:r w:rsidRPr="00D26534">
              <w:t>QALYs</w:t>
            </w:r>
          </w:p>
        </w:tc>
        <w:tc>
          <w:tcPr>
            <w:tcW w:w="1157" w:type="pct"/>
            <w:vAlign w:val="center"/>
          </w:tcPr>
          <w:p w14:paraId="29D55F67" w14:textId="77777777" w:rsidR="001E3840" w:rsidRPr="00D26534" w:rsidRDefault="001E3840" w:rsidP="006813A2">
            <w:pPr>
              <w:pStyle w:val="COMTabletext"/>
              <w:jc w:val="center"/>
              <w:rPr>
                <w:rFonts w:ascii="Times" w:hAnsi="Times"/>
              </w:rPr>
            </w:pPr>
            <w:r w:rsidRPr="00D26534">
              <w:rPr>
                <w:rStyle w:val="normaltextrun"/>
                <w:rFonts w:cs="Arial"/>
                <w:szCs w:val="20"/>
              </w:rPr>
              <w:t>2.7323</w:t>
            </w:r>
          </w:p>
        </w:tc>
        <w:tc>
          <w:tcPr>
            <w:tcW w:w="1158" w:type="pct"/>
            <w:vAlign w:val="center"/>
          </w:tcPr>
          <w:p w14:paraId="79B9B301" w14:textId="77777777" w:rsidR="001E3840" w:rsidRPr="00D26534" w:rsidRDefault="001E3840" w:rsidP="006813A2">
            <w:pPr>
              <w:pStyle w:val="COMTabletext"/>
              <w:jc w:val="center"/>
              <w:rPr>
                <w:rFonts w:ascii="Times" w:hAnsi="Times"/>
              </w:rPr>
            </w:pPr>
            <w:r w:rsidRPr="00D26534">
              <w:rPr>
                <w:rStyle w:val="normaltextrun"/>
                <w:rFonts w:cs="Arial"/>
                <w:szCs w:val="20"/>
              </w:rPr>
              <w:t>2.5916</w:t>
            </w:r>
          </w:p>
        </w:tc>
        <w:tc>
          <w:tcPr>
            <w:tcW w:w="1157" w:type="pct"/>
            <w:vAlign w:val="center"/>
          </w:tcPr>
          <w:p w14:paraId="64151D3B" w14:textId="77777777" w:rsidR="001E3840" w:rsidRPr="00D26534" w:rsidRDefault="001E3840" w:rsidP="006813A2">
            <w:pPr>
              <w:pStyle w:val="COMTabletext"/>
              <w:jc w:val="center"/>
            </w:pPr>
            <w:r w:rsidRPr="00D26534">
              <w:rPr>
                <w:rStyle w:val="normaltextrun"/>
                <w:rFonts w:cs="Arial"/>
                <w:szCs w:val="20"/>
              </w:rPr>
              <w:t>0.1407</w:t>
            </w:r>
          </w:p>
        </w:tc>
      </w:tr>
      <w:tr w:rsidR="001E3840" w:rsidRPr="00D26534" w14:paraId="4BE8C2EA" w14:textId="77777777" w:rsidTr="385B995D">
        <w:tc>
          <w:tcPr>
            <w:tcW w:w="3843" w:type="pct"/>
            <w:gridSpan w:val="3"/>
            <w:vAlign w:val="center"/>
          </w:tcPr>
          <w:p w14:paraId="7955146D" w14:textId="77777777" w:rsidR="001E3840" w:rsidRPr="00D26534" w:rsidRDefault="001E3840" w:rsidP="006813A2">
            <w:pPr>
              <w:pStyle w:val="COMTabletext"/>
              <w:rPr>
                <w:rFonts w:ascii="Times" w:hAnsi="Times"/>
                <w:b/>
                <w:bCs w:val="0"/>
              </w:rPr>
            </w:pPr>
            <w:r w:rsidRPr="00D26534">
              <w:rPr>
                <w:b/>
                <w:bCs w:val="0"/>
              </w:rPr>
              <w:t>Incremental cost/QALY gained</w:t>
            </w:r>
          </w:p>
        </w:tc>
        <w:tc>
          <w:tcPr>
            <w:tcW w:w="1157" w:type="pct"/>
            <w:vAlign w:val="center"/>
          </w:tcPr>
          <w:p w14:paraId="4FFD851E" w14:textId="34EBA7B5" w:rsidR="001E3840" w:rsidRPr="00D26534" w:rsidRDefault="001E3840" w:rsidP="006813A2">
            <w:pPr>
              <w:pStyle w:val="COMTabletext"/>
              <w:jc w:val="center"/>
              <w:rPr>
                <w:rFonts w:ascii="Times" w:hAnsi="Times"/>
              </w:rPr>
            </w:pPr>
            <w:r w:rsidRPr="00D26534">
              <w:rPr>
                <w:rFonts w:cs="Calibri"/>
                <w:b/>
                <w:szCs w:val="20"/>
              </w:rPr>
              <w:t>$</w:t>
            </w:r>
            <w:r w:rsidR="00683384" w:rsidRPr="00683384">
              <w:rPr>
                <w:rFonts w:cs="Calibri"/>
                <w:b/>
                <w:color w:val="000000"/>
                <w:szCs w:val="20"/>
                <w:shd w:val="solid" w:color="000000" w:fill="000000"/>
                <w14:textFill>
                  <w14:solidFill>
                    <w14:srgbClr w14:val="000000">
                      <w14:alpha w14:val="100000"/>
                    </w14:srgbClr>
                  </w14:solidFill>
                </w14:textFill>
              </w:rPr>
              <w:t>|</w:t>
            </w:r>
            <w:r w:rsidR="00791F62" w:rsidRPr="008D2AC7">
              <w:rPr>
                <w:rFonts w:cs="Calibri"/>
                <w:b/>
                <w:szCs w:val="20"/>
                <w:vertAlign w:val="superscript"/>
              </w:rPr>
              <w:t>1</w:t>
            </w:r>
          </w:p>
        </w:tc>
      </w:tr>
      <w:tr w:rsidR="001E3840" w:rsidRPr="00D26534" w14:paraId="46405688" w14:textId="77777777" w:rsidTr="385B995D">
        <w:tc>
          <w:tcPr>
            <w:tcW w:w="5000" w:type="pct"/>
            <w:gridSpan w:val="4"/>
            <w:vAlign w:val="center"/>
          </w:tcPr>
          <w:p w14:paraId="3B8A5DE1" w14:textId="77777777" w:rsidR="001E3840" w:rsidRPr="00D26534" w:rsidRDefault="001E3840" w:rsidP="006813A2">
            <w:pPr>
              <w:pStyle w:val="COMTableheadingrow"/>
              <w:rPr>
                <w:lang w:val="en-AU"/>
              </w:rPr>
            </w:pPr>
            <w:r w:rsidRPr="00D26534">
              <w:rPr>
                <w:lang w:val="en-AU"/>
              </w:rPr>
              <w:t xml:space="preserve">Step 1: </w:t>
            </w:r>
            <w:r w:rsidRPr="00D26534">
              <w:t>Correcting the number of cycles of esketamine treatment (previously 14 cycles) to 13 cycles; 5% annual discount rate applied as an annual rate rather than a per (4-week) cycle rate</w:t>
            </w:r>
          </w:p>
        </w:tc>
      </w:tr>
      <w:tr w:rsidR="001E3840" w:rsidRPr="00D26534" w14:paraId="087A6314" w14:textId="77777777" w:rsidTr="385B995D">
        <w:tc>
          <w:tcPr>
            <w:tcW w:w="1528" w:type="pct"/>
            <w:vAlign w:val="center"/>
          </w:tcPr>
          <w:p w14:paraId="2D44786C" w14:textId="77777777" w:rsidR="001E3840" w:rsidRPr="00D26534" w:rsidRDefault="001E3840" w:rsidP="006813A2">
            <w:pPr>
              <w:pStyle w:val="COMTabletext"/>
              <w:rPr>
                <w:rFonts w:ascii="Times" w:hAnsi="Times"/>
              </w:rPr>
            </w:pPr>
            <w:r w:rsidRPr="00D26534">
              <w:t>Costs</w:t>
            </w:r>
          </w:p>
        </w:tc>
        <w:tc>
          <w:tcPr>
            <w:tcW w:w="1157" w:type="pct"/>
            <w:vAlign w:val="center"/>
          </w:tcPr>
          <w:p w14:paraId="36CC98FB" w14:textId="222E41E0" w:rsidR="001E3840" w:rsidRPr="00D26534" w:rsidRDefault="001E3840" w:rsidP="006813A2">
            <w:pPr>
              <w:pStyle w:val="COMTabletext"/>
              <w:jc w:val="center"/>
              <w:rPr>
                <w:rFonts w:ascii="Times" w:hAnsi="Times"/>
              </w:rPr>
            </w:pPr>
            <w:r w:rsidRPr="00D26534">
              <w:t>$</w:t>
            </w:r>
            <w:r w:rsidR="00683384" w:rsidRPr="00683384">
              <w:rPr>
                <w:color w:val="000000"/>
                <w:shd w:val="solid" w:color="000000" w:fill="000000"/>
                <w14:textFill>
                  <w14:solidFill>
                    <w14:srgbClr w14:val="000000">
                      <w14:alpha w14:val="100000"/>
                    </w14:srgbClr>
                  </w14:solidFill>
                </w14:textFill>
              </w:rPr>
              <w:t>|</w:t>
            </w:r>
            <w:r w:rsidRPr="00D26534">
              <w:t>8</w:t>
            </w:r>
          </w:p>
        </w:tc>
        <w:tc>
          <w:tcPr>
            <w:tcW w:w="1158" w:type="pct"/>
            <w:vAlign w:val="center"/>
          </w:tcPr>
          <w:p w14:paraId="6215B58A" w14:textId="77777777" w:rsidR="001E3840" w:rsidRPr="00D26534" w:rsidRDefault="001E3840" w:rsidP="006813A2">
            <w:pPr>
              <w:pStyle w:val="COMTabletext"/>
              <w:jc w:val="center"/>
              <w:rPr>
                <w:rFonts w:ascii="Times" w:hAnsi="Times"/>
              </w:rPr>
            </w:pPr>
            <w:r w:rsidRPr="00D26534">
              <w:t>$102,940</w:t>
            </w:r>
          </w:p>
        </w:tc>
        <w:tc>
          <w:tcPr>
            <w:tcW w:w="1157" w:type="pct"/>
            <w:vAlign w:val="center"/>
          </w:tcPr>
          <w:p w14:paraId="75E25F99" w14:textId="49A945C5" w:rsidR="001E3840" w:rsidRPr="00D26534" w:rsidRDefault="001E3840" w:rsidP="006813A2">
            <w:pPr>
              <w:pStyle w:val="COMTabletext"/>
              <w:jc w:val="center"/>
              <w:rPr>
                <w:rFonts w:ascii="Times" w:hAnsi="Times"/>
              </w:rPr>
            </w:pPr>
            <w:r w:rsidRPr="00D26534">
              <w:t>$</w:t>
            </w:r>
            <w:r w:rsidR="00683384" w:rsidRPr="00683384">
              <w:rPr>
                <w:color w:val="000000"/>
                <w:shd w:val="solid" w:color="000000" w:fill="000000"/>
                <w14:textFill>
                  <w14:solidFill>
                    <w14:srgbClr w14:val="000000">
                      <w14:alpha w14:val="100000"/>
                    </w14:srgbClr>
                  </w14:solidFill>
                </w14:textFill>
              </w:rPr>
              <w:t>|</w:t>
            </w:r>
          </w:p>
        </w:tc>
      </w:tr>
      <w:tr w:rsidR="001E3840" w:rsidRPr="00D26534" w14:paraId="120E2736" w14:textId="77777777" w:rsidTr="385B995D">
        <w:tc>
          <w:tcPr>
            <w:tcW w:w="1528" w:type="pct"/>
            <w:vAlign w:val="center"/>
          </w:tcPr>
          <w:p w14:paraId="5A37985B" w14:textId="77777777" w:rsidR="001E3840" w:rsidRPr="00D26534" w:rsidRDefault="001E3840" w:rsidP="006813A2">
            <w:pPr>
              <w:pStyle w:val="COMTabletext"/>
              <w:rPr>
                <w:rFonts w:ascii="Times" w:hAnsi="Times"/>
              </w:rPr>
            </w:pPr>
            <w:r w:rsidRPr="00D26534">
              <w:t>QALYs</w:t>
            </w:r>
          </w:p>
        </w:tc>
        <w:tc>
          <w:tcPr>
            <w:tcW w:w="1157" w:type="pct"/>
            <w:vAlign w:val="center"/>
          </w:tcPr>
          <w:p w14:paraId="21DCCDB3" w14:textId="77777777" w:rsidR="001E3840" w:rsidRPr="00D26534" w:rsidRDefault="001E3840" w:rsidP="006813A2">
            <w:pPr>
              <w:pStyle w:val="COMTabletext"/>
              <w:jc w:val="center"/>
            </w:pPr>
            <w:r w:rsidRPr="00D26534">
              <w:t>2.8016</w:t>
            </w:r>
          </w:p>
        </w:tc>
        <w:tc>
          <w:tcPr>
            <w:tcW w:w="1158" w:type="pct"/>
            <w:vAlign w:val="center"/>
          </w:tcPr>
          <w:p w14:paraId="2ECC226C" w14:textId="77777777" w:rsidR="001E3840" w:rsidRPr="00D26534" w:rsidRDefault="001E3840" w:rsidP="006813A2">
            <w:pPr>
              <w:pStyle w:val="COMTabletext"/>
              <w:jc w:val="center"/>
            </w:pPr>
            <w:r w:rsidRPr="00D26534">
              <w:t>2.6593</w:t>
            </w:r>
          </w:p>
        </w:tc>
        <w:tc>
          <w:tcPr>
            <w:tcW w:w="1157" w:type="pct"/>
            <w:vAlign w:val="center"/>
          </w:tcPr>
          <w:p w14:paraId="68514D44" w14:textId="77777777" w:rsidR="001E3840" w:rsidRPr="00D26534" w:rsidRDefault="001E3840" w:rsidP="006813A2">
            <w:pPr>
              <w:pStyle w:val="COMTabletext"/>
              <w:jc w:val="center"/>
            </w:pPr>
            <w:r w:rsidRPr="00D26534">
              <w:t>0.1423</w:t>
            </w:r>
          </w:p>
        </w:tc>
      </w:tr>
      <w:tr w:rsidR="001E3840" w:rsidRPr="00D26534" w14:paraId="34AE05D5" w14:textId="77777777" w:rsidTr="385B995D">
        <w:tc>
          <w:tcPr>
            <w:tcW w:w="3843" w:type="pct"/>
            <w:gridSpan w:val="3"/>
            <w:vAlign w:val="center"/>
          </w:tcPr>
          <w:p w14:paraId="4402FF9C" w14:textId="77777777" w:rsidR="001E3840" w:rsidRPr="00D26534" w:rsidRDefault="001E3840" w:rsidP="006813A2">
            <w:pPr>
              <w:pStyle w:val="COMTabletext"/>
              <w:rPr>
                <w:rFonts w:ascii="Times" w:hAnsi="Times"/>
                <w:b/>
                <w:bCs w:val="0"/>
              </w:rPr>
            </w:pPr>
            <w:r w:rsidRPr="00D26534">
              <w:rPr>
                <w:b/>
                <w:bCs w:val="0"/>
              </w:rPr>
              <w:t>Incremental cost/QALY gained</w:t>
            </w:r>
          </w:p>
        </w:tc>
        <w:tc>
          <w:tcPr>
            <w:tcW w:w="1157" w:type="pct"/>
            <w:vAlign w:val="center"/>
          </w:tcPr>
          <w:p w14:paraId="4214D7F7" w14:textId="3C24A558" w:rsidR="001E3840" w:rsidRPr="00D26534" w:rsidRDefault="001E3840" w:rsidP="006813A2">
            <w:pPr>
              <w:pStyle w:val="COMTabletext"/>
              <w:jc w:val="center"/>
              <w:rPr>
                <w:rFonts w:ascii="Times" w:hAnsi="Times"/>
                <w:b/>
                <w:bCs w:val="0"/>
              </w:rPr>
            </w:pPr>
            <w:r w:rsidRPr="00D26534">
              <w:rPr>
                <w:b/>
                <w:bCs w:val="0"/>
              </w:rPr>
              <w:t>$</w:t>
            </w:r>
            <w:r w:rsidR="00683384" w:rsidRPr="00683384">
              <w:rPr>
                <w:b/>
                <w:bCs w:val="0"/>
                <w:color w:val="000000"/>
                <w:shd w:val="solid" w:color="000000" w:fill="000000"/>
                <w14:textFill>
                  <w14:solidFill>
                    <w14:srgbClr w14:val="000000">
                      <w14:alpha w14:val="100000"/>
                    </w14:srgbClr>
                  </w14:solidFill>
                </w14:textFill>
              </w:rPr>
              <w:t>|</w:t>
            </w:r>
            <w:r w:rsidR="00B963A9" w:rsidRPr="008D2AC7">
              <w:rPr>
                <w:b/>
                <w:bCs w:val="0"/>
                <w:vertAlign w:val="superscript"/>
              </w:rPr>
              <w:t>2</w:t>
            </w:r>
          </w:p>
        </w:tc>
      </w:tr>
      <w:tr w:rsidR="001E3840" w:rsidRPr="00D26534" w14:paraId="308DB828" w14:textId="77777777" w:rsidTr="385B995D">
        <w:tc>
          <w:tcPr>
            <w:tcW w:w="5000" w:type="pct"/>
            <w:gridSpan w:val="4"/>
            <w:vAlign w:val="center"/>
          </w:tcPr>
          <w:p w14:paraId="132293D3" w14:textId="77777777" w:rsidR="001E3840" w:rsidRPr="00D26534" w:rsidRDefault="001E3840" w:rsidP="006813A2">
            <w:pPr>
              <w:pStyle w:val="COMTableheadingrow"/>
              <w:rPr>
                <w:lang w:val="en-AU"/>
              </w:rPr>
            </w:pPr>
            <w:r w:rsidRPr="00D26534">
              <w:rPr>
                <w:lang w:val="en-AU"/>
              </w:rPr>
              <w:t>Step 2: Unit costs updated to the most recent MBS/PBS Schedules and NHCDC data; market share data used to calculate weighted average drug costs updated; ABS life tables updated from 2019-2021 to 2020-2022 data</w:t>
            </w:r>
          </w:p>
        </w:tc>
      </w:tr>
      <w:tr w:rsidR="001E3840" w:rsidRPr="00D26534" w14:paraId="6CC12EEB" w14:textId="77777777" w:rsidTr="385B995D">
        <w:tc>
          <w:tcPr>
            <w:tcW w:w="1528" w:type="pct"/>
            <w:vAlign w:val="center"/>
          </w:tcPr>
          <w:p w14:paraId="47DE9A57" w14:textId="77777777" w:rsidR="001E3840" w:rsidRPr="00D26534" w:rsidRDefault="001E3840" w:rsidP="006813A2">
            <w:pPr>
              <w:pStyle w:val="COMTabletext"/>
              <w:rPr>
                <w:rFonts w:ascii="Times" w:hAnsi="Times"/>
              </w:rPr>
            </w:pPr>
            <w:r w:rsidRPr="00D26534">
              <w:t>Costs</w:t>
            </w:r>
          </w:p>
        </w:tc>
        <w:tc>
          <w:tcPr>
            <w:tcW w:w="1157" w:type="pct"/>
            <w:vAlign w:val="center"/>
          </w:tcPr>
          <w:p w14:paraId="41D3E435" w14:textId="025FCD68" w:rsidR="001E3840" w:rsidRPr="00D26534" w:rsidRDefault="001E3840" w:rsidP="006813A2">
            <w:pPr>
              <w:pStyle w:val="COMTabletext"/>
              <w:jc w:val="center"/>
              <w:rPr>
                <w:rFonts w:ascii="Times" w:hAnsi="Times"/>
              </w:rPr>
            </w:pPr>
            <w:r w:rsidRPr="00D26534">
              <w:t>$</w:t>
            </w:r>
            <w:r w:rsidR="00683384" w:rsidRPr="00683384">
              <w:rPr>
                <w:color w:val="000000"/>
                <w:shd w:val="solid" w:color="000000" w:fill="000000"/>
                <w14:textFill>
                  <w14:solidFill>
                    <w14:srgbClr w14:val="000000">
                      <w14:alpha w14:val="100000"/>
                    </w14:srgbClr>
                  </w14:solidFill>
                </w14:textFill>
              </w:rPr>
              <w:t>|</w:t>
            </w:r>
          </w:p>
        </w:tc>
        <w:tc>
          <w:tcPr>
            <w:tcW w:w="1158" w:type="pct"/>
            <w:vAlign w:val="center"/>
          </w:tcPr>
          <w:p w14:paraId="78E68E9B" w14:textId="77777777" w:rsidR="001E3840" w:rsidRPr="00D26534" w:rsidRDefault="001E3840" w:rsidP="006813A2">
            <w:pPr>
              <w:pStyle w:val="COMTabletext"/>
              <w:jc w:val="center"/>
              <w:rPr>
                <w:rFonts w:ascii="Times" w:hAnsi="Times"/>
              </w:rPr>
            </w:pPr>
            <w:r w:rsidRPr="00D26534">
              <w:t>$100,260</w:t>
            </w:r>
          </w:p>
        </w:tc>
        <w:tc>
          <w:tcPr>
            <w:tcW w:w="1157" w:type="pct"/>
            <w:vAlign w:val="center"/>
          </w:tcPr>
          <w:p w14:paraId="3FF9C9D8" w14:textId="00A8FE1A" w:rsidR="001E3840" w:rsidRPr="00D26534" w:rsidRDefault="001E3840" w:rsidP="006813A2">
            <w:pPr>
              <w:pStyle w:val="COMTabletext"/>
              <w:jc w:val="center"/>
              <w:rPr>
                <w:rFonts w:ascii="Times" w:hAnsi="Times"/>
              </w:rPr>
            </w:pPr>
            <w:r w:rsidRPr="00D26534">
              <w:t>$</w:t>
            </w:r>
            <w:r w:rsidR="00683384" w:rsidRPr="00683384">
              <w:rPr>
                <w:color w:val="000000"/>
                <w:shd w:val="solid" w:color="000000" w:fill="000000"/>
                <w14:textFill>
                  <w14:solidFill>
                    <w14:srgbClr w14:val="000000">
                      <w14:alpha w14:val="100000"/>
                    </w14:srgbClr>
                  </w14:solidFill>
                </w14:textFill>
              </w:rPr>
              <w:t>|</w:t>
            </w:r>
          </w:p>
        </w:tc>
      </w:tr>
      <w:tr w:rsidR="001E3840" w:rsidRPr="00D26534" w14:paraId="69E5ED40" w14:textId="77777777" w:rsidTr="385B995D">
        <w:tc>
          <w:tcPr>
            <w:tcW w:w="1528" w:type="pct"/>
            <w:vAlign w:val="center"/>
          </w:tcPr>
          <w:p w14:paraId="4A31EA34" w14:textId="77777777" w:rsidR="001E3840" w:rsidRPr="00D26534" w:rsidRDefault="001E3840" w:rsidP="006813A2">
            <w:pPr>
              <w:pStyle w:val="COMTabletext"/>
              <w:rPr>
                <w:rFonts w:ascii="Times" w:hAnsi="Times"/>
              </w:rPr>
            </w:pPr>
            <w:r w:rsidRPr="00D26534">
              <w:t>QALYs</w:t>
            </w:r>
          </w:p>
        </w:tc>
        <w:tc>
          <w:tcPr>
            <w:tcW w:w="1157" w:type="pct"/>
            <w:vAlign w:val="center"/>
          </w:tcPr>
          <w:p w14:paraId="77F2980A" w14:textId="77777777" w:rsidR="001E3840" w:rsidRPr="00D26534" w:rsidRDefault="001E3840" w:rsidP="006813A2">
            <w:pPr>
              <w:pStyle w:val="COMTabletext"/>
              <w:jc w:val="center"/>
            </w:pPr>
            <w:r w:rsidRPr="00D26534">
              <w:t>2.8014</w:t>
            </w:r>
          </w:p>
        </w:tc>
        <w:tc>
          <w:tcPr>
            <w:tcW w:w="1158" w:type="pct"/>
            <w:vAlign w:val="center"/>
          </w:tcPr>
          <w:p w14:paraId="30BFBEF4" w14:textId="77777777" w:rsidR="001E3840" w:rsidRPr="00D26534" w:rsidRDefault="001E3840" w:rsidP="006813A2">
            <w:pPr>
              <w:pStyle w:val="COMTabletext"/>
              <w:jc w:val="center"/>
            </w:pPr>
            <w:r w:rsidRPr="00D26534">
              <w:t>2.6591</w:t>
            </w:r>
          </w:p>
        </w:tc>
        <w:tc>
          <w:tcPr>
            <w:tcW w:w="1157" w:type="pct"/>
            <w:vAlign w:val="center"/>
          </w:tcPr>
          <w:p w14:paraId="470D7247" w14:textId="77777777" w:rsidR="001E3840" w:rsidRPr="00D26534" w:rsidRDefault="001E3840" w:rsidP="006813A2">
            <w:pPr>
              <w:pStyle w:val="COMTabletext"/>
              <w:jc w:val="center"/>
            </w:pPr>
            <w:r w:rsidRPr="00D26534">
              <w:t>0.1423</w:t>
            </w:r>
          </w:p>
        </w:tc>
      </w:tr>
      <w:tr w:rsidR="001E3840" w:rsidRPr="00D26534" w14:paraId="7E82D0F8" w14:textId="77777777" w:rsidTr="385B995D">
        <w:tc>
          <w:tcPr>
            <w:tcW w:w="3843" w:type="pct"/>
            <w:gridSpan w:val="3"/>
            <w:vAlign w:val="center"/>
          </w:tcPr>
          <w:p w14:paraId="34CB99D3" w14:textId="77777777" w:rsidR="001E3840" w:rsidRPr="00D26534" w:rsidRDefault="001E3840" w:rsidP="006813A2">
            <w:pPr>
              <w:pStyle w:val="COMTabletext"/>
              <w:rPr>
                <w:b/>
                <w:bCs w:val="0"/>
              </w:rPr>
            </w:pPr>
            <w:r w:rsidRPr="00D26534">
              <w:rPr>
                <w:b/>
                <w:bCs w:val="0"/>
              </w:rPr>
              <w:t>Incremental cost/QALY gained</w:t>
            </w:r>
          </w:p>
        </w:tc>
        <w:tc>
          <w:tcPr>
            <w:tcW w:w="1157" w:type="pct"/>
          </w:tcPr>
          <w:p w14:paraId="01D90ADF" w14:textId="5E80BD94" w:rsidR="001E3840" w:rsidRPr="00D26534" w:rsidRDefault="001E3840" w:rsidP="006813A2">
            <w:pPr>
              <w:pStyle w:val="COMTabletext"/>
              <w:jc w:val="center"/>
              <w:rPr>
                <w:b/>
                <w:bCs w:val="0"/>
              </w:rPr>
            </w:pPr>
            <w:r w:rsidRPr="00D26534">
              <w:rPr>
                <w:b/>
                <w:bCs w:val="0"/>
              </w:rPr>
              <w:t>$</w:t>
            </w:r>
            <w:r w:rsidR="00683384" w:rsidRPr="00683384">
              <w:rPr>
                <w:b/>
                <w:bCs w:val="0"/>
                <w:color w:val="000000"/>
                <w:shd w:val="solid" w:color="000000" w:fill="000000"/>
                <w14:textFill>
                  <w14:solidFill>
                    <w14:srgbClr w14:val="000000">
                      <w14:alpha w14:val="100000"/>
                    </w14:srgbClr>
                  </w14:solidFill>
                </w14:textFill>
              </w:rPr>
              <w:t>|</w:t>
            </w:r>
            <w:r w:rsidR="00913691" w:rsidRPr="00687558">
              <w:rPr>
                <w:rFonts w:cs="Calibri"/>
                <w:b/>
                <w:szCs w:val="20"/>
                <w:vertAlign w:val="superscript"/>
              </w:rPr>
              <w:t>1</w:t>
            </w:r>
          </w:p>
        </w:tc>
      </w:tr>
      <w:tr w:rsidR="001E3840" w:rsidRPr="00D26534" w14:paraId="05600F0C" w14:textId="77777777" w:rsidTr="385B995D">
        <w:tc>
          <w:tcPr>
            <w:tcW w:w="5000" w:type="pct"/>
            <w:gridSpan w:val="4"/>
            <w:vAlign w:val="center"/>
          </w:tcPr>
          <w:p w14:paraId="7B97B0A1" w14:textId="77777777" w:rsidR="001E3840" w:rsidRPr="00D26534" w:rsidRDefault="001E3840" w:rsidP="006813A2">
            <w:pPr>
              <w:pStyle w:val="COMTableheadingrow"/>
              <w:rPr>
                <w:lang w:val="en-AU"/>
              </w:rPr>
            </w:pPr>
            <w:r w:rsidRPr="00D26534">
              <w:rPr>
                <w:lang w:val="en-AU"/>
              </w:rPr>
              <w:t xml:space="preserve">Step 3: </w:t>
            </w:r>
            <w:r w:rsidRPr="00D26534">
              <w:t>Retreatment with esketamine introduced based on the same efficacy as the initial treatment</w:t>
            </w:r>
          </w:p>
        </w:tc>
      </w:tr>
      <w:tr w:rsidR="001E3840" w:rsidRPr="00D26534" w14:paraId="7AB27C4B" w14:textId="77777777" w:rsidTr="385B995D">
        <w:tc>
          <w:tcPr>
            <w:tcW w:w="1528" w:type="pct"/>
            <w:vAlign w:val="center"/>
          </w:tcPr>
          <w:p w14:paraId="512DEAE4" w14:textId="77777777" w:rsidR="001E3840" w:rsidRPr="00D26534" w:rsidRDefault="001E3840" w:rsidP="006813A2">
            <w:pPr>
              <w:pStyle w:val="COMTabletext"/>
              <w:rPr>
                <w:rFonts w:ascii="Times" w:hAnsi="Times"/>
              </w:rPr>
            </w:pPr>
            <w:r w:rsidRPr="00D26534">
              <w:t>Costs</w:t>
            </w:r>
          </w:p>
        </w:tc>
        <w:tc>
          <w:tcPr>
            <w:tcW w:w="1157" w:type="pct"/>
            <w:vAlign w:val="center"/>
          </w:tcPr>
          <w:p w14:paraId="69991B1F" w14:textId="241637F9" w:rsidR="001E3840" w:rsidRPr="00D26534" w:rsidRDefault="001E3840" w:rsidP="006813A2">
            <w:pPr>
              <w:pStyle w:val="COMTabletext"/>
              <w:jc w:val="center"/>
              <w:rPr>
                <w:rFonts w:ascii="Times" w:hAnsi="Times"/>
              </w:rPr>
            </w:pPr>
            <w:r w:rsidRPr="00D26534">
              <w:t>$</w:t>
            </w:r>
            <w:r w:rsidR="00683384" w:rsidRPr="00683384">
              <w:rPr>
                <w:color w:val="000000"/>
                <w:shd w:val="solid" w:color="000000" w:fill="000000"/>
                <w14:textFill>
                  <w14:solidFill>
                    <w14:srgbClr w14:val="000000">
                      <w14:alpha w14:val="100000"/>
                    </w14:srgbClr>
                  </w14:solidFill>
                </w14:textFill>
              </w:rPr>
              <w:t>|</w:t>
            </w:r>
          </w:p>
        </w:tc>
        <w:tc>
          <w:tcPr>
            <w:tcW w:w="1158" w:type="pct"/>
            <w:vAlign w:val="center"/>
          </w:tcPr>
          <w:p w14:paraId="31B25C7D" w14:textId="77777777" w:rsidR="001E3840" w:rsidRPr="00D26534" w:rsidRDefault="001E3840" w:rsidP="006813A2">
            <w:pPr>
              <w:pStyle w:val="COMTabletext"/>
              <w:jc w:val="center"/>
              <w:rPr>
                <w:rFonts w:ascii="Times" w:hAnsi="Times"/>
              </w:rPr>
            </w:pPr>
            <w:r w:rsidRPr="00D26534">
              <w:t>$100,260</w:t>
            </w:r>
          </w:p>
        </w:tc>
        <w:tc>
          <w:tcPr>
            <w:tcW w:w="1157" w:type="pct"/>
            <w:vAlign w:val="center"/>
          </w:tcPr>
          <w:p w14:paraId="2292F44A" w14:textId="3D01A99B" w:rsidR="001E3840" w:rsidRPr="00D26534" w:rsidRDefault="001E3840" w:rsidP="006813A2">
            <w:pPr>
              <w:pStyle w:val="COMTabletext"/>
              <w:jc w:val="center"/>
              <w:rPr>
                <w:rFonts w:ascii="Times" w:hAnsi="Times"/>
              </w:rPr>
            </w:pPr>
            <w:r w:rsidRPr="00D26534">
              <w:t>$</w:t>
            </w:r>
            <w:r w:rsidR="00683384" w:rsidRPr="00683384">
              <w:rPr>
                <w:color w:val="000000"/>
                <w:shd w:val="solid" w:color="000000" w:fill="000000"/>
                <w14:textFill>
                  <w14:solidFill>
                    <w14:srgbClr w14:val="000000">
                      <w14:alpha w14:val="100000"/>
                    </w14:srgbClr>
                  </w14:solidFill>
                </w14:textFill>
              </w:rPr>
              <w:t>|</w:t>
            </w:r>
          </w:p>
        </w:tc>
      </w:tr>
      <w:tr w:rsidR="001E3840" w:rsidRPr="00D26534" w14:paraId="766C4CC6" w14:textId="77777777" w:rsidTr="385B995D">
        <w:tc>
          <w:tcPr>
            <w:tcW w:w="1528" w:type="pct"/>
            <w:vAlign w:val="center"/>
          </w:tcPr>
          <w:p w14:paraId="2C57390A" w14:textId="77777777" w:rsidR="001E3840" w:rsidRPr="00D26534" w:rsidRDefault="001E3840" w:rsidP="006813A2">
            <w:pPr>
              <w:pStyle w:val="COMTabletext"/>
            </w:pPr>
            <w:r w:rsidRPr="00D26534">
              <w:t>QALYs</w:t>
            </w:r>
          </w:p>
        </w:tc>
        <w:tc>
          <w:tcPr>
            <w:tcW w:w="1157" w:type="pct"/>
            <w:vAlign w:val="center"/>
          </w:tcPr>
          <w:p w14:paraId="29340EC6" w14:textId="77777777" w:rsidR="001E3840" w:rsidRPr="00D26534" w:rsidRDefault="001E3840" w:rsidP="006813A2">
            <w:pPr>
              <w:pStyle w:val="COMTabletext"/>
              <w:jc w:val="center"/>
            </w:pPr>
            <w:r w:rsidRPr="00D26534">
              <w:t>2.8594</w:t>
            </w:r>
          </w:p>
        </w:tc>
        <w:tc>
          <w:tcPr>
            <w:tcW w:w="1158" w:type="pct"/>
            <w:vAlign w:val="center"/>
          </w:tcPr>
          <w:p w14:paraId="4D27891C" w14:textId="77777777" w:rsidR="001E3840" w:rsidRPr="00D26534" w:rsidRDefault="001E3840" w:rsidP="006813A2">
            <w:pPr>
              <w:pStyle w:val="COMTabletext"/>
              <w:jc w:val="center"/>
            </w:pPr>
            <w:r w:rsidRPr="00D26534">
              <w:t>2.6591</w:t>
            </w:r>
          </w:p>
        </w:tc>
        <w:tc>
          <w:tcPr>
            <w:tcW w:w="1157" w:type="pct"/>
            <w:vAlign w:val="center"/>
          </w:tcPr>
          <w:p w14:paraId="00C3E672" w14:textId="77777777" w:rsidR="001E3840" w:rsidRPr="00D26534" w:rsidRDefault="001E3840" w:rsidP="006813A2">
            <w:pPr>
              <w:pStyle w:val="COMTabletext"/>
              <w:jc w:val="center"/>
            </w:pPr>
            <w:r w:rsidRPr="00D26534">
              <w:t>0.2003</w:t>
            </w:r>
          </w:p>
        </w:tc>
      </w:tr>
      <w:tr w:rsidR="001E3840" w:rsidRPr="00D26534" w14:paraId="5C984EA2" w14:textId="77777777" w:rsidTr="385B995D">
        <w:tc>
          <w:tcPr>
            <w:tcW w:w="3843" w:type="pct"/>
            <w:gridSpan w:val="3"/>
            <w:vAlign w:val="center"/>
          </w:tcPr>
          <w:p w14:paraId="33CA2BF6" w14:textId="77777777" w:rsidR="001E3840" w:rsidRPr="00D26534" w:rsidRDefault="001E3840" w:rsidP="006813A2">
            <w:pPr>
              <w:pStyle w:val="COMTabletext"/>
              <w:rPr>
                <w:b/>
                <w:bCs w:val="0"/>
              </w:rPr>
            </w:pPr>
            <w:r w:rsidRPr="00D26534">
              <w:rPr>
                <w:b/>
                <w:bCs w:val="0"/>
              </w:rPr>
              <w:t>Incremental cost/QALY gained</w:t>
            </w:r>
          </w:p>
        </w:tc>
        <w:tc>
          <w:tcPr>
            <w:tcW w:w="1157" w:type="pct"/>
          </w:tcPr>
          <w:p w14:paraId="6E054E43" w14:textId="2F365192" w:rsidR="001E3840" w:rsidRPr="00D26534" w:rsidRDefault="001E3840" w:rsidP="006813A2">
            <w:pPr>
              <w:pStyle w:val="COMTabletext"/>
              <w:jc w:val="center"/>
              <w:rPr>
                <w:b/>
                <w:bCs w:val="0"/>
              </w:rPr>
            </w:pPr>
            <w:r w:rsidRPr="00D26534">
              <w:rPr>
                <w:b/>
                <w:bCs w:val="0"/>
              </w:rPr>
              <w:t>$</w:t>
            </w:r>
            <w:r w:rsidR="00683384" w:rsidRPr="00683384">
              <w:rPr>
                <w:b/>
                <w:bCs w:val="0"/>
                <w:color w:val="000000"/>
                <w:shd w:val="solid" w:color="000000" w:fill="000000"/>
                <w14:textFill>
                  <w14:solidFill>
                    <w14:srgbClr w14:val="000000">
                      <w14:alpha w14:val="100000"/>
                    </w14:srgbClr>
                  </w14:solidFill>
                </w14:textFill>
              </w:rPr>
              <w:t>|</w:t>
            </w:r>
            <w:r w:rsidR="00091DE7" w:rsidRPr="00687558">
              <w:rPr>
                <w:b/>
                <w:bCs w:val="0"/>
                <w:vertAlign w:val="superscript"/>
              </w:rPr>
              <w:t>2</w:t>
            </w:r>
          </w:p>
        </w:tc>
      </w:tr>
      <w:tr w:rsidR="001E3840" w:rsidRPr="00D26534" w14:paraId="53B71D24" w14:textId="77777777" w:rsidTr="385B995D">
        <w:tc>
          <w:tcPr>
            <w:tcW w:w="5000" w:type="pct"/>
            <w:gridSpan w:val="4"/>
            <w:vAlign w:val="center"/>
          </w:tcPr>
          <w:p w14:paraId="5A0D8513" w14:textId="77777777" w:rsidR="001E3840" w:rsidRPr="00D26534" w:rsidRDefault="001E3840" w:rsidP="006813A2">
            <w:pPr>
              <w:pStyle w:val="COMTableheadingrow"/>
              <w:rPr>
                <w:lang w:val="en-AU"/>
              </w:rPr>
            </w:pPr>
            <w:r w:rsidRPr="00D26534">
              <w:rPr>
                <w:lang w:val="en-AU"/>
              </w:rPr>
              <w:t xml:space="preserve">Step 4: </w:t>
            </w:r>
            <w:r w:rsidRPr="00D26534">
              <w:t>Reduction in efficacy associated with retreatment introduced</w:t>
            </w:r>
          </w:p>
        </w:tc>
      </w:tr>
      <w:tr w:rsidR="001E3840" w:rsidRPr="00D26534" w14:paraId="6D188D2F" w14:textId="77777777" w:rsidTr="385B995D">
        <w:tc>
          <w:tcPr>
            <w:tcW w:w="1528" w:type="pct"/>
            <w:vAlign w:val="center"/>
          </w:tcPr>
          <w:p w14:paraId="32E5D5DB" w14:textId="77777777" w:rsidR="001E3840" w:rsidRPr="00D26534" w:rsidRDefault="001E3840" w:rsidP="006813A2">
            <w:pPr>
              <w:pStyle w:val="COMTabletext"/>
              <w:rPr>
                <w:rFonts w:ascii="Times" w:hAnsi="Times"/>
              </w:rPr>
            </w:pPr>
            <w:r w:rsidRPr="00D26534">
              <w:t>Costs</w:t>
            </w:r>
          </w:p>
        </w:tc>
        <w:tc>
          <w:tcPr>
            <w:tcW w:w="1157" w:type="pct"/>
            <w:vAlign w:val="center"/>
          </w:tcPr>
          <w:p w14:paraId="3649FBFD" w14:textId="1EF5B460" w:rsidR="001E3840" w:rsidRPr="00D26534" w:rsidRDefault="001E3840" w:rsidP="006813A2">
            <w:pPr>
              <w:pStyle w:val="COMTabletext"/>
              <w:jc w:val="center"/>
              <w:rPr>
                <w:rFonts w:ascii="Times" w:hAnsi="Times"/>
              </w:rPr>
            </w:pPr>
            <w:r w:rsidRPr="00D26534">
              <w:t>$</w:t>
            </w:r>
            <w:r w:rsidR="00683384" w:rsidRPr="00683384">
              <w:rPr>
                <w:color w:val="000000"/>
                <w:shd w:val="solid" w:color="000000" w:fill="000000"/>
                <w14:textFill>
                  <w14:solidFill>
                    <w14:srgbClr w14:val="000000">
                      <w14:alpha w14:val="100000"/>
                    </w14:srgbClr>
                  </w14:solidFill>
                </w14:textFill>
              </w:rPr>
              <w:t>|</w:t>
            </w:r>
          </w:p>
        </w:tc>
        <w:tc>
          <w:tcPr>
            <w:tcW w:w="1158" w:type="pct"/>
            <w:vAlign w:val="center"/>
          </w:tcPr>
          <w:p w14:paraId="4F54F30C" w14:textId="77777777" w:rsidR="001E3840" w:rsidRPr="00D26534" w:rsidRDefault="001E3840" w:rsidP="006813A2">
            <w:pPr>
              <w:pStyle w:val="COMTabletext"/>
              <w:jc w:val="center"/>
              <w:rPr>
                <w:rFonts w:ascii="Times" w:hAnsi="Times"/>
              </w:rPr>
            </w:pPr>
            <w:r w:rsidRPr="00D26534">
              <w:t>$100,260</w:t>
            </w:r>
          </w:p>
        </w:tc>
        <w:tc>
          <w:tcPr>
            <w:tcW w:w="1157" w:type="pct"/>
            <w:vAlign w:val="center"/>
          </w:tcPr>
          <w:p w14:paraId="08FD00E9" w14:textId="7D013873" w:rsidR="001E3840" w:rsidRPr="00D26534" w:rsidRDefault="001E3840" w:rsidP="006813A2">
            <w:pPr>
              <w:pStyle w:val="COMTabletext"/>
              <w:jc w:val="center"/>
              <w:rPr>
                <w:rFonts w:ascii="Times" w:hAnsi="Times"/>
              </w:rPr>
            </w:pPr>
            <w:r w:rsidRPr="00D26534">
              <w:t>$</w:t>
            </w:r>
            <w:r w:rsidR="00683384" w:rsidRPr="00683384">
              <w:rPr>
                <w:color w:val="000000"/>
                <w:shd w:val="solid" w:color="000000" w:fill="000000"/>
                <w14:textFill>
                  <w14:solidFill>
                    <w14:srgbClr w14:val="000000">
                      <w14:alpha w14:val="100000"/>
                    </w14:srgbClr>
                  </w14:solidFill>
                </w14:textFill>
              </w:rPr>
              <w:t>|</w:t>
            </w:r>
          </w:p>
        </w:tc>
      </w:tr>
      <w:tr w:rsidR="001E3840" w:rsidRPr="00D26534" w14:paraId="5F100AD9" w14:textId="77777777" w:rsidTr="385B995D">
        <w:tc>
          <w:tcPr>
            <w:tcW w:w="1528" w:type="pct"/>
            <w:vAlign w:val="center"/>
          </w:tcPr>
          <w:p w14:paraId="61ED3A29" w14:textId="77777777" w:rsidR="001E3840" w:rsidRPr="00D26534" w:rsidRDefault="001E3840" w:rsidP="006813A2">
            <w:pPr>
              <w:pStyle w:val="COMTabletext"/>
              <w:rPr>
                <w:rFonts w:ascii="Times" w:hAnsi="Times"/>
              </w:rPr>
            </w:pPr>
            <w:r w:rsidRPr="00D26534">
              <w:t>QALYs</w:t>
            </w:r>
          </w:p>
        </w:tc>
        <w:tc>
          <w:tcPr>
            <w:tcW w:w="1157" w:type="pct"/>
            <w:vAlign w:val="center"/>
          </w:tcPr>
          <w:p w14:paraId="64DD1AEC" w14:textId="77777777" w:rsidR="001E3840" w:rsidRPr="00D26534" w:rsidRDefault="001E3840" w:rsidP="006813A2">
            <w:pPr>
              <w:pStyle w:val="COMTabletext"/>
              <w:jc w:val="center"/>
              <w:rPr>
                <w:rFonts w:ascii="Times" w:hAnsi="Times"/>
              </w:rPr>
            </w:pPr>
            <w:r w:rsidRPr="00D26534">
              <w:t>2.8531</w:t>
            </w:r>
          </w:p>
        </w:tc>
        <w:tc>
          <w:tcPr>
            <w:tcW w:w="1158" w:type="pct"/>
            <w:vAlign w:val="center"/>
          </w:tcPr>
          <w:p w14:paraId="115EBC62" w14:textId="77777777" w:rsidR="001E3840" w:rsidRPr="00D26534" w:rsidRDefault="001E3840" w:rsidP="006813A2">
            <w:pPr>
              <w:pStyle w:val="COMTabletext"/>
              <w:jc w:val="center"/>
              <w:rPr>
                <w:rFonts w:ascii="Times" w:hAnsi="Times"/>
              </w:rPr>
            </w:pPr>
            <w:r w:rsidRPr="00D26534">
              <w:t>2.6591</w:t>
            </w:r>
          </w:p>
        </w:tc>
        <w:tc>
          <w:tcPr>
            <w:tcW w:w="1157" w:type="pct"/>
            <w:vAlign w:val="center"/>
          </w:tcPr>
          <w:p w14:paraId="7A6DBD9C" w14:textId="77777777" w:rsidR="001E3840" w:rsidRPr="00D26534" w:rsidRDefault="001E3840" w:rsidP="006813A2">
            <w:pPr>
              <w:pStyle w:val="COMTabletext"/>
              <w:jc w:val="center"/>
            </w:pPr>
            <w:r w:rsidRPr="00D26534">
              <w:t>0.1940</w:t>
            </w:r>
          </w:p>
        </w:tc>
      </w:tr>
      <w:tr w:rsidR="001E3840" w:rsidRPr="00D26534" w14:paraId="07B47F9D" w14:textId="77777777" w:rsidTr="385B995D">
        <w:tc>
          <w:tcPr>
            <w:tcW w:w="3843" w:type="pct"/>
            <w:gridSpan w:val="3"/>
            <w:vAlign w:val="center"/>
          </w:tcPr>
          <w:p w14:paraId="057D065F" w14:textId="77777777" w:rsidR="001E3840" w:rsidRPr="00D26534" w:rsidRDefault="001E3840" w:rsidP="006813A2">
            <w:pPr>
              <w:pStyle w:val="COMTabletext"/>
              <w:rPr>
                <w:rFonts w:ascii="Times" w:hAnsi="Times"/>
                <w:b/>
              </w:rPr>
            </w:pPr>
            <w:r w:rsidRPr="00D26534">
              <w:rPr>
                <w:b/>
              </w:rPr>
              <w:t>Incremental cost/QALY gained</w:t>
            </w:r>
          </w:p>
        </w:tc>
        <w:tc>
          <w:tcPr>
            <w:tcW w:w="1157" w:type="pct"/>
            <w:vAlign w:val="center"/>
          </w:tcPr>
          <w:p w14:paraId="286A0E54" w14:textId="7FCB8360" w:rsidR="001E3840" w:rsidRPr="00D26534" w:rsidRDefault="001E3840" w:rsidP="006813A2">
            <w:pPr>
              <w:pStyle w:val="COMTabletext"/>
              <w:jc w:val="center"/>
              <w:rPr>
                <w:rFonts w:ascii="Times" w:hAnsi="Times"/>
                <w:b/>
              </w:rPr>
            </w:pPr>
            <w:r w:rsidRPr="00D26534">
              <w:rPr>
                <w:b/>
              </w:rPr>
              <w:t>$</w:t>
            </w:r>
            <w:r w:rsidR="00683384" w:rsidRPr="00683384">
              <w:rPr>
                <w:b/>
                <w:color w:val="000000"/>
                <w:shd w:val="solid" w:color="000000" w:fill="000000"/>
                <w14:textFill>
                  <w14:solidFill>
                    <w14:srgbClr w14:val="000000">
                      <w14:alpha w14:val="100000"/>
                    </w14:srgbClr>
                  </w14:solidFill>
                </w14:textFill>
              </w:rPr>
              <w:t>|</w:t>
            </w:r>
            <w:r w:rsidR="00091DE7" w:rsidRPr="00687558">
              <w:rPr>
                <w:b/>
                <w:bCs w:val="0"/>
                <w:vertAlign w:val="superscript"/>
              </w:rPr>
              <w:t>2</w:t>
            </w:r>
          </w:p>
        </w:tc>
      </w:tr>
      <w:tr w:rsidR="001E3840" w:rsidRPr="00D26534" w14:paraId="69E6FF29" w14:textId="77777777" w:rsidTr="385B995D">
        <w:tc>
          <w:tcPr>
            <w:tcW w:w="5000" w:type="pct"/>
            <w:gridSpan w:val="4"/>
            <w:tcBorders>
              <w:top w:val="single" w:sz="4" w:space="0" w:color="auto"/>
              <w:left w:val="single" w:sz="4" w:space="0" w:color="auto"/>
              <w:bottom w:val="single" w:sz="4" w:space="0" w:color="auto"/>
              <w:right w:val="single" w:sz="4" w:space="0" w:color="auto"/>
            </w:tcBorders>
            <w:vAlign w:val="center"/>
          </w:tcPr>
          <w:p w14:paraId="32906E5F" w14:textId="77777777" w:rsidR="001E3840" w:rsidRPr="00D26534" w:rsidRDefault="001E3840" w:rsidP="006813A2">
            <w:pPr>
              <w:pStyle w:val="COMTableheadingrow"/>
              <w:rPr>
                <w:lang w:val="en-AU"/>
              </w:rPr>
            </w:pPr>
            <w:r w:rsidRPr="00D26534">
              <w:rPr>
                <w:lang w:val="en-AU"/>
              </w:rPr>
              <w:t xml:space="preserve">Step 5: </w:t>
            </w:r>
            <w:r w:rsidRPr="00D26534">
              <w:t>Allowance for a proportion of patients to receive esketamine treatment beyond 12 months</w:t>
            </w:r>
          </w:p>
        </w:tc>
      </w:tr>
      <w:tr w:rsidR="001E3840" w:rsidRPr="00D26534" w14:paraId="0E327CCB" w14:textId="77777777" w:rsidTr="385B995D">
        <w:tc>
          <w:tcPr>
            <w:tcW w:w="1528" w:type="pct"/>
            <w:vAlign w:val="center"/>
          </w:tcPr>
          <w:p w14:paraId="5DD7C121" w14:textId="77777777" w:rsidR="001E3840" w:rsidRPr="00D26534" w:rsidRDefault="001E3840" w:rsidP="006813A2">
            <w:pPr>
              <w:pStyle w:val="COMTabletext"/>
              <w:rPr>
                <w:rFonts w:ascii="Times" w:hAnsi="Times"/>
              </w:rPr>
            </w:pPr>
            <w:r w:rsidRPr="00D26534">
              <w:t>Costs</w:t>
            </w:r>
          </w:p>
        </w:tc>
        <w:tc>
          <w:tcPr>
            <w:tcW w:w="1157" w:type="pct"/>
            <w:vAlign w:val="center"/>
          </w:tcPr>
          <w:p w14:paraId="3918E4C8" w14:textId="211AF7B4" w:rsidR="001E3840" w:rsidRPr="00D26534" w:rsidRDefault="001E3840" w:rsidP="006813A2">
            <w:pPr>
              <w:pStyle w:val="COMTabletext"/>
              <w:jc w:val="center"/>
              <w:rPr>
                <w:rFonts w:ascii="Times" w:hAnsi="Times"/>
              </w:rPr>
            </w:pPr>
            <w:r w:rsidRPr="00D26534">
              <w:t>$</w:t>
            </w:r>
            <w:r w:rsidR="00683384" w:rsidRPr="00683384">
              <w:rPr>
                <w:color w:val="000000"/>
                <w:shd w:val="solid" w:color="000000" w:fill="000000"/>
                <w14:textFill>
                  <w14:solidFill>
                    <w14:srgbClr w14:val="000000">
                      <w14:alpha w14:val="100000"/>
                    </w14:srgbClr>
                  </w14:solidFill>
                </w14:textFill>
              </w:rPr>
              <w:t>|</w:t>
            </w:r>
          </w:p>
        </w:tc>
        <w:tc>
          <w:tcPr>
            <w:tcW w:w="1158" w:type="pct"/>
            <w:vAlign w:val="center"/>
          </w:tcPr>
          <w:p w14:paraId="0B0DA5AD" w14:textId="77777777" w:rsidR="001E3840" w:rsidRPr="00D26534" w:rsidRDefault="001E3840" w:rsidP="006813A2">
            <w:pPr>
              <w:pStyle w:val="COMTabletext"/>
              <w:jc w:val="center"/>
              <w:rPr>
                <w:rFonts w:ascii="Times" w:hAnsi="Times"/>
              </w:rPr>
            </w:pPr>
            <w:r w:rsidRPr="00D26534">
              <w:t>$100,260</w:t>
            </w:r>
          </w:p>
        </w:tc>
        <w:tc>
          <w:tcPr>
            <w:tcW w:w="1157" w:type="pct"/>
            <w:vAlign w:val="center"/>
          </w:tcPr>
          <w:p w14:paraId="2599893C" w14:textId="2B353B9D" w:rsidR="001E3840" w:rsidRPr="00D26534" w:rsidRDefault="001E3840" w:rsidP="006813A2">
            <w:pPr>
              <w:pStyle w:val="COMTabletext"/>
              <w:jc w:val="center"/>
              <w:rPr>
                <w:rFonts w:ascii="Times" w:hAnsi="Times"/>
              </w:rPr>
            </w:pPr>
            <w:r w:rsidRPr="00D26534">
              <w:t>$</w:t>
            </w:r>
            <w:r w:rsidR="00683384" w:rsidRPr="00683384">
              <w:rPr>
                <w:color w:val="000000"/>
                <w:shd w:val="solid" w:color="000000" w:fill="000000"/>
                <w14:textFill>
                  <w14:solidFill>
                    <w14:srgbClr w14:val="000000">
                      <w14:alpha w14:val="100000"/>
                    </w14:srgbClr>
                  </w14:solidFill>
                </w14:textFill>
              </w:rPr>
              <w:t>|</w:t>
            </w:r>
          </w:p>
        </w:tc>
      </w:tr>
      <w:tr w:rsidR="001E3840" w:rsidRPr="00D26534" w14:paraId="554398D2" w14:textId="77777777" w:rsidTr="385B995D">
        <w:tc>
          <w:tcPr>
            <w:tcW w:w="1528" w:type="pct"/>
            <w:vAlign w:val="center"/>
          </w:tcPr>
          <w:p w14:paraId="41EA41DA" w14:textId="77777777" w:rsidR="001E3840" w:rsidRPr="00D26534" w:rsidRDefault="001E3840" w:rsidP="006813A2">
            <w:pPr>
              <w:pStyle w:val="COMTabletext"/>
              <w:rPr>
                <w:rFonts w:ascii="Times" w:hAnsi="Times"/>
              </w:rPr>
            </w:pPr>
            <w:r w:rsidRPr="00D26534">
              <w:t>QALYs</w:t>
            </w:r>
          </w:p>
        </w:tc>
        <w:tc>
          <w:tcPr>
            <w:tcW w:w="1157" w:type="pct"/>
            <w:vAlign w:val="center"/>
          </w:tcPr>
          <w:p w14:paraId="52ED1452" w14:textId="77777777" w:rsidR="001E3840" w:rsidRPr="00D26534" w:rsidRDefault="001E3840" w:rsidP="006813A2">
            <w:pPr>
              <w:pStyle w:val="COMTabletext"/>
              <w:jc w:val="center"/>
              <w:rPr>
                <w:rFonts w:ascii="Times" w:hAnsi="Times"/>
              </w:rPr>
            </w:pPr>
            <w:r w:rsidRPr="00D26534">
              <w:t>2.8641</w:t>
            </w:r>
          </w:p>
        </w:tc>
        <w:tc>
          <w:tcPr>
            <w:tcW w:w="1158" w:type="pct"/>
            <w:vAlign w:val="center"/>
          </w:tcPr>
          <w:p w14:paraId="6C317C9B" w14:textId="77777777" w:rsidR="001E3840" w:rsidRPr="00D26534" w:rsidRDefault="001E3840" w:rsidP="006813A2">
            <w:pPr>
              <w:pStyle w:val="COMTabletext"/>
              <w:jc w:val="center"/>
              <w:rPr>
                <w:rFonts w:ascii="Times" w:hAnsi="Times"/>
              </w:rPr>
            </w:pPr>
            <w:r w:rsidRPr="00D26534">
              <w:t>2.6591</w:t>
            </w:r>
          </w:p>
        </w:tc>
        <w:tc>
          <w:tcPr>
            <w:tcW w:w="1157" w:type="pct"/>
            <w:vAlign w:val="center"/>
          </w:tcPr>
          <w:p w14:paraId="418638F3" w14:textId="77777777" w:rsidR="001E3840" w:rsidRPr="00D26534" w:rsidRDefault="001E3840" w:rsidP="006813A2">
            <w:pPr>
              <w:pStyle w:val="COMTabletext"/>
              <w:jc w:val="center"/>
            </w:pPr>
            <w:r w:rsidRPr="00D26534">
              <w:t>0.2050</w:t>
            </w:r>
          </w:p>
        </w:tc>
      </w:tr>
      <w:tr w:rsidR="001E3840" w:rsidRPr="00D26534" w14:paraId="5612EF43" w14:textId="77777777" w:rsidTr="385B995D">
        <w:tc>
          <w:tcPr>
            <w:tcW w:w="3843" w:type="pct"/>
            <w:gridSpan w:val="3"/>
            <w:vAlign w:val="center"/>
          </w:tcPr>
          <w:p w14:paraId="1D4A8243" w14:textId="77777777" w:rsidR="001E3840" w:rsidRPr="00D26534" w:rsidRDefault="001E3840" w:rsidP="006813A2">
            <w:pPr>
              <w:pStyle w:val="COMTabletext"/>
              <w:rPr>
                <w:rFonts w:ascii="Times" w:hAnsi="Times"/>
                <w:b/>
              </w:rPr>
            </w:pPr>
            <w:r w:rsidRPr="00D26534">
              <w:rPr>
                <w:b/>
              </w:rPr>
              <w:t>Incremental cost/QALY gained</w:t>
            </w:r>
          </w:p>
        </w:tc>
        <w:tc>
          <w:tcPr>
            <w:tcW w:w="1157" w:type="pct"/>
            <w:vAlign w:val="center"/>
          </w:tcPr>
          <w:p w14:paraId="4E74133D" w14:textId="088CBE94" w:rsidR="001E3840" w:rsidRPr="00D26534" w:rsidRDefault="001E3840" w:rsidP="006813A2">
            <w:pPr>
              <w:pStyle w:val="COMTabletext"/>
              <w:jc w:val="center"/>
              <w:rPr>
                <w:rFonts w:ascii="Times" w:hAnsi="Times"/>
                <w:b/>
              </w:rPr>
            </w:pPr>
            <w:r w:rsidRPr="00D26534">
              <w:rPr>
                <w:b/>
              </w:rPr>
              <w:t>$</w:t>
            </w:r>
            <w:r w:rsidR="00683384" w:rsidRPr="00683384">
              <w:rPr>
                <w:b/>
                <w:color w:val="000000"/>
                <w:shd w:val="solid" w:color="000000" w:fill="000000"/>
                <w14:textFill>
                  <w14:solidFill>
                    <w14:srgbClr w14:val="000000">
                      <w14:alpha w14:val="100000"/>
                    </w14:srgbClr>
                  </w14:solidFill>
                </w14:textFill>
              </w:rPr>
              <w:t>|</w:t>
            </w:r>
            <w:r w:rsidR="00097141" w:rsidRPr="008D2AC7">
              <w:rPr>
                <w:b/>
                <w:vertAlign w:val="superscript"/>
              </w:rPr>
              <w:t>3</w:t>
            </w:r>
          </w:p>
        </w:tc>
      </w:tr>
      <w:tr w:rsidR="001E3840" w:rsidRPr="00D26534" w14:paraId="3C6A04E5" w14:textId="77777777" w:rsidTr="385B995D">
        <w:tc>
          <w:tcPr>
            <w:tcW w:w="5000" w:type="pct"/>
            <w:gridSpan w:val="4"/>
            <w:tcBorders>
              <w:top w:val="single" w:sz="4" w:space="0" w:color="auto"/>
              <w:left w:val="single" w:sz="4" w:space="0" w:color="auto"/>
              <w:bottom w:val="single" w:sz="4" w:space="0" w:color="auto"/>
              <w:right w:val="single" w:sz="4" w:space="0" w:color="auto"/>
            </w:tcBorders>
            <w:vAlign w:val="center"/>
          </w:tcPr>
          <w:p w14:paraId="2F71D0F5" w14:textId="77777777" w:rsidR="001E3840" w:rsidRPr="00D26534" w:rsidRDefault="001E3840" w:rsidP="006813A2">
            <w:pPr>
              <w:pStyle w:val="COMTableheadingrow"/>
              <w:rPr>
                <w:lang w:val="en-AU"/>
              </w:rPr>
            </w:pPr>
            <w:r w:rsidRPr="00D26534">
              <w:rPr>
                <w:lang w:val="en-AU"/>
              </w:rPr>
              <w:t xml:space="preserve">Step 6: </w:t>
            </w:r>
            <w:r w:rsidRPr="00D26534">
              <w:t>Rates of health care resource use based on Australian data (previously based on UK data)</w:t>
            </w:r>
          </w:p>
        </w:tc>
      </w:tr>
      <w:tr w:rsidR="001E3840" w:rsidRPr="00D26534" w14:paraId="698B80DE" w14:textId="77777777" w:rsidTr="385B995D">
        <w:tc>
          <w:tcPr>
            <w:tcW w:w="1528" w:type="pct"/>
            <w:vAlign w:val="center"/>
          </w:tcPr>
          <w:p w14:paraId="4A4AA061" w14:textId="77777777" w:rsidR="001E3840" w:rsidRPr="00D26534" w:rsidRDefault="001E3840" w:rsidP="006813A2">
            <w:pPr>
              <w:pStyle w:val="COMTabletext"/>
              <w:rPr>
                <w:rFonts w:ascii="Times" w:hAnsi="Times"/>
              </w:rPr>
            </w:pPr>
            <w:r w:rsidRPr="00D26534">
              <w:t>Costs</w:t>
            </w:r>
          </w:p>
        </w:tc>
        <w:tc>
          <w:tcPr>
            <w:tcW w:w="1157" w:type="pct"/>
            <w:vAlign w:val="center"/>
          </w:tcPr>
          <w:p w14:paraId="2BF78540" w14:textId="71DDFE8A" w:rsidR="001E3840" w:rsidRPr="00D26534" w:rsidRDefault="001E3840" w:rsidP="006813A2">
            <w:pPr>
              <w:pStyle w:val="COMTabletext"/>
              <w:jc w:val="center"/>
              <w:rPr>
                <w:rFonts w:ascii="Times" w:hAnsi="Times"/>
              </w:rPr>
            </w:pPr>
            <w:r w:rsidRPr="00D26534">
              <w:t>$</w:t>
            </w:r>
            <w:r w:rsidR="00683384" w:rsidRPr="00683384">
              <w:rPr>
                <w:color w:val="000000"/>
                <w:shd w:val="solid" w:color="000000" w:fill="000000"/>
                <w14:textFill>
                  <w14:solidFill>
                    <w14:srgbClr w14:val="000000">
                      <w14:alpha w14:val="100000"/>
                    </w14:srgbClr>
                  </w14:solidFill>
                </w14:textFill>
              </w:rPr>
              <w:t>|</w:t>
            </w:r>
          </w:p>
        </w:tc>
        <w:tc>
          <w:tcPr>
            <w:tcW w:w="1158" w:type="pct"/>
            <w:vAlign w:val="center"/>
          </w:tcPr>
          <w:p w14:paraId="51BFC430" w14:textId="77777777" w:rsidR="001E3840" w:rsidRPr="00D26534" w:rsidRDefault="001E3840" w:rsidP="006813A2">
            <w:pPr>
              <w:pStyle w:val="COMTabletext"/>
              <w:jc w:val="center"/>
              <w:rPr>
                <w:rFonts w:ascii="Times" w:hAnsi="Times"/>
              </w:rPr>
            </w:pPr>
            <w:r w:rsidRPr="00D26534">
              <w:t>$64,405</w:t>
            </w:r>
          </w:p>
        </w:tc>
        <w:tc>
          <w:tcPr>
            <w:tcW w:w="1157" w:type="pct"/>
            <w:vAlign w:val="center"/>
          </w:tcPr>
          <w:p w14:paraId="44D63A68" w14:textId="72F53B8A" w:rsidR="001E3840" w:rsidRPr="00D26534" w:rsidRDefault="001E3840" w:rsidP="006813A2">
            <w:pPr>
              <w:pStyle w:val="COMTabletext"/>
              <w:jc w:val="center"/>
              <w:rPr>
                <w:rFonts w:ascii="Times" w:hAnsi="Times"/>
              </w:rPr>
            </w:pPr>
            <w:r w:rsidRPr="00D26534">
              <w:t>$</w:t>
            </w:r>
            <w:r w:rsidR="00683384" w:rsidRPr="00683384">
              <w:rPr>
                <w:color w:val="000000"/>
                <w:shd w:val="solid" w:color="000000" w:fill="000000"/>
                <w14:textFill>
                  <w14:solidFill>
                    <w14:srgbClr w14:val="000000">
                      <w14:alpha w14:val="100000"/>
                    </w14:srgbClr>
                  </w14:solidFill>
                </w14:textFill>
              </w:rPr>
              <w:t>|</w:t>
            </w:r>
          </w:p>
        </w:tc>
      </w:tr>
      <w:tr w:rsidR="001E3840" w:rsidRPr="00D26534" w14:paraId="2BC71C24" w14:textId="77777777" w:rsidTr="385B995D">
        <w:tc>
          <w:tcPr>
            <w:tcW w:w="1528" w:type="pct"/>
            <w:vAlign w:val="center"/>
          </w:tcPr>
          <w:p w14:paraId="27DBC3BB" w14:textId="77777777" w:rsidR="001E3840" w:rsidRPr="00D26534" w:rsidRDefault="001E3840" w:rsidP="006813A2">
            <w:pPr>
              <w:pStyle w:val="COMTabletext"/>
              <w:rPr>
                <w:rFonts w:ascii="Times" w:hAnsi="Times"/>
              </w:rPr>
            </w:pPr>
            <w:r w:rsidRPr="00D26534">
              <w:t>QALYs</w:t>
            </w:r>
          </w:p>
        </w:tc>
        <w:tc>
          <w:tcPr>
            <w:tcW w:w="1157" w:type="pct"/>
            <w:vAlign w:val="center"/>
          </w:tcPr>
          <w:p w14:paraId="34F092CF" w14:textId="77777777" w:rsidR="001E3840" w:rsidRPr="00D26534" w:rsidRDefault="001E3840" w:rsidP="006813A2">
            <w:pPr>
              <w:pStyle w:val="COMTabletext"/>
              <w:jc w:val="center"/>
              <w:rPr>
                <w:rFonts w:ascii="Times" w:hAnsi="Times"/>
              </w:rPr>
            </w:pPr>
            <w:r w:rsidRPr="00D26534">
              <w:t>2.8641</w:t>
            </w:r>
          </w:p>
        </w:tc>
        <w:tc>
          <w:tcPr>
            <w:tcW w:w="1158" w:type="pct"/>
            <w:vAlign w:val="center"/>
          </w:tcPr>
          <w:p w14:paraId="0C3CD9AE" w14:textId="77777777" w:rsidR="001E3840" w:rsidRPr="00D26534" w:rsidRDefault="001E3840" w:rsidP="006813A2">
            <w:pPr>
              <w:pStyle w:val="COMTabletext"/>
              <w:jc w:val="center"/>
              <w:rPr>
                <w:rFonts w:ascii="Times" w:hAnsi="Times"/>
              </w:rPr>
            </w:pPr>
            <w:r w:rsidRPr="00D26534">
              <w:t>2.6591</w:t>
            </w:r>
          </w:p>
        </w:tc>
        <w:tc>
          <w:tcPr>
            <w:tcW w:w="1157" w:type="pct"/>
            <w:vAlign w:val="center"/>
          </w:tcPr>
          <w:p w14:paraId="1577B0D2" w14:textId="77777777" w:rsidR="001E3840" w:rsidRPr="00D26534" w:rsidRDefault="001E3840" w:rsidP="006813A2">
            <w:pPr>
              <w:pStyle w:val="COMTabletext"/>
              <w:jc w:val="center"/>
            </w:pPr>
            <w:r w:rsidRPr="00D26534">
              <w:t>0.2050</w:t>
            </w:r>
          </w:p>
        </w:tc>
      </w:tr>
      <w:tr w:rsidR="001E3840" w:rsidRPr="00D26534" w14:paraId="61CB7771" w14:textId="77777777" w:rsidTr="385B995D">
        <w:tc>
          <w:tcPr>
            <w:tcW w:w="3843" w:type="pct"/>
            <w:gridSpan w:val="3"/>
            <w:vAlign w:val="center"/>
          </w:tcPr>
          <w:p w14:paraId="108F5F3B" w14:textId="77777777" w:rsidR="001E3840" w:rsidRPr="00D26534" w:rsidRDefault="001E3840" w:rsidP="006813A2">
            <w:pPr>
              <w:pStyle w:val="COMTabletext"/>
              <w:rPr>
                <w:rFonts w:ascii="Times" w:hAnsi="Times"/>
                <w:b/>
              </w:rPr>
            </w:pPr>
            <w:r w:rsidRPr="00D26534">
              <w:rPr>
                <w:b/>
              </w:rPr>
              <w:t>Incremental cost/QALY gained</w:t>
            </w:r>
          </w:p>
        </w:tc>
        <w:tc>
          <w:tcPr>
            <w:tcW w:w="1157" w:type="pct"/>
            <w:vAlign w:val="center"/>
          </w:tcPr>
          <w:p w14:paraId="67451F37" w14:textId="0FBC69C3" w:rsidR="001E3840" w:rsidRPr="00D26534" w:rsidRDefault="001E3840" w:rsidP="006813A2">
            <w:pPr>
              <w:pStyle w:val="COMTabletext"/>
              <w:jc w:val="center"/>
              <w:rPr>
                <w:rFonts w:ascii="Times" w:hAnsi="Times"/>
                <w:b/>
              </w:rPr>
            </w:pPr>
            <w:r w:rsidRPr="00D26534">
              <w:rPr>
                <w:b/>
              </w:rPr>
              <w:t>$</w:t>
            </w:r>
            <w:r w:rsidR="00683384" w:rsidRPr="00683384">
              <w:rPr>
                <w:b/>
                <w:color w:val="000000"/>
                <w:shd w:val="solid" w:color="000000" w:fill="000000"/>
                <w14:textFill>
                  <w14:solidFill>
                    <w14:srgbClr w14:val="000000">
                      <w14:alpha w14:val="100000"/>
                    </w14:srgbClr>
                  </w14:solidFill>
                </w14:textFill>
              </w:rPr>
              <w:t>|</w:t>
            </w:r>
            <w:r w:rsidR="009F575B" w:rsidRPr="008D2AC7">
              <w:rPr>
                <w:b/>
                <w:vertAlign w:val="superscript"/>
              </w:rPr>
              <w:t>4</w:t>
            </w:r>
          </w:p>
        </w:tc>
      </w:tr>
      <w:tr w:rsidR="001E3840" w:rsidRPr="00D26534" w14:paraId="2A4BE7FE" w14:textId="77777777" w:rsidTr="385B995D">
        <w:tc>
          <w:tcPr>
            <w:tcW w:w="5000" w:type="pct"/>
            <w:gridSpan w:val="4"/>
            <w:vAlign w:val="center"/>
          </w:tcPr>
          <w:p w14:paraId="55B20A8F" w14:textId="13A9CE62" w:rsidR="001E3840" w:rsidRPr="00D26534" w:rsidRDefault="001E3840" w:rsidP="006813A2">
            <w:pPr>
              <w:pStyle w:val="COMTableheadingrow"/>
              <w:rPr>
                <w:lang w:val="en-AU"/>
              </w:rPr>
            </w:pPr>
            <w:r w:rsidRPr="00D26534">
              <w:rPr>
                <w:lang w:val="en-AU"/>
              </w:rPr>
              <w:t xml:space="preserve">Step 7: </w:t>
            </w:r>
            <w:r w:rsidRPr="00D26534">
              <w:t>Reduction in the effective price of esketamine (AEMP per 28 mg device reduced from $</w:t>
            </w:r>
            <w:r w:rsidR="00683384" w:rsidRPr="00683384">
              <w:rPr>
                <w:color w:val="000000"/>
                <w:spacing w:val="58"/>
                <w:shd w:val="solid" w:color="000000" w:fill="000000"/>
                <w:fitText w:val="360" w:id="-892701178"/>
                <w14:textFill>
                  <w14:solidFill>
                    <w14:srgbClr w14:val="000000">
                      <w14:alpha w14:val="100000"/>
                    </w14:srgbClr>
                  </w14:solidFill>
                </w14:textFill>
              </w:rPr>
              <w:t>|||</w:t>
            </w:r>
            <w:r w:rsidR="00683384" w:rsidRPr="00683384">
              <w:rPr>
                <w:color w:val="000000"/>
                <w:spacing w:val="3"/>
                <w:shd w:val="solid" w:color="000000" w:fill="000000"/>
                <w:fitText w:val="360" w:id="-892701178"/>
                <w14:textFill>
                  <w14:solidFill>
                    <w14:srgbClr w14:val="000000">
                      <w14:alpha w14:val="100000"/>
                    </w14:srgbClr>
                  </w14:solidFill>
                </w14:textFill>
              </w:rPr>
              <w:t>|</w:t>
            </w:r>
            <w:r w:rsidRPr="00D26534">
              <w:t xml:space="preserve"> to $</w:t>
            </w:r>
            <w:r w:rsidR="00683384" w:rsidRPr="00683384">
              <w:rPr>
                <w:color w:val="000000"/>
                <w:spacing w:val="58"/>
                <w:shd w:val="solid" w:color="000000" w:fill="000000"/>
                <w:fitText w:val="360" w:id="-892701177"/>
                <w14:textFill>
                  <w14:solidFill>
                    <w14:srgbClr w14:val="000000">
                      <w14:alpha w14:val="100000"/>
                    </w14:srgbClr>
                  </w14:solidFill>
                </w14:textFill>
              </w:rPr>
              <w:t>|||</w:t>
            </w:r>
            <w:r w:rsidR="00683384" w:rsidRPr="00683384">
              <w:rPr>
                <w:color w:val="000000"/>
                <w:spacing w:val="3"/>
                <w:shd w:val="solid" w:color="000000" w:fill="000000"/>
                <w:fitText w:val="360" w:id="-892701177"/>
                <w14:textFill>
                  <w14:solidFill>
                    <w14:srgbClr w14:val="000000">
                      <w14:alpha w14:val="100000"/>
                    </w14:srgbClr>
                  </w14:solidFill>
                </w14:textFill>
              </w:rPr>
              <w:t>|</w:t>
            </w:r>
            <w:r w:rsidRPr="00D26534">
              <w:t>)</w:t>
            </w:r>
          </w:p>
        </w:tc>
      </w:tr>
      <w:tr w:rsidR="001E3840" w:rsidRPr="00D26534" w14:paraId="2D097742" w14:textId="77777777" w:rsidTr="385B995D">
        <w:tc>
          <w:tcPr>
            <w:tcW w:w="1528" w:type="pct"/>
            <w:vAlign w:val="center"/>
          </w:tcPr>
          <w:p w14:paraId="3D0FBF29" w14:textId="77777777" w:rsidR="001E3840" w:rsidRPr="00D26534" w:rsidRDefault="001E3840" w:rsidP="006813A2">
            <w:pPr>
              <w:pStyle w:val="COMTabletext"/>
              <w:rPr>
                <w:rFonts w:ascii="Times" w:hAnsi="Times"/>
              </w:rPr>
            </w:pPr>
            <w:r w:rsidRPr="00D26534">
              <w:t>Costs</w:t>
            </w:r>
          </w:p>
        </w:tc>
        <w:tc>
          <w:tcPr>
            <w:tcW w:w="1157" w:type="pct"/>
            <w:vAlign w:val="center"/>
          </w:tcPr>
          <w:p w14:paraId="2025511A" w14:textId="2F83A115" w:rsidR="001E3840" w:rsidRPr="00D26534" w:rsidRDefault="001E3840" w:rsidP="006813A2">
            <w:pPr>
              <w:pStyle w:val="COMTabletext"/>
              <w:jc w:val="center"/>
              <w:rPr>
                <w:rFonts w:ascii="Times" w:hAnsi="Times"/>
              </w:rPr>
            </w:pPr>
            <w:r w:rsidRPr="00D26534">
              <w:t>$</w:t>
            </w:r>
            <w:r w:rsidR="00683384" w:rsidRPr="00683384">
              <w:rPr>
                <w:color w:val="000000"/>
                <w:shd w:val="solid" w:color="000000" w:fill="000000"/>
                <w14:textFill>
                  <w14:solidFill>
                    <w14:srgbClr w14:val="000000">
                      <w14:alpha w14:val="100000"/>
                    </w14:srgbClr>
                  </w14:solidFill>
                </w14:textFill>
              </w:rPr>
              <w:t>|</w:t>
            </w:r>
          </w:p>
        </w:tc>
        <w:tc>
          <w:tcPr>
            <w:tcW w:w="1158" w:type="pct"/>
            <w:vAlign w:val="center"/>
          </w:tcPr>
          <w:p w14:paraId="52A517AE" w14:textId="77777777" w:rsidR="001E3840" w:rsidRPr="00D26534" w:rsidRDefault="001E3840" w:rsidP="006813A2">
            <w:pPr>
              <w:pStyle w:val="COMTabletext"/>
              <w:jc w:val="center"/>
              <w:rPr>
                <w:rFonts w:ascii="Times" w:hAnsi="Times"/>
              </w:rPr>
            </w:pPr>
            <w:r w:rsidRPr="00D26534">
              <w:t>$64,405</w:t>
            </w:r>
          </w:p>
        </w:tc>
        <w:tc>
          <w:tcPr>
            <w:tcW w:w="1157" w:type="pct"/>
            <w:vAlign w:val="center"/>
          </w:tcPr>
          <w:p w14:paraId="228A41C2" w14:textId="69A198EF" w:rsidR="001E3840" w:rsidRPr="008D2AC7" w:rsidRDefault="001E3840" w:rsidP="385B995D">
            <w:pPr>
              <w:pStyle w:val="COMTabletext"/>
              <w:jc w:val="center"/>
              <w:rPr>
                <w:rFonts w:ascii="Times" w:hAnsi="Times"/>
                <w:highlight w:val="yellow"/>
              </w:rPr>
            </w:pPr>
            <w:r w:rsidRPr="00675725">
              <w:t>$</w:t>
            </w:r>
            <w:r w:rsidR="00683384" w:rsidRPr="00683384">
              <w:rPr>
                <w:color w:val="000000"/>
                <w:shd w:val="solid" w:color="000000" w:fill="000000"/>
                <w14:textFill>
                  <w14:solidFill>
                    <w14:srgbClr w14:val="000000">
                      <w14:alpha w14:val="100000"/>
                    </w14:srgbClr>
                  </w14:solidFill>
                </w14:textFill>
              </w:rPr>
              <w:t>|</w:t>
            </w:r>
          </w:p>
        </w:tc>
      </w:tr>
      <w:tr w:rsidR="001E3840" w:rsidRPr="00D26534" w14:paraId="4DD37469" w14:textId="77777777" w:rsidTr="385B995D">
        <w:tc>
          <w:tcPr>
            <w:tcW w:w="1528" w:type="pct"/>
            <w:vAlign w:val="center"/>
          </w:tcPr>
          <w:p w14:paraId="5F30F943" w14:textId="77777777" w:rsidR="001E3840" w:rsidRPr="00D26534" w:rsidRDefault="001E3840" w:rsidP="006813A2">
            <w:pPr>
              <w:pStyle w:val="COMTabletext"/>
              <w:rPr>
                <w:rFonts w:ascii="Times" w:hAnsi="Times"/>
              </w:rPr>
            </w:pPr>
            <w:r w:rsidRPr="00D26534">
              <w:t>QALYs</w:t>
            </w:r>
          </w:p>
        </w:tc>
        <w:tc>
          <w:tcPr>
            <w:tcW w:w="1157" w:type="pct"/>
            <w:vAlign w:val="center"/>
          </w:tcPr>
          <w:p w14:paraId="74D77AD2" w14:textId="77777777" w:rsidR="001E3840" w:rsidRPr="00D26534" w:rsidRDefault="001E3840" w:rsidP="006813A2">
            <w:pPr>
              <w:pStyle w:val="COMTabletext"/>
              <w:jc w:val="center"/>
              <w:rPr>
                <w:rFonts w:ascii="Times" w:hAnsi="Times"/>
              </w:rPr>
            </w:pPr>
            <w:r w:rsidRPr="00D26534">
              <w:t>2.8641</w:t>
            </w:r>
          </w:p>
        </w:tc>
        <w:tc>
          <w:tcPr>
            <w:tcW w:w="1158" w:type="pct"/>
            <w:vAlign w:val="center"/>
          </w:tcPr>
          <w:p w14:paraId="098FB152" w14:textId="77777777" w:rsidR="001E3840" w:rsidRPr="00D26534" w:rsidRDefault="001E3840" w:rsidP="006813A2">
            <w:pPr>
              <w:pStyle w:val="COMTabletext"/>
              <w:jc w:val="center"/>
              <w:rPr>
                <w:rFonts w:ascii="Times" w:hAnsi="Times"/>
              </w:rPr>
            </w:pPr>
            <w:r w:rsidRPr="00D26534">
              <w:t>2.6591</w:t>
            </w:r>
          </w:p>
        </w:tc>
        <w:tc>
          <w:tcPr>
            <w:tcW w:w="1157" w:type="pct"/>
            <w:vAlign w:val="center"/>
          </w:tcPr>
          <w:p w14:paraId="689240F9" w14:textId="77777777" w:rsidR="001E3840" w:rsidRPr="00D26534" w:rsidRDefault="001E3840" w:rsidP="006813A2">
            <w:pPr>
              <w:pStyle w:val="COMTabletext"/>
              <w:jc w:val="center"/>
            </w:pPr>
            <w:r w:rsidRPr="00D26534">
              <w:t>0.2050</w:t>
            </w:r>
          </w:p>
        </w:tc>
      </w:tr>
      <w:tr w:rsidR="001E3840" w:rsidRPr="00D26534" w14:paraId="703BFA75" w14:textId="77777777" w:rsidTr="385B995D">
        <w:tc>
          <w:tcPr>
            <w:tcW w:w="3843" w:type="pct"/>
            <w:gridSpan w:val="3"/>
            <w:vAlign w:val="center"/>
          </w:tcPr>
          <w:p w14:paraId="4425C5D3" w14:textId="77777777" w:rsidR="001E3840" w:rsidRPr="00D26534" w:rsidRDefault="001E3840" w:rsidP="006813A2">
            <w:pPr>
              <w:pStyle w:val="COMTabletext"/>
              <w:rPr>
                <w:rFonts w:ascii="Times" w:hAnsi="Times"/>
                <w:b/>
              </w:rPr>
            </w:pPr>
            <w:r w:rsidRPr="00D26534">
              <w:rPr>
                <w:b/>
              </w:rPr>
              <w:t>Incremental cost/QALY gained (base case)</w:t>
            </w:r>
          </w:p>
        </w:tc>
        <w:tc>
          <w:tcPr>
            <w:tcW w:w="1157" w:type="pct"/>
            <w:vAlign w:val="center"/>
          </w:tcPr>
          <w:p w14:paraId="7822F5C8" w14:textId="550542F7" w:rsidR="001E3840" w:rsidRPr="00D26534" w:rsidRDefault="001E3840" w:rsidP="006813A2">
            <w:pPr>
              <w:pStyle w:val="COMTabletext"/>
              <w:jc w:val="center"/>
              <w:rPr>
                <w:rFonts w:ascii="Times" w:hAnsi="Times"/>
                <w:b/>
              </w:rPr>
            </w:pPr>
            <w:r w:rsidRPr="00D26534">
              <w:rPr>
                <w:b/>
              </w:rPr>
              <w:t>$</w:t>
            </w:r>
            <w:r w:rsidR="00683384" w:rsidRPr="00683384">
              <w:rPr>
                <w:b/>
                <w:color w:val="000000"/>
                <w:shd w:val="solid" w:color="000000" w:fill="000000"/>
                <w14:textFill>
                  <w14:solidFill>
                    <w14:srgbClr w14:val="000000">
                      <w14:alpha w14:val="100000"/>
                    </w14:srgbClr>
                  </w14:solidFill>
                </w14:textFill>
              </w:rPr>
              <w:t>|</w:t>
            </w:r>
            <w:r w:rsidR="00D349F2" w:rsidRPr="008D2AC7">
              <w:rPr>
                <w:b/>
                <w:vertAlign w:val="superscript"/>
              </w:rPr>
              <w:t>3</w:t>
            </w:r>
          </w:p>
        </w:tc>
      </w:tr>
    </w:tbl>
    <w:p w14:paraId="48043DA2" w14:textId="77777777" w:rsidR="001E3840" w:rsidRPr="00D26534" w:rsidRDefault="001E3840" w:rsidP="001E3840">
      <w:pPr>
        <w:pStyle w:val="COMTablefooter"/>
      </w:pPr>
      <w:r w:rsidRPr="00D26534">
        <w:t>Source: Table 3-32, p113 of the resubmission; ‘Attachment 3.4 Esketamine TRD CE Retreatment model’ spreadsheet</w:t>
      </w:r>
    </w:p>
    <w:p w14:paraId="65BD55AD" w14:textId="77777777" w:rsidR="001E3840" w:rsidRPr="00D26534" w:rsidRDefault="001E3840" w:rsidP="001E3840">
      <w:pPr>
        <w:pStyle w:val="COMTablefooter"/>
      </w:pPr>
      <w:r w:rsidRPr="00D26534">
        <w:t>Abbreviations: AEMP, approved ex-manufacturer price; MBS, Medicare Benefits Schedule; OAD, oral antidepressant; PBS, Pharmaceutical Benefits Scheme; NHCDC, National Hospital Cost Data Collection; QALY, quality adjusted life year</w:t>
      </w:r>
    </w:p>
    <w:p w14:paraId="04091A68" w14:textId="2B8CC848" w:rsidR="00EE726A" w:rsidRDefault="001E3840" w:rsidP="00BD1946">
      <w:pPr>
        <w:pStyle w:val="COMTablefooter"/>
        <w:spacing w:after="0"/>
      </w:pPr>
      <w:r w:rsidRPr="00D26534">
        <w:t>Note: Some values in Table 3-32 of the resubmission could not be verified during the evaluation; values calculated during the evaluation are indicated in italics.</w:t>
      </w:r>
    </w:p>
    <w:p w14:paraId="28F36E8B" w14:textId="77777777" w:rsidR="00233624" w:rsidRPr="00687558" w:rsidRDefault="00233624" w:rsidP="00233624">
      <w:pPr>
        <w:pStyle w:val="TableFigureFooter"/>
        <w:rPr>
          <w:i/>
          <w:iCs/>
        </w:rPr>
      </w:pPr>
      <w:r w:rsidRPr="00687558">
        <w:rPr>
          <w:i/>
          <w:iCs/>
        </w:rPr>
        <w:t>The redacted values correspond to the following ranges:</w:t>
      </w:r>
    </w:p>
    <w:p w14:paraId="1DE49487" w14:textId="77777777" w:rsidR="00233624" w:rsidRPr="00687558" w:rsidRDefault="00233624" w:rsidP="00233624">
      <w:pPr>
        <w:pStyle w:val="TableFigureFooter"/>
        <w:rPr>
          <w:i/>
          <w:iCs/>
        </w:rPr>
      </w:pPr>
      <w:r w:rsidRPr="00687558">
        <w:rPr>
          <w:i/>
          <w:iCs/>
          <w:vertAlign w:val="superscript"/>
        </w:rPr>
        <w:t>1</w:t>
      </w:r>
      <w:r w:rsidRPr="00687558">
        <w:rPr>
          <w:i/>
          <w:iCs/>
        </w:rPr>
        <w:t xml:space="preserve"> $25,000 to &lt; $35,000</w:t>
      </w:r>
    </w:p>
    <w:p w14:paraId="6522C433" w14:textId="77777777" w:rsidR="00233624" w:rsidRDefault="00233624" w:rsidP="00233624">
      <w:pPr>
        <w:pStyle w:val="TableFigureFooter"/>
        <w:rPr>
          <w:i/>
          <w:iCs/>
        </w:rPr>
      </w:pPr>
      <w:r w:rsidRPr="00687558">
        <w:rPr>
          <w:i/>
          <w:iCs/>
          <w:vertAlign w:val="superscript"/>
        </w:rPr>
        <w:t>2</w:t>
      </w:r>
      <w:r w:rsidRPr="00687558">
        <w:rPr>
          <w:i/>
          <w:iCs/>
        </w:rPr>
        <w:t xml:space="preserve"> $15,000 to &lt; $25,000</w:t>
      </w:r>
    </w:p>
    <w:p w14:paraId="52072642" w14:textId="46CDFDED" w:rsidR="00E36BE7" w:rsidRPr="00E36BE7" w:rsidRDefault="00E36BE7" w:rsidP="00E36BE7">
      <w:pPr>
        <w:pStyle w:val="TableFigureFooter"/>
        <w:rPr>
          <w:i/>
          <w:iCs/>
        </w:rPr>
      </w:pPr>
      <w:r w:rsidRPr="008D2AC7">
        <w:rPr>
          <w:i/>
          <w:iCs/>
          <w:vertAlign w:val="superscript"/>
        </w:rPr>
        <w:t>3</w:t>
      </w:r>
      <w:r>
        <w:rPr>
          <w:i/>
          <w:iCs/>
        </w:rPr>
        <w:t xml:space="preserve"> </w:t>
      </w:r>
      <w:r w:rsidRPr="00E36BE7">
        <w:rPr>
          <w:i/>
          <w:iCs/>
        </w:rPr>
        <w:t>$35,000 to &lt; $45,000</w:t>
      </w:r>
    </w:p>
    <w:p w14:paraId="01CDCB79" w14:textId="74AF91DC" w:rsidR="00233624" w:rsidRPr="00687558" w:rsidRDefault="00B03B89" w:rsidP="00233624">
      <w:pPr>
        <w:pStyle w:val="TableFigureFooter"/>
        <w:rPr>
          <w:i/>
          <w:iCs/>
        </w:rPr>
      </w:pPr>
      <w:r>
        <w:rPr>
          <w:i/>
          <w:iCs/>
          <w:vertAlign w:val="superscript"/>
        </w:rPr>
        <w:t>4</w:t>
      </w:r>
      <w:r w:rsidR="00BD1946">
        <w:rPr>
          <w:i/>
          <w:iCs/>
          <w:vertAlign w:val="superscript"/>
        </w:rPr>
        <w:t xml:space="preserve"> </w:t>
      </w:r>
      <w:r w:rsidR="00233624" w:rsidRPr="00687558">
        <w:rPr>
          <w:i/>
          <w:iCs/>
        </w:rPr>
        <w:t>$55,000 to &lt; $75,000</w:t>
      </w:r>
    </w:p>
    <w:p w14:paraId="2BF1E5E7" w14:textId="4FEB323E" w:rsidR="006D175E" w:rsidRPr="00334ED6" w:rsidRDefault="006D175E" w:rsidP="00334ED6">
      <w:pPr>
        <w:pStyle w:val="ListParagraph"/>
        <w:numPr>
          <w:ilvl w:val="1"/>
          <w:numId w:val="1"/>
        </w:numPr>
        <w:spacing w:after="120"/>
        <w:ind w:hanging="720"/>
        <w:contextualSpacing w:val="0"/>
        <w:rPr>
          <w:rFonts w:cs="Calibri"/>
          <w:bCs/>
          <w:iCs/>
        </w:rPr>
      </w:pPr>
      <w:r w:rsidRPr="00334ED6">
        <w:rPr>
          <w:rFonts w:cs="Calibri"/>
          <w:bCs/>
          <w:iCs/>
        </w:rPr>
        <w:t>Based on the resubmission’s economic model, treatment with esketamine nasal spray plus a newly initiated oral antidepressant versus treatment with a newly initiated oral antidepressant alone in patients with TRD is associated with an incremental cost per QALY gained of $</w:t>
      </w:r>
      <w:r w:rsidR="008221D4" w:rsidRPr="008221D4">
        <w:rPr>
          <w:rFonts w:cs="Calibri"/>
          <w:bCs/>
          <w:iCs/>
        </w:rPr>
        <w:t>35,000 to &lt; $45,000</w:t>
      </w:r>
      <w:r w:rsidRPr="00334ED6">
        <w:rPr>
          <w:rFonts w:cs="Calibri"/>
          <w:bCs/>
          <w:iCs/>
        </w:rPr>
        <w:t>. This compares to an incremental cost per QALY gained of $</w:t>
      </w:r>
      <w:r w:rsidR="007E195C" w:rsidRPr="007E195C">
        <w:rPr>
          <w:rFonts w:cs="Calibri"/>
          <w:bCs/>
          <w:iCs/>
        </w:rPr>
        <w:t>25,000 to &lt; $35,000</w:t>
      </w:r>
      <w:r w:rsidR="00D70703">
        <w:rPr>
          <w:rFonts w:cs="Calibri"/>
          <w:bCs/>
          <w:iCs/>
        </w:rPr>
        <w:t xml:space="preserve"> </w:t>
      </w:r>
      <w:r w:rsidRPr="00334ED6">
        <w:rPr>
          <w:rFonts w:cs="Calibri"/>
          <w:bCs/>
          <w:iCs/>
        </w:rPr>
        <w:t xml:space="preserve">in the July 2023 resubmission. </w:t>
      </w:r>
    </w:p>
    <w:p w14:paraId="7A0D9FFD" w14:textId="5BE6A1B1" w:rsidR="006D175E" w:rsidRPr="00334ED6" w:rsidRDefault="006D175E" w:rsidP="00334ED6">
      <w:pPr>
        <w:pStyle w:val="ListParagraph"/>
        <w:numPr>
          <w:ilvl w:val="1"/>
          <w:numId w:val="1"/>
        </w:numPr>
        <w:spacing w:after="120"/>
        <w:ind w:hanging="720"/>
        <w:contextualSpacing w:val="0"/>
        <w:rPr>
          <w:rFonts w:cs="Calibri"/>
          <w:bCs/>
          <w:iCs/>
        </w:rPr>
      </w:pPr>
      <w:r w:rsidRPr="00334ED6">
        <w:rPr>
          <w:rFonts w:cs="Calibri"/>
          <w:bCs/>
          <w:iCs/>
        </w:rPr>
        <w:lastRenderedPageBreak/>
        <w:t>Incorporating retreatment and reducing the effective price of esketamine (which reduced the ICER); and allowing a proportion of patients to continue treatment beyond 12 months and using Australian data to inform health care resource use (which increased the ICER) had the largest impacts on the stepped economic evaluation.</w:t>
      </w:r>
      <w:r w:rsidR="007850B0" w:rsidRPr="00334ED6">
        <w:rPr>
          <w:rFonts w:cs="Calibri"/>
          <w:bCs/>
          <w:iCs/>
        </w:rPr>
        <w:t xml:space="preserve"> The incorporation of retreatment in the model improves the cost-effectiveness of esketamine due to the increased proportion of patients who subsequently achieve remission with retreatment, and the </w:t>
      </w:r>
      <w:r w:rsidR="005756C4" w:rsidRPr="00334ED6">
        <w:rPr>
          <w:rFonts w:cs="Calibri"/>
          <w:bCs/>
          <w:iCs/>
        </w:rPr>
        <w:t xml:space="preserve">associated </w:t>
      </w:r>
      <w:r w:rsidR="007850B0" w:rsidRPr="00334ED6">
        <w:rPr>
          <w:rFonts w:cs="Calibri"/>
          <w:bCs/>
          <w:iCs/>
        </w:rPr>
        <w:t>reduction in disease management costs, which offset the additional drug and administration costs of esketamine retreatment.</w:t>
      </w:r>
    </w:p>
    <w:p w14:paraId="77BF9B47" w14:textId="77777777" w:rsidR="006D175E" w:rsidRPr="00334ED6" w:rsidRDefault="006D175E" w:rsidP="00334ED6">
      <w:pPr>
        <w:pStyle w:val="ListParagraph"/>
        <w:numPr>
          <w:ilvl w:val="1"/>
          <w:numId w:val="1"/>
        </w:numPr>
        <w:spacing w:after="120"/>
        <w:ind w:hanging="720"/>
        <w:contextualSpacing w:val="0"/>
        <w:rPr>
          <w:rFonts w:cs="Calibri"/>
          <w:bCs/>
          <w:iCs/>
        </w:rPr>
      </w:pPr>
      <w:r w:rsidRPr="00334ED6">
        <w:rPr>
          <w:rFonts w:cs="Calibri"/>
          <w:bCs/>
          <w:iCs/>
        </w:rPr>
        <w:t>On average, for every patient treated with esketamine plus OAD, compared with OAD alone and followed for up to 5 years, the (undiscounted) economic model estimates that there would be:</w:t>
      </w:r>
    </w:p>
    <w:p w14:paraId="6EA1CC0E" w14:textId="53A9EB0E" w:rsidR="006C2EF3" w:rsidRPr="00D26534" w:rsidRDefault="006C2EF3" w:rsidP="006C2EF3">
      <w:pPr>
        <w:pStyle w:val="COMexecsummbulletlist"/>
        <w:spacing w:after="0"/>
        <w:ind w:left="1077" w:hanging="357"/>
      </w:pPr>
      <w:r w:rsidRPr="00D26534">
        <w:t>Additional drug, administration and adverse event costs of $</w:t>
      </w:r>
      <w:r w:rsidR="00683384" w:rsidRPr="00A34B18">
        <w:rPr>
          <w:color w:val="000000"/>
          <w:w w:val="15"/>
          <w:shd w:val="solid" w:color="000000" w:fill="000000"/>
          <w:fitText w:val="-20" w:id="-892701176"/>
          <w14:textFill>
            <w14:solidFill>
              <w14:srgbClr w14:val="000000">
                <w14:alpha w14:val="100000"/>
              </w14:srgbClr>
            </w14:solidFill>
          </w14:textFill>
        </w:rPr>
        <w:t xml:space="preserve">|  </w:t>
      </w:r>
      <w:r w:rsidR="00683384" w:rsidRPr="00A34B18">
        <w:rPr>
          <w:color w:val="000000"/>
          <w:spacing w:val="-69"/>
          <w:w w:val="15"/>
          <w:shd w:val="solid" w:color="000000" w:fill="000000"/>
          <w:fitText w:val="-20" w:id="-892701176"/>
          <w14:textFill>
            <w14:solidFill>
              <w14:srgbClr w14:val="000000">
                <w14:alpha w14:val="100000"/>
              </w14:srgbClr>
            </w14:solidFill>
          </w14:textFill>
        </w:rPr>
        <w:t>|</w:t>
      </w:r>
      <w:r w:rsidRPr="00D26534">
        <w:t xml:space="preserve">; based on an average duration of treatment of 9.56 months (7.89 months of which was for initial treatment). </w:t>
      </w:r>
    </w:p>
    <w:p w14:paraId="501E1D9C" w14:textId="77777777" w:rsidR="006C2EF3" w:rsidRPr="00D26534" w:rsidRDefault="006C2EF3" w:rsidP="006C2EF3">
      <w:pPr>
        <w:pStyle w:val="COMexecsummbulletlist"/>
        <w:ind w:left="1077" w:hanging="357"/>
      </w:pPr>
      <w:r w:rsidRPr="00D26534">
        <w:t xml:space="preserve">An additional 0.53 years (6.3 months) free from major depressive disorder, which would save $11,902 in disease management costs, and be associated with improved quality of life. </w:t>
      </w:r>
    </w:p>
    <w:p w14:paraId="5AF0A839" w14:textId="055A30BB" w:rsidR="001C1898" w:rsidRPr="00FB181C" w:rsidRDefault="001C1898" w:rsidP="00FB181C">
      <w:pPr>
        <w:pStyle w:val="ListParagraph"/>
        <w:numPr>
          <w:ilvl w:val="1"/>
          <w:numId w:val="1"/>
        </w:numPr>
        <w:spacing w:after="120"/>
        <w:ind w:hanging="720"/>
        <w:contextualSpacing w:val="0"/>
        <w:rPr>
          <w:rFonts w:cs="Calibri"/>
          <w:bCs/>
          <w:iCs/>
        </w:rPr>
      </w:pPr>
      <w:r w:rsidRPr="00FB181C">
        <w:rPr>
          <w:rFonts w:cs="Calibri"/>
          <w:bCs/>
          <w:iCs/>
        </w:rPr>
        <w:t xml:space="preserve">The results of key sensitivity analyses are summarised in </w:t>
      </w:r>
      <w:r w:rsidRPr="00FB181C">
        <w:rPr>
          <w:rFonts w:cs="Calibri"/>
          <w:bCs/>
          <w:iCs/>
        </w:rPr>
        <w:fldChar w:fldCharType="begin" w:fldLock="1"/>
      </w:r>
      <w:r w:rsidRPr="00FB181C">
        <w:rPr>
          <w:rFonts w:cs="Calibri"/>
          <w:bCs/>
          <w:iCs/>
        </w:rPr>
        <w:instrText xml:space="preserve"> REF _Ref104804865 \h </w:instrText>
      </w:r>
      <w:r w:rsidR="00D26534" w:rsidRPr="00FB181C">
        <w:rPr>
          <w:rFonts w:cs="Calibri"/>
          <w:bCs/>
          <w:iCs/>
        </w:rPr>
        <w:instrText xml:space="preserve"> \* MERGEFORMAT </w:instrText>
      </w:r>
      <w:r w:rsidRPr="00FB181C">
        <w:rPr>
          <w:rFonts w:cs="Calibri"/>
          <w:bCs/>
          <w:iCs/>
        </w:rPr>
      </w:r>
      <w:r w:rsidRPr="00FB181C">
        <w:rPr>
          <w:rFonts w:cs="Calibri"/>
          <w:bCs/>
          <w:iCs/>
        </w:rPr>
        <w:fldChar w:fldCharType="separate"/>
      </w:r>
      <w:r w:rsidR="002B3C60" w:rsidRPr="002B3C60">
        <w:rPr>
          <w:rFonts w:cs="Calibri"/>
          <w:bCs/>
          <w:iCs/>
        </w:rPr>
        <w:t>Table 15</w:t>
      </w:r>
      <w:r w:rsidRPr="00FB181C">
        <w:rPr>
          <w:rFonts w:cs="Calibri"/>
          <w:bCs/>
          <w:iCs/>
        </w:rPr>
        <w:fldChar w:fldCharType="end"/>
      </w:r>
      <w:r w:rsidRPr="00FB181C">
        <w:rPr>
          <w:rFonts w:cs="Calibri"/>
          <w:bCs/>
          <w:iCs/>
        </w:rPr>
        <w:t xml:space="preserve"> below.</w:t>
      </w:r>
    </w:p>
    <w:p w14:paraId="681CB6AD" w14:textId="420C03CE" w:rsidR="00665A74" w:rsidRPr="00D26534" w:rsidRDefault="00665A74" w:rsidP="00665A74">
      <w:pPr>
        <w:pStyle w:val="COMTableheadingrow"/>
      </w:pPr>
      <w:bookmarkStart w:id="50" w:name="_Ref104804865"/>
      <w:r w:rsidRPr="00D26534">
        <w:t xml:space="preserve">Table </w:t>
      </w:r>
      <w:r w:rsidRPr="00D26534">
        <w:fldChar w:fldCharType="begin" w:fldLock="1"/>
      </w:r>
      <w:r w:rsidRPr="00D26534">
        <w:instrText xml:space="preserve"> SEQ Table \* ARABIC </w:instrText>
      </w:r>
      <w:r w:rsidRPr="00D26534">
        <w:fldChar w:fldCharType="separate"/>
      </w:r>
      <w:r w:rsidR="002B3C60">
        <w:rPr>
          <w:noProof/>
        </w:rPr>
        <w:t>15</w:t>
      </w:r>
      <w:r w:rsidRPr="00D26534">
        <w:rPr>
          <w:noProof/>
        </w:rPr>
        <w:fldChar w:fldCharType="end"/>
      </w:r>
      <w:bookmarkEnd w:id="50"/>
      <w:r w:rsidRPr="00D26534">
        <w:t>: Results of key sensitivity analyses</w:t>
      </w:r>
    </w:p>
    <w:tbl>
      <w:tblPr>
        <w:tblStyle w:val="TableGrid"/>
        <w:tblW w:w="0" w:type="auto"/>
        <w:tblCellMar>
          <w:left w:w="28" w:type="dxa"/>
          <w:right w:w="28" w:type="dxa"/>
        </w:tblCellMar>
        <w:tblLook w:val="04A0" w:firstRow="1" w:lastRow="0" w:firstColumn="1" w:lastColumn="0" w:noHBand="0" w:noVBand="1"/>
        <w:tblCaption w:val="Table 15: Results of key sensitivity analyses"/>
      </w:tblPr>
      <w:tblGrid>
        <w:gridCol w:w="3822"/>
        <w:gridCol w:w="1298"/>
        <w:gridCol w:w="1299"/>
        <w:gridCol w:w="1298"/>
        <w:gridCol w:w="1299"/>
      </w:tblGrid>
      <w:tr w:rsidR="00665A74" w:rsidRPr="008217F1" w14:paraId="594EF48E" w14:textId="77777777" w:rsidTr="00683384">
        <w:trPr>
          <w:tblHeader/>
        </w:trPr>
        <w:tc>
          <w:tcPr>
            <w:tcW w:w="3822" w:type="dxa"/>
          </w:tcPr>
          <w:p w14:paraId="3099074E" w14:textId="77777777" w:rsidR="00665A74" w:rsidRPr="008217F1" w:rsidRDefault="00665A74" w:rsidP="006813A2">
            <w:pPr>
              <w:pStyle w:val="COMTableheadingrow"/>
              <w:keepNext w:val="0"/>
              <w:rPr>
                <w:lang w:val="en-AU"/>
              </w:rPr>
            </w:pPr>
          </w:p>
        </w:tc>
        <w:tc>
          <w:tcPr>
            <w:tcW w:w="1298" w:type="dxa"/>
            <w:tcBorders>
              <w:bottom w:val="single" w:sz="4" w:space="0" w:color="auto"/>
            </w:tcBorders>
            <w:vAlign w:val="center"/>
          </w:tcPr>
          <w:p w14:paraId="79BA09DC" w14:textId="4BF7ADD1" w:rsidR="00665A74" w:rsidRPr="008217F1" w:rsidRDefault="00665A74" w:rsidP="006813A2">
            <w:pPr>
              <w:pStyle w:val="COMTableheadingrow"/>
              <w:keepNext w:val="0"/>
              <w:jc w:val="center"/>
              <w:rPr>
                <w:lang w:val="en-AU"/>
              </w:rPr>
            </w:pPr>
            <w:r w:rsidRPr="008217F1">
              <w:rPr>
                <w:lang w:val="en-AU"/>
              </w:rPr>
              <w:t>Incremental cost</w:t>
            </w:r>
            <w:r w:rsidR="00941473">
              <w:rPr>
                <w:lang w:val="en-AU"/>
              </w:rPr>
              <w:t xml:space="preserve"> ($)</w:t>
            </w:r>
          </w:p>
        </w:tc>
        <w:tc>
          <w:tcPr>
            <w:tcW w:w="1299" w:type="dxa"/>
            <w:vAlign w:val="center"/>
          </w:tcPr>
          <w:p w14:paraId="7119248C" w14:textId="77777777" w:rsidR="00665A74" w:rsidRPr="008217F1" w:rsidRDefault="00665A74" w:rsidP="006813A2">
            <w:pPr>
              <w:pStyle w:val="COMTableheadingrow"/>
              <w:keepNext w:val="0"/>
              <w:jc w:val="center"/>
              <w:rPr>
                <w:lang w:val="en-AU"/>
              </w:rPr>
            </w:pPr>
            <w:r w:rsidRPr="008217F1">
              <w:rPr>
                <w:lang w:val="en-AU"/>
              </w:rPr>
              <w:t>Incremental QALYs</w:t>
            </w:r>
          </w:p>
        </w:tc>
        <w:tc>
          <w:tcPr>
            <w:tcW w:w="1298" w:type="dxa"/>
            <w:vAlign w:val="center"/>
          </w:tcPr>
          <w:p w14:paraId="6C9BF0CA" w14:textId="77777777" w:rsidR="00665A74" w:rsidRPr="008217F1" w:rsidRDefault="00665A74" w:rsidP="006813A2">
            <w:pPr>
              <w:pStyle w:val="COMTableheadingrow"/>
              <w:keepNext w:val="0"/>
              <w:jc w:val="center"/>
              <w:rPr>
                <w:lang w:val="en-AU"/>
              </w:rPr>
            </w:pPr>
            <w:r w:rsidRPr="008217F1">
              <w:rPr>
                <w:lang w:val="en-AU"/>
              </w:rPr>
              <w:t>ICER</w:t>
            </w:r>
          </w:p>
        </w:tc>
        <w:tc>
          <w:tcPr>
            <w:tcW w:w="1299" w:type="dxa"/>
            <w:vAlign w:val="center"/>
          </w:tcPr>
          <w:p w14:paraId="35715ECF" w14:textId="77777777" w:rsidR="00665A74" w:rsidRPr="008217F1" w:rsidRDefault="00665A74" w:rsidP="006813A2">
            <w:pPr>
              <w:pStyle w:val="COMTableheadingrow"/>
              <w:keepNext w:val="0"/>
              <w:jc w:val="center"/>
              <w:rPr>
                <w:lang w:val="en-AU"/>
              </w:rPr>
            </w:pPr>
            <w:r w:rsidRPr="008217F1">
              <w:rPr>
                <w:lang w:val="en-AU"/>
              </w:rPr>
              <w:t>% change in ICER</w:t>
            </w:r>
          </w:p>
        </w:tc>
      </w:tr>
      <w:tr w:rsidR="00665A74" w:rsidRPr="008217F1" w14:paraId="68FF843D" w14:textId="77777777" w:rsidTr="00683384">
        <w:tc>
          <w:tcPr>
            <w:tcW w:w="3822" w:type="dxa"/>
          </w:tcPr>
          <w:p w14:paraId="4508BEC2" w14:textId="77777777" w:rsidR="00665A74" w:rsidRPr="008217F1" w:rsidRDefault="00665A74" w:rsidP="006813A2">
            <w:pPr>
              <w:pStyle w:val="COMTableheadingrow"/>
              <w:keepNext w:val="0"/>
              <w:rPr>
                <w:lang w:val="en-AU"/>
              </w:rPr>
            </w:pPr>
            <w:r w:rsidRPr="008217F1">
              <w:rPr>
                <w:lang w:val="en-AU"/>
              </w:rPr>
              <w:t>Base case</w:t>
            </w:r>
          </w:p>
        </w:tc>
        <w:tc>
          <w:tcPr>
            <w:tcW w:w="1298" w:type="dxa"/>
            <w:shd w:val="solid" w:color="000000" w:fill="000000"/>
            <w:vAlign w:val="center"/>
          </w:tcPr>
          <w:p w14:paraId="7B8AE3C7" w14:textId="67A9C44F" w:rsidR="00665A74" w:rsidRPr="008217F1" w:rsidRDefault="00683384" w:rsidP="006813A2">
            <w:pPr>
              <w:pStyle w:val="COMTableheadingrow"/>
              <w:keepNext w:val="0"/>
              <w:jc w:val="center"/>
              <w:rPr>
                <w:lang w:val="en-AU"/>
              </w:rPr>
            </w:pPr>
            <w:r w:rsidRPr="00683384">
              <w:rPr>
                <w:color w:val="000000"/>
                <w:lang w:val="en-AU"/>
                <w14:textFill>
                  <w14:solidFill>
                    <w14:srgbClr w14:val="000000">
                      <w14:alpha w14:val="100000"/>
                    </w14:srgbClr>
                  </w14:solidFill>
                </w14:textFill>
              </w:rPr>
              <w:t>|</w:t>
            </w:r>
          </w:p>
        </w:tc>
        <w:tc>
          <w:tcPr>
            <w:tcW w:w="1299" w:type="dxa"/>
            <w:vAlign w:val="center"/>
          </w:tcPr>
          <w:p w14:paraId="1A513831" w14:textId="77777777" w:rsidR="00665A74" w:rsidRPr="008217F1" w:rsidRDefault="00665A74" w:rsidP="006813A2">
            <w:pPr>
              <w:pStyle w:val="COMTableheadingrow"/>
              <w:keepNext w:val="0"/>
              <w:jc w:val="center"/>
              <w:rPr>
                <w:lang w:val="en-AU"/>
              </w:rPr>
            </w:pPr>
            <w:r w:rsidRPr="008217F1">
              <w:rPr>
                <w:lang w:val="en-AU"/>
              </w:rPr>
              <w:t>0.2050</w:t>
            </w:r>
          </w:p>
        </w:tc>
        <w:tc>
          <w:tcPr>
            <w:tcW w:w="1298" w:type="dxa"/>
            <w:vAlign w:val="center"/>
          </w:tcPr>
          <w:p w14:paraId="38E55CAF" w14:textId="06EF28E5" w:rsidR="00665A74" w:rsidRPr="008D2AC7" w:rsidRDefault="00683384" w:rsidP="006813A2">
            <w:pPr>
              <w:pStyle w:val="COMTableheadingrow"/>
              <w:keepNext w:val="0"/>
              <w:jc w:val="center"/>
              <w:rPr>
                <w:highlight w:val="lightGray"/>
                <w:lang w:val="en-AU"/>
              </w:rPr>
            </w:pPr>
            <w:r w:rsidRPr="00A34B18">
              <w:rPr>
                <w:rFonts w:hint="eastAsia"/>
                <w:color w:val="000000"/>
                <w:w w:val="15"/>
                <w:shd w:val="solid" w:color="000000" w:fill="000000"/>
                <w:fitText w:val="10" w:id="-892701175"/>
                <w:lang w:val="en-AU"/>
                <w14:textFill>
                  <w14:solidFill>
                    <w14:srgbClr w14:val="000000">
                      <w14:alpha w14:val="100000"/>
                    </w14:srgbClr>
                  </w14:solidFill>
                </w14:textFill>
              </w:rPr>
              <w:t xml:space="preserve">　</w:t>
            </w:r>
            <w:r w:rsidRPr="00A34B18">
              <w:rPr>
                <w:color w:val="000000"/>
                <w:w w:val="15"/>
                <w:shd w:val="solid" w:color="000000" w:fill="000000"/>
                <w:fitText w:val="10" w:id="-892701175"/>
                <w:lang w:val="en-AU"/>
                <w14:textFill>
                  <w14:solidFill>
                    <w14:srgbClr w14:val="000000">
                      <w14:alpha w14:val="100000"/>
                    </w14:srgbClr>
                  </w14:solidFill>
                </w14:textFill>
              </w:rPr>
              <w:t>|</w:t>
            </w:r>
            <w:r w:rsidRPr="00A34B18">
              <w:rPr>
                <w:rFonts w:hint="eastAsia"/>
                <w:color w:val="000000"/>
                <w:spacing w:val="-56"/>
                <w:w w:val="15"/>
                <w:shd w:val="solid" w:color="000000" w:fill="000000"/>
                <w:fitText w:val="10" w:id="-892701175"/>
                <w:lang w:val="en-AU"/>
                <w14:textFill>
                  <w14:solidFill>
                    <w14:srgbClr w14:val="000000">
                      <w14:alpha w14:val="100000"/>
                    </w14:srgbClr>
                  </w14:solidFill>
                </w14:textFill>
              </w:rPr>
              <w:t xml:space="preserve">　</w:t>
            </w:r>
            <w:r w:rsidR="00BE4114" w:rsidRPr="008D2AC7">
              <w:rPr>
                <w:vertAlign w:val="superscript"/>
                <w:lang w:val="en-AU"/>
              </w:rPr>
              <w:t>1</w:t>
            </w:r>
          </w:p>
        </w:tc>
        <w:tc>
          <w:tcPr>
            <w:tcW w:w="1299" w:type="dxa"/>
            <w:vAlign w:val="center"/>
          </w:tcPr>
          <w:p w14:paraId="522177D8" w14:textId="77777777" w:rsidR="00665A74" w:rsidRPr="008217F1" w:rsidRDefault="00665A74" w:rsidP="006813A2">
            <w:pPr>
              <w:pStyle w:val="COMTableheadingrow"/>
              <w:keepNext w:val="0"/>
              <w:jc w:val="center"/>
              <w:rPr>
                <w:lang w:val="en-AU"/>
              </w:rPr>
            </w:pPr>
            <w:r w:rsidRPr="008217F1">
              <w:rPr>
                <w:lang w:val="en-AU"/>
              </w:rPr>
              <w:t>-</w:t>
            </w:r>
          </w:p>
        </w:tc>
      </w:tr>
      <w:tr w:rsidR="00665A74" w:rsidRPr="008217F1" w14:paraId="4BA1E431" w14:textId="77777777" w:rsidTr="006813A2">
        <w:tc>
          <w:tcPr>
            <w:tcW w:w="9016" w:type="dxa"/>
            <w:gridSpan w:val="5"/>
          </w:tcPr>
          <w:p w14:paraId="2D811225" w14:textId="77777777" w:rsidR="00665A74" w:rsidRPr="008217F1" w:rsidRDefault="00665A74" w:rsidP="006813A2">
            <w:pPr>
              <w:pStyle w:val="COMTableheadingrow"/>
              <w:keepNext w:val="0"/>
              <w:rPr>
                <w:b w:val="0"/>
                <w:bCs/>
                <w:lang w:val="en-AU"/>
              </w:rPr>
            </w:pPr>
            <w:r w:rsidRPr="008217F1">
              <w:rPr>
                <w:lang w:val="en-AU"/>
              </w:rPr>
              <w:t>Discount rate (base case: 5%)</w:t>
            </w:r>
          </w:p>
        </w:tc>
      </w:tr>
      <w:tr w:rsidR="00665A74" w:rsidRPr="008217F1" w14:paraId="2976CF92" w14:textId="77777777" w:rsidTr="00683384">
        <w:tc>
          <w:tcPr>
            <w:tcW w:w="3822" w:type="dxa"/>
          </w:tcPr>
          <w:p w14:paraId="1CBC01F9" w14:textId="77777777" w:rsidR="00665A74" w:rsidRPr="008217F1" w:rsidRDefault="00665A74" w:rsidP="006813A2">
            <w:pPr>
              <w:pStyle w:val="COMTableheadingrow"/>
              <w:keepNext w:val="0"/>
              <w:rPr>
                <w:b w:val="0"/>
                <w:bCs/>
                <w:lang w:val="en-AU"/>
              </w:rPr>
            </w:pPr>
            <w:r w:rsidRPr="008217F1">
              <w:rPr>
                <w:b w:val="0"/>
                <w:bCs/>
                <w:lang w:val="en-AU"/>
              </w:rPr>
              <w:t>0%</w:t>
            </w:r>
          </w:p>
        </w:tc>
        <w:tc>
          <w:tcPr>
            <w:tcW w:w="1298" w:type="dxa"/>
            <w:tcBorders>
              <w:bottom w:val="single" w:sz="4" w:space="0" w:color="auto"/>
            </w:tcBorders>
            <w:shd w:val="solid" w:color="000000" w:fill="000000"/>
            <w:vAlign w:val="center"/>
          </w:tcPr>
          <w:p w14:paraId="73A45C96" w14:textId="5CA772D6" w:rsidR="00665A74" w:rsidRPr="008D2AC7" w:rsidRDefault="00683384" w:rsidP="006813A2">
            <w:pPr>
              <w:pStyle w:val="COMTableheadingrow"/>
              <w:keepNext w:val="0"/>
              <w:jc w:val="center"/>
              <w:rPr>
                <w:b w:val="0"/>
                <w:bCs/>
                <w:highlight w:val="lightGray"/>
                <w:lang w:val="en-AU"/>
              </w:rPr>
            </w:pPr>
            <w:r w:rsidRPr="00683384">
              <w:rPr>
                <w:b w:val="0"/>
                <w:bCs/>
                <w:color w:val="000000"/>
                <w:lang w:val="en-AU"/>
                <w14:textFill>
                  <w14:solidFill>
                    <w14:srgbClr w14:val="000000">
                      <w14:alpha w14:val="100000"/>
                    </w14:srgbClr>
                  </w14:solidFill>
                </w14:textFill>
              </w:rPr>
              <w:t>|</w:t>
            </w:r>
          </w:p>
        </w:tc>
        <w:tc>
          <w:tcPr>
            <w:tcW w:w="1299" w:type="dxa"/>
            <w:vAlign w:val="center"/>
          </w:tcPr>
          <w:p w14:paraId="0380CA00" w14:textId="77777777" w:rsidR="00665A74" w:rsidRPr="008217F1" w:rsidRDefault="00665A74" w:rsidP="006813A2">
            <w:pPr>
              <w:pStyle w:val="COMTableheadingrow"/>
              <w:keepNext w:val="0"/>
              <w:jc w:val="center"/>
              <w:rPr>
                <w:b w:val="0"/>
                <w:bCs/>
                <w:lang w:val="en-AU"/>
              </w:rPr>
            </w:pPr>
            <w:r w:rsidRPr="008217F1">
              <w:rPr>
                <w:b w:val="0"/>
                <w:bCs/>
                <w:lang w:val="en-AU"/>
              </w:rPr>
              <w:t>0.2203</w:t>
            </w:r>
          </w:p>
        </w:tc>
        <w:tc>
          <w:tcPr>
            <w:tcW w:w="1298" w:type="dxa"/>
            <w:vAlign w:val="center"/>
          </w:tcPr>
          <w:p w14:paraId="7ED21DDD" w14:textId="7FFCD823" w:rsidR="00665A74" w:rsidRPr="008D2AC7" w:rsidRDefault="00683384" w:rsidP="006813A2">
            <w:pPr>
              <w:pStyle w:val="COMTableheadingrow"/>
              <w:keepNext w:val="0"/>
              <w:jc w:val="center"/>
              <w:rPr>
                <w:b w:val="0"/>
                <w:bCs/>
                <w:highlight w:val="lightGray"/>
                <w:lang w:val="en-AU"/>
              </w:rPr>
            </w:pPr>
            <w:r w:rsidRPr="00683384">
              <w:rPr>
                <w:b w:val="0"/>
                <w:bCs/>
                <w:color w:val="000000"/>
                <w:shd w:val="solid" w:color="000000" w:fill="000000"/>
                <w:lang w:val="en-AU"/>
                <w14:textFill>
                  <w14:solidFill>
                    <w14:srgbClr w14:val="000000">
                      <w14:alpha w14:val="100000"/>
                    </w14:srgbClr>
                  </w14:solidFill>
                </w14:textFill>
              </w:rPr>
              <w:t>|</w:t>
            </w:r>
            <w:r w:rsidR="001E0447" w:rsidRPr="00A96044">
              <w:rPr>
                <w:vertAlign w:val="superscript"/>
                <w:lang w:val="en-AU"/>
              </w:rPr>
              <w:t>1</w:t>
            </w:r>
          </w:p>
        </w:tc>
        <w:tc>
          <w:tcPr>
            <w:tcW w:w="1299" w:type="dxa"/>
            <w:vAlign w:val="center"/>
          </w:tcPr>
          <w:p w14:paraId="5DD0AC82" w14:textId="2C614C0D" w:rsidR="00665A74" w:rsidRPr="008217F1" w:rsidRDefault="00665A74" w:rsidP="006813A2">
            <w:pPr>
              <w:pStyle w:val="COMTableheadingrow"/>
              <w:keepNext w:val="0"/>
              <w:jc w:val="center"/>
              <w:rPr>
                <w:b w:val="0"/>
                <w:bCs/>
                <w:lang w:val="en-AU"/>
              </w:rPr>
            </w:pPr>
            <w:r w:rsidRPr="008217F1">
              <w:rPr>
                <w:b w:val="0"/>
                <w:bCs/>
                <w:lang w:val="en-AU"/>
              </w:rPr>
              <w:t>-</w:t>
            </w:r>
            <w:r w:rsidR="00683384" w:rsidRPr="00A34B18">
              <w:rPr>
                <w:rFonts w:hint="eastAsia"/>
                <w:b w:val="0"/>
                <w:bCs/>
                <w:color w:val="000000"/>
                <w:w w:val="15"/>
                <w:shd w:val="solid" w:color="000000" w:fill="000000"/>
                <w:fitText w:val="20" w:id="-892701174"/>
                <w:lang w:val="en-AU"/>
                <w14:textFill>
                  <w14:solidFill>
                    <w14:srgbClr w14:val="000000">
                      <w14:alpha w14:val="100000"/>
                    </w14:srgbClr>
                  </w14:solidFill>
                </w14:textFill>
              </w:rPr>
              <w:t xml:space="preserve">　</w:t>
            </w:r>
            <w:r w:rsidR="00683384" w:rsidRPr="00A34B18">
              <w:rPr>
                <w:b w:val="0"/>
                <w:bCs/>
                <w:color w:val="000000"/>
                <w:w w:val="15"/>
                <w:shd w:val="solid" w:color="000000" w:fill="000000"/>
                <w:fitText w:val="20" w:id="-892701174"/>
                <w:lang w:val="en-AU"/>
                <w14:textFill>
                  <w14:solidFill>
                    <w14:srgbClr w14:val="000000">
                      <w14:alpha w14:val="100000"/>
                    </w14:srgbClr>
                  </w14:solidFill>
                </w14:textFill>
              </w:rPr>
              <w:t>|</w:t>
            </w:r>
            <w:r w:rsidR="00683384" w:rsidRPr="00A34B18">
              <w:rPr>
                <w:rFonts w:hint="eastAsia"/>
                <w:b w:val="0"/>
                <w:bCs/>
                <w:color w:val="000000"/>
                <w:spacing w:val="-45"/>
                <w:w w:val="15"/>
                <w:shd w:val="solid" w:color="000000" w:fill="000000"/>
                <w:fitText w:val="20" w:id="-892701174"/>
                <w:lang w:val="en-AU"/>
                <w14:textFill>
                  <w14:solidFill>
                    <w14:srgbClr w14:val="000000">
                      <w14:alpha w14:val="100000"/>
                    </w14:srgbClr>
                  </w14:solidFill>
                </w14:textFill>
              </w:rPr>
              <w:t xml:space="preserve">　</w:t>
            </w:r>
            <w:r w:rsidRPr="008217F1">
              <w:rPr>
                <w:b w:val="0"/>
                <w:bCs/>
                <w:lang w:val="en-AU"/>
              </w:rPr>
              <w:t>%</w:t>
            </w:r>
          </w:p>
        </w:tc>
      </w:tr>
      <w:tr w:rsidR="00665A74" w:rsidRPr="008217F1" w14:paraId="4E813FD1" w14:textId="77777777" w:rsidTr="00683384">
        <w:tc>
          <w:tcPr>
            <w:tcW w:w="3822" w:type="dxa"/>
          </w:tcPr>
          <w:p w14:paraId="4E05CD6F" w14:textId="77777777" w:rsidR="00665A74" w:rsidRPr="008217F1" w:rsidRDefault="00665A74" w:rsidP="006813A2">
            <w:pPr>
              <w:pStyle w:val="COMTableheadingrow"/>
              <w:keepNext w:val="0"/>
              <w:rPr>
                <w:b w:val="0"/>
                <w:bCs/>
                <w:lang w:val="en-AU"/>
              </w:rPr>
            </w:pPr>
            <w:r w:rsidRPr="008217F1">
              <w:rPr>
                <w:b w:val="0"/>
                <w:bCs/>
                <w:lang w:val="en-AU"/>
              </w:rPr>
              <w:t>3.5%</w:t>
            </w:r>
          </w:p>
        </w:tc>
        <w:tc>
          <w:tcPr>
            <w:tcW w:w="1298" w:type="dxa"/>
            <w:shd w:val="solid" w:color="000000" w:fill="000000"/>
            <w:vAlign w:val="center"/>
          </w:tcPr>
          <w:p w14:paraId="4FA6FA68" w14:textId="402FDFED" w:rsidR="00665A74" w:rsidRPr="008D2AC7" w:rsidRDefault="00683384" w:rsidP="006813A2">
            <w:pPr>
              <w:pStyle w:val="COMTableheadingrow"/>
              <w:keepNext w:val="0"/>
              <w:jc w:val="center"/>
              <w:rPr>
                <w:b w:val="0"/>
                <w:bCs/>
                <w:highlight w:val="lightGray"/>
                <w:lang w:val="en-AU"/>
              </w:rPr>
            </w:pPr>
            <w:r w:rsidRPr="00683384">
              <w:rPr>
                <w:b w:val="0"/>
                <w:bCs/>
                <w:color w:val="000000"/>
                <w:lang w:val="en-AU"/>
                <w14:textFill>
                  <w14:solidFill>
                    <w14:srgbClr w14:val="000000">
                      <w14:alpha w14:val="100000"/>
                    </w14:srgbClr>
                  </w14:solidFill>
                </w14:textFill>
              </w:rPr>
              <w:t>|</w:t>
            </w:r>
          </w:p>
        </w:tc>
        <w:tc>
          <w:tcPr>
            <w:tcW w:w="1299" w:type="dxa"/>
            <w:vAlign w:val="center"/>
          </w:tcPr>
          <w:p w14:paraId="53E154E0" w14:textId="77777777" w:rsidR="00665A74" w:rsidRPr="008217F1" w:rsidRDefault="00665A74" w:rsidP="006813A2">
            <w:pPr>
              <w:pStyle w:val="COMTableheadingrow"/>
              <w:keepNext w:val="0"/>
              <w:jc w:val="center"/>
              <w:rPr>
                <w:b w:val="0"/>
                <w:bCs/>
                <w:lang w:val="en-AU"/>
              </w:rPr>
            </w:pPr>
            <w:r w:rsidRPr="008217F1">
              <w:rPr>
                <w:b w:val="0"/>
                <w:bCs/>
                <w:lang w:val="en-AU"/>
              </w:rPr>
              <w:t>0.2093</w:t>
            </w:r>
          </w:p>
        </w:tc>
        <w:tc>
          <w:tcPr>
            <w:tcW w:w="1298" w:type="dxa"/>
            <w:vAlign w:val="center"/>
          </w:tcPr>
          <w:p w14:paraId="06820133" w14:textId="60201C12" w:rsidR="00665A74" w:rsidRPr="008D2AC7" w:rsidRDefault="00683384" w:rsidP="006813A2">
            <w:pPr>
              <w:pStyle w:val="COMTableheadingrow"/>
              <w:keepNext w:val="0"/>
              <w:jc w:val="center"/>
              <w:rPr>
                <w:b w:val="0"/>
                <w:bCs/>
                <w:highlight w:val="lightGray"/>
                <w:lang w:val="en-AU"/>
              </w:rPr>
            </w:pPr>
            <w:r w:rsidRPr="00683384">
              <w:rPr>
                <w:b w:val="0"/>
                <w:bCs/>
                <w:color w:val="000000"/>
                <w:shd w:val="solid" w:color="000000" w:fill="000000"/>
                <w:lang w:val="en-AU"/>
                <w14:textFill>
                  <w14:solidFill>
                    <w14:srgbClr w14:val="000000">
                      <w14:alpha w14:val="100000"/>
                    </w14:srgbClr>
                  </w14:solidFill>
                </w14:textFill>
              </w:rPr>
              <w:t>|</w:t>
            </w:r>
            <w:r w:rsidR="001E0447" w:rsidRPr="00A96044">
              <w:rPr>
                <w:vertAlign w:val="superscript"/>
                <w:lang w:val="en-AU"/>
              </w:rPr>
              <w:t>1</w:t>
            </w:r>
          </w:p>
        </w:tc>
        <w:tc>
          <w:tcPr>
            <w:tcW w:w="1299" w:type="dxa"/>
            <w:vAlign w:val="center"/>
          </w:tcPr>
          <w:p w14:paraId="4474C39D" w14:textId="0B14A1EB" w:rsidR="00665A74" w:rsidRPr="008217F1" w:rsidRDefault="00665A74" w:rsidP="006813A2">
            <w:pPr>
              <w:pStyle w:val="COMTableheadingrow"/>
              <w:keepNext w:val="0"/>
              <w:jc w:val="center"/>
              <w:rPr>
                <w:b w:val="0"/>
                <w:bCs/>
                <w:lang w:val="en-AU"/>
              </w:rPr>
            </w:pPr>
            <w:r w:rsidRPr="008217F1">
              <w:rPr>
                <w:b w:val="0"/>
                <w:bCs/>
                <w:lang w:val="en-AU"/>
              </w:rPr>
              <w:t>-</w:t>
            </w:r>
            <w:r w:rsidR="00683384" w:rsidRPr="00A34B18">
              <w:rPr>
                <w:rFonts w:hint="eastAsia"/>
                <w:b w:val="0"/>
                <w:bCs/>
                <w:color w:val="000000"/>
                <w:w w:val="15"/>
                <w:shd w:val="solid" w:color="000000" w:fill="000000"/>
                <w:fitText w:val="20" w:id="-892701173"/>
                <w:lang w:val="en-AU"/>
                <w14:textFill>
                  <w14:solidFill>
                    <w14:srgbClr w14:val="000000">
                      <w14:alpha w14:val="100000"/>
                    </w14:srgbClr>
                  </w14:solidFill>
                </w14:textFill>
              </w:rPr>
              <w:t xml:space="preserve">　</w:t>
            </w:r>
            <w:r w:rsidR="00683384" w:rsidRPr="00A34B18">
              <w:rPr>
                <w:b w:val="0"/>
                <w:bCs/>
                <w:color w:val="000000"/>
                <w:w w:val="15"/>
                <w:shd w:val="solid" w:color="000000" w:fill="000000"/>
                <w:fitText w:val="20" w:id="-892701173"/>
                <w:lang w:val="en-AU"/>
                <w14:textFill>
                  <w14:solidFill>
                    <w14:srgbClr w14:val="000000">
                      <w14:alpha w14:val="100000"/>
                    </w14:srgbClr>
                  </w14:solidFill>
                </w14:textFill>
              </w:rPr>
              <w:t>|</w:t>
            </w:r>
            <w:r w:rsidR="00683384" w:rsidRPr="00A34B18">
              <w:rPr>
                <w:rFonts w:hint="eastAsia"/>
                <w:b w:val="0"/>
                <w:bCs/>
                <w:color w:val="000000"/>
                <w:spacing w:val="-45"/>
                <w:w w:val="15"/>
                <w:shd w:val="solid" w:color="000000" w:fill="000000"/>
                <w:fitText w:val="20" w:id="-892701173"/>
                <w:lang w:val="en-AU"/>
                <w14:textFill>
                  <w14:solidFill>
                    <w14:srgbClr w14:val="000000">
                      <w14:alpha w14:val="100000"/>
                    </w14:srgbClr>
                  </w14:solidFill>
                </w14:textFill>
              </w:rPr>
              <w:t xml:space="preserve">　</w:t>
            </w:r>
            <w:r w:rsidRPr="008217F1">
              <w:rPr>
                <w:b w:val="0"/>
                <w:bCs/>
                <w:lang w:val="en-AU"/>
              </w:rPr>
              <w:t>%</w:t>
            </w:r>
          </w:p>
        </w:tc>
      </w:tr>
      <w:tr w:rsidR="00665A74" w:rsidRPr="008217F1" w14:paraId="18D1A429" w14:textId="77777777" w:rsidTr="006813A2">
        <w:tc>
          <w:tcPr>
            <w:tcW w:w="9016" w:type="dxa"/>
            <w:gridSpan w:val="5"/>
          </w:tcPr>
          <w:p w14:paraId="4F7A1056" w14:textId="77777777" w:rsidR="00665A74" w:rsidRPr="008217F1" w:rsidRDefault="00665A74" w:rsidP="006813A2">
            <w:pPr>
              <w:pStyle w:val="COMTableheadingrow"/>
              <w:keepNext w:val="0"/>
              <w:rPr>
                <w:b w:val="0"/>
                <w:bCs/>
                <w:lang w:val="en-AU"/>
              </w:rPr>
            </w:pPr>
            <w:r w:rsidRPr="008217F1">
              <w:rPr>
                <w:lang w:val="en-AU"/>
              </w:rPr>
              <w:t>Time horizon (base case: 5 years)</w:t>
            </w:r>
          </w:p>
        </w:tc>
      </w:tr>
      <w:tr w:rsidR="00665A74" w:rsidRPr="008217F1" w14:paraId="77CB0EDE" w14:textId="77777777" w:rsidTr="00683384">
        <w:tc>
          <w:tcPr>
            <w:tcW w:w="3822" w:type="dxa"/>
          </w:tcPr>
          <w:p w14:paraId="3D938878" w14:textId="77777777" w:rsidR="00665A74" w:rsidRPr="008217F1" w:rsidRDefault="00665A74" w:rsidP="006813A2">
            <w:pPr>
              <w:pStyle w:val="COMTableheadingrow"/>
              <w:keepNext w:val="0"/>
              <w:rPr>
                <w:b w:val="0"/>
                <w:bCs/>
                <w:lang w:val="en-AU"/>
              </w:rPr>
            </w:pPr>
            <w:r w:rsidRPr="008217F1">
              <w:rPr>
                <w:b w:val="0"/>
                <w:bCs/>
                <w:lang w:val="en-AU"/>
              </w:rPr>
              <w:t>1 year</w:t>
            </w:r>
          </w:p>
        </w:tc>
        <w:tc>
          <w:tcPr>
            <w:tcW w:w="1298" w:type="dxa"/>
            <w:tcBorders>
              <w:bottom w:val="single" w:sz="4" w:space="0" w:color="auto"/>
            </w:tcBorders>
            <w:shd w:val="solid" w:color="000000" w:fill="000000"/>
            <w:vAlign w:val="center"/>
          </w:tcPr>
          <w:p w14:paraId="5FE739AF" w14:textId="388BDAEB" w:rsidR="00665A74" w:rsidRPr="008D2AC7" w:rsidRDefault="00683384" w:rsidP="006813A2">
            <w:pPr>
              <w:pStyle w:val="COMTableheadingrow"/>
              <w:keepNext w:val="0"/>
              <w:jc w:val="center"/>
              <w:rPr>
                <w:b w:val="0"/>
                <w:bCs/>
                <w:highlight w:val="lightGray"/>
                <w:lang w:val="en-AU"/>
              </w:rPr>
            </w:pPr>
            <w:r w:rsidRPr="00683384">
              <w:rPr>
                <w:b w:val="0"/>
                <w:bCs/>
                <w:color w:val="000000"/>
                <w:lang w:val="en-AU"/>
                <w14:textFill>
                  <w14:solidFill>
                    <w14:srgbClr w14:val="000000">
                      <w14:alpha w14:val="100000"/>
                    </w14:srgbClr>
                  </w14:solidFill>
                </w14:textFill>
              </w:rPr>
              <w:t>|</w:t>
            </w:r>
          </w:p>
        </w:tc>
        <w:tc>
          <w:tcPr>
            <w:tcW w:w="1299" w:type="dxa"/>
            <w:vAlign w:val="center"/>
          </w:tcPr>
          <w:p w14:paraId="449CE376" w14:textId="77777777" w:rsidR="00665A74" w:rsidRPr="008217F1" w:rsidRDefault="00665A74" w:rsidP="006813A2">
            <w:pPr>
              <w:pStyle w:val="COMTableheadingrow"/>
              <w:keepNext w:val="0"/>
              <w:jc w:val="center"/>
              <w:rPr>
                <w:b w:val="0"/>
                <w:bCs/>
                <w:lang w:val="en-AU"/>
              </w:rPr>
            </w:pPr>
            <w:r w:rsidRPr="008217F1">
              <w:rPr>
                <w:b w:val="0"/>
                <w:bCs/>
                <w:lang w:val="en-AU"/>
              </w:rPr>
              <w:t>0.0705</w:t>
            </w:r>
          </w:p>
        </w:tc>
        <w:tc>
          <w:tcPr>
            <w:tcW w:w="1298" w:type="dxa"/>
            <w:vAlign w:val="center"/>
          </w:tcPr>
          <w:p w14:paraId="51CF0D7E" w14:textId="5D1DCDEB" w:rsidR="00665A74" w:rsidRPr="008D2AC7" w:rsidRDefault="00683384" w:rsidP="006813A2">
            <w:pPr>
              <w:pStyle w:val="COMTableheadingrow"/>
              <w:keepNext w:val="0"/>
              <w:jc w:val="center"/>
              <w:rPr>
                <w:b w:val="0"/>
                <w:bCs/>
                <w:highlight w:val="lightGray"/>
                <w:lang w:val="en-AU"/>
              </w:rPr>
            </w:pPr>
            <w:r w:rsidRPr="00683384">
              <w:rPr>
                <w:b w:val="0"/>
                <w:bCs/>
                <w:color w:val="000000"/>
                <w:shd w:val="solid" w:color="000000" w:fill="000000"/>
                <w:lang w:val="en-AU"/>
                <w14:textFill>
                  <w14:solidFill>
                    <w14:srgbClr w14:val="000000">
                      <w14:alpha w14:val="100000"/>
                    </w14:srgbClr>
                  </w14:solidFill>
                </w14:textFill>
              </w:rPr>
              <w:t>|</w:t>
            </w:r>
            <w:r w:rsidR="001E0447" w:rsidRPr="008D2AC7">
              <w:rPr>
                <w:b w:val="0"/>
                <w:bCs/>
                <w:vertAlign w:val="superscript"/>
                <w:lang w:val="en-AU"/>
              </w:rPr>
              <w:t>2</w:t>
            </w:r>
          </w:p>
        </w:tc>
        <w:tc>
          <w:tcPr>
            <w:tcW w:w="1299" w:type="dxa"/>
            <w:vAlign w:val="center"/>
          </w:tcPr>
          <w:p w14:paraId="0F457CA2" w14:textId="46D28226" w:rsidR="00665A74" w:rsidRPr="008217F1" w:rsidRDefault="00665A74" w:rsidP="006813A2">
            <w:pPr>
              <w:pStyle w:val="COMTableheadingrow"/>
              <w:keepNext w:val="0"/>
              <w:jc w:val="center"/>
              <w:rPr>
                <w:b w:val="0"/>
                <w:bCs/>
                <w:lang w:val="en-AU"/>
              </w:rPr>
            </w:pPr>
            <w:r w:rsidRPr="008217F1">
              <w:rPr>
                <w:b w:val="0"/>
                <w:bCs/>
                <w:lang w:val="en-AU"/>
              </w:rPr>
              <w:t>+</w:t>
            </w:r>
            <w:r w:rsidR="00683384" w:rsidRPr="00683384">
              <w:rPr>
                <w:rFonts w:hint="eastAsia"/>
                <w:b w:val="0"/>
                <w:bCs/>
                <w:color w:val="000000"/>
                <w:w w:val="15"/>
                <w:shd w:val="solid" w:color="000000" w:fill="000000"/>
                <w:fitText w:val="50" w:id="-892701172"/>
                <w:lang w:val="en-AU"/>
                <w14:textFill>
                  <w14:solidFill>
                    <w14:srgbClr w14:val="000000">
                      <w14:alpha w14:val="100000"/>
                    </w14:srgbClr>
                  </w14:solidFill>
                </w14:textFill>
              </w:rPr>
              <w:t xml:space="preserve">　</w:t>
            </w:r>
            <w:r w:rsidR="00683384" w:rsidRPr="00683384">
              <w:rPr>
                <w:b w:val="0"/>
                <w:bCs/>
                <w:color w:val="000000"/>
                <w:w w:val="15"/>
                <w:shd w:val="solid" w:color="000000" w:fill="000000"/>
                <w:fitText w:val="50" w:id="-892701172"/>
                <w:lang w:val="en-AU"/>
                <w14:textFill>
                  <w14:solidFill>
                    <w14:srgbClr w14:val="000000">
                      <w14:alpha w14:val="100000"/>
                    </w14:srgbClr>
                  </w14:solidFill>
                </w14:textFill>
              </w:rPr>
              <w:t>|</w:t>
            </w:r>
            <w:r w:rsidR="00683384" w:rsidRPr="00683384">
              <w:rPr>
                <w:rFonts w:hint="eastAsia"/>
                <w:b w:val="0"/>
                <w:bCs/>
                <w:color w:val="000000"/>
                <w:spacing w:val="-15"/>
                <w:w w:val="15"/>
                <w:shd w:val="solid" w:color="000000" w:fill="000000"/>
                <w:fitText w:val="50" w:id="-892701172"/>
                <w:lang w:val="en-AU"/>
                <w14:textFill>
                  <w14:solidFill>
                    <w14:srgbClr w14:val="000000">
                      <w14:alpha w14:val="100000"/>
                    </w14:srgbClr>
                  </w14:solidFill>
                </w14:textFill>
              </w:rPr>
              <w:t xml:space="preserve">　</w:t>
            </w:r>
            <w:r w:rsidRPr="008217F1">
              <w:rPr>
                <w:b w:val="0"/>
                <w:bCs/>
                <w:lang w:val="en-AU"/>
              </w:rPr>
              <w:t>%</w:t>
            </w:r>
          </w:p>
        </w:tc>
      </w:tr>
      <w:tr w:rsidR="00665A74" w:rsidRPr="008217F1" w14:paraId="5CAC780E" w14:textId="77777777" w:rsidTr="00683384">
        <w:tc>
          <w:tcPr>
            <w:tcW w:w="3822" w:type="dxa"/>
          </w:tcPr>
          <w:p w14:paraId="44064772" w14:textId="77777777" w:rsidR="00665A74" w:rsidRPr="008217F1" w:rsidRDefault="00665A74" w:rsidP="006813A2">
            <w:pPr>
              <w:pStyle w:val="COMTableheadingrow"/>
              <w:keepNext w:val="0"/>
              <w:rPr>
                <w:b w:val="0"/>
                <w:bCs/>
                <w:lang w:val="en-AU"/>
              </w:rPr>
            </w:pPr>
            <w:r w:rsidRPr="008217F1">
              <w:rPr>
                <w:b w:val="0"/>
                <w:bCs/>
                <w:lang w:val="en-AU"/>
              </w:rPr>
              <w:t>3 years</w:t>
            </w:r>
          </w:p>
        </w:tc>
        <w:tc>
          <w:tcPr>
            <w:tcW w:w="1298" w:type="dxa"/>
            <w:tcBorders>
              <w:bottom w:val="single" w:sz="4" w:space="0" w:color="auto"/>
            </w:tcBorders>
            <w:shd w:val="solid" w:color="000000" w:fill="000000"/>
            <w:vAlign w:val="center"/>
          </w:tcPr>
          <w:p w14:paraId="3FEFB05D" w14:textId="72AB2482"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694DB25B" w14:textId="77777777" w:rsidR="00665A74" w:rsidRPr="008217F1" w:rsidRDefault="00665A74" w:rsidP="006813A2">
            <w:pPr>
              <w:pStyle w:val="COMTableheadingrow"/>
              <w:keepNext w:val="0"/>
              <w:jc w:val="center"/>
              <w:rPr>
                <w:b w:val="0"/>
                <w:bCs/>
                <w:lang w:val="en-AU"/>
              </w:rPr>
            </w:pPr>
            <w:r w:rsidRPr="008217F1">
              <w:rPr>
                <w:rFonts w:cs="Calibri"/>
                <w:b w:val="0"/>
                <w:bCs/>
                <w:color w:val="000000"/>
                <w:szCs w:val="20"/>
              </w:rPr>
              <w:t>0.1545</w:t>
            </w:r>
          </w:p>
        </w:tc>
        <w:tc>
          <w:tcPr>
            <w:tcW w:w="1298" w:type="dxa"/>
            <w:vAlign w:val="center"/>
          </w:tcPr>
          <w:p w14:paraId="64C02D57" w14:textId="1FA904F2"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0B3885" w:rsidRPr="008D2AC7">
              <w:rPr>
                <w:rFonts w:cs="Calibri"/>
                <w:b w:val="0"/>
                <w:bCs/>
                <w:color w:val="000000"/>
                <w:szCs w:val="20"/>
                <w:vertAlign w:val="superscript"/>
              </w:rPr>
              <w:t>3</w:t>
            </w:r>
          </w:p>
        </w:tc>
        <w:tc>
          <w:tcPr>
            <w:tcW w:w="1299" w:type="dxa"/>
            <w:vAlign w:val="center"/>
          </w:tcPr>
          <w:p w14:paraId="3B984C1B" w14:textId="304BB63A" w:rsidR="00665A74" w:rsidRPr="008217F1" w:rsidRDefault="00665A74" w:rsidP="006813A2">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1171"/>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1171"/>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1171"/>
                <w14:textFill>
                  <w14:solidFill>
                    <w14:srgbClr w14:val="000000">
                      <w14:alpha w14:val="100000"/>
                    </w14:srgbClr>
                  </w14:solidFill>
                </w14:textFill>
              </w:rPr>
              <w:t xml:space="preserve">　</w:t>
            </w:r>
            <w:r w:rsidRPr="008217F1">
              <w:rPr>
                <w:rFonts w:cs="Calibri"/>
                <w:b w:val="0"/>
                <w:bCs/>
                <w:color w:val="000000"/>
                <w:szCs w:val="20"/>
              </w:rPr>
              <w:t>%</w:t>
            </w:r>
          </w:p>
        </w:tc>
      </w:tr>
      <w:tr w:rsidR="00665A74" w:rsidRPr="008217F1" w14:paraId="7AE07DD5" w14:textId="77777777" w:rsidTr="00683384">
        <w:tc>
          <w:tcPr>
            <w:tcW w:w="3822" w:type="dxa"/>
          </w:tcPr>
          <w:p w14:paraId="5F869F87" w14:textId="77777777" w:rsidR="00665A74" w:rsidRPr="008217F1" w:rsidRDefault="00665A74" w:rsidP="006813A2">
            <w:pPr>
              <w:pStyle w:val="COMTableheadingrow"/>
              <w:keepNext w:val="0"/>
              <w:rPr>
                <w:b w:val="0"/>
                <w:bCs/>
                <w:lang w:val="en-AU"/>
              </w:rPr>
            </w:pPr>
            <w:r w:rsidRPr="008217F1">
              <w:rPr>
                <w:b w:val="0"/>
                <w:bCs/>
                <w:lang w:val="en-AU"/>
              </w:rPr>
              <w:t>7 years</w:t>
            </w:r>
          </w:p>
        </w:tc>
        <w:tc>
          <w:tcPr>
            <w:tcW w:w="1298" w:type="dxa"/>
            <w:tcBorders>
              <w:bottom w:val="single" w:sz="4" w:space="0" w:color="auto"/>
            </w:tcBorders>
            <w:shd w:val="solid" w:color="000000" w:fill="000000"/>
            <w:vAlign w:val="center"/>
          </w:tcPr>
          <w:p w14:paraId="4AA2F434" w14:textId="6E37C21F"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687F59E3" w14:textId="77777777" w:rsidR="00665A74" w:rsidRPr="008217F1" w:rsidRDefault="00665A74" w:rsidP="006813A2">
            <w:pPr>
              <w:pStyle w:val="COMTableheadingrow"/>
              <w:keepNext w:val="0"/>
              <w:jc w:val="center"/>
              <w:rPr>
                <w:b w:val="0"/>
                <w:bCs/>
                <w:lang w:val="en-AU"/>
              </w:rPr>
            </w:pPr>
            <w:r w:rsidRPr="008217F1">
              <w:rPr>
                <w:rFonts w:cs="Calibri"/>
                <w:b w:val="0"/>
                <w:bCs/>
                <w:color w:val="000000"/>
                <w:szCs w:val="20"/>
              </w:rPr>
              <w:t>0.2437</w:t>
            </w:r>
          </w:p>
        </w:tc>
        <w:tc>
          <w:tcPr>
            <w:tcW w:w="1298" w:type="dxa"/>
            <w:vAlign w:val="center"/>
          </w:tcPr>
          <w:p w14:paraId="78A841FD" w14:textId="706BAF80"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1E0447" w:rsidRPr="00A96044">
              <w:rPr>
                <w:vertAlign w:val="superscript"/>
                <w:lang w:val="en-AU"/>
              </w:rPr>
              <w:t>1</w:t>
            </w:r>
          </w:p>
        </w:tc>
        <w:tc>
          <w:tcPr>
            <w:tcW w:w="1299" w:type="dxa"/>
            <w:vAlign w:val="center"/>
          </w:tcPr>
          <w:p w14:paraId="69F86FA8" w14:textId="3E27D44C" w:rsidR="00665A74" w:rsidRPr="008217F1" w:rsidRDefault="00665A74" w:rsidP="006813A2">
            <w:pPr>
              <w:pStyle w:val="COMTableheadingrow"/>
              <w:keepNext w:val="0"/>
              <w:jc w:val="center"/>
              <w:rPr>
                <w:b w:val="0"/>
                <w:bCs/>
                <w:lang w:val="en-AU"/>
              </w:rPr>
            </w:pPr>
            <w:r w:rsidRPr="008217F1">
              <w:rPr>
                <w:rFonts w:cs="Calibri"/>
                <w:b w:val="0"/>
                <w:bCs/>
                <w:color w:val="000000"/>
                <w:szCs w:val="20"/>
              </w:rPr>
              <w:t>-</w:t>
            </w:r>
            <w:r w:rsidR="00683384" w:rsidRPr="00A34B18">
              <w:rPr>
                <w:rFonts w:cs="Calibri" w:hint="eastAsia"/>
                <w:b w:val="0"/>
                <w:bCs/>
                <w:color w:val="000000"/>
                <w:w w:val="15"/>
                <w:szCs w:val="20"/>
                <w:shd w:val="solid" w:color="000000" w:fill="000000"/>
                <w:fitText w:val="20" w:id="-892701170"/>
                <w14:textFill>
                  <w14:solidFill>
                    <w14:srgbClr w14:val="000000">
                      <w14:alpha w14:val="100000"/>
                    </w14:srgbClr>
                  </w14:solidFill>
                </w14:textFill>
              </w:rPr>
              <w:t xml:space="preserve">　</w:t>
            </w:r>
            <w:r w:rsidR="00683384" w:rsidRPr="00A34B18">
              <w:rPr>
                <w:rFonts w:cs="Calibri"/>
                <w:b w:val="0"/>
                <w:bCs/>
                <w:color w:val="000000"/>
                <w:w w:val="15"/>
                <w:szCs w:val="20"/>
                <w:shd w:val="solid" w:color="000000" w:fill="000000"/>
                <w:fitText w:val="20" w:id="-892701170"/>
                <w14:textFill>
                  <w14:solidFill>
                    <w14:srgbClr w14:val="000000">
                      <w14:alpha w14:val="100000"/>
                    </w14:srgbClr>
                  </w14:solidFill>
                </w14:textFill>
              </w:rPr>
              <w:t>|</w:t>
            </w:r>
            <w:r w:rsidR="00683384" w:rsidRPr="00A34B18">
              <w:rPr>
                <w:rFonts w:cs="Calibri" w:hint="eastAsia"/>
                <w:b w:val="0"/>
                <w:bCs/>
                <w:color w:val="000000"/>
                <w:spacing w:val="-45"/>
                <w:w w:val="15"/>
                <w:szCs w:val="20"/>
                <w:shd w:val="solid" w:color="000000" w:fill="000000"/>
                <w:fitText w:val="20" w:id="-892701170"/>
                <w14:textFill>
                  <w14:solidFill>
                    <w14:srgbClr w14:val="000000">
                      <w14:alpha w14:val="100000"/>
                    </w14:srgbClr>
                  </w14:solidFill>
                </w14:textFill>
              </w:rPr>
              <w:t xml:space="preserve">　</w:t>
            </w:r>
            <w:r w:rsidRPr="008217F1">
              <w:rPr>
                <w:rFonts w:cs="Calibri"/>
                <w:b w:val="0"/>
                <w:bCs/>
                <w:color w:val="000000"/>
                <w:szCs w:val="20"/>
              </w:rPr>
              <w:t>%</w:t>
            </w:r>
          </w:p>
        </w:tc>
      </w:tr>
      <w:tr w:rsidR="00665A74" w:rsidRPr="008217F1" w14:paraId="2DC5F7E7" w14:textId="77777777" w:rsidTr="00683384">
        <w:tc>
          <w:tcPr>
            <w:tcW w:w="3822" w:type="dxa"/>
          </w:tcPr>
          <w:p w14:paraId="1148539C" w14:textId="77777777" w:rsidR="00665A74" w:rsidRPr="008217F1" w:rsidRDefault="00665A74" w:rsidP="006813A2">
            <w:pPr>
              <w:pStyle w:val="COMTableheadingrow"/>
              <w:keepNext w:val="0"/>
              <w:rPr>
                <w:b w:val="0"/>
                <w:bCs/>
                <w:lang w:val="en-AU"/>
              </w:rPr>
            </w:pPr>
            <w:r w:rsidRPr="008217F1">
              <w:rPr>
                <w:b w:val="0"/>
                <w:bCs/>
                <w:lang w:val="en-AU"/>
              </w:rPr>
              <w:t>10 years</w:t>
            </w:r>
          </w:p>
        </w:tc>
        <w:tc>
          <w:tcPr>
            <w:tcW w:w="1298" w:type="dxa"/>
            <w:shd w:val="solid" w:color="000000" w:fill="000000"/>
            <w:vAlign w:val="center"/>
          </w:tcPr>
          <w:p w14:paraId="1EBC4BA2" w14:textId="2DDD2493"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38AE5607" w14:textId="77777777" w:rsidR="00665A74" w:rsidRPr="008217F1" w:rsidRDefault="00665A74" w:rsidP="006813A2">
            <w:pPr>
              <w:pStyle w:val="COMTableheadingrow"/>
              <w:keepNext w:val="0"/>
              <w:jc w:val="center"/>
              <w:rPr>
                <w:b w:val="0"/>
                <w:bCs/>
                <w:lang w:val="en-AU"/>
              </w:rPr>
            </w:pPr>
            <w:r w:rsidRPr="008217F1">
              <w:rPr>
                <w:rFonts w:cs="Calibri"/>
                <w:b w:val="0"/>
                <w:bCs/>
                <w:color w:val="000000"/>
                <w:szCs w:val="20"/>
              </w:rPr>
              <w:t>0.2913</w:t>
            </w:r>
          </w:p>
        </w:tc>
        <w:tc>
          <w:tcPr>
            <w:tcW w:w="1298" w:type="dxa"/>
            <w:vAlign w:val="center"/>
          </w:tcPr>
          <w:p w14:paraId="13270BA9" w14:textId="6E19B34A"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8E3F89" w:rsidRPr="008D2AC7">
              <w:rPr>
                <w:rFonts w:cs="Calibri"/>
                <w:b w:val="0"/>
                <w:bCs/>
                <w:color w:val="000000"/>
                <w:szCs w:val="20"/>
                <w:vertAlign w:val="superscript"/>
              </w:rPr>
              <w:t>4</w:t>
            </w:r>
          </w:p>
        </w:tc>
        <w:tc>
          <w:tcPr>
            <w:tcW w:w="1299" w:type="dxa"/>
            <w:vAlign w:val="center"/>
          </w:tcPr>
          <w:p w14:paraId="5BF6FFF3" w14:textId="3273F6EA" w:rsidR="00665A74" w:rsidRPr="008217F1" w:rsidRDefault="00665A74" w:rsidP="006813A2">
            <w:pPr>
              <w:pStyle w:val="COMTableheadingrow"/>
              <w:keepNext w:val="0"/>
              <w:jc w:val="center"/>
              <w:rPr>
                <w:b w:val="0"/>
                <w:bCs/>
                <w:lang w:val="en-AU"/>
              </w:rPr>
            </w:pPr>
            <w:r w:rsidRPr="008217F1">
              <w:rPr>
                <w:rFonts w:cs="Calibri"/>
                <w:b w:val="0"/>
                <w:bCs/>
                <w:color w:val="000000"/>
                <w:szCs w:val="20"/>
              </w:rPr>
              <w:t>-</w:t>
            </w:r>
            <w:r w:rsidR="00683384" w:rsidRPr="00A34B18">
              <w:rPr>
                <w:rFonts w:cs="Calibri" w:hint="eastAsia"/>
                <w:b w:val="0"/>
                <w:bCs/>
                <w:color w:val="000000"/>
                <w:w w:val="15"/>
                <w:szCs w:val="20"/>
                <w:shd w:val="solid" w:color="000000" w:fill="000000"/>
                <w:fitText w:val="20" w:id="-892701169"/>
                <w14:textFill>
                  <w14:solidFill>
                    <w14:srgbClr w14:val="000000">
                      <w14:alpha w14:val="100000"/>
                    </w14:srgbClr>
                  </w14:solidFill>
                </w14:textFill>
              </w:rPr>
              <w:t xml:space="preserve">　</w:t>
            </w:r>
            <w:r w:rsidR="00683384" w:rsidRPr="00A34B18">
              <w:rPr>
                <w:rFonts w:cs="Calibri"/>
                <w:b w:val="0"/>
                <w:bCs/>
                <w:color w:val="000000"/>
                <w:w w:val="15"/>
                <w:szCs w:val="20"/>
                <w:shd w:val="solid" w:color="000000" w:fill="000000"/>
                <w:fitText w:val="20" w:id="-892701169"/>
                <w14:textFill>
                  <w14:solidFill>
                    <w14:srgbClr w14:val="000000">
                      <w14:alpha w14:val="100000"/>
                    </w14:srgbClr>
                  </w14:solidFill>
                </w14:textFill>
              </w:rPr>
              <w:t>|</w:t>
            </w:r>
            <w:r w:rsidR="00683384" w:rsidRPr="00A34B18">
              <w:rPr>
                <w:rFonts w:cs="Calibri" w:hint="eastAsia"/>
                <w:b w:val="0"/>
                <w:bCs/>
                <w:color w:val="000000"/>
                <w:spacing w:val="-45"/>
                <w:w w:val="15"/>
                <w:szCs w:val="20"/>
                <w:shd w:val="solid" w:color="000000" w:fill="000000"/>
                <w:fitText w:val="20" w:id="-892701169"/>
                <w14:textFill>
                  <w14:solidFill>
                    <w14:srgbClr w14:val="000000">
                      <w14:alpha w14:val="100000"/>
                    </w14:srgbClr>
                  </w14:solidFill>
                </w14:textFill>
              </w:rPr>
              <w:t xml:space="preserve">　</w:t>
            </w:r>
            <w:r w:rsidRPr="008217F1">
              <w:rPr>
                <w:rFonts w:cs="Calibri"/>
                <w:b w:val="0"/>
                <w:bCs/>
                <w:color w:val="000000"/>
                <w:szCs w:val="20"/>
              </w:rPr>
              <w:t>%</w:t>
            </w:r>
          </w:p>
        </w:tc>
      </w:tr>
      <w:tr w:rsidR="00665A74" w:rsidRPr="008217F1" w14:paraId="64D6D0EF" w14:textId="77777777" w:rsidTr="006813A2">
        <w:tc>
          <w:tcPr>
            <w:tcW w:w="9016" w:type="dxa"/>
            <w:gridSpan w:val="5"/>
          </w:tcPr>
          <w:p w14:paraId="1EC41E9B" w14:textId="77777777" w:rsidR="00665A74" w:rsidRPr="008217F1" w:rsidRDefault="00665A74" w:rsidP="006813A2">
            <w:pPr>
              <w:pStyle w:val="COMTableheadingrow"/>
              <w:keepNext w:val="0"/>
              <w:rPr>
                <w:b w:val="0"/>
                <w:bCs/>
                <w:lang w:val="en-AU"/>
              </w:rPr>
            </w:pPr>
            <w:r w:rsidRPr="008217F1">
              <w:rPr>
                <w:bCs/>
                <w:szCs w:val="20"/>
              </w:rPr>
              <w:t>Probabilities of remission and response in induction phase (base case: remission 46.5% ESK+OAD vs 26.8% OAD; response 15.6% ESK+OAD vs 18.5% OAD from TRANSFORM-2 and TRANSFORM-3 weighted average)</w:t>
            </w:r>
            <w:r w:rsidRPr="008217F1">
              <w:rPr>
                <w:szCs w:val="20"/>
              </w:rPr>
              <w:t> </w:t>
            </w:r>
          </w:p>
        </w:tc>
      </w:tr>
      <w:tr w:rsidR="00665A74" w:rsidRPr="008217F1" w14:paraId="7F398100" w14:textId="77777777" w:rsidTr="00683384">
        <w:tc>
          <w:tcPr>
            <w:tcW w:w="3822" w:type="dxa"/>
          </w:tcPr>
          <w:p w14:paraId="201A5C9C" w14:textId="77777777" w:rsidR="00665A74" w:rsidRPr="008217F1" w:rsidRDefault="00665A74" w:rsidP="006813A2">
            <w:pPr>
              <w:pStyle w:val="COMTableheadingrow"/>
              <w:keepNext w:val="0"/>
              <w:rPr>
                <w:b w:val="0"/>
                <w:bCs/>
                <w:lang w:val="en-AU"/>
              </w:rPr>
            </w:pPr>
            <w:r w:rsidRPr="008217F1">
              <w:rPr>
                <w:b w:val="0"/>
                <w:bCs/>
                <w:szCs w:val="20"/>
              </w:rPr>
              <w:t>Increase ESK+OAD probabilities by 20%  </w:t>
            </w:r>
          </w:p>
        </w:tc>
        <w:tc>
          <w:tcPr>
            <w:tcW w:w="1298" w:type="dxa"/>
            <w:tcBorders>
              <w:bottom w:val="single" w:sz="4" w:space="0" w:color="auto"/>
            </w:tcBorders>
            <w:shd w:val="solid" w:color="000000" w:fill="000000"/>
            <w:vAlign w:val="center"/>
          </w:tcPr>
          <w:p w14:paraId="2E5F82D9" w14:textId="7E717BFC"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212B7ED3" w14:textId="77777777" w:rsidR="00665A74" w:rsidRPr="008217F1" w:rsidRDefault="00665A74" w:rsidP="006813A2">
            <w:pPr>
              <w:pStyle w:val="COMTableheadingrow"/>
              <w:keepNext w:val="0"/>
              <w:jc w:val="center"/>
              <w:rPr>
                <w:b w:val="0"/>
                <w:bCs/>
                <w:lang w:val="en-AU"/>
              </w:rPr>
            </w:pPr>
            <w:r w:rsidRPr="008217F1">
              <w:rPr>
                <w:rFonts w:cs="Calibri"/>
                <w:b w:val="0"/>
                <w:bCs/>
                <w:color w:val="000000"/>
                <w:szCs w:val="20"/>
              </w:rPr>
              <w:t>0.2680</w:t>
            </w:r>
          </w:p>
        </w:tc>
        <w:tc>
          <w:tcPr>
            <w:tcW w:w="1298" w:type="dxa"/>
            <w:vAlign w:val="center"/>
          </w:tcPr>
          <w:p w14:paraId="1CAD1CC7" w14:textId="1268F453"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86467F" w:rsidRPr="00A96044">
              <w:rPr>
                <w:rFonts w:cs="Calibri"/>
                <w:b w:val="0"/>
                <w:bCs/>
                <w:color w:val="000000"/>
                <w:szCs w:val="20"/>
                <w:vertAlign w:val="superscript"/>
              </w:rPr>
              <w:t>4</w:t>
            </w:r>
          </w:p>
        </w:tc>
        <w:tc>
          <w:tcPr>
            <w:tcW w:w="1299" w:type="dxa"/>
            <w:vAlign w:val="center"/>
          </w:tcPr>
          <w:p w14:paraId="3835B3A5" w14:textId="6F7A32C3" w:rsidR="00665A74" w:rsidRPr="008217F1" w:rsidRDefault="00665A74" w:rsidP="006813A2">
            <w:pPr>
              <w:pStyle w:val="COMTableheadingrow"/>
              <w:keepNext w:val="0"/>
              <w:jc w:val="center"/>
              <w:rPr>
                <w:b w:val="0"/>
                <w:bCs/>
                <w:lang w:val="en-AU"/>
              </w:rPr>
            </w:pPr>
            <w:r w:rsidRPr="008217F1">
              <w:rPr>
                <w:rFonts w:cs="Calibri"/>
                <w:b w:val="0"/>
                <w:bCs/>
                <w:color w:val="000000"/>
                <w:szCs w:val="20"/>
              </w:rPr>
              <w:t>-</w:t>
            </w:r>
            <w:r w:rsidR="00683384" w:rsidRPr="00A34B18">
              <w:rPr>
                <w:rFonts w:cs="Calibri" w:hint="eastAsia"/>
                <w:b w:val="0"/>
                <w:bCs/>
                <w:color w:val="000000"/>
                <w:w w:val="15"/>
                <w:szCs w:val="20"/>
                <w:shd w:val="solid" w:color="000000" w:fill="000000"/>
                <w:fitText w:val="20" w:id="-892701168"/>
                <w14:textFill>
                  <w14:solidFill>
                    <w14:srgbClr w14:val="000000">
                      <w14:alpha w14:val="100000"/>
                    </w14:srgbClr>
                  </w14:solidFill>
                </w14:textFill>
              </w:rPr>
              <w:t xml:space="preserve">　</w:t>
            </w:r>
            <w:r w:rsidR="00683384" w:rsidRPr="00A34B18">
              <w:rPr>
                <w:rFonts w:cs="Calibri"/>
                <w:b w:val="0"/>
                <w:bCs/>
                <w:color w:val="000000"/>
                <w:w w:val="15"/>
                <w:szCs w:val="20"/>
                <w:shd w:val="solid" w:color="000000" w:fill="000000"/>
                <w:fitText w:val="20" w:id="-892701168"/>
                <w14:textFill>
                  <w14:solidFill>
                    <w14:srgbClr w14:val="000000">
                      <w14:alpha w14:val="100000"/>
                    </w14:srgbClr>
                  </w14:solidFill>
                </w14:textFill>
              </w:rPr>
              <w:t>|</w:t>
            </w:r>
            <w:r w:rsidR="00683384" w:rsidRPr="00A34B18">
              <w:rPr>
                <w:rFonts w:cs="Calibri" w:hint="eastAsia"/>
                <w:b w:val="0"/>
                <w:bCs/>
                <w:color w:val="000000"/>
                <w:spacing w:val="-45"/>
                <w:w w:val="15"/>
                <w:szCs w:val="20"/>
                <w:shd w:val="solid" w:color="000000" w:fill="000000"/>
                <w:fitText w:val="20" w:id="-892701168"/>
                <w14:textFill>
                  <w14:solidFill>
                    <w14:srgbClr w14:val="000000">
                      <w14:alpha w14:val="100000"/>
                    </w14:srgbClr>
                  </w14:solidFill>
                </w14:textFill>
              </w:rPr>
              <w:t xml:space="preserve">　</w:t>
            </w:r>
            <w:r w:rsidRPr="008217F1">
              <w:rPr>
                <w:rFonts w:cs="Calibri"/>
                <w:b w:val="0"/>
                <w:bCs/>
                <w:color w:val="000000"/>
                <w:szCs w:val="20"/>
              </w:rPr>
              <w:t>%</w:t>
            </w:r>
          </w:p>
        </w:tc>
      </w:tr>
      <w:tr w:rsidR="00665A74" w:rsidRPr="008217F1" w14:paraId="3609F32A" w14:textId="77777777" w:rsidTr="00683384">
        <w:tc>
          <w:tcPr>
            <w:tcW w:w="3822" w:type="dxa"/>
          </w:tcPr>
          <w:p w14:paraId="5C16E8D1" w14:textId="77777777" w:rsidR="00665A74" w:rsidRPr="008217F1" w:rsidRDefault="00665A74" w:rsidP="006813A2">
            <w:pPr>
              <w:pStyle w:val="COMTableheadingrow"/>
              <w:keepNext w:val="0"/>
              <w:rPr>
                <w:b w:val="0"/>
                <w:bCs/>
                <w:lang w:val="en-AU"/>
              </w:rPr>
            </w:pPr>
            <w:r w:rsidRPr="008217F1">
              <w:rPr>
                <w:b w:val="0"/>
                <w:bCs/>
                <w:szCs w:val="20"/>
              </w:rPr>
              <w:t>Decrease ESK+OAD probabilities by 20% </w:t>
            </w:r>
          </w:p>
        </w:tc>
        <w:tc>
          <w:tcPr>
            <w:tcW w:w="1298" w:type="dxa"/>
            <w:tcBorders>
              <w:bottom w:val="single" w:sz="4" w:space="0" w:color="auto"/>
            </w:tcBorders>
            <w:shd w:val="solid" w:color="000000" w:fill="000000"/>
            <w:vAlign w:val="center"/>
          </w:tcPr>
          <w:p w14:paraId="75EE71AA" w14:textId="4BAD0648"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578B7B7F" w14:textId="77777777" w:rsidR="00665A74" w:rsidRPr="008217F1" w:rsidRDefault="00665A74" w:rsidP="006813A2">
            <w:pPr>
              <w:pStyle w:val="COMTableheadingrow"/>
              <w:keepNext w:val="0"/>
              <w:jc w:val="center"/>
              <w:rPr>
                <w:b w:val="0"/>
                <w:bCs/>
                <w:lang w:val="en-AU"/>
              </w:rPr>
            </w:pPr>
            <w:r w:rsidRPr="008217F1">
              <w:rPr>
                <w:rFonts w:cs="Calibri"/>
                <w:b w:val="0"/>
                <w:bCs/>
                <w:color w:val="000000"/>
                <w:szCs w:val="20"/>
              </w:rPr>
              <w:t>0.1420</w:t>
            </w:r>
          </w:p>
        </w:tc>
        <w:tc>
          <w:tcPr>
            <w:tcW w:w="1298" w:type="dxa"/>
            <w:vAlign w:val="center"/>
          </w:tcPr>
          <w:p w14:paraId="1D0D90FA" w14:textId="74F86ACC"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033748" w:rsidRPr="008D2AC7">
              <w:rPr>
                <w:rFonts w:cs="Calibri"/>
                <w:b w:val="0"/>
                <w:bCs/>
                <w:color w:val="000000"/>
                <w:szCs w:val="20"/>
                <w:vertAlign w:val="superscript"/>
              </w:rPr>
              <w:t>3</w:t>
            </w:r>
          </w:p>
        </w:tc>
        <w:tc>
          <w:tcPr>
            <w:tcW w:w="1299" w:type="dxa"/>
            <w:vAlign w:val="center"/>
          </w:tcPr>
          <w:p w14:paraId="2C7F987E" w14:textId="6D24F15E" w:rsidR="00665A74" w:rsidRPr="008217F1" w:rsidRDefault="00665A74" w:rsidP="006813A2">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28"/>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28"/>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28"/>
                <w14:textFill>
                  <w14:solidFill>
                    <w14:srgbClr w14:val="000000">
                      <w14:alpha w14:val="100000"/>
                    </w14:srgbClr>
                  </w14:solidFill>
                </w14:textFill>
              </w:rPr>
              <w:t xml:space="preserve">　</w:t>
            </w:r>
            <w:r w:rsidRPr="008217F1">
              <w:rPr>
                <w:rFonts w:cs="Calibri"/>
                <w:b w:val="0"/>
                <w:bCs/>
                <w:color w:val="000000"/>
                <w:szCs w:val="20"/>
              </w:rPr>
              <w:t>%</w:t>
            </w:r>
          </w:p>
        </w:tc>
      </w:tr>
      <w:tr w:rsidR="00665A74" w:rsidRPr="008217F1" w14:paraId="52CFE1A6" w14:textId="77777777" w:rsidTr="00683384">
        <w:tc>
          <w:tcPr>
            <w:tcW w:w="3822" w:type="dxa"/>
          </w:tcPr>
          <w:p w14:paraId="36C2607C" w14:textId="77777777" w:rsidR="00665A74" w:rsidRPr="008217F1" w:rsidRDefault="00665A74" w:rsidP="006813A2">
            <w:pPr>
              <w:pStyle w:val="COMTableheadingrow"/>
              <w:keepNext w:val="0"/>
              <w:rPr>
                <w:b w:val="0"/>
                <w:bCs/>
                <w:lang w:val="en-AU"/>
              </w:rPr>
            </w:pPr>
            <w:r w:rsidRPr="008217F1">
              <w:rPr>
                <w:b w:val="0"/>
                <w:bCs/>
                <w:szCs w:val="20"/>
              </w:rPr>
              <w:t>Increase OAD probabilities by 20%  </w:t>
            </w:r>
          </w:p>
        </w:tc>
        <w:tc>
          <w:tcPr>
            <w:tcW w:w="1298" w:type="dxa"/>
            <w:tcBorders>
              <w:bottom w:val="single" w:sz="4" w:space="0" w:color="auto"/>
            </w:tcBorders>
            <w:shd w:val="solid" w:color="000000" w:fill="000000"/>
            <w:vAlign w:val="center"/>
          </w:tcPr>
          <w:p w14:paraId="59FC40CC" w14:textId="7EB0B416"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3D4EC473" w14:textId="77777777" w:rsidR="00665A74" w:rsidRPr="008217F1" w:rsidRDefault="00665A74" w:rsidP="006813A2">
            <w:pPr>
              <w:pStyle w:val="COMTableheadingrow"/>
              <w:keepNext w:val="0"/>
              <w:jc w:val="center"/>
              <w:rPr>
                <w:b w:val="0"/>
                <w:bCs/>
                <w:lang w:val="en-AU"/>
              </w:rPr>
            </w:pPr>
            <w:r w:rsidRPr="008217F1">
              <w:rPr>
                <w:rFonts w:cs="Calibri"/>
                <w:b w:val="0"/>
                <w:bCs/>
                <w:color w:val="000000"/>
                <w:szCs w:val="20"/>
              </w:rPr>
              <w:t>0.1811</w:t>
            </w:r>
          </w:p>
        </w:tc>
        <w:tc>
          <w:tcPr>
            <w:tcW w:w="1298" w:type="dxa"/>
            <w:vAlign w:val="center"/>
          </w:tcPr>
          <w:p w14:paraId="11D350AA" w14:textId="41F4E8A7"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8E3F89" w:rsidRPr="00A96044">
              <w:rPr>
                <w:rFonts w:cs="Calibri"/>
                <w:b w:val="0"/>
                <w:bCs/>
                <w:color w:val="000000"/>
                <w:szCs w:val="20"/>
                <w:vertAlign w:val="superscript"/>
              </w:rPr>
              <w:t>3</w:t>
            </w:r>
          </w:p>
        </w:tc>
        <w:tc>
          <w:tcPr>
            <w:tcW w:w="1299" w:type="dxa"/>
            <w:vAlign w:val="center"/>
          </w:tcPr>
          <w:p w14:paraId="72CA37E9" w14:textId="107F62D2" w:rsidR="00665A74" w:rsidRPr="008217F1" w:rsidRDefault="00665A74" w:rsidP="006813A2">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27"/>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27"/>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27"/>
                <w14:textFill>
                  <w14:solidFill>
                    <w14:srgbClr w14:val="000000">
                      <w14:alpha w14:val="100000"/>
                    </w14:srgbClr>
                  </w14:solidFill>
                </w14:textFill>
              </w:rPr>
              <w:t xml:space="preserve">　</w:t>
            </w:r>
            <w:r w:rsidRPr="008217F1">
              <w:rPr>
                <w:rFonts w:cs="Calibri"/>
                <w:b w:val="0"/>
                <w:bCs/>
                <w:color w:val="000000"/>
                <w:szCs w:val="20"/>
              </w:rPr>
              <w:t>%</w:t>
            </w:r>
          </w:p>
        </w:tc>
      </w:tr>
      <w:tr w:rsidR="00665A74" w:rsidRPr="008217F1" w14:paraId="4CC06E96" w14:textId="77777777" w:rsidTr="00683384">
        <w:tc>
          <w:tcPr>
            <w:tcW w:w="3822" w:type="dxa"/>
          </w:tcPr>
          <w:p w14:paraId="0C108ED3" w14:textId="77777777" w:rsidR="00665A74" w:rsidRPr="008217F1" w:rsidRDefault="00665A74" w:rsidP="006813A2">
            <w:pPr>
              <w:pStyle w:val="COMTableheadingrow"/>
              <w:keepNext w:val="0"/>
              <w:rPr>
                <w:b w:val="0"/>
                <w:bCs/>
                <w:lang w:val="en-AU"/>
              </w:rPr>
            </w:pPr>
            <w:r w:rsidRPr="008217F1">
              <w:rPr>
                <w:b w:val="0"/>
                <w:bCs/>
                <w:szCs w:val="20"/>
              </w:rPr>
              <w:t>Decrease OAD probabilities by 20% </w:t>
            </w:r>
          </w:p>
        </w:tc>
        <w:tc>
          <w:tcPr>
            <w:tcW w:w="1298" w:type="dxa"/>
            <w:shd w:val="solid" w:color="000000" w:fill="000000"/>
            <w:vAlign w:val="center"/>
          </w:tcPr>
          <w:p w14:paraId="7243EF3E" w14:textId="085B40B5"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333E1F60" w14:textId="77777777" w:rsidR="00665A74" w:rsidRPr="008217F1" w:rsidRDefault="00665A74" w:rsidP="006813A2">
            <w:pPr>
              <w:pStyle w:val="COMTableheadingrow"/>
              <w:keepNext w:val="0"/>
              <w:jc w:val="center"/>
              <w:rPr>
                <w:b w:val="0"/>
                <w:bCs/>
                <w:lang w:val="en-AU"/>
              </w:rPr>
            </w:pPr>
            <w:r w:rsidRPr="008217F1">
              <w:rPr>
                <w:rFonts w:cs="Calibri"/>
                <w:b w:val="0"/>
                <w:bCs/>
                <w:color w:val="000000"/>
                <w:szCs w:val="20"/>
              </w:rPr>
              <w:t>0.2289</w:t>
            </w:r>
          </w:p>
        </w:tc>
        <w:tc>
          <w:tcPr>
            <w:tcW w:w="1298" w:type="dxa"/>
            <w:vAlign w:val="center"/>
          </w:tcPr>
          <w:p w14:paraId="71467778" w14:textId="00713132"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86467F" w:rsidRPr="00A96044">
              <w:rPr>
                <w:rFonts w:cs="Calibri"/>
                <w:b w:val="0"/>
                <w:bCs/>
                <w:color w:val="000000"/>
                <w:szCs w:val="20"/>
                <w:vertAlign w:val="superscript"/>
              </w:rPr>
              <w:t>4</w:t>
            </w:r>
          </w:p>
        </w:tc>
        <w:tc>
          <w:tcPr>
            <w:tcW w:w="1299" w:type="dxa"/>
            <w:vAlign w:val="center"/>
          </w:tcPr>
          <w:p w14:paraId="37622F61" w14:textId="13F79622" w:rsidR="00665A74" w:rsidRPr="008217F1" w:rsidRDefault="00665A74" w:rsidP="006813A2">
            <w:pPr>
              <w:pStyle w:val="COMTableheadingrow"/>
              <w:keepNext w:val="0"/>
              <w:jc w:val="center"/>
              <w:rPr>
                <w:b w:val="0"/>
                <w:bCs/>
                <w:lang w:val="en-AU"/>
              </w:rPr>
            </w:pPr>
            <w:r w:rsidRPr="008217F1">
              <w:rPr>
                <w:rFonts w:cs="Calibri"/>
                <w:b w:val="0"/>
                <w:bCs/>
                <w:color w:val="000000"/>
                <w:szCs w:val="20"/>
              </w:rPr>
              <w:t>-</w:t>
            </w:r>
            <w:r w:rsidR="00683384" w:rsidRPr="00A34B18">
              <w:rPr>
                <w:rFonts w:cs="Calibri" w:hint="eastAsia"/>
                <w:b w:val="0"/>
                <w:bCs/>
                <w:color w:val="000000"/>
                <w:w w:val="15"/>
                <w:szCs w:val="20"/>
                <w:shd w:val="solid" w:color="000000" w:fill="000000"/>
                <w:fitText w:val="20" w:id="-892700926"/>
                <w14:textFill>
                  <w14:solidFill>
                    <w14:srgbClr w14:val="000000">
                      <w14:alpha w14:val="100000"/>
                    </w14:srgbClr>
                  </w14:solidFill>
                </w14:textFill>
              </w:rPr>
              <w:t xml:space="preserve">　</w:t>
            </w:r>
            <w:r w:rsidR="00683384" w:rsidRPr="00A34B18">
              <w:rPr>
                <w:rFonts w:cs="Calibri"/>
                <w:b w:val="0"/>
                <w:bCs/>
                <w:color w:val="000000"/>
                <w:w w:val="15"/>
                <w:szCs w:val="20"/>
                <w:shd w:val="solid" w:color="000000" w:fill="000000"/>
                <w:fitText w:val="20" w:id="-892700926"/>
                <w14:textFill>
                  <w14:solidFill>
                    <w14:srgbClr w14:val="000000">
                      <w14:alpha w14:val="100000"/>
                    </w14:srgbClr>
                  </w14:solidFill>
                </w14:textFill>
              </w:rPr>
              <w:t>|</w:t>
            </w:r>
            <w:r w:rsidR="00683384" w:rsidRPr="00A34B18">
              <w:rPr>
                <w:rFonts w:cs="Calibri" w:hint="eastAsia"/>
                <w:b w:val="0"/>
                <w:bCs/>
                <w:color w:val="000000"/>
                <w:spacing w:val="-45"/>
                <w:w w:val="15"/>
                <w:szCs w:val="20"/>
                <w:shd w:val="solid" w:color="000000" w:fill="000000"/>
                <w:fitText w:val="20" w:id="-892700926"/>
                <w14:textFill>
                  <w14:solidFill>
                    <w14:srgbClr w14:val="000000">
                      <w14:alpha w14:val="100000"/>
                    </w14:srgbClr>
                  </w14:solidFill>
                </w14:textFill>
              </w:rPr>
              <w:t xml:space="preserve">　</w:t>
            </w:r>
            <w:r w:rsidRPr="008217F1">
              <w:rPr>
                <w:rFonts w:cs="Calibri"/>
                <w:b w:val="0"/>
                <w:bCs/>
                <w:color w:val="000000"/>
                <w:szCs w:val="20"/>
              </w:rPr>
              <w:t>%</w:t>
            </w:r>
          </w:p>
        </w:tc>
      </w:tr>
      <w:tr w:rsidR="00665A74" w:rsidRPr="008217F1" w14:paraId="1988A983" w14:textId="77777777" w:rsidTr="006813A2">
        <w:tc>
          <w:tcPr>
            <w:tcW w:w="9016" w:type="dxa"/>
            <w:gridSpan w:val="5"/>
          </w:tcPr>
          <w:p w14:paraId="0D5F3BE0" w14:textId="77777777" w:rsidR="00665A74" w:rsidRPr="008217F1" w:rsidRDefault="00665A74" w:rsidP="006813A2">
            <w:pPr>
              <w:pStyle w:val="COMTableheadingrow"/>
              <w:keepNext w:val="0"/>
              <w:rPr>
                <w:b w:val="0"/>
                <w:bCs/>
                <w:lang w:val="en-AU"/>
              </w:rPr>
            </w:pPr>
            <w:r w:rsidRPr="008217F1">
              <w:rPr>
                <w:bCs/>
                <w:szCs w:val="20"/>
              </w:rPr>
              <w:t>Subsequent treatment remission and response (base case: remission 4.5%/cycle; response 1.1%/cycle; assuming response estimates in STAR*D study double-count remission estimates and are based on a 12-week duration)</w:t>
            </w:r>
            <w:r w:rsidRPr="008217F1">
              <w:rPr>
                <w:szCs w:val="20"/>
              </w:rPr>
              <w:t> </w:t>
            </w:r>
          </w:p>
        </w:tc>
      </w:tr>
      <w:tr w:rsidR="00665A74" w:rsidRPr="008217F1" w14:paraId="0B602339" w14:textId="77777777" w:rsidTr="00683384">
        <w:tc>
          <w:tcPr>
            <w:tcW w:w="3822" w:type="dxa"/>
          </w:tcPr>
          <w:p w14:paraId="2ADBD5B7" w14:textId="77777777" w:rsidR="00665A74" w:rsidRPr="008217F1" w:rsidRDefault="00665A74" w:rsidP="006813A2">
            <w:pPr>
              <w:pStyle w:val="COMTableheadingrow"/>
              <w:keepNext w:val="0"/>
              <w:rPr>
                <w:b w:val="0"/>
                <w:bCs/>
                <w:lang w:val="en-AU"/>
              </w:rPr>
            </w:pPr>
            <w:r w:rsidRPr="008217F1">
              <w:rPr>
                <w:b w:val="0"/>
                <w:bCs/>
                <w:szCs w:val="20"/>
              </w:rPr>
              <w:t>Response 5.8%/cycle (no double-counting assumed) </w:t>
            </w:r>
          </w:p>
        </w:tc>
        <w:tc>
          <w:tcPr>
            <w:tcW w:w="1298" w:type="dxa"/>
            <w:tcBorders>
              <w:bottom w:val="single" w:sz="4" w:space="0" w:color="auto"/>
            </w:tcBorders>
            <w:shd w:val="solid" w:color="000000" w:fill="000000"/>
            <w:vAlign w:val="center"/>
          </w:tcPr>
          <w:p w14:paraId="4EA2A020" w14:textId="29771531" w:rsidR="00665A74" w:rsidRPr="008217F1" w:rsidRDefault="00683384" w:rsidP="006813A2">
            <w:pPr>
              <w:pStyle w:val="COMTableheadingrow"/>
              <w:keepNext w:val="0"/>
              <w:jc w:val="center"/>
              <w:rPr>
                <w:b w:val="0"/>
                <w:bCs/>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4FE5D2E0" w14:textId="77777777" w:rsidR="00665A74" w:rsidRPr="008217F1" w:rsidRDefault="00665A74" w:rsidP="006813A2">
            <w:pPr>
              <w:pStyle w:val="COMTableheadingrow"/>
              <w:keepNext w:val="0"/>
              <w:jc w:val="center"/>
              <w:rPr>
                <w:b w:val="0"/>
                <w:bCs/>
                <w:lang w:val="en-AU"/>
              </w:rPr>
            </w:pPr>
            <w:r w:rsidRPr="008217F1">
              <w:rPr>
                <w:rFonts w:cs="Calibri"/>
                <w:b w:val="0"/>
                <w:bCs/>
                <w:color w:val="000000"/>
                <w:szCs w:val="20"/>
              </w:rPr>
              <w:t>0.1847</w:t>
            </w:r>
          </w:p>
        </w:tc>
        <w:tc>
          <w:tcPr>
            <w:tcW w:w="1298" w:type="dxa"/>
            <w:vAlign w:val="center"/>
          </w:tcPr>
          <w:p w14:paraId="3ED7C0C1" w14:textId="5A7E43DB" w:rsidR="00665A74" w:rsidRPr="008217F1" w:rsidRDefault="00683384" w:rsidP="006813A2">
            <w:pPr>
              <w:pStyle w:val="COMTableheadingrow"/>
              <w:keepNext w:val="0"/>
              <w:jc w:val="center"/>
              <w:rPr>
                <w:b w:val="0"/>
                <w:bCs/>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8E3F89" w:rsidRPr="00A96044">
              <w:rPr>
                <w:rFonts w:cs="Calibri"/>
                <w:b w:val="0"/>
                <w:bCs/>
                <w:color w:val="000000"/>
                <w:szCs w:val="20"/>
                <w:vertAlign w:val="superscript"/>
              </w:rPr>
              <w:t>3</w:t>
            </w:r>
          </w:p>
        </w:tc>
        <w:tc>
          <w:tcPr>
            <w:tcW w:w="1299" w:type="dxa"/>
            <w:vAlign w:val="center"/>
          </w:tcPr>
          <w:p w14:paraId="760A7CBC" w14:textId="690BA39E" w:rsidR="00665A74" w:rsidRPr="008217F1" w:rsidRDefault="00665A74" w:rsidP="006813A2">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25"/>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25"/>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25"/>
                <w14:textFill>
                  <w14:solidFill>
                    <w14:srgbClr w14:val="000000">
                      <w14:alpha w14:val="100000"/>
                    </w14:srgbClr>
                  </w14:solidFill>
                </w14:textFill>
              </w:rPr>
              <w:t xml:space="preserve">　</w:t>
            </w:r>
            <w:r w:rsidRPr="008217F1">
              <w:rPr>
                <w:rFonts w:cs="Calibri"/>
                <w:b w:val="0"/>
                <w:bCs/>
                <w:color w:val="000000"/>
                <w:szCs w:val="20"/>
              </w:rPr>
              <w:t>%</w:t>
            </w:r>
          </w:p>
        </w:tc>
      </w:tr>
      <w:tr w:rsidR="00665A74" w:rsidRPr="008217F1" w14:paraId="4C72A038" w14:textId="77777777" w:rsidTr="00683384">
        <w:tc>
          <w:tcPr>
            <w:tcW w:w="3822" w:type="dxa"/>
          </w:tcPr>
          <w:p w14:paraId="0233FCFB" w14:textId="6B90EDDE" w:rsidR="00665A74" w:rsidRPr="008217F1" w:rsidRDefault="00665A74" w:rsidP="006813A2">
            <w:pPr>
              <w:pStyle w:val="COMTableheadingrow"/>
              <w:keepNext w:val="0"/>
              <w:rPr>
                <w:b w:val="0"/>
                <w:bCs/>
                <w:lang w:val="en-AU"/>
              </w:rPr>
            </w:pPr>
            <w:r w:rsidRPr="008217F1">
              <w:rPr>
                <w:b w:val="0"/>
                <w:bCs/>
                <w:szCs w:val="20"/>
              </w:rPr>
              <w:t>STAR*D probabilities adjusted to 4-weekly estimates based on time to response (8.3 weeks)/remission (7.4 weeks) </w:t>
            </w:r>
          </w:p>
        </w:tc>
        <w:tc>
          <w:tcPr>
            <w:tcW w:w="1298" w:type="dxa"/>
            <w:shd w:val="solid" w:color="000000" w:fill="000000"/>
            <w:vAlign w:val="center"/>
          </w:tcPr>
          <w:p w14:paraId="1F7CD04C" w14:textId="6C6D966B" w:rsidR="00665A74" w:rsidRPr="008217F1" w:rsidRDefault="00683384" w:rsidP="006813A2">
            <w:pPr>
              <w:pStyle w:val="COMTableheadingrow"/>
              <w:keepNext w:val="0"/>
              <w:jc w:val="center"/>
              <w:rPr>
                <w:b w:val="0"/>
                <w:bCs/>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124FC669" w14:textId="77777777" w:rsidR="00665A74" w:rsidRPr="008217F1" w:rsidRDefault="00665A74" w:rsidP="006813A2">
            <w:pPr>
              <w:pStyle w:val="COMTableheadingrow"/>
              <w:keepNext w:val="0"/>
              <w:jc w:val="center"/>
              <w:rPr>
                <w:b w:val="0"/>
                <w:bCs/>
                <w:lang w:val="en-AU"/>
              </w:rPr>
            </w:pPr>
            <w:r w:rsidRPr="008217F1">
              <w:rPr>
                <w:rFonts w:cs="Calibri"/>
                <w:b w:val="0"/>
                <w:bCs/>
                <w:color w:val="000000"/>
                <w:szCs w:val="20"/>
              </w:rPr>
              <w:t>0.1650</w:t>
            </w:r>
          </w:p>
        </w:tc>
        <w:tc>
          <w:tcPr>
            <w:tcW w:w="1298" w:type="dxa"/>
            <w:vAlign w:val="center"/>
          </w:tcPr>
          <w:p w14:paraId="197B699D" w14:textId="583AA81D" w:rsidR="00665A74" w:rsidRPr="008217F1" w:rsidRDefault="00683384" w:rsidP="006813A2">
            <w:pPr>
              <w:pStyle w:val="COMTableheadingrow"/>
              <w:keepNext w:val="0"/>
              <w:jc w:val="center"/>
              <w:rPr>
                <w:b w:val="0"/>
                <w:bCs/>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8E3F89" w:rsidRPr="00A96044">
              <w:rPr>
                <w:rFonts w:cs="Calibri"/>
                <w:b w:val="0"/>
                <w:bCs/>
                <w:color w:val="000000"/>
                <w:szCs w:val="20"/>
                <w:vertAlign w:val="superscript"/>
              </w:rPr>
              <w:t>3</w:t>
            </w:r>
          </w:p>
        </w:tc>
        <w:tc>
          <w:tcPr>
            <w:tcW w:w="1299" w:type="dxa"/>
            <w:vAlign w:val="center"/>
          </w:tcPr>
          <w:p w14:paraId="2E8F59BE" w14:textId="11F12084" w:rsidR="00665A74" w:rsidRPr="008217F1" w:rsidRDefault="00665A74" w:rsidP="006813A2">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24"/>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24"/>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24"/>
                <w14:textFill>
                  <w14:solidFill>
                    <w14:srgbClr w14:val="000000">
                      <w14:alpha w14:val="100000"/>
                    </w14:srgbClr>
                  </w14:solidFill>
                </w14:textFill>
              </w:rPr>
              <w:t xml:space="preserve">　</w:t>
            </w:r>
            <w:r w:rsidRPr="008217F1">
              <w:rPr>
                <w:rFonts w:cs="Calibri"/>
                <w:b w:val="0"/>
                <w:bCs/>
                <w:color w:val="000000"/>
                <w:szCs w:val="20"/>
              </w:rPr>
              <w:t>%</w:t>
            </w:r>
          </w:p>
        </w:tc>
      </w:tr>
      <w:tr w:rsidR="00665A74" w:rsidRPr="008217F1" w14:paraId="209D518C" w14:textId="77777777" w:rsidTr="006813A2">
        <w:tc>
          <w:tcPr>
            <w:tcW w:w="9016" w:type="dxa"/>
            <w:gridSpan w:val="5"/>
          </w:tcPr>
          <w:p w14:paraId="64796825" w14:textId="77777777" w:rsidR="00665A74" w:rsidRPr="008217F1" w:rsidRDefault="00665A74" w:rsidP="006813A2">
            <w:pPr>
              <w:pStyle w:val="COMTableheadingrow"/>
              <w:keepNext w:val="0"/>
              <w:rPr>
                <w:b w:val="0"/>
                <w:bCs/>
                <w:lang w:val="en-AU"/>
              </w:rPr>
            </w:pPr>
            <w:r w:rsidRPr="008217F1">
              <w:rPr>
                <w:bCs/>
                <w:szCs w:val="20"/>
              </w:rPr>
              <w:t>Subsequent treatment loss of response, relapse from remission and recurrence from recovery (base case: recovery to MDE 3.6% per cycle; remission to MDE 12.8%/cycle; response to MDE 22.8%/cycle)</w:t>
            </w:r>
            <w:r w:rsidRPr="008217F1">
              <w:rPr>
                <w:szCs w:val="20"/>
              </w:rPr>
              <w:t> </w:t>
            </w:r>
          </w:p>
        </w:tc>
      </w:tr>
      <w:tr w:rsidR="00665A74" w:rsidRPr="008217F1" w14:paraId="299A3F09" w14:textId="77777777" w:rsidTr="00683384">
        <w:tc>
          <w:tcPr>
            <w:tcW w:w="3822" w:type="dxa"/>
          </w:tcPr>
          <w:p w14:paraId="4E4E363C" w14:textId="77777777" w:rsidR="00665A74" w:rsidRPr="008217F1" w:rsidRDefault="00665A74" w:rsidP="006813A2">
            <w:pPr>
              <w:pStyle w:val="COMTableheadingrow"/>
              <w:keepNext w:val="0"/>
              <w:rPr>
                <w:b w:val="0"/>
                <w:bCs/>
                <w:lang w:val="en-AU"/>
              </w:rPr>
            </w:pPr>
            <w:r w:rsidRPr="008217F1">
              <w:rPr>
                <w:b w:val="0"/>
                <w:bCs/>
                <w:szCs w:val="20"/>
              </w:rPr>
              <w:t>Increase probabilities by 20%  </w:t>
            </w:r>
          </w:p>
        </w:tc>
        <w:tc>
          <w:tcPr>
            <w:tcW w:w="1298" w:type="dxa"/>
            <w:tcBorders>
              <w:bottom w:val="single" w:sz="4" w:space="0" w:color="auto"/>
            </w:tcBorders>
            <w:shd w:val="solid" w:color="000000" w:fill="000000"/>
            <w:vAlign w:val="center"/>
          </w:tcPr>
          <w:p w14:paraId="2983757D" w14:textId="438D98F2"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333F0025" w14:textId="77777777" w:rsidR="00665A74" w:rsidRPr="008217F1" w:rsidRDefault="00665A74" w:rsidP="006813A2">
            <w:pPr>
              <w:pStyle w:val="COMTableheadingrow"/>
              <w:keepNext w:val="0"/>
              <w:jc w:val="center"/>
              <w:rPr>
                <w:b w:val="0"/>
                <w:bCs/>
                <w:lang w:val="en-AU"/>
              </w:rPr>
            </w:pPr>
            <w:r w:rsidRPr="008217F1">
              <w:rPr>
                <w:rFonts w:cs="Calibri"/>
                <w:b w:val="0"/>
                <w:bCs/>
                <w:color w:val="000000"/>
                <w:szCs w:val="20"/>
              </w:rPr>
              <w:t>0.2214</w:t>
            </w:r>
          </w:p>
        </w:tc>
        <w:tc>
          <w:tcPr>
            <w:tcW w:w="1298" w:type="dxa"/>
            <w:vAlign w:val="center"/>
          </w:tcPr>
          <w:p w14:paraId="12F56D13" w14:textId="0F53B71C"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1E0447" w:rsidRPr="00A96044">
              <w:rPr>
                <w:vertAlign w:val="superscript"/>
                <w:lang w:val="en-AU"/>
              </w:rPr>
              <w:t>1</w:t>
            </w:r>
          </w:p>
        </w:tc>
        <w:tc>
          <w:tcPr>
            <w:tcW w:w="1299" w:type="dxa"/>
            <w:vAlign w:val="center"/>
          </w:tcPr>
          <w:p w14:paraId="6C663F60" w14:textId="2366FC76" w:rsidR="00665A74" w:rsidRPr="008217F1" w:rsidRDefault="00665A74" w:rsidP="006813A2">
            <w:pPr>
              <w:pStyle w:val="COMTableheadingrow"/>
              <w:keepNext w:val="0"/>
              <w:jc w:val="center"/>
              <w:rPr>
                <w:b w:val="0"/>
                <w:bCs/>
                <w:lang w:val="en-AU"/>
              </w:rPr>
            </w:pPr>
            <w:r w:rsidRPr="008217F1">
              <w:rPr>
                <w:rFonts w:cs="Calibri"/>
                <w:b w:val="0"/>
                <w:bCs/>
                <w:color w:val="000000"/>
                <w:szCs w:val="20"/>
              </w:rPr>
              <w:t>-</w:t>
            </w:r>
            <w:r w:rsidR="00683384" w:rsidRPr="00A34B18">
              <w:rPr>
                <w:rFonts w:cs="Calibri" w:hint="eastAsia"/>
                <w:b w:val="0"/>
                <w:bCs/>
                <w:color w:val="000000"/>
                <w:w w:val="15"/>
                <w:szCs w:val="20"/>
                <w:shd w:val="solid" w:color="000000" w:fill="000000"/>
                <w:fitText w:val="20" w:id="-892700923"/>
                <w14:textFill>
                  <w14:solidFill>
                    <w14:srgbClr w14:val="000000">
                      <w14:alpha w14:val="100000"/>
                    </w14:srgbClr>
                  </w14:solidFill>
                </w14:textFill>
              </w:rPr>
              <w:t xml:space="preserve">　</w:t>
            </w:r>
            <w:r w:rsidR="00683384" w:rsidRPr="00A34B18">
              <w:rPr>
                <w:rFonts w:cs="Calibri"/>
                <w:b w:val="0"/>
                <w:bCs/>
                <w:color w:val="000000"/>
                <w:w w:val="15"/>
                <w:szCs w:val="20"/>
                <w:shd w:val="solid" w:color="000000" w:fill="000000"/>
                <w:fitText w:val="20" w:id="-892700923"/>
                <w14:textFill>
                  <w14:solidFill>
                    <w14:srgbClr w14:val="000000">
                      <w14:alpha w14:val="100000"/>
                    </w14:srgbClr>
                  </w14:solidFill>
                </w14:textFill>
              </w:rPr>
              <w:t>|</w:t>
            </w:r>
            <w:r w:rsidR="00683384" w:rsidRPr="00A34B18">
              <w:rPr>
                <w:rFonts w:cs="Calibri" w:hint="eastAsia"/>
                <w:b w:val="0"/>
                <w:bCs/>
                <w:color w:val="000000"/>
                <w:spacing w:val="-45"/>
                <w:w w:val="15"/>
                <w:szCs w:val="20"/>
                <w:shd w:val="solid" w:color="000000" w:fill="000000"/>
                <w:fitText w:val="20" w:id="-892700923"/>
                <w14:textFill>
                  <w14:solidFill>
                    <w14:srgbClr w14:val="000000">
                      <w14:alpha w14:val="100000"/>
                    </w14:srgbClr>
                  </w14:solidFill>
                </w14:textFill>
              </w:rPr>
              <w:t xml:space="preserve">　</w:t>
            </w:r>
            <w:r w:rsidRPr="008217F1">
              <w:rPr>
                <w:rFonts w:cs="Calibri"/>
                <w:b w:val="0"/>
                <w:bCs/>
                <w:color w:val="000000"/>
                <w:szCs w:val="20"/>
              </w:rPr>
              <w:t>%</w:t>
            </w:r>
          </w:p>
        </w:tc>
      </w:tr>
      <w:tr w:rsidR="00665A74" w:rsidRPr="008217F1" w14:paraId="03FFD497" w14:textId="77777777" w:rsidTr="00683384">
        <w:tc>
          <w:tcPr>
            <w:tcW w:w="3822" w:type="dxa"/>
          </w:tcPr>
          <w:p w14:paraId="1D710B2C" w14:textId="77777777" w:rsidR="00665A74" w:rsidRPr="008217F1" w:rsidRDefault="00665A74" w:rsidP="006813A2">
            <w:pPr>
              <w:pStyle w:val="COMTableheadingrow"/>
              <w:keepNext w:val="0"/>
              <w:rPr>
                <w:b w:val="0"/>
                <w:bCs/>
                <w:lang w:val="en-AU"/>
              </w:rPr>
            </w:pPr>
            <w:r w:rsidRPr="008217F1">
              <w:rPr>
                <w:b w:val="0"/>
                <w:bCs/>
                <w:szCs w:val="20"/>
              </w:rPr>
              <w:lastRenderedPageBreak/>
              <w:t>Decrease probabilities by 20% </w:t>
            </w:r>
          </w:p>
        </w:tc>
        <w:tc>
          <w:tcPr>
            <w:tcW w:w="1298" w:type="dxa"/>
            <w:shd w:val="solid" w:color="000000" w:fill="000000"/>
            <w:vAlign w:val="center"/>
          </w:tcPr>
          <w:p w14:paraId="14C654BA" w14:textId="61BD8CD2"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17AD30D3" w14:textId="77777777" w:rsidR="00665A74" w:rsidRPr="008217F1" w:rsidRDefault="00665A74" w:rsidP="006813A2">
            <w:pPr>
              <w:pStyle w:val="COMTableheadingrow"/>
              <w:keepNext w:val="0"/>
              <w:jc w:val="center"/>
              <w:rPr>
                <w:b w:val="0"/>
                <w:bCs/>
                <w:lang w:val="en-AU"/>
              </w:rPr>
            </w:pPr>
            <w:r w:rsidRPr="008217F1">
              <w:rPr>
                <w:rFonts w:cs="Calibri"/>
                <w:b w:val="0"/>
                <w:bCs/>
                <w:color w:val="000000"/>
                <w:szCs w:val="20"/>
              </w:rPr>
              <w:t>0.1851</w:t>
            </w:r>
          </w:p>
        </w:tc>
        <w:tc>
          <w:tcPr>
            <w:tcW w:w="1298" w:type="dxa"/>
            <w:vAlign w:val="center"/>
          </w:tcPr>
          <w:p w14:paraId="6A36CC8A" w14:textId="21917111"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582439" w:rsidRPr="00A96044">
              <w:rPr>
                <w:rFonts w:cs="Calibri"/>
                <w:b w:val="0"/>
                <w:bCs/>
                <w:color w:val="000000"/>
                <w:szCs w:val="20"/>
                <w:vertAlign w:val="superscript"/>
              </w:rPr>
              <w:t>5</w:t>
            </w:r>
          </w:p>
        </w:tc>
        <w:tc>
          <w:tcPr>
            <w:tcW w:w="1299" w:type="dxa"/>
            <w:vAlign w:val="center"/>
          </w:tcPr>
          <w:p w14:paraId="5351CBAF" w14:textId="20AD6158" w:rsidR="00665A74" w:rsidRPr="008217F1" w:rsidRDefault="00665A74" w:rsidP="006813A2">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22"/>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22"/>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22"/>
                <w14:textFill>
                  <w14:solidFill>
                    <w14:srgbClr w14:val="000000">
                      <w14:alpha w14:val="100000"/>
                    </w14:srgbClr>
                  </w14:solidFill>
                </w14:textFill>
              </w:rPr>
              <w:t xml:space="preserve">　</w:t>
            </w:r>
            <w:r w:rsidRPr="008217F1">
              <w:rPr>
                <w:rFonts w:cs="Calibri"/>
                <w:b w:val="0"/>
                <w:bCs/>
                <w:color w:val="000000"/>
                <w:szCs w:val="20"/>
              </w:rPr>
              <w:t>%</w:t>
            </w:r>
          </w:p>
        </w:tc>
      </w:tr>
      <w:tr w:rsidR="00665A74" w:rsidRPr="008217F1" w14:paraId="651902ED" w14:textId="77777777" w:rsidTr="006813A2">
        <w:tc>
          <w:tcPr>
            <w:tcW w:w="9016" w:type="dxa"/>
            <w:gridSpan w:val="5"/>
          </w:tcPr>
          <w:p w14:paraId="088B5A6F" w14:textId="47C3D28F" w:rsidR="00665A74" w:rsidRPr="008217F1" w:rsidRDefault="00665A74" w:rsidP="006813A2">
            <w:pPr>
              <w:pStyle w:val="COMTableheadingrow"/>
              <w:keepNext w:val="0"/>
              <w:rPr>
                <w:lang w:val="en-AU"/>
              </w:rPr>
            </w:pPr>
            <w:r w:rsidRPr="008217F1">
              <w:rPr>
                <w:lang w:val="en-AU"/>
              </w:rPr>
              <w:t xml:space="preserve">Proportion of patients remaining on esketamine beyond 12 months (base case: </w:t>
            </w:r>
            <w:r w:rsidR="00683384" w:rsidRPr="00683384">
              <w:rPr>
                <w:color w:val="000000"/>
                <w:spacing w:val="55"/>
                <w:shd w:val="solid" w:color="000000" w:fill="000000"/>
                <w:fitText w:val="350" w:id="-892700921"/>
                <w:lang w:val="en-AU"/>
                <w14:textFill>
                  <w14:solidFill>
                    <w14:srgbClr w14:val="000000">
                      <w14:alpha w14:val="100000"/>
                    </w14:srgbClr>
                  </w14:solidFill>
                </w14:textFill>
              </w:rPr>
              <w:t>|||</w:t>
            </w:r>
            <w:r w:rsidR="00683384" w:rsidRPr="00683384">
              <w:rPr>
                <w:color w:val="000000"/>
                <w:spacing w:val="2"/>
                <w:shd w:val="solid" w:color="000000" w:fill="000000"/>
                <w:fitText w:val="350" w:id="-892700921"/>
                <w:lang w:val="en-AU"/>
                <w14:textFill>
                  <w14:solidFill>
                    <w14:srgbClr w14:val="000000">
                      <w14:alpha w14:val="100000"/>
                    </w14:srgbClr>
                  </w14:solidFill>
                </w14:textFill>
              </w:rPr>
              <w:t>|</w:t>
            </w:r>
            <w:r w:rsidRPr="008217F1">
              <w:rPr>
                <w:lang w:val="en-AU"/>
              </w:rPr>
              <w:t>%, based on EAP data)</w:t>
            </w:r>
          </w:p>
        </w:tc>
      </w:tr>
      <w:tr w:rsidR="00665A74" w:rsidRPr="008217F1" w14:paraId="0AD7913B" w14:textId="77777777" w:rsidTr="00683384">
        <w:tc>
          <w:tcPr>
            <w:tcW w:w="3822" w:type="dxa"/>
          </w:tcPr>
          <w:p w14:paraId="0B923D8E" w14:textId="77777777" w:rsidR="00665A74" w:rsidRPr="008217F1" w:rsidRDefault="00665A74" w:rsidP="006813A2">
            <w:pPr>
              <w:pStyle w:val="COMTableheadingrow"/>
              <w:keepNext w:val="0"/>
              <w:rPr>
                <w:b w:val="0"/>
                <w:bCs/>
                <w:lang w:val="en-AU"/>
              </w:rPr>
            </w:pPr>
            <w:r w:rsidRPr="008217F1">
              <w:rPr>
                <w:b w:val="0"/>
                <w:bCs/>
                <w:lang w:val="en-AU"/>
              </w:rPr>
              <w:t>0%</w:t>
            </w:r>
          </w:p>
        </w:tc>
        <w:tc>
          <w:tcPr>
            <w:tcW w:w="1298" w:type="dxa"/>
            <w:tcBorders>
              <w:bottom w:val="single" w:sz="4" w:space="0" w:color="auto"/>
            </w:tcBorders>
            <w:shd w:val="solid" w:color="000000" w:fill="000000"/>
            <w:vAlign w:val="center"/>
          </w:tcPr>
          <w:p w14:paraId="045022F1" w14:textId="167550B7" w:rsidR="00665A74" w:rsidRPr="008D2AC7" w:rsidRDefault="00683384" w:rsidP="006813A2">
            <w:pPr>
              <w:pStyle w:val="COMTableheadingrow"/>
              <w:keepNext w:val="0"/>
              <w:jc w:val="center"/>
              <w:rPr>
                <w:b w:val="0"/>
                <w:bCs/>
                <w:highlight w:val="lightGray"/>
                <w:lang w:val="en-AU"/>
              </w:rPr>
            </w:pPr>
            <w:r w:rsidRPr="00683384">
              <w:rPr>
                <w:b w:val="0"/>
                <w:bCs/>
                <w:color w:val="000000"/>
                <w:lang w:val="en-AU"/>
                <w14:textFill>
                  <w14:solidFill>
                    <w14:srgbClr w14:val="000000">
                      <w14:alpha w14:val="100000"/>
                    </w14:srgbClr>
                  </w14:solidFill>
                </w14:textFill>
              </w:rPr>
              <w:t>|</w:t>
            </w:r>
          </w:p>
        </w:tc>
        <w:tc>
          <w:tcPr>
            <w:tcW w:w="1299" w:type="dxa"/>
            <w:vAlign w:val="center"/>
          </w:tcPr>
          <w:p w14:paraId="11592D6D" w14:textId="77777777" w:rsidR="00665A74" w:rsidRPr="008217F1" w:rsidRDefault="00665A74" w:rsidP="006813A2">
            <w:pPr>
              <w:pStyle w:val="COMTableheadingrow"/>
              <w:keepNext w:val="0"/>
              <w:jc w:val="center"/>
              <w:rPr>
                <w:b w:val="0"/>
                <w:bCs/>
                <w:lang w:val="en-AU"/>
              </w:rPr>
            </w:pPr>
            <w:r w:rsidRPr="008217F1">
              <w:rPr>
                <w:b w:val="0"/>
                <w:bCs/>
                <w:lang w:val="en-AU"/>
              </w:rPr>
              <w:t>0.1940</w:t>
            </w:r>
          </w:p>
        </w:tc>
        <w:tc>
          <w:tcPr>
            <w:tcW w:w="1298" w:type="dxa"/>
            <w:vAlign w:val="center"/>
          </w:tcPr>
          <w:p w14:paraId="25307914" w14:textId="6BFF8BE0" w:rsidR="00665A74" w:rsidRPr="008D2AC7" w:rsidRDefault="00683384" w:rsidP="006813A2">
            <w:pPr>
              <w:pStyle w:val="COMTableheadingrow"/>
              <w:keepNext w:val="0"/>
              <w:jc w:val="center"/>
              <w:rPr>
                <w:b w:val="0"/>
                <w:bCs/>
                <w:highlight w:val="lightGray"/>
                <w:lang w:val="en-AU"/>
              </w:rPr>
            </w:pPr>
            <w:r w:rsidRPr="00683384">
              <w:rPr>
                <w:b w:val="0"/>
                <w:bCs/>
                <w:color w:val="000000"/>
                <w:shd w:val="solid" w:color="000000" w:fill="000000"/>
                <w:lang w:val="en-AU"/>
                <w14:textFill>
                  <w14:solidFill>
                    <w14:srgbClr w14:val="000000">
                      <w14:alpha w14:val="100000"/>
                    </w14:srgbClr>
                  </w14:solidFill>
                </w14:textFill>
              </w:rPr>
              <w:t>|</w:t>
            </w:r>
            <w:r w:rsidR="0086467F" w:rsidRPr="00A96044">
              <w:rPr>
                <w:rFonts w:cs="Calibri"/>
                <w:b w:val="0"/>
                <w:bCs/>
                <w:color w:val="000000"/>
                <w:szCs w:val="20"/>
                <w:vertAlign w:val="superscript"/>
              </w:rPr>
              <w:t>4</w:t>
            </w:r>
          </w:p>
        </w:tc>
        <w:tc>
          <w:tcPr>
            <w:tcW w:w="1299" w:type="dxa"/>
            <w:vAlign w:val="center"/>
          </w:tcPr>
          <w:p w14:paraId="4FA1BCDF" w14:textId="77AC0D2A" w:rsidR="00665A74" w:rsidRPr="008217F1" w:rsidRDefault="00665A74" w:rsidP="006813A2">
            <w:pPr>
              <w:pStyle w:val="COMTableheadingrow"/>
              <w:keepNext w:val="0"/>
              <w:jc w:val="center"/>
              <w:rPr>
                <w:b w:val="0"/>
                <w:bCs/>
                <w:lang w:val="en-AU"/>
              </w:rPr>
            </w:pPr>
            <w:r w:rsidRPr="008217F1">
              <w:rPr>
                <w:b w:val="0"/>
                <w:bCs/>
                <w:lang w:val="en-AU"/>
              </w:rPr>
              <w:t>-</w:t>
            </w:r>
            <w:r w:rsidR="00683384" w:rsidRPr="00A34B18">
              <w:rPr>
                <w:rFonts w:hint="eastAsia"/>
                <w:b w:val="0"/>
                <w:bCs/>
                <w:color w:val="000000"/>
                <w:w w:val="15"/>
                <w:shd w:val="solid" w:color="000000" w:fill="000000"/>
                <w:fitText w:val="20" w:id="-892700920"/>
                <w:lang w:val="en-AU"/>
                <w14:textFill>
                  <w14:solidFill>
                    <w14:srgbClr w14:val="000000">
                      <w14:alpha w14:val="100000"/>
                    </w14:srgbClr>
                  </w14:solidFill>
                </w14:textFill>
              </w:rPr>
              <w:t xml:space="preserve">　</w:t>
            </w:r>
            <w:r w:rsidR="00683384" w:rsidRPr="00A34B18">
              <w:rPr>
                <w:b w:val="0"/>
                <w:bCs/>
                <w:color w:val="000000"/>
                <w:w w:val="15"/>
                <w:shd w:val="solid" w:color="000000" w:fill="000000"/>
                <w:fitText w:val="20" w:id="-892700920"/>
                <w:lang w:val="en-AU"/>
                <w14:textFill>
                  <w14:solidFill>
                    <w14:srgbClr w14:val="000000">
                      <w14:alpha w14:val="100000"/>
                    </w14:srgbClr>
                  </w14:solidFill>
                </w14:textFill>
              </w:rPr>
              <w:t>|</w:t>
            </w:r>
            <w:r w:rsidR="00683384" w:rsidRPr="00A34B18">
              <w:rPr>
                <w:rFonts w:hint="eastAsia"/>
                <w:b w:val="0"/>
                <w:bCs/>
                <w:color w:val="000000"/>
                <w:spacing w:val="-45"/>
                <w:w w:val="15"/>
                <w:shd w:val="solid" w:color="000000" w:fill="000000"/>
                <w:fitText w:val="20" w:id="-892700920"/>
                <w:lang w:val="en-AU"/>
                <w14:textFill>
                  <w14:solidFill>
                    <w14:srgbClr w14:val="000000">
                      <w14:alpha w14:val="100000"/>
                    </w14:srgbClr>
                  </w14:solidFill>
                </w14:textFill>
              </w:rPr>
              <w:t xml:space="preserve">　</w:t>
            </w:r>
            <w:r w:rsidRPr="008217F1">
              <w:rPr>
                <w:b w:val="0"/>
                <w:bCs/>
                <w:lang w:val="en-AU"/>
              </w:rPr>
              <w:t>%</w:t>
            </w:r>
          </w:p>
        </w:tc>
      </w:tr>
      <w:tr w:rsidR="00665A74" w:rsidRPr="008217F1" w14:paraId="2F817833" w14:textId="77777777" w:rsidTr="00683384">
        <w:tc>
          <w:tcPr>
            <w:tcW w:w="3822" w:type="dxa"/>
          </w:tcPr>
          <w:p w14:paraId="0AEB2C39" w14:textId="08A7D72B" w:rsidR="00665A74" w:rsidRPr="008217F1" w:rsidRDefault="00683384" w:rsidP="006813A2">
            <w:pPr>
              <w:pStyle w:val="COMTableheadingrow"/>
              <w:keepNext w:val="0"/>
              <w:rPr>
                <w:b w:val="0"/>
                <w:bCs/>
                <w:lang w:val="en-AU"/>
              </w:rPr>
            </w:pPr>
            <w:r w:rsidRPr="00683384">
              <w:rPr>
                <w:b w:val="0"/>
                <w:bCs/>
                <w:color w:val="000000"/>
                <w:spacing w:val="53"/>
                <w:shd w:val="solid" w:color="000000" w:fill="000000"/>
                <w:fitText w:val="330" w:id="-892700919"/>
                <w:lang w:val="en-AU"/>
                <w14:textFill>
                  <w14:solidFill>
                    <w14:srgbClr w14:val="000000">
                      <w14:alpha w14:val="100000"/>
                    </w14:srgbClr>
                  </w14:solidFill>
                </w14:textFill>
              </w:rPr>
              <w:t>|||</w:t>
            </w:r>
            <w:r w:rsidRPr="00683384">
              <w:rPr>
                <w:b w:val="0"/>
                <w:bCs/>
                <w:color w:val="000000"/>
                <w:spacing w:val="1"/>
                <w:shd w:val="solid" w:color="000000" w:fill="000000"/>
                <w:fitText w:val="330" w:id="-892700919"/>
                <w:lang w:val="en-AU"/>
                <w14:textFill>
                  <w14:solidFill>
                    <w14:srgbClr w14:val="000000">
                      <w14:alpha w14:val="100000"/>
                    </w14:srgbClr>
                  </w14:solidFill>
                </w14:textFill>
              </w:rPr>
              <w:t>|</w:t>
            </w:r>
            <w:r w:rsidR="00665A74" w:rsidRPr="008217F1">
              <w:rPr>
                <w:b w:val="0"/>
                <w:bCs/>
                <w:lang w:val="en-AU"/>
              </w:rPr>
              <w:t>% (EAP data adjusted to exclude patients with &lt;12 months of follow-up)</w:t>
            </w:r>
          </w:p>
        </w:tc>
        <w:tc>
          <w:tcPr>
            <w:tcW w:w="1298" w:type="dxa"/>
            <w:tcBorders>
              <w:bottom w:val="single" w:sz="4" w:space="0" w:color="auto"/>
            </w:tcBorders>
            <w:shd w:val="solid" w:color="000000" w:fill="000000"/>
            <w:vAlign w:val="center"/>
          </w:tcPr>
          <w:p w14:paraId="7B0C4B7D" w14:textId="3B7FFFED"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21B8F0E0" w14:textId="77777777" w:rsidR="00665A74" w:rsidRPr="008217F1" w:rsidRDefault="00665A74" w:rsidP="006813A2">
            <w:pPr>
              <w:pStyle w:val="COMTableheadingrow"/>
              <w:keepNext w:val="0"/>
              <w:jc w:val="center"/>
              <w:rPr>
                <w:b w:val="0"/>
                <w:bCs/>
                <w:lang w:val="en-AU"/>
              </w:rPr>
            </w:pPr>
            <w:r w:rsidRPr="008217F1">
              <w:rPr>
                <w:rFonts w:cs="Calibri"/>
                <w:b w:val="0"/>
                <w:bCs/>
                <w:color w:val="000000"/>
                <w:szCs w:val="20"/>
              </w:rPr>
              <w:t>0.2095</w:t>
            </w:r>
          </w:p>
        </w:tc>
        <w:tc>
          <w:tcPr>
            <w:tcW w:w="1298" w:type="dxa"/>
            <w:vAlign w:val="center"/>
          </w:tcPr>
          <w:p w14:paraId="4EFD7B98" w14:textId="0DC287B0"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561A42" w:rsidRPr="008D2AC7">
              <w:rPr>
                <w:rFonts w:cs="Calibri"/>
                <w:b w:val="0"/>
                <w:bCs/>
                <w:color w:val="000000"/>
                <w:szCs w:val="20"/>
                <w:vertAlign w:val="superscript"/>
              </w:rPr>
              <w:t>5</w:t>
            </w:r>
          </w:p>
        </w:tc>
        <w:tc>
          <w:tcPr>
            <w:tcW w:w="1299" w:type="dxa"/>
            <w:vAlign w:val="center"/>
          </w:tcPr>
          <w:p w14:paraId="6D7B553A" w14:textId="7F5BFE67" w:rsidR="00665A74" w:rsidRPr="008217F1" w:rsidRDefault="00665A74" w:rsidP="006813A2">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18"/>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18"/>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18"/>
                <w14:textFill>
                  <w14:solidFill>
                    <w14:srgbClr w14:val="000000">
                      <w14:alpha w14:val="100000"/>
                    </w14:srgbClr>
                  </w14:solidFill>
                </w14:textFill>
              </w:rPr>
              <w:t xml:space="preserve">　</w:t>
            </w:r>
            <w:r w:rsidRPr="008217F1">
              <w:rPr>
                <w:rFonts w:cs="Calibri"/>
                <w:b w:val="0"/>
                <w:bCs/>
                <w:color w:val="000000"/>
                <w:szCs w:val="20"/>
              </w:rPr>
              <w:t>%</w:t>
            </w:r>
          </w:p>
        </w:tc>
      </w:tr>
      <w:tr w:rsidR="00665A74" w:rsidRPr="008217F1" w14:paraId="54E23E3C" w14:textId="77777777" w:rsidTr="00683384">
        <w:tc>
          <w:tcPr>
            <w:tcW w:w="3822" w:type="dxa"/>
          </w:tcPr>
          <w:p w14:paraId="14ED062F" w14:textId="77777777" w:rsidR="00665A74" w:rsidRPr="008217F1" w:rsidRDefault="00665A74" w:rsidP="006813A2">
            <w:pPr>
              <w:pStyle w:val="COMTableheadingrow"/>
              <w:keepNext w:val="0"/>
              <w:rPr>
                <w:b w:val="0"/>
                <w:bCs/>
                <w:lang w:val="en-AU"/>
              </w:rPr>
            </w:pPr>
            <w:r w:rsidRPr="008217F1">
              <w:rPr>
                <w:b w:val="0"/>
                <w:bCs/>
                <w:lang w:val="en-AU"/>
              </w:rPr>
              <w:t>21.5% (Teeple 2021)</w:t>
            </w:r>
          </w:p>
        </w:tc>
        <w:tc>
          <w:tcPr>
            <w:tcW w:w="1298" w:type="dxa"/>
            <w:tcBorders>
              <w:bottom w:val="single" w:sz="4" w:space="0" w:color="auto"/>
            </w:tcBorders>
            <w:shd w:val="solid" w:color="000000" w:fill="000000"/>
            <w:vAlign w:val="center"/>
          </w:tcPr>
          <w:p w14:paraId="641301C1" w14:textId="064BB165" w:rsidR="00665A74" w:rsidRPr="008D2AC7" w:rsidRDefault="00683384" w:rsidP="006813A2">
            <w:pPr>
              <w:pStyle w:val="COMTableheadingrow"/>
              <w:keepNext w:val="0"/>
              <w:jc w:val="center"/>
              <w:rPr>
                <w:b w:val="0"/>
                <w:bCs/>
                <w:highlight w:val="lightGray"/>
                <w:lang w:val="en-AU"/>
              </w:rPr>
            </w:pPr>
            <w:r w:rsidRPr="00683384">
              <w:rPr>
                <w:b w:val="0"/>
                <w:bCs/>
                <w:color w:val="000000"/>
                <w:lang w:val="en-AU"/>
                <w14:textFill>
                  <w14:solidFill>
                    <w14:srgbClr w14:val="000000">
                      <w14:alpha w14:val="100000"/>
                    </w14:srgbClr>
                  </w14:solidFill>
                </w14:textFill>
              </w:rPr>
              <w:t>|</w:t>
            </w:r>
          </w:p>
        </w:tc>
        <w:tc>
          <w:tcPr>
            <w:tcW w:w="1299" w:type="dxa"/>
            <w:vAlign w:val="center"/>
          </w:tcPr>
          <w:p w14:paraId="48372A4C" w14:textId="77777777" w:rsidR="00665A74" w:rsidRPr="008217F1" w:rsidRDefault="00665A74" w:rsidP="006813A2">
            <w:pPr>
              <w:pStyle w:val="COMTableheadingrow"/>
              <w:keepNext w:val="0"/>
              <w:jc w:val="center"/>
              <w:rPr>
                <w:b w:val="0"/>
                <w:bCs/>
                <w:lang w:val="en-AU"/>
              </w:rPr>
            </w:pPr>
            <w:r w:rsidRPr="008217F1">
              <w:rPr>
                <w:b w:val="0"/>
                <w:bCs/>
                <w:lang w:val="en-AU"/>
              </w:rPr>
              <w:t>0.2104</w:t>
            </w:r>
          </w:p>
        </w:tc>
        <w:tc>
          <w:tcPr>
            <w:tcW w:w="1298" w:type="dxa"/>
            <w:vAlign w:val="center"/>
          </w:tcPr>
          <w:p w14:paraId="075E6FA4" w14:textId="58110748" w:rsidR="00665A74" w:rsidRPr="008D2AC7" w:rsidRDefault="00683384" w:rsidP="006813A2">
            <w:pPr>
              <w:pStyle w:val="COMTableheadingrow"/>
              <w:keepNext w:val="0"/>
              <w:jc w:val="center"/>
              <w:rPr>
                <w:b w:val="0"/>
                <w:bCs/>
                <w:highlight w:val="lightGray"/>
                <w:lang w:val="en-AU"/>
              </w:rPr>
            </w:pPr>
            <w:r w:rsidRPr="00683384">
              <w:rPr>
                <w:b w:val="0"/>
                <w:bCs/>
                <w:color w:val="000000"/>
                <w:shd w:val="solid" w:color="000000" w:fill="000000"/>
                <w:lang w:val="en-AU"/>
                <w14:textFill>
                  <w14:solidFill>
                    <w14:srgbClr w14:val="000000">
                      <w14:alpha w14:val="100000"/>
                    </w14:srgbClr>
                  </w14:solidFill>
                </w14:textFill>
              </w:rPr>
              <w:t>|</w:t>
            </w:r>
            <w:r w:rsidR="00561A42" w:rsidRPr="00A96044">
              <w:rPr>
                <w:rFonts w:cs="Calibri"/>
                <w:b w:val="0"/>
                <w:bCs/>
                <w:color w:val="000000"/>
                <w:szCs w:val="20"/>
                <w:vertAlign w:val="superscript"/>
              </w:rPr>
              <w:t>5</w:t>
            </w:r>
          </w:p>
        </w:tc>
        <w:tc>
          <w:tcPr>
            <w:tcW w:w="1299" w:type="dxa"/>
            <w:vAlign w:val="center"/>
          </w:tcPr>
          <w:p w14:paraId="4CEDABBD" w14:textId="26080B2E" w:rsidR="00665A74" w:rsidRPr="008217F1" w:rsidRDefault="00665A74" w:rsidP="006813A2">
            <w:pPr>
              <w:pStyle w:val="COMTableheadingrow"/>
              <w:keepNext w:val="0"/>
              <w:jc w:val="center"/>
              <w:rPr>
                <w:b w:val="0"/>
                <w:bCs/>
                <w:lang w:val="en-AU"/>
              </w:rPr>
            </w:pPr>
            <w:r w:rsidRPr="008217F1">
              <w:rPr>
                <w:b w:val="0"/>
                <w:bCs/>
                <w:lang w:val="en-AU"/>
              </w:rPr>
              <w:t>+</w:t>
            </w:r>
            <w:r w:rsidR="00683384" w:rsidRPr="00683384">
              <w:rPr>
                <w:rFonts w:hint="eastAsia"/>
                <w:b w:val="0"/>
                <w:bCs/>
                <w:color w:val="000000"/>
                <w:w w:val="15"/>
                <w:shd w:val="solid" w:color="000000" w:fill="000000"/>
                <w:fitText w:val="50" w:id="-892700917"/>
                <w:lang w:val="en-AU"/>
                <w14:textFill>
                  <w14:solidFill>
                    <w14:srgbClr w14:val="000000">
                      <w14:alpha w14:val="100000"/>
                    </w14:srgbClr>
                  </w14:solidFill>
                </w14:textFill>
              </w:rPr>
              <w:t xml:space="preserve">　</w:t>
            </w:r>
            <w:r w:rsidR="00683384" w:rsidRPr="00683384">
              <w:rPr>
                <w:b w:val="0"/>
                <w:bCs/>
                <w:color w:val="000000"/>
                <w:w w:val="15"/>
                <w:shd w:val="solid" w:color="000000" w:fill="000000"/>
                <w:fitText w:val="50" w:id="-892700917"/>
                <w:lang w:val="en-AU"/>
                <w14:textFill>
                  <w14:solidFill>
                    <w14:srgbClr w14:val="000000">
                      <w14:alpha w14:val="100000"/>
                    </w14:srgbClr>
                  </w14:solidFill>
                </w14:textFill>
              </w:rPr>
              <w:t>|</w:t>
            </w:r>
            <w:r w:rsidR="00683384" w:rsidRPr="00683384">
              <w:rPr>
                <w:rFonts w:hint="eastAsia"/>
                <w:b w:val="0"/>
                <w:bCs/>
                <w:color w:val="000000"/>
                <w:spacing w:val="-15"/>
                <w:w w:val="15"/>
                <w:shd w:val="solid" w:color="000000" w:fill="000000"/>
                <w:fitText w:val="50" w:id="-892700917"/>
                <w:lang w:val="en-AU"/>
                <w14:textFill>
                  <w14:solidFill>
                    <w14:srgbClr w14:val="000000">
                      <w14:alpha w14:val="100000"/>
                    </w14:srgbClr>
                  </w14:solidFill>
                </w14:textFill>
              </w:rPr>
              <w:t xml:space="preserve">　</w:t>
            </w:r>
            <w:r w:rsidRPr="008217F1">
              <w:rPr>
                <w:b w:val="0"/>
                <w:bCs/>
                <w:lang w:val="en-AU"/>
              </w:rPr>
              <w:t>%</w:t>
            </w:r>
          </w:p>
        </w:tc>
      </w:tr>
      <w:tr w:rsidR="00665A74" w:rsidRPr="008217F1" w14:paraId="736B8C67" w14:textId="77777777" w:rsidTr="00683384">
        <w:tc>
          <w:tcPr>
            <w:tcW w:w="3822" w:type="dxa"/>
          </w:tcPr>
          <w:p w14:paraId="067A7611" w14:textId="77777777" w:rsidR="00665A74" w:rsidRPr="008217F1" w:rsidRDefault="00665A74" w:rsidP="006813A2">
            <w:pPr>
              <w:pStyle w:val="COMTableheadingrow"/>
              <w:keepNext w:val="0"/>
              <w:rPr>
                <w:b w:val="0"/>
                <w:bCs/>
                <w:lang w:val="en-AU"/>
              </w:rPr>
            </w:pPr>
            <w:r w:rsidRPr="008217F1">
              <w:rPr>
                <w:b w:val="0"/>
                <w:bCs/>
                <w:lang w:val="en-AU"/>
              </w:rPr>
              <w:t>23.9% (Karkare 2021)</w:t>
            </w:r>
          </w:p>
        </w:tc>
        <w:tc>
          <w:tcPr>
            <w:tcW w:w="1298" w:type="dxa"/>
            <w:tcBorders>
              <w:bottom w:val="single" w:sz="4" w:space="0" w:color="auto"/>
            </w:tcBorders>
            <w:shd w:val="solid" w:color="000000" w:fill="000000"/>
            <w:vAlign w:val="center"/>
          </w:tcPr>
          <w:p w14:paraId="23101DBB" w14:textId="40457166"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3C514136" w14:textId="77777777" w:rsidR="00665A74" w:rsidRPr="008217F1" w:rsidRDefault="00665A74" w:rsidP="006813A2">
            <w:pPr>
              <w:pStyle w:val="COMTableheadingrow"/>
              <w:keepNext w:val="0"/>
              <w:jc w:val="center"/>
              <w:rPr>
                <w:b w:val="0"/>
                <w:bCs/>
                <w:lang w:val="en-AU"/>
              </w:rPr>
            </w:pPr>
            <w:r w:rsidRPr="008217F1">
              <w:rPr>
                <w:rFonts w:cs="Calibri"/>
                <w:b w:val="0"/>
                <w:bCs/>
                <w:color w:val="000000"/>
                <w:szCs w:val="20"/>
              </w:rPr>
              <w:t>0.2118</w:t>
            </w:r>
          </w:p>
        </w:tc>
        <w:tc>
          <w:tcPr>
            <w:tcW w:w="1298" w:type="dxa"/>
            <w:vAlign w:val="center"/>
          </w:tcPr>
          <w:p w14:paraId="143F89E3" w14:textId="32C92719"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8E3F89" w:rsidRPr="00A96044">
              <w:rPr>
                <w:rFonts w:cs="Calibri"/>
                <w:b w:val="0"/>
                <w:bCs/>
                <w:color w:val="000000"/>
                <w:szCs w:val="20"/>
                <w:vertAlign w:val="superscript"/>
              </w:rPr>
              <w:t>3</w:t>
            </w:r>
          </w:p>
        </w:tc>
        <w:tc>
          <w:tcPr>
            <w:tcW w:w="1299" w:type="dxa"/>
            <w:vAlign w:val="center"/>
          </w:tcPr>
          <w:p w14:paraId="64999810" w14:textId="79883C5E" w:rsidR="00665A74" w:rsidRPr="008217F1" w:rsidRDefault="00665A74" w:rsidP="006813A2">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16"/>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16"/>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16"/>
                <w14:textFill>
                  <w14:solidFill>
                    <w14:srgbClr w14:val="000000">
                      <w14:alpha w14:val="100000"/>
                    </w14:srgbClr>
                  </w14:solidFill>
                </w14:textFill>
              </w:rPr>
              <w:t xml:space="preserve">　</w:t>
            </w:r>
            <w:r w:rsidRPr="008217F1">
              <w:rPr>
                <w:rFonts w:cs="Calibri"/>
                <w:b w:val="0"/>
                <w:bCs/>
                <w:color w:val="000000"/>
                <w:szCs w:val="20"/>
              </w:rPr>
              <w:t>%</w:t>
            </w:r>
          </w:p>
        </w:tc>
      </w:tr>
      <w:tr w:rsidR="00665A74" w:rsidRPr="008217F1" w14:paraId="37AD79E9" w14:textId="77777777" w:rsidTr="00683384">
        <w:tc>
          <w:tcPr>
            <w:tcW w:w="3822" w:type="dxa"/>
          </w:tcPr>
          <w:p w14:paraId="7FF64F83" w14:textId="23BA1288" w:rsidR="00665A74" w:rsidRPr="008217F1" w:rsidRDefault="00665A74" w:rsidP="006813A2">
            <w:pPr>
              <w:pStyle w:val="COMTableheadingrow"/>
              <w:keepNext w:val="0"/>
              <w:rPr>
                <w:b w:val="0"/>
                <w:bCs/>
                <w:lang w:val="en-AU"/>
              </w:rPr>
            </w:pPr>
            <w:r w:rsidRPr="008217F1">
              <w:rPr>
                <w:b w:val="0"/>
                <w:bCs/>
                <w:lang w:val="en-AU"/>
              </w:rPr>
              <w:t>No limit (</w:t>
            </w:r>
            <w:r w:rsidR="00E5237A" w:rsidRPr="008217F1">
              <w:rPr>
                <w:b w:val="0"/>
                <w:bCs/>
                <w:lang w:val="en-AU"/>
              </w:rPr>
              <w:t xml:space="preserve">the </w:t>
            </w:r>
            <w:r w:rsidRPr="008217F1">
              <w:rPr>
                <w:b w:val="0"/>
                <w:bCs/>
                <w:lang w:val="en-AU"/>
              </w:rPr>
              <w:t xml:space="preserve">29.4% </w:t>
            </w:r>
            <w:r w:rsidR="00E5237A" w:rsidRPr="008217F1">
              <w:rPr>
                <w:b w:val="0"/>
                <w:bCs/>
                <w:lang w:val="en-AU"/>
              </w:rPr>
              <w:t xml:space="preserve">of patients </w:t>
            </w:r>
            <w:r w:rsidRPr="008217F1">
              <w:rPr>
                <w:b w:val="0"/>
                <w:bCs/>
                <w:lang w:val="en-AU"/>
              </w:rPr>
              <w:t>remaining on treatment at 12 months continue treatment)</w:t>
            </w:r>
          </w:p>
        </w:tc>
        <w:tc>
          <w:tcPr>
            <w:tcW w:w="1298" w:type="dxa"/>
            <w:shd w:val="solid" w:color="000000" w:fill="000000"/>
            <w:vAlign w:val="center"/>
          </w:tcPr>
          <w:p w14:paraId="27555DC9" w14:textId="4479BC6F" w:rsidR="00665A74" w:rsidRPr="008D2AC7" w:rsidRDefault="00683384" w:rsidP="006813A2">
            <w:pPr>
              <w:pStyle w:val="COMTableheadingrow"/>
              <w:keepNext w:val="0"/>
              <w:jc w:val="center"/>
              <w:rPr>
                <w:b w:val="0"/>
                <w:bCs/>
                <w:highlight w:val="lightGray"/>
                <w:lang w:val="en-AU"/>
              </w:rPr>
            </w:pPr>
            <w:r w:rsidRPr="00683384">
              <w:rPr>
                <w:b w:val="0"/>
                <w:bCs/>
                <w:color w:val="000000"/>
                <w:lang w:val="en-AU"/>
                <w14:textFill>
                  <w14:solidFill>
                    <w14:srgbClr w14:val="000000">
                      <w14:alpha w14:val="100000"/>
                    </w14:srgbClr>
                  </w14:solidFill>
                </w14:textFill>
              </w:rPr>
              <w:t>|</w:t>
            </w:r>
          </w:p>
        </w:tc>
        <w:tc>
          <w:tcPr>
            <w:tcW w:w="1299" w:type="dxa"/>
            <w:vAlign w:val="center"/>
          </w:tcPr>
          <w:p w14:paraId="10FBB1FA" w14:textId="77777777" w:rsidR="00665A74" w:rsidRPr="008217F1" w:rsidRDefault="00665A74" w:rsidP="006813A2">
            <w:pPr>
              <w:pStyle w:val="COMTableheadingrow"/>
              <w:keepNext w:val="0"/>
              <w:jc w:val="center"/>
              <w:rPr>
                <w:b w:val="0"/>
                <w:bCs/>
                <w:lang w:val="en-AU"/>
              </w:rPr>
            </w:pPr>
            <w:r w:rsidRPr="008217F1">
              <w:rPr>
                <w:b w:val="0"/>
                <w:bCs/>
                <w:lang w:val="en-AU"/>
              </w:rPr>
              <w:t>0.2164</w:t>
            </w:r>
          </w:p>
        </w:tc>
        <w:tc>
          <w:tcPr>
            <w:tcW w:w="1298" w:type="dxa"/>
            <w:vAlign w:val="center"/>
          </w:tcPr>
          <w:p w14:paraId="22E78203" w14:textId="246BAD54" w:rsidR="00665A74" w:rsidRPr="008D2AC7" w:rsidRDefault="00683384" w:rsidP="006813A2">
            <w:pPr>
              <w:pStyle w:val="COMTableheadingrow"/>
              <w:keepNext w:val="0"/>
              <w:jc w:val="center"/>
              <w:rPr>
                <w:b w:val="0"/>
                <w:bCs/>
                <w:highlight w:val="lightGray"/>
                <w:lang w:val="en-AU"/>
              </w:rPr>
            </w:pPr>
            <w:r w:rsidRPr="00683384">
              <w:rPr>
                <w:b w:val="0"/>
                <w:bCs/>
                <w:color w:val="000000"/>
                <w:shd w:val="solid" w:color="000000" w:fill="000000"/>
                <w:lang w:val="en-AU"/>
                <w14:textFill>
                  <w14:solidFill>
                    <w14:srgbClr w14:val="000000">
                      <w14:alpha w14:val="100000"/>
                    </w14:srgbClr>
                  </w14:solidFill>
                </w14:textFill>
              </w:rPr>
              <w:t>|</w:t>
            </w:r>
            <w:r w:rsidR="008E3F89" w:rsidRPr="00A96044">
              <w:rPr>
                <w:rFonts w:cs="Calibri"/>
                <w:b w:val="0"/>
                <w:bCs/>
                <w:color w:val="000000"/>
                <w:szCs w:val="20"/>
                <w:vertAlign w:val="superscript"/>
              </w:rPr>
              <w:t>3</w:t>
            </w:r>
          </w:p>
        </w:tc>
        <w:tc>
          <w:tcPr>
            <w:tcW w:w="1299" w:type="dxa"/>
            <w:vAlign w:val="center"/>
          </w:tcPr>
          <w:p w14:paraId="26737DCA" w14:textId="7F793F7A" w:rsidR="00665A74" w:rsidRPr="008217F1" w:rsidRDefault="00665A74" w:rsidP="006813A2">
            <w:pPr>
              <w:pStyle w:val="COMTableheadingrow"/>
              <w:keepNext w:val="0"/>
              <w:jc w:val="center"/>
              <w:rPr>
                <w:b w:val="0"/>
                <w:bCs/>
                <w:lang w:val="en-AU"/>
              </w:rPr>
            </w:pPr>
            <w:r w:rsidRPr="008217F1">
              <w:rPr>
                <w:b w:val="0"/>
                <w:bCs/>
                <w:lang w:val="en-AU"/>
              </w:rPr>
              <w:t>+</w:t>
            </w:r>
            <w:r w:rsidR="00683384" w:rsidRPr="00683384">
              <w:rPr>
                <w:rFonts w:hint="eastAsia"/>
                <w:b w:val="0"/>
                <w:bCs/>
                <w:color w:val="000000"/>
                <w:w w:val="15"/>
                <w:shd w:val="solid" w:color="000000" w:fill="000000"/>
                <w:fitText w:val="50" w:id="-892700915"/>
                <w:lang w:val="en-AU"/>
                <w14:textFill>
                  <w14:solidFill>
                    <w14:srgbClr w14:val="000000">
                      <w14:alpha w14:val="100000"/>
                    </w14:srgbClr>
                  </w14:solidFill>
                </w14:textFill>
              </w:rPr>
              <w:t xml:space="preserve">　</w:t>
            </w:r>
            <w:r w:rsidR="00683384" w:rsidRPr="00683384">
              <w:rPr>
                <w:b w:val="0"/>
                <w:bCs/>
                <w:color w:val="000000"/>
                <w:w w:val="15"/>
                <w:shd w:val="solid" w:color="000000" w:fill="000000"/>
                <w:fitText w:val="50" w:id="-892700915"/>
                <w:lang w:val="en-AU"/>
                <w14:textFill>
                  <w14:solidFill>
                    <w14:srgbClr w14:val="000000">
                      <w14:alpha w14:val="100000"/>
                    </w14:srgbClr>
                  </w14:solidFill>
                </w14:textFill>
              </w:rPr>
              <w:t>|</w:t>
            </w:r>
            <w:r w:rsidR="00683384" w:rsidRPr="00683384">
              <w:rPr>
                <w:rFonts w:hint="eastAsia"/>
                <w:b w:val="0"/>
                <w:bCs/>
                <w:color w:val="000000"/>
                <w:spacing w:val="-15"/>
                <w:w w:val="15"/>
                <w:shd w:val="solid" w:color="000000" w:fill="000000"/>
                <w:fitText w:val="50" w:id="-892700915"/>
                <w:lang w:val="en-AU"/>
                <w14:textFill>
                  <w14:solidFill>
                    <w14:srgbClr w14:val="000000">
                      <w14:alpha w14:val="100000"/>
                    </w14:srgbClr>
                  </w14:solidFill>
                </w14:textFill>
              </w:rPr>
              <w:t xml:space="preserve">　</w:t>
            </w:r>
            <w:r w:rsidRPr="008217F1">
              <w:rPr>
                <w:b w:val="0"/>
                <w:bCs/>
                <w:lang w:val="en-AU"/>
              </w:rPr>
              <w:t>%</w:t>
            </w:r>
          </w:p>
        </w:tc>
      </w:tr>
      <w:tr w:rsidR="00665A74" w:rsidRPr="008217F1" w14:paraId="23A49583" w14:textId="77777777" w:rsidTr="006813A2">
        <w:tc>
          <w:tcPr>
            <w:tcW w:w="9016" w:type="dxa"/>
            <w:gridSpan w:val="5"/>
          </w:tcPr>
          <w:p w14:paraId="152ABD15" w14:textId="77777777" w:rsidR="00665A74" w:rsidRPr="008217F1" w:rsidRDefault="00665A74" w:rsidP="006813A2">
            <w:pPr>
              <w:pStyle w:val="COMTableheadingrow"/>
              <w:keepNext w:val="0"/>
              <w:rPr>
                <w:lang w:val="en-AU"/>
              </w:rPr>
            </w:pPr>
            <w:r w:rsidRPr="008217F1">
              <w:rPr>
                <w:lang w:val="en-AU"/>
              </w:rPr>
              <w:t xml:space="preserve">Proportion of patients receiving esketamine retreatment (base case: 22% of </w:t>
            </w:r>
            <w:r w:rsidRPr="008217F1">
              <w:rPr>
                <w:u w:val="single"/>
                <w:lang w:val="en-AU"/>
              </w:rPr>
              <w:t>initiating patients</w:t>
            </w:r>
            <w:r w:rsidRPr="008217F1">
              <w:rPr>
                <w:lang w:val="en-AU"/>
              </w:rPr>
              <w:t xml:space="preserve"> over 5 years (equivalent to 1.48% of eligible patients per cycle); no limit on number of retreatment episodes)</w:t>
            </w:r>
          </w:p>
        </w:tc>
      </w:tr>
      <w:tr w:rsidR="00665A74" w:rsidRPr="008217F1" w14:paraId="60E57EED" w14:textId="77777777" w:rsidTr="00683384">
        <w:tc>
          <w:tcPr>
            <w:tcW w:w="3822" w:type="dxa"/>
          </w:tcPr>
          <w:p w14:paraId="7C0895FB" w14:textId="77777777" w:rsidR="00665A74" w:rsidRPr="008217F1" w:rsidRDefault="00665A74" w:rsidP="006813A2">
            <w:pPr>
              <w:pStyle w:val="COMTableheadingrow"/>
              <w:keepNext w:val="0"/>
              <w:rPr>
                <w:b w:val="0"/>
                <w:bCs/>
                <w:lang w:val="en-AU"/>
              </w:rPr>
            </w:pPr>
            <w:r w:rsidRPr="008217F1">
              <w:rPr>
                <w:b w:val="0"/>
                <w:bCs/>
                <w:lang w:val="en-AU"/>
              </w:rPr>
              <w:t>No retreatment</w:t>
            </w:r>
          </w:p>
        </w:tc>
        <w:tc>
          <w:tcPr>
            <w:tcW w:w="1298" w:type="dxa"/>
            <w:tcBorders>
              <w:bottom w:val="single" w:sz="4" w:space="0" w:color="auto"/>
            </w:tcBorders>
            <w:shd w:val="solid" w:color="000000" w:fill="000000"/>
            <w:vAlign w:val="center"/>
          </w:tcPr>
          <w:p w14:paraId="706EC4C1" w14:textId="0D0545C5" w:rsidR="00665A74" w:rsidRPr="008D2AC7" w:rsidRDefault="00683384" w:rsidP="006813A2">
            <w:pPr>
              <w:pStyle w:val="COMTableheadingrow"/>
              <w:keepNext w:val="0"/>
              <w:jc w:val="center"/>
              <w:rPr>
                <w:b w:val="0"/>
                <w:bCs/>
                <w:highlight w:val="lightGray"/>
                <w:lang w:val="en-AU"/>
              </w:rPr>
            </w:pPr>
            <w:r w:rsidRPr="00683384">
              <w:rPr>
                <w:b w:val="0"/>
                <w:bCs/>
                <w:color w:val="000000"/>
                <w:lang w:val="en-AU"/>
                <w14:textFill>
                  <w14:solidFill>
                    <w14:srgbClr w14:val="000000">
                      <w14:alpha w14:val="100000"/>
                    </w14:srgbClr>
                  </w14:solidFill>
                </w14:textFill>
              </w:rPr>
              <w:t>|</w:t>
            </w:r>
          </w:p>
        </w:tc>
        <w:tc>
          <w:tcPr>
            <w:tcW w:w="1299" w:type="dxa"/>
            <w:vAlign w:val="center"/>
          </w:tcPr>
          <w:p w14:paraId="647F02A4" w14:textId="77777777" w:rsidR="00665A74" w:rsidRPr="008217F1" w:rsidRDefault="00665A74" w:rsidP="006813A2">
            <w:pPr>
              <w:pStyle w:val="COMTableheadingrow"/>
              <w:keepNext w:val="0"/>
              <w:jc w:val="center"/>
              <w:rPr>
                <w:b w:val="0"/>
                <w:bCs/>
                <w:lang w:val="en-AU"/>
              </w:rPr>
            </w:pPr>
            <w:r w:rsidRPr="008217F1">
              <w:rPr>
                <w:b w:val="0"/>
                <w:bCs/>
                <w:lang w:val="en-AU"/>
              </w:rPr>
              <w:t>0.1551</w:t>
            </w:r>
          </w:p>
        </w:tc>
        <w:tc>
          <w:tcPr>
            <w:tcW w:w="1298" w:type="dxa"/>
            <w:vAlign w:val="center"/>
          </w:tcPr>
          <w:p w14:paraId="77954862" w14:textId="03F8C68B" w:rsidR="00665A74" w:rsidRPr="008D2AC7" w:rsidRDefault="00683384" w:rsidP="006813A2">
            <w:pPr>
              <w:pStyle w:val="COMTableheadingrow"/>
              <w:keepNext w:val="0"/>
              <w:jc w:val="center"/>
              <w:rPr>
                <w:b w:val="0"/>
                <w:bCs/>
                <w:highlight w:val="lightGray"/>
                <w:lang w:val="en-AU"/>
              </w:rPr>
            </w:pPr>
            <w:r w:rsidRPr="00683384">
              <w:rPr>
                <w:b w:val="0"/>
                <w:bCs/>
                <w:color w:val="000000"/>
                <w:shd w:val="solid" w:color="000000" w:fill="000000"/>
                <w:lang w:val="en-AU"/>
                <w14:textFill>
                  <w14:solidFill>
                    <w14:srgbClr w14:val="000000">
                      <w14:alpha w14:val="100000"/>
                    </w14:srgbClr>
                  </w14:solidFill>
                </w14:textFill>
              </w:rPr>
              <w:t>|</w:t>
            </w:r>
            <w:r w:rsidR="008E3F89" w:rsidRPr="00A96044">
              <w:rPr>
                <w:rFonts w:cs="Calibri"/>
                <w:b w:val="0"/>
                <w:bCs/>
                <w:color w:val="000000"/>
                <w:szCs w:val="20"/>
                <w:vertAlign w:val="superscript"/>
              </w:rPr>
              <w:t>3</w:t>
            </w:r>
          </w:p>
        </w:tc>
        <w:tc>
          <w:tcPr>
            <w:tcW w:w="1299" w:type="dxa"/>
            <w:vAlign w:val="center"/>
          </w:tcPr>
          <w:p w14:paraId="3506CCA4" w14:textId="6400056D" w:rsidR="00665A74" w:rsidRPr="008217F1" w:rsidRDefault="00665A74" w:rsidP="006813A2">
            <w:pPr>
              <w:pStyle w:val="COMTableheadingrow"/>
              <w:keepNext w:val="0"/>
              <w:jc w:val="center"/>
              <w:rPr>
                <w:b w:val="0"/>
                <w:bCs/>
                <w:lang w:val="en-AU"/>
              </w:rPr>
            </w:pPr>
            <w:r w:rsidRPr="008217F1">
              <w:rPr>
                <w:b w:val="0"/>
                <w:bCs/>
                <w:lang w:val="en-AU"/>
              </w:rPr>
              <w:t>+</w:t>
            </w:r>
            <w:r w:rsidR="00683384" w:rsidRPr="00683384">
              <w:rPr>
                <w:rFonts w:hint="eastAsia"/>
                <w:b w:val="0"/>
                <w:bCs/>
                <w:color w:val="000000"/>
                <w:w w:val="15"/>
                <w:shd w:val="solid" w:color="000000" w:fill="000000"/>
                <w:fitText w:val="50" w:id="-892700914"/>
                <w:lang w:val="en-AU"/>
                <w14:textFill>
                  <w14:solidFill>
                    <w14:srgbClr w14:val="000000">
                      <w14:alpha w14:val="100000"/>
                    </w14:srgbClr>
                  </w14:solidFill>
                </w14:textFill>
              </w:rPr>
              <w:t xml:space="preserve">　</w:t>
            </w:r>
            <w:r w:rsidR="00683384" w:rsidRPr="00683384">
              <w:rPr>
                <w:b w:val="0"/>
                <w:bCs/>
                <w:color w:val="000000"/>
                <w:w w:val="15"/>
                <w:shd w:val="solid" w:color="000000" w:fill="000000"/>
                <w:fitText w:val="50" w:id="-892700914"/>
                <w:lang w:val="en-AU"/>
                <w14:textFill>
                  <w14:solidFill>
                    <w14:srgbClr w14:val="000000">
                      <w14:alpha w14:val="100000"/>
                    </w14:srgbClr>
                  </w14:solidFill>
                </w14:textFill>
              </w:rPr>
              <w:t>|</w:t>
            </w:r>
            <w:r w:rsidR="00683384" w:rsidRPr="00683384">
              <w:rPr>
                <w:rFonts w:hint="eastAsia"/>
                <w:b w:val="0"/>
                <w:bCs/>
                <w:color w:val="000000"/>
                <w:spacing w:val="-15"/>
                <w:w w:val="15"/>
                <w:shd w:val="solid" w:color="000000" w:fill="000000"/>
                <w:fitText w:val="50" w:id="-892700914"/>
                <w:lang w:val="en-AU"/>
                <w14:textFill>
                  <w14:solidFill>
                    <w14:srgbClr w14:val="000000">
                      <w14:alpha w14:val="100000"/>
                    </w14:srgbClr>
                  </w14:solidFill>
                </w14:textFill>
              </w:rPr>
              <w:t xml:space="preserve">　</w:t>
            </w:r>
            <w:r w:rsidRPr="008217F1">
              <w:rPr>
                <w:b w:val="0"/>
                <w:bCs/>
                <w:lang w:val="en-AU"/>
              </w:rPr>
              <w:t>%</w:t>
            </w:r>
          </w:p>
        </w:tc>
      </w:tr>
      <w:tr w:rsidR="00665A74" w:rsidRPr="008217F1" w14:paraId="7B224E11" w14:textId="77777777" w:rsidTr="00683384">
        <w:tc>
          <w:tcPr>
            <w:tcW w:w="3822" w:type="dxa"/>
          </w:tcPr>
          <w:p w14:paraId="5F4331A6" w14:textId="77777777" w:rsidR="00665A74" w:rsidRPr="008217F1" w:rsidRDefault="00665A74" w:rsidP="006813A2">
            <w:pPr>
              <w:pStyle w:val="COMTableheadingrow"/>
              <w:keepNext w:val="0"/>
              <w:rPr>
                <w:b w:val="0"/>
                <w:bCs/>
                <w:lang w:val="en-AU"/>
              </w:rPr>
            </w:pPr>
            <w:r w:rsidRPr="008217F1">
              <w:rPr>
                <w:b w:val="0"/>
                <w:bCs/>
                <w:lang w:val="en-AU"/>
              </w:rPr>
              <w:t>6.36% of initiating patients, based on the Australian early access program</w:t>
            </w:r>
          </w:p>
        </w:tc>
        <w:tc>
          <w:tcPr>
            <w:tcW w:w="1298" w:type="dxa"/>
            <w:tcBorders>
              <w:bottom w:val="single" w:sz="4" w:space="0" w:color="auto"/>
            </w:tcBorders>
            <w:shd w:val="solid" w:color="000000" w:fill="000000"/>
            <w:vAlign w:val="center"/>
          </w:tcPr>
          <w:p w14:paraId="2FD48832" w14:textId="55BE807B"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0779A64E" w14:textId="77777777" w:rsidR="00665A74" w:rsidRPr="008217F1" w:rsidRDefault="00665A74" w:rsidP="006813A2">
            <w:pPr>
              <w:pStyle w:val="COMTableheadingrow"/>
              <w:keepNext w:val="0"/>
              <w:jc w:val="center"/>
              <w:rPr>
                <w:b w:val="0"/>
                <w:bCs/>
                <w:lang w:val="en-AU"/>
              </w:rPr>
            </w:pPr>
            <w:r w:rsidRPr="008217F1">
              <w:rPr>
                <w:rFonts w:cs="Calibri"/>
                <w:b w:val="0"/>
                <w:bCs/>
                <w:color w:val="000000"/>
                <w:szCs w:val="20"/>
              </w:rPr>
              <w:t>0.1693</w:t>
            </w:r>
          </w:p>
        </w:tc>
        <w:tc>
          <w:tcPr>
            <w:tcW w:w="1298" w:type="dxa"/>
            <w:vAlign w:val="center"/>
          </w:tcPr>
          <w:p w14:paraId="60EDC464" w14:textId="1CC051FA" w:rsidR="00665A74" w:rsidRPr="008D2AC7" w:rsidRDefault="00683384" w:rsidP="006813A2">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561A42" w:rsidRPr="00A96044">
              <w:rPr>
                <w:rFonts w:cs="Calibri"/>
                <w:b w:val="0"/>
                <w:bCs/>
                <w:color w:val="000000"/>
                <w:szCs w:val="20"/>
                <w:vertAlign w:val="superscript"/>
              </w:rPr>
              <w:t>5</w:t>
            </w:r>
          </w:p>
        </w:tc>
        <w:tc>
          <w:tcPr>
            <w:tcW w:w="1299" w:type="dxa"/>
            <w:vAlign w:val="center"/>
          </w:tcPr>
          <w:p w14:paraId="1C942A2A" w14:textId="1D8EDE52" w:rsidR="00665A74" w:rsidRPr="008217F1" w:rsidRDefault="00665A74" w:rsidP="006813A2">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13"/>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13"/>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13"/>
                <w14:textFill>
                  <w14:solidFill>
                    <w14:srgbClr w14:val="000000">
                      <w14:alpha w14:val="100000"/>
                    </w14:srgbClr>
                  </w14:solidFill>
                </w14:textFill>
              </w:rPr>
              <w:t xml:space="preserve">　</w:t>
            </w:r>
            <w:r w:rsidRPr="008217F1">
              <w:rPr>
                <w:rFonts w:cs="Calibri"/>
                <w:b w:val="0"/>
                <w:bCs/>
                <w:color w:val="000000"/>
                <w:szCs w:val="20"/>
              </w:rPr>
              <w:t>%</w:t>
            </w:r>
          </w:p>
        </w:tc>
      </w:tr>
      <w:tr w:rsidR="00665A74" w:rsidRPr="008217F1" w14:paraId="7E73500F" w14:textId="77777777" w:rsidTr="00683384">
        <w:tc>
          <w:tcPr>
            <w:tcW w:w="3822" w:type="dxa"/>
          </w:tcPr>
          <w:p w14:paraId="6E19E6F2" w14:textId="77777777" w:rsidR="00665A74" w:rsidRPr="008217F1" w:rsidRDefault="00665A74" w:rsidP="006813A2">
            <w:pPr>
              <w:pStyle w:val="COMTableheadingrow"/>
              <w:keepNext w:val="0"/>
              <w:rPr>
                <w:b w:val="0"/>
                <w:bCs/>
                <w:lang w:val="en-AU"/>
              </w:rPr>
            </w:pPr>
            <w:r w:rsidRPr="008217F1">
              <w:rPr>
                <w:b w:val="0"/>
                <w:bCs/>
                <w:lang w:val="en-AU"/>
              </w:rPr>
              <w:t>All eligible patients receive retreatment in the cycle they become eligible</w:t>
            </w:r>
          </w:p>
        </w:tc>
        <w:tc>
          <w:tcPr>
            <w:tcW w:w="1298" w:type="dxa"/>
            <w:tcBorders>
              <w:bottom w:val="single" w:sz="4" w:space="0" w:color="auto"/>
            </w:tcBorders>
            <w:shd w:val="solid" w:color="000000" w:fill="000000"/>
            <w:vAlign w:val="center"/>
          </w:tcPr>
          <w:p w14:paraId="72BDCD05" w14:textId="712216E8" w:rsidR="00665A74" w:rsidRPr="008D2AC7" w:rsidRDefault="00683384" w:rsidP="006813A2">
            <w:pPr>
              <w:pStyle w:val="COMTableheadingrow"/>
              <w:keepNext w:val="0"/>
              <w:jc w:val="center"/>
              <w:rPr>
                <w:b w:val="0"/>
                <w:bCs/>
                <w:highlight w:val="lightGray"/>
                <w:lang w:val="en-AU"/>
              </w:rPr>
            </w:pPr>
            <w:r w:rsidRPr="00683384">
              <w:rPr>
                <w:b w:val="0"/>
                <w:bCs/>
                <w:color w:val="000000"/>
                <w:lang w:val="en-AU"/>
                <w14:textFill>
                  <w14:solidFill>
                    <w14:srgbClr w14:val="000000">
                      <w14:alpha w14:val="100000"/>
                    </w14:srgbClr>
                  </w14:solidFill>
                </w14:textFill>
              </w:rPr>
              <w:t>|</w:t>
            </w:r>
          </w:p>
        </w:tc>
        <w:tc>
          <w:tcPr>
            <w:tcW w:w="1299" w:type="dxa"/>
            <w:vAlign w:val="center"/>
          </w:tcPr>
          <w:p w14:paraId="766F2370" w14:textId="77777777" w:rsidR="00665A74" w:rsidRPr="008217F1" w:rsidRDefault="00665A74" w:rsidP="006813A2">
            <w:pPr>
              <w:pStyle w:val="COMTableheadingrow"/>
              <w:keepNext w:val="0"/>
              <w:jc w:val="center"/>
              <w:rPr>
                <w:b w:val="0"/>
                <w:bCs/>
                <w:lang w:val="en-AU"/>
              </w:rPr>
            </w:pPr>
            <w:r w:rsidRPr="008217F1">
              <w:rPr>
                <w:b w:val="0"/>
                <w:bCs/>
                <w:lang w:val="en-AU"/>
              </w:rPr>
              <w:t>0.4631</w:t>
            </w:r>
          </w:p>
        </w:tc>
        <w:tc>
          <w:tcPr>
            <w:tcW w:w="1298" w:type="dxa"/>
            <w:vAlign w:val="center"/>
          </w:tcPr>
          <w:p w14:paraId="20AF6BD0" w14:textId="2FC9B190" w:rsidR="00665A74" w:rsidRPr="008D2AC7" w:rsidRDefault="00683384" w:rsidP="006813A2">
            <w:pPr>
              <w:pStyle w:val="COMTableheadingrow"/>
              <w:keepNext w:val="0"/>
              <w:jc w:val="center"/>
              <w:rPr>
                <w:b w:val="0"/>
                <w:bCs/>
                <w:highlight w:val="lightGray"/>
                <w:lang w:val="en-AU"/>
              </w:rPr>
            </w:pPr>
            <w:r w:rsidRPr="00683384">
              <w:rPr>
                <w:b w:val="0"/>
                <w:bCs/>
                <w:color w:val="000000"/>
                <w:shd w:val="solid" w:color="000000" w:fill="000000"/>
                <w:lang w:val="en-AU"/>
                <w14:textFill>
                  <w14:solidFill>
                    <w14:srgbClr w14:val="000000">
                      <w14:alpha w14:val="100000"/>
                    </w14:srgbClr>
                  </w14:solidFill>
                </w14:textFill>
              </w:rPr>
              <w:t>|</w:t>
            </w:r>
            <w:r w:rsidR="005E55FC" w:rsidRPr="008D2AC7">
              <w:rPr>
                <w:b w:val="0"/>
                <w:bCs/>
                <w:vertAlign w:val="superscript"/>
                <w:lang w:val="en-AU"/>
              </w:rPr>
              <w:t>6</w:t>
            </w:r>
          </w:p>
        </w:tc>
        <w:tc>
          <w:tcPr>
            <w:tcW w:w="1299" w:type="dxa"/>
            <w:vAlign w:val="center"/>
          </w:tcPr>
          <w:p w14:paraId="04C7C23D" w14:textId="438AD622" w:rsidR="00665A74" w:rsidRPr="008217F1" w:rsidRDefault="00665A74" w:rsidP="006813A2">
            <w:pPr>
              <w:pStyle w:val="COMTableheadingrow"/>
              <w:keepNext w:val="0"/>
              <w:jc w:val="center"/>
              <w:rPr>
                <w:b w:val="0"/>
                <w:bCs/>
                <w:lang w:val="en-AU"/>
              </w:rPr>
            </w:pPr>
            <w:r w:rsidRPr="008217F1">
              <w:rPr>
                <w:b w:val="0"/>
                <w:bCs/>
                <w:lang w:val="en-AU"/>
              </w:rPr>
              <w:t>-</w:t>
            </w:r>
            <w:r w:rsidR="00683384" w:rsidRPr="00A34B18">
              <w:rPr>
                <w:rFonts w:hint="eastAsia"/>
                <w:b w:val="0"/>
                <w:bCs/>
                <w:color w:val="000000"/>
                <w:w w:val="15"/>
                <w:shd w:val="solid" w:color="000000" w:fill="000000"/>
                <w:fitText w:val="20" w:id="-892700912"/>
                <w:lang w:val="en-AU"/>
                <w14:textFill>
                  <w14:solidFill>
                    <w14:srgbClr w14:val="000000">
                      <w14:alpha w14:val="100000"/>
                    </w14:srgbClr>
                  </w14:solidFill>
                </w14:textFill>
              </w:rPr>
              <w:t xml:space="preserve">　</w:t>
            </w:r>
            <w:r w:rsidR="00683384" w:rsidRPr="00A34B18">
              <w:rPr>
                <w:b w:val="0"/>
                <w:bCs/>
                <w:color w:val="000000"/>
                <w:w w:val="15"/>
                <w:shd w:val="solid" w:color="000000" w:fill="000000"/>
                <w:fitText w:val="20" w:id="-892700912"/>
                <w:lang w:val="en-AU"/>
                <w14:textFill>
                  <w14:solidFill>
                    <w14:srgbClr w14:val="000000">
                      <w14:alpha w14:val="100000"/>
                    </w14:srgbClr>
                  </w14:solidFill>
                </w14:textFill>
              </w:rPr>
              <w:t>|</w:t>
            </w:r>
            <w:r w:rsidR="00683384" w:rsidRPr="00A34B18">
              <w:rPr>
                <w:rFonts w:hint="eastAsia"/>
                <w:b w:val="0"/>
                <w:bCs/>
                <w:color w:val="000000"/>
                <w:spacing w:val="-45"/>
                <w:w w:val="15"/>
                <w:shd w:val="solid" w:color="000000" w:fill="000000"/>
                <w:fitText w:val="20" w:id="-892700912"/>
                <w:lang w:val="en-AU"/>
                <w14:textFill>
                  <w14:solidFill>
                    <w14:srgbClr w14:val="000000">
                      <w14:alpha w14:val="100000"/>
                    </w14:srgbClr>
                  </w14:solidFill>
                </w14:textFill>
              </w:rPr>
              <w:t xml:space="preserve">　</w:t>
            </w:r>
            <w:r w:rsidRPr="008217F1">
              <w:rPr>
                <w:b w:val="0"/>
                <w:bCs/>
                <w:lang w:val="en-AU"/>
              </w:rPr>
              <w:t>%</w:t>
            </w:r>
          </w:p>
        </w:tc>
      </w:tr>
      <w:tr w:rsidR="002F57E6" w:rsidRPr="008217F1" w14:paraId="4292458B" w14:textId="77777777" w:rsidTr="00683384">
        <w:tc>
          <w:tcPr>
            <w:tcW w:w="3822" w:type="dxa"/>
          </w:tcPr>
          <w:p w14:paraId="491F087A" w14:textId="62AC88A9" w:rsidR="002F57E6" w:rsidRPr="008217F1" w:rsidRDefault="002F57E6" w:rsidP="002F57E6">
            <w:pPr>
              <w:pStyle w:val="COMTableheadingrow"/>
              <w:keepNext w:val="0"/>
              <w:rPr>
                <w:b w:val="0"/>
                <w:bCs/>
                <w:lang w:val="en-AU"/>
              </w:rPr>
            </w:pPr>
            <w:r w:rsidRPr="008217F1">
              <w:rPr>
                <w:b w:val="0"/>
                <w:bCs/>
                <w:lang w:val="en-AU"/>
              </w:rPr>
              <w:t>2</w:t>
            </w:r>
            <w:r w:rsidRPr="008217F1">
              <w:rPr>
                <w:b w:val="0"/>
                <w:bCs/>
              </w:rPr>
              <w:t xml:space="preserve">2% of </w:t>
            </w:r>
            <w:r w:rsidRPr="008217F1">
              <w:rPr>
                <w:b w:val="0"/>
                <w:bCs/>
                <w:u w:val="single"/>
              </w:rPr>
              <w:t>patients eligible for retreatment</w:t>
            </w:r>
            <w:r w:rsidRPr="008217F1">
              <w:rPr>
                <w:b w:val="0"/>
                <w:bCs/>
              </w:rPr>
              <w:t xml:space="preserve"> over 5 years </w:t>
            </w:r>
          </w:p>
        </w:tc>
        <w:tc>
          <w:tcPr>
            <w:tcW w:w="1298" w:type="dxa"/>
            <w:tcBorders>
              <w:bottom w:val="single" w:sz="4" w:space="0" w:color="auto"/>
            </w:tcBorders>
            <w:shd w:val="solid" w:color="000000" w:fill="000000"/>
            <w:vAlign w:val="center"/>
          </w:tcPr>
          <w:p w14:paraId="469503F1" w14:textId="6C679742" w:rsidR="002F57E6" w:rsidRPr="008D2AC7" w:rsidRDefault="00683384" w:rsidP="002F57E6">
            <w:pPr>
              <w:pStyle w:val="COMTableheadingrow"/>
              <w:keepNext w:val="0"/>
              <w:jc w:val="center"/>
              <w:rPr>
                <w:rFonts w:cs="Calibri"/>
                <w:b w:val="0"/>
                <w:bCs/>
                <w:color w:val="000000"/>
                <w:szCs w:val="20"/>
                <w:highlight w:val="lightGray"/>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5DC5034D" w14:textId="3B2A5701" w:rsidR="002F57E6" w:rsidRPr="008217F1" w:rsidRDefault="002F57E6" w:rsidP="002F57E6">
            <w:pPr>
              <w:pStyle w:val="COMTableheadingrow"/>
              <w:keepNext w:val="0"/>
              <w:jc w:val="center"/>
              <w:rPr>
                <w:rFonts w:cs="Calibri"/>
                <w:b w:val="0"/>
                <w:bCs/>
                <w:color w:val="000000"/>
                <w:szCs w:val="20"/>
              </w:rPr>
            </w:pPr>
            <w:r w:rsidRPr="008217F1">
              <w:rPr>
                <w:rFonts w:cs="Calibri"/>
                <w:b w:val="0"/>
                <w:bCs/>
                <w:color w:val="000000"/>
                <w:szCs w:val="20"/>
              </w:rPr>
              <w:t>0.1696</w:t>
            </w:r>
          </w:p>
        </w:tc>
        <w:tc>
          <w:tcPr>
            <w:tcW w:w="1298" w:type="dxa"/>
            <w:vAlign w:val="center"/>
          </w:tcPr>
          <w:p w14:paraId="6A1C7723" w14:textId="556AC92F" w:rsidR="002F57E6" w:rsidRPr="008D2AC7" w:rsidRDefault="00683384" w:rsidP="002F57E6">
            <w:pPr>
              <w:pStyle w:val="COMTableheadingrow"/>
              <w:keepNext w:val="0"/>
              <w:jc w:val="center"/>
              <w:rPr>
                <w:rFonts w:cs="Calibri"/>
                <w:b w:val="0"/>
                <w:bCs/>
                <w:color w:val="000000"/>
                <w:szCs w:val="20"/>
                <w:highlight w:val="lightGray"/>
              </w:rPr>
            </w:pPr>
            <w:r w:rsidRPr="00683384">
              <w:rPr>
                <w:rFonts w:cs="Calibri"/>
                <w:b w:val="0"/>
                <w:bCs/>
                <w:color w:val="000000"/>
                <w:szCs w:val="20"/>
                <w:shd w:val="solid" w:color="000000" w:fill="000000"/>
                <w14:textFill>
                  <w14:solidFill>
                    <w14:srgbClr w14:val="000000">
                      <w14:alpha w14:val="100000"/>
                    </w14:srgbClr>
                  </w14:solidFill>
                </w14:textFill>
              </w:rPr>
              <w:t>|</w:t>
            </w:r>
            <w:r w:rsidR="00561A42" w:rsidRPr="00A96044">
              <w:rPr>
                <w:rFonts w:cs="Calibri"/>
                <w:b w:val="0"/>
                <w:bCs/>
                <w:color w:val="000000"/>
                <w:szCs w:val="20"/>
                <w:vertAlign w:val="superscript"/>
              </w:rPr>
              <w:t>5</w:t>
            </w:r>
          </w:p>
        </w:tc>
        <w:tc>
          <w:tcPr>
            <w:tcW w:w="1299" w:type="dxa"/>
            <w:vAlign w:val="center"/>
          </w:tcPr>
          <w:p w14:paraId="61137592" w14:textId="56EEE995" w:rsidR="002F57E6" w:rsidRPr="008217F1" w:rsidRDefault="002F57E6" w:rsidP="002F57E6">
            <w:pPr>
              <w:pStyle w:val="COMTableheadingrow"/>
              <w:keepNext w:val="0"/>
              <w:jc w:val="center"/>
              <w:rPr>
                <w:rFonts w:cs="Calibri"/>
                <w:b w:val="0"/>
                <w:bCs/>
                <w:color w:val="000000"/>
                <w:szCs w:val="20"/>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28"/>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28"/>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28"/>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11F69F81" w14:textId="77777777" w:rsidTr="00683384">
        <w:tc>
          <w:tcPr>
            <w:tcW w:w="3822" w:type="dxa"/>
          </w:tcPr>
          <w:p w14:paraId="1BCF414D" w14:textId="77777777" w:rsidR="002F57E6" w:rsidRPr="008217F1" w:rsidRDefault="002F57E6" w:rsidP="002F57E6">
            <w:pPr>
              <w:pStyle w:val="COMTableheadingrow"/>
              <w:keepNext w:val="0"/>
              <w:rPr>
                <w:b w:val="0"/>
                <w:bCs/>
                <w:lang w:val="en-AU"/>
              </w:rPr>
            </w:pPr>
            <w:r w:rsidRPr="008217F1">
              <w:rPr>
                <w:b w:val="0"/>
                <w:bCs/>
                <w:lang w:val="en-AU"/>
              </w:rPr>
              <w:t>Patients receive only 1 additional episode of retreatment (19.9% of patients retreated)</w:t>
            </w:r>
            <w:r w:rsidRPr="008217F1">
              <w:rPr>
                <w:b w:val="0"/>
                <w:bCs/>
                <w:vertAlign w:val="superscript"/>
                <w:lang w:val="en-AU"/>
              </w:rPr>
              <w:t xml:space="preserve"> </w:t>
            </w:r>
          </w:p>
        </w:tc>
        <w:tc>
          <w:tcPr>
            <w:tcW w:w="1298" w:type="dxa"/>
            <w:shd w:val="solid" w:color="000000" w:fill="000000"/>
            <w:vAlign w:val="center"/>
          </w:tcPr>
          <w:p w14:paraId="7908EB4E" w14:textId="60E9F057" w:rsidR="002F57E6" w:rsidRPr="008D2AC7" w:rsidRDefault="00683384" w:rsidP="002F57E6">
            <w:pPr>
              <w:pStyle w:val="COMTableheadingrow"/>
              <w:keepNext w:val="0"/>
              <w:jc w:val="center"/>
              <w:rPr>
                <w:b w:val="0"/>
                <w:bCs/>
                <w:highlight w:val="lightGray"/>
                <w:lang w:val="en-AU"/>
              </w:rPr>
            </w:pPr>
            <w:r w:rsidRPr="00683384">
              <w:rPr>
                <w:b w:val="0"/>
                <w:bCs/>
                <w:color w:val="000000"/>
                <w:lang w:val="en-AU"/>
                <w14:textFill>
                  <w14:solidFill>
                    <w14:srgbClr w14:val="000000">
                      <w14:alpha w14:val="100000"/>
                    </w14:srgbClr>
                  </w14:solidFill>
                </w14:textFill>
              </w:rPr>
              <w:t>|</w:t>
            </w:r>
          </w:p>
        </w:tc>
        <w:tc>
          <w:tcPr>
            <w:tcW w:w="1299" w:type="dxa"/>
            <w:vAlign w:val="center"/>
          </w:tcPr>
          <w:p w14:paraId="66380259" w14:textId="77777777" w:rsidR="002F57E6" w:rsidRPr="008217F1" w:rsidRDefault="002F57E6" w:rsidP="002F57E6">
            <w:pPr>
              <w:pStyle w:val="COMTableheadingrow"/>
              <w:keepNext w:val="0"/>
              <w:jc w:val="center"/>
              <w:rPr>
                <w:b w:val="0"/>
                <w:bCs/>
                <w:lang w:val="en-AU"/>
              </w:rPr>
            </w:pPr>
            <w:r w:rsidRPr="008217F1">
              <w:rPr>
                <w:b w:val="0"/>
                <w:bCs/>
                <w:lang w:val="en-AU"/>
              </w:rPr>
              <w:t>0.2019</w:t>
            </w:r>
          </w:p>
        </w:tc>
        <w:tc>
          <w:tcPr>
            <w:tcW w:w="1298" w:type="dxa"/>
            <w:vAlign w:val="center"/>
          </w:tcPr>
          <w:p w14:paraId="0DBF09A5" w14:textId="19D8443F" w:rsidR="002F57E6" w:rsidRPr="008D2AC7" w:rsidRDefault="00683384" w:rsidP="002F57E6">
            <w:pPr>
              <w:pStyle w:val="COMTableheadingrow"/>
              <w:keepNext w:val="0"/>
              <w:jc w:val="center"/>
              <w:rPr>
                <w:b w:val="0"/>
                <w:bCs/>
                <w:highlight w:val="lightGray"/>
                <w:lang w:val="en-AU"/>
              </w:rPr>
            </w:pPr>
            <w:r w:rsidRPr="00683384">
              <w:rPr>
                <w:b w:val="0"/>
                <w:bCs/>
                <w:color w:val="000000"/>
                <w:shd w:val="solid" w:color="000000" w:fill="000000"/>
                <w:lang w:val="en-AU"/>
                <w14:textFill>
                  <w14:solidFill>
                    <w14:srgbClr w14:val="000000">
                      <w14:alpha w14:val="100000"/>
                    </w14:srgbClr>
                  </w14:solidFill>
                </w14:textFill>
              </w:rPr>
              <w:t>|</w:t>
            </w:r>
            <w:r w:rsidR="001E0447" w:rsidRPr="00A96044">
              <w:rPr>
                <w:vertAlign w:val="superscript"/>
                <w:lang w:val="en-AU"/>
              </w:rPr>
              <w:t>1</w:t>
            </w:r>
          </w:p>
        </w:tc>
        <w:tc>
          <w:tcPr>
            <w:tcW w:w="1299" w:type="dxa"/>
            <w:vAlign w:val="center"/>
          </w:tcPr>
          <w:p w14:paraId="74E1B556" w14:textId="361B7EF8" w:rsidR="002F57E6" w:rsidRPr="008217F1" w:rsidRDefault="002F57E6" w:rsidP="002F57E6">
            <w:pPr>
              <w:pStyle w:val="COMTableheadingrow"/>
              <w:keepNext w:val="0"/>
              <w:jc w:val="center"/>
              <w:rPr>
                <w:b w:val="0"/>
                <w:bCs/>
                <w:lang w:val="en-AU"/>
              </w:rPr>
            </w:pPr>
            <w:r w:rsidRPr="008217F1">
              <w:rPr>
                <w:b w:val="0"/>
                <w:bCs/>
                <w:lang w:val="en-AU"/>
              </w:rPr>
              <w:t>+</w:t>
            </w:r>
            <w:r w:rsidR="00683384" w:rsidRPr="00683384">
              <w:rPr>
                <w:rFonts w:hint="eastAsia"/>
                <w:b w:val="0"/>
                <w:bCs/>
                <w:color w:val="000000"/>
                <w:w w:val="15"/>
                <w:shd w:val="solid" w:color="000000" w:fill="000000"/>
                <w:fitText w:val="50" w:id="-892700927"/>
                <w:lang w:val="en-AU"/>
                <w14:textFill>
                  <w14:solidFill>
                    <w14:srgbClr w14:val="000000">
                      <w14:alpha w14:val="100000"/>
                    </w14:srgbClr>
                  </w14:solidFill>
                </w14:textFill>
              </w:rPr>
              <w:t xml:space="preserve">　</w:t>
            </w:r>
            <w:r w:rsidR="00683384" w:rsidRPr="00683384">
              <w:rPr>
                <w:b w:val="0"/>
                <w:bCs/>
                <w:color w:val="000000"/>
                <w:w w:val="15"/>
                <w:shd w:val="solid" w:color="000000" w:fill="000000"/>
                <w:fitText w:val="50" w:id="-892700927"/>
                <w:lang w:val="en-AU"/>
                <w14:textFill>
                  <w14:solidFill>
                    <w14:srgbClr w14:val="000000">
                      <w14:alpha w14:val="100000"/>
                    </w14:srgbClr>
                  </w14:solidFill>
                </w14:textFill>
              </w:rPr>
              <w:t>|</w:t>
            </w:r>
            <w:r w:rsidR="00683384" w:rsidRPr="00683384">
              <w:rPr>
                <w:rFonts w:hint="eastAsia"/>
                <w:b w:val="0"/>
                <w:bCs/>
                <w:color w:val="000000"/>
                <w:spacing w:val="-15"/>
                <w:w w:val="15"/>
                <w:shd w:val="solid" w:color="000000" w:fill="000000"/>
                <w:fitText w:val="50" w:id="-892700927"/>
                <w:lang w:val="en-AU"/>
                <w14:textFill>
                  <w14:solidFill>
                    <w14:srgbClr w14:val="000000">
                      <w14:alpha w14:val="100000"/>
                    </w14:srgbClr>
                  </w14:solidFill>
                </w14:textFill>
              </w:rPr>
              <w:t xml:space="preserve">　</w:t>
            </w:r>
            <w:r w:rsidRPr="008217F1">
              <w:rPr>
                <w:b w:val="0"/>
                <w:bCs/>
                <w:lang w:val="en-AU"/>
              </w:rPr>
              <w:t>%</w:t>
            </w:r>
          </w:p>
        </w:tc>
      </w:tr>
      <w:tr w:rsidR="002F57E6" w:rsidRPr="008217F1" w14:paraId="04CD6779" w14:textId="77777777" w:rsidTr="006813A2">
        <w:tc>
          <w:tcPr>
            <w:tcW w:w="9016" w:type="dxa"/>
            <w:gridSpan w:val="5"/>
          </w:tcPr>
          <w:p w14:paraId="3D51C3B2" w14:textId="77777777" w:rsidR="002F57E6" w:rsidRPr="008217F1" w:rsidRDefault="002F57E6" w:rsidP="002F57E6">
            <w:pPr>
              <w:pStyle w:val="CommentText"/>
              <w:rPr>
                <w:rFonts w:ascii="Arial Narrow" w:eastAsiaTheme="majorEastAsia" w:hAnsi="Arial Narrow" w:cs="Times New Roman"/>
                <w:b/>
                <w:szCs w:val="24"/>
              </w:rPr>
            </w:pPr>
            <w:r w:rsidRPr="008217F1">
              <w:rPr>
                <w:rFonts w:ascii="Arial Narrow" w:eastAsiaTheme="majorEastAsia" w:hAnsi="Arial Narrow" w:cs="Times New Roman"/>
                <w:b/>
                <w:szCs w:val="24"/>
              </w:rPr>
              <w:t>Efficacy of esketamine retreatment (base case: 7.8% relative reduction in efficacy applied sequentially, yielding a cumulative efficacy reduction of 15% in most patients; otherwise assumed to have a 100% response/remission rate)</w:t>
            </w:r>
          </w:p>
        </w:tc>
      </w:tr>
      <w:tr w:rsidR="002F57E6" w:rsidRPr="008217F1" w14:paraId="51A6CE63" w14:textId="77777777" w:rsidTr="00683384">
        <w:tc>
          <w:tcPr>
            <w:tcW w:w="3822" w:type="dxa"/>
          </w:tcPr>
          <w:p w14:paraId="57073E55" w14:textId="77777777" w:rsidR="002F57E6" w:rsidRPr="008217F1" w:rsidRDefault="002F57E6" w:rsidP="002F57E6">
            <w:pPr>
              <w:pStyle w:val="COMTableheadingrow"/>
              <w:keepNext w:val="0"/>
              <w:rPr>
                <w:b w:val="0"/>
                <w:bCs/>
                <w:lang w:val="en-AU"/>
              </w:rPr>
            </w:pPr>
            <w:r w:rsidRPr="008217F1">
              <w:rPr>
                <w:b w:val="0"/>
                <w:bCs/>
                <w:lang w:val="en-AU"/>
              </w:rPr>
              <w:t>No reduction in efficacy for retreatment; assuming all patients previously responding/achieving remission achieve response/remission again</w:t>
            </w:r>
          </w:p>
        </w:tc>
        <w:tc>
          <w:tcPr>
            <w:tcW w:w="1298" w:type="dxa"/>
            <w:tcBorders>
              <w:bottom w:val="single" w:sz="4" w:space="0" w:color="auto"/>
            </w:tcBorders>
            <w:shd w:val="solid" w:color="000000" w:fill="000000"/>
            <w:vAlign w:val="center"/>
          </w:tcPr>
          <w:p w14:paraId="4BEF379E" w14:textId="5D64B150"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33358217"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0.2114</w:t>
            </w:r>
          </w:p>
        </w:tc>
        <w:tc>
          <w:tcPr>
            <w:tcW w:w="1298" w:type="dxa"/>
            <w:vAlign w:val="center"/>
          </w:tcPr>
          <w:p w14:paraId="26CC7018" w14:textId="40CD1B2E"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1E0447" w:rsidRPr="00A96044">
              <w:rPr>
                <w:vertAlign w:val="superscript"/>
                <w:lang w:val="en-AU"/>
              </w:rPr>
              <w:t>1</w:t>
            </w:r>
          </w:p>
        </w:tc>
        <w:tc>
          <w:tcPr>
            <w:tcW w:w="1299" w:type="dxa"/>
            <w:vAlign w:val="center"/>
          </w:tcPr>
          <w:p w14:paraId="0BF503FE" w14:textId="489E9113" w:rsidR="002F57E6" w:rsidRPr="008217F1" w:rsidRDefault="002F57E6" w:rsidP="002F57E6">
            <w:pPr>
              <w:pStyle w:val="COMTableheadingrow"/>
              <w:keepNext w:val="0"/>
              <w:jc w:val="center"/>
              <w:rPr>
                <w:b w:val="0"/>
                <w:bCs/>
                <w:lang w:val="en-AU"/>
              </w:rPr>
            </w:pPr>
            <w:r w:rsidRPr="008217F1">
              <w:rPr>
                <w:rFonts w:cs="Calibri"/>
                <w:b w:val="0"/>
                <w:bCs/>
                <w:color w:val="000000"/>
                <w:szCs w:val="20"/>
              </w:rPr>
              <w:t>-</w:t>
            </w:r>
            <w:r w:rsidR="00683384" w:rsidRPr="00A34B18">
              <w:rPr>
                <w:rFonts w:cs="Calibri" w:hint="eastAsia"/>
                <w:b w:val="0"/>
                <w:bCs/>
                <w:color w:val="000000"/>
                <w:w w:val="15"/>
                <w:szCs w:val="20"/>
                <w:shd w:val="solid" w:color="000000" w:fill="000000"/>
                <w:fitText w:val="20" w:id="-892700926"/>
                <w14:textFill>
                  <w14:solidFill>
                    <w14:srgbClr w14:val="000000">
                      <w14:alpha w14:val="100000"/>
                    </w14:srgbClr>
                  </w14:solidFill>
                </w14:textFill>
              </w:rPr>
              <w:t xml:space="preserve">　</w:t>
            </w:r>
            <w:r w:rsidR="00683384" w:rsidRPr="00A34B18">
              <w:rPr>
                <w:rFonts w:cs="Calibri"/>
                <w:b w:val="0"/>
                <w:bCs/>
                <w:color w:val="000000"/>
                <w:w w:val="15"/>
                <w:szCs w:val="20"/>
                <w:shd w:val="solid" w:color="000000" w:fill="000000"/>
                <w:fitText w:val="20" w:id="-892700926"/>
                <w14:textFill>
                  <w14:solidFill>
                    <w14:srgbClr w14:val="000000">
                      <w14:alpha w14:val="100000"/>
                    </w14:srgbClr>
                  </w14:solidFill>
                </w14:textFill>
              </w:rPr>
              <w:t>|</w:t>
            </w:r>
            <w:r w:rsidR="00683384" w:rsidRPr="00A34B18">
              <w:rPr>
                <w:rFonts w:cs="Calibri" w:hint="eastAsia"/>
                <w:b w:val="0"/>
                <w:bCs/>
                <w:color w:val="000000"/>
                <w:spacing w:val="-45"/>
                <w:w w:val="15"/>
                <w:szCs w:val="20"/>
                <w:shd w:val="solid" w:color="000000" w:fill="000000"/>
                <w:fitText w:val="20" w:id="-892700926"/>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0BAFE3AE" w14:textId="77777777" w:rsidTr="00683384">
        <w:tc>
          <w:tcPr>
            <w:tcW w:w="3822" w:type="dxa"/>
          </w:tcPr>
          <w:p w14:paraId="07487EC4" w14:textId="77777777" w:rsidR="002F57E6" w:rsidRPr="008217F1" w:rsidRDefault="002F57E6" w:rsidP="002F57E6">
            <w:pPr>
              <w:pStyle w:val="COMTableheadingrow"/>
              <w:keepNext w:val="0"/>
              <w:rPr>
                <w:b w:val="0"/>
                <w:bCs/>
                <w:lang w:val="en-AU"/>
              </w:rPr>
            </w:pPr>
            <w:r w:rsidRPr="008217F1">
              <w:rPr>
                <w:b w:val="0"/>
                <w:bCs/>
                <w:lang w:val="en-AU"/>
              </w:rPr>
              <w:t>A 31.0% relative reduction in efficacy (efficacy reduction of 52% for the majority of patient pathways); based on a threshold analysis of the reduction required for the ICER to be $50,000.</w:t>
            </w:r>
          </w:p>
        </w:tc>
        <w:tc>
          <w:tcPr>
            <w:tcW w:w="1298" w:type="dxa"/>
            <w:tcBorders>
              <w:bottom w:val="single" w:sz="4" w:space="0" w:color="auto"/>
            </w:tcBorders>
            <w:shd w:val="solid" w:color="000000" w:fill="000000"/>
            <w:vAlign w:val="center"/>
          </w:tcPr>
          <w:p w14:paraId="0333CDAB" w14:textId="378A428C"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7565CFE4"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0.1878</w:t>
            </w:r>
          </w:p>
        </w:tc>
        <w:tc>
          <w:tcPr>
            <w:tcW w:w="1298" w:type="dxa"/>
            <w:vAlign w:val="center"/>
          </w:tcPr>
          <w:p w14:paraId="5DE55590" w14:textId="02466749"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561A42" w:rsidRPr="00A96044">
              <w:rPr>
                <w:rFonts w:cs="Calibri"/>
                <w:b w:val="0"/>
                <w:bCs/>
                <w:color w:val="000000"/>
                <w:szCs w:val="20"/>
                <w:vertAlign w:val="superscript"/>
              </w:rPr>
              <w:t>5</w:t>
            </w:r>
          </w:p>
        </w:tc>
        <w:tc>
          <w:tcPr>
            <w:tcW w:w="1299" w:type="dxa"/>
            <w:vAlign w:val="center"/>
          </w:tcPr>
          <w:p w14:paraId="42107045" w14:textId="79774E69" w:rsidR="002F57E6" w:rsidRPr="008217F1" w:rsidRDefault="002F57E6" w:rsidP="002F57E6">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25"/>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25"/>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25"/>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3FDCE506" w14:textId="77777777" w:rsidTr="00683384">
        <w:tc>
          <w:tcPr>
            <w:tcW w:w="3822" w:type="dxa"/>
          </w:tcPr>
          <w:p w14:paraId="75BE512A" w14:textId="0F058642" w:rsidR="002F57E6" w:rsidRPr="008217F1" w:rsidRDefault="002F57E6" w:rsidP="002F57E6">
            <w:pPr>
              <w:pStyle w:val="COMTableheadingrow"/>
              <w:keepNext w:val="0"/>
              <w:rPr>
                <w:b w:val="0"/>
                <w:bCs/>
                <w:lang w:val="en-AU"/>
              </w:rPr>
            </w:pPr>
            <w:r w:rsidRPr="008217F1">
              <w:rPr>
                <w:b w:val="0"/>
                <w:bCs/>
                <w:lang w:val="en-AU"/>
              </w:rPr>
              <w:t>Retreatment efficacy for remission and response during the induction phase based on the SUSTAIN-3 subgroup analysis (Castro 2023)</w:t>
            </w:r>
            <w:r w:rsidR="003A4A2F" w:rsidRPr="008217F1">
              <w:rPr>
                <w:b w:val="0"/>
                <w:bCs/>
                <w:vertAlign w:val="superscript"/>
                <w:lang w:val="en-AU"/>
              </w:rPr>
              <w:t>a</w:t>
            </w:r>
          </w:p>
        </w:tc>
        <w:tc>
          <w:tcPr>
            <w:tcW w:w="1298" w:type="dxa"/>
            <w:tcBorders>
              <w:bottom w:val="single" w:sz="4" w:space="0" w:color="auto"/>
            </w:tcBorders>
            <w:shd w:val="solid" w:color="000000" w:fill="000000"/>
            <w:vAlign w:val="center"/>
          </w:tcPr>
          <w:p w14:paraId="213CB8FD" w14:textId="438334EA" w:rsidR="002F57E6" w:rsidRPr="008D2AC7" w:rsidRDefault="00683384" w:rsidP="002F57E6">
            <w:pPr>
              <w:pStyle w:val="COMTableheadingrow"/>
              <w:keepNext w:val="0"/>
              <w:jc w:val="center"/>
              <w:rPr>
                <w:rFonts w:cs="Calibri"/>
                <w:b w:val="0"/>
                <w:bCs/>
                <w:color w:val="000000"/>
                <w:szCs w:val="20"/>
                <w:highlight w:val="lightGray"/>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319177C9" w14:textId="77777777" w:rsidR="002F57E6" w:rsidRPr="008217F1" w:rsidRDefault="002F57E6" w:rsidP="002F57E6">
            <w:pPr>
              <w:pStyle w:val="COMTableheadingrow"/>
              <w:keepNext w:val="0"/>
              <w:jc w:val="center"/>
              <w:rPr>
                <w:rFonts w:cs="Calibri"/>
                <w:b w:val="0"/>
                <w:bCs/>
                <w:color w:val="000000"/>
                <w:szCs w:val="20"/>
              </w:rPr>
            </w:pPr>
            <w:r w:rsidRPr="008217F1">
              <w:rPr>
                <w:rFonts w:cs="Calibri"/>
                <w:b w:val="0"/>
                <w:bCs/>
                <w:color w:val="000000"/>
                <w:szCs w:val="20"/>
              </w:rPr>
              <w:t>0.1958</w:t>
            </w:r>
          </w:p>
        </w:tc>
        <w:tc>
          <w:tcPr>
            <w:tcW w:w="1298" w:type="dxa"/>
            <w:vAlign w:val="center"/>
          </w:tcPr>
          <w:p w14:paraId="34AD2480" w14:textId="7CA4AD7C" w:rsidR="002F57E6" w:rsidRPr="008D2AC7" w:rsidRDefault="00683384" w:rsidP="002F57E6">
            <w:pPr>
              <w:pStyle w:val="COMTableheadingrow"/>
              <w:keepNext w:val="0"/>
              <w:jc w:val="center"/>
              <w:rPr>
                <w:rFonts w:cs="Calibri"/>
                <w:b w:val="0"/>
                <w:bCs/>
                <w:color w:val="000000"/>
                <w:szCs w:val="20"/>
                <w:highlight w:val="lightGray"/>
              </w:rPr>
            </w:pPr>
            <w:r w:rsidRPr="00683384">
              <w:rPr>
                <w:rFonts w:cs="Calibri"/>
                <w:b w:val="0"/>
                <w:bCs/>
                <w:color w:val="000000"/>
                <w:szCs w:val="20"/>
                <w:shd w:val="solid" w:color="000000" w:fill="000000"/>
                <w14:textFill>
                  <w14:solidFill>
                    <w14:srgbClr w14:val="000000">
                      <w14:alpha w14:val="100000"/>
                    </w14:srgbClr>
                  </w14:solidFill>
                </w14:textFill>
              </w:rPr>
              <w:t>|</w:t>
            </w:r>
            <w:r w:rsidR="00561A42" w:rsidRPr="00A96044">
              <w:rPr>
                <w:rFonts w:cs="Calibri"/>
                <w:b w:val="0"/>
                <w:bCs/>
                <w:color w:val="000000"/>
                <w:szCs w:val="20"/>
                <w:vertAlign w:val="superscript"/>
              </w:rPr>
              <w:t>5</w:t>
            </w:r>
          </w:p>
        </w:tc>
        <w:tc>
          <w:tcPr>
            <w:tcW w:w="1299" w:type="dxa"/>
            <w:vAlign w:val="center"/>
          </w:tcPr>
          <w:p w14:paraId="715E0B1A" w14:textId="3E5312A8" w:rsidR="002F57E6" w:rsidRPr="008217F1" w:rsidRDefault="002F57E6" w:rsidP="002F57E6">
            <w:pPr>
              <w:pStyle w:val="COMTableheadingrow"/>
              <w:keepNext w:val="0"/>
              <w:jc w:val="center"/>
              <w:rPr>
                <w:rFonts w:cs="Calibri"/>
                <w:b w:val="0"/>
                <w:bCs/>
                <w:color w:val="000000"/>
                <w:szCs w:val="20"/>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24"/>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24"/>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24"/>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5BD1FD3A" w14:textId="77777777" w:rsidTr="00683384">
        <w:tc>
          <w:tcPr>
            <w:tcW w:w="3822" w:type="dxa"/>
          </w:tcPr>
          <w:p w14:paraId="184AE555" w14:textId="77777777" w:rsidR="002F57E6" w:rsidRPr="008217F1" w:rsidRDefault="002F57E6" w:rsidP="002F57E6">
            <w:pPr>
              <w:pStyle w:val="COMTableheadingrow"/>
              <w:keepNext w:val="0"/>
              <w:rPr>
                <w:b w:val="0"/>
                <w:bCs/>
                <w:lang w:val="en-AU"/>
              </w:rPr>
            </w:pPr>
            <w:r w:rsidRPr="008217F1">
              <w:rPr>
                <w:b w:val="0"/>
                <w:bCs/>
                <w:lang w:val="en-AU"/>
              </w:rPr>
              <w:t>Initial treatment transition probabilities used (incorporating responders and non-responders)</w:t>
            </w:r>
          </w:p>
        </w:tc>
        <w:tc>
          <w:tcPr>
            <w:tcW w:w="1298" w:type="dxa"/>
            <w:shd w:val="solid" w:color="000000" w:fill="000000"/>
            <w:vAlign w:val="center"/>
          </w:tcPr>
          <w:p w14:paraId="0C4CB2AB" w14:textId="6A4CF18D"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756EF3DA"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0.1887</w:t>
            </w:r>
          </w:p>
        </w:tc>
        <w:tc>
          <w:tcPr>
            <w:tcW w:w="1298" w:type="dxa"/>
            <w:vAlign w:val="center"/>
          </w:tcPr>
          <w:p w14:paraId="3C8DF911" w14:textId="3602D94A"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561A42" w:rsidRPr="00A96044">
              <w:rPr>
                <w:rFonts w:cs="Calibri"/>
                <w:b w:val="0"/>
                <w:bCs/>
                <w:color w:val="000000"/>
                <w:szCs w:val="20"/>
                <w:vertAlign w:val="superscript"/>
              </w:rPr>
              <w:t>5</w:t>
            </w:r>
          </w:p>
        </w:tc>
        <w:tc>
          <w:tcPr>
            <w:tcW w:w="1299" w:type="dxa"/>
            <w:vAlign w:val="center"/>
          </w:tcPr>
          <w:p w14:paraId="2D98D938" w14:textId="602443F5" w:rsidR="002F57E6" w:rsidRPr="008217F1" w:rsidRDefault="002F57E6" w:rsidP="002F57E6">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23"/>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23"/>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23"/>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0A691DD1" w14:textId="77777777" w:rsidTr="006813A2">
        <w:tc>
          <w:tcPr>
            <w:tcW w:w="9016" w:type="dxa"/>
            <w:gridSpan w:val="5"/>
          </w:tcPr>
          <w:p w14:paraId="21EC89A4" w14:textId="77777777" w:rsidR="002F57E6" w:rsidRPr="008217F1" w:rsidRDefault="002F57E6" w:rsidP="002F57E6">
            <w:pPr>
              <w:pStyle w:val="COMTableheadingrow"/>
              <w:keepNext w:val="0"/>
              <w:rPr>
                <w:b w:val="0"/>
                <w:bCs/>
                <w:lang w:val="en-AU"/>
              </w:rPr>
            </w:pPr>
            <w:r w:rsidRPr="008217F1">
              <w:rPr>
                <w:bCs/>
                <w:szCs w:val="20"/>
              </w:rPr>
              <w:t>Health state utility values (base case: trial based estimates using the UK value set: MDE 0.4316; response 0.7664; remission 0.8606; recovery 0.8606)</w:t>
            </w:r>
            <w:r w:rsidRPr="008217F1">
              <w:rPr>
                <w:szCs w:val="20"/>
              </w:rPr>
              <w:t> </w:t>
            </w:r>
          </w:p>
        </w:tc>
      </w:tr>
      <w:tr w:rsidR="002F57E6" w:rsidRPr="008217F1" w14:paraId="5C3B8484" w14:textId="77777777" w:rsidTr="00683384">
        <w:tc>
          <w:tcPr>
            <w:tcW w:w="3822" w:type="dxa"/>
          </w:tcPr>
          <w:p w14:paraId="7DA9881B" w14:textId="77777777" w:rsidR="002F57E6" w:rsidRPr="008217F1" w:rsidRDefault="002F57E6" w:rsidP="002F57E6">
            <w:pPr>
              <w:pStyle w:val="COMTableheadingrow"/>
              <w:keepNext w:val="0"/>
              <w:rPr>
                <w:b w:val="0"/>
                <w:bCs/>
                <w:lang w:val="en-AU"/>
              </w:rPr>
            </w:pPr>
            <w:r w:rsidRPr="008217F1">
              <w:rPr>
                <w:b w:val="0"/>
                <w:bCs/>
                <w:szCs w:val="20"/>
              </w:rPr>
              <w:t xml:space="preserve">MDE utility increased by 20% </w:t>
            </w:r>
          </w:p>
        </w:tc>
        <w:tc>
          <w:tcPr>
            <w:tcW w:w="1298" w:type="dxa"/>
            <w:tcBorders>
              <w:bottom w:val="single" w:sz="4" w:space="0" w:color="auto"/>
            </w:tcBorders>
            <w:shd w:val="solid" w:color="000000" w:fill="000000"/>
          </w:tcPr>
          <w:p w14:paraId="6BD761F3" w14:textId="490713EA" w:rsidR="002F57E6" w:rsidRPr="008D2AC7" w:rsidRDefault="00683384" w:rsidP="002F57E6">
            <w:pPr>
              <w:pStyle w:val="COMTableheadingrow"/>
              <w:keepNext w:val="0"/>
              <w:jc w:val="center"/>
              <w:rPr>
                <w:b w:val="0"/>
                <w:bCs/>
                <w:highlight w:val="lightGray"/>
                <w:lang w:val="en-AU"/>
              </w:rPr>
            </w:pPr>
            <w:r w:rsidRPr="00683384">
              <w:rPr>
                <w:b w:val="0"/>
                <w:bCs/>
                <w:color w:val="000000"/>
                <w14:textFill>
                  <w14:solidFill>
                    <w14:srgbClr w14:val="000000">
                      <w14:alpha w14:val="100000"/>
                    </w14:srgbClr>
                  </w14:solidFill>
                </w14:textFill>
              </w:rPr>
              <w:t>|</w:t>
            </w:r>
          </w:p>
        </w:tc>
        <w:tc>
          <w:tcPr>
            <w:tcW w:w="1299" w:type="dxa"/>
          </w:tcPr>
          <w:p w14:paraId="40D5A814" w14:textId="77777777" w:rsidR="002F57E6" w:rsidRPr="008217F1" w:rsidRDefault="002F57E6" w:rsidP="002F57E6">
            <w:pPr>
              <w:pStyle w:val="COMTableheadingrow"/>
              <w:keepNext w:val="0"/>
              <w:jc w:val="center"/>
              <w:rPr>
                <w:b w:val="0"/>
                <w:bCs/>
                <w:lang w:val="en-AU"/>
              </w:rPr>
            </w:pPr>
            <w:r w:rsidRPr="008217F1">
              <w:rPr>
                <w:b w:val="0"/>
                <w:bCs/>
              </w:rPr>
              <w:t>0.1626</w:t>
            </w:r>
          </w:p>
        </w:tc>
        <w:tc>
          <w:tcPr>
            <w:tcW w:w="1298" w:type="dxa"/>
          </w:tcPr>
          <w:p w14:paraId="5F9DEA65" w14:textId="1A29C253" w:rsidR="002F57E6" w:rsidRPr="008D2AC7" w:rsidRDefault="00683384" w:rsidP="002F57E6">
            <w:pPr>
              <w:pStyle w:val="COMTableheadingrow"/>
              <w:keepNext w:val="0"/>
              <w:jc w:val="center"/>
              <w:rPr>
                <w:b w:val="0"/>
                <w:bCs/>
                <w:highlight w:val="lightGray"/>
                <w:lang w:val="en-AU"/>
              </w:rPr>
            </w:pPr>
            <w:r w:rsidRPr="00683384">
              <w:rPr>
                <w:b w:val="0"/>
                <w:bCs/>
                <w:color w:val="000000"/>
                <w:shd w:val="solid" w:color="000000" w:fill="000000"/>
                <w14:textFill>
                  <w14:solidFill>
                    <w14:srgbClr w14:val="000000">
                      <w14:alpha w14:val="100000"/>
                    </w14:srgbClr>
                  </w14:solidFill>
                </w14:textFill>
              </w:rPr>
              <w:t>|</w:t>
            </w:r>
            <w:r w:rsidR="008E3F89" w:rsidRPr="00A96044">
              <w:rPr>
                <w:rFonts w:cs="Calibri"/>
                <w:b w:val="0"/>
                <w:bCs/>
                <w:color w:val="000000"/>
                <w:szCs w:val="20"/>
                <w:vertAlign w:val="superscript"/>
              </w:rPr>
              <w:t>3</w:t>
            </w:r>
          </w:p>
        </w:tc>
        <w:tc>
          <w:tcPr>
            <w:tcW w:w="1299" w:type="dxa"/>
          </w:tcPr>
          <w:p w14:paraId="48360A72" w14:textId="61CAC027" w:rsidR="002F57E6" w:rsidRPr="008217F1" w:rsidRDefault="002F57E6" w:rsidP="002F57E6">
            <w:pPr>
              <w:pStyle w:val="COMTableheadingrow"/>
              <w:keepNext w:val="0"/>
              <w:jc w:val="center"/>
              <w:rPr>
                <w:b w:val="0"/>
                <w:bCs/>
                <w:lang w:val="en-AU"/>
              </w:rPr>
            </w:pPr>
            <w:r w:rsidRPr="008217F1">
              <w:rPr>
                <w:b w:val="0"/>
                <w:bCs/>
              </w:rPr>
              <w:t>+</w:t>
            </w:r>
            <w:r w:rsidR="00683384" w:rsidRPr="00683384">
              <w:rPr>
                <w:rFonts w:hint="eastAsia"/>
                <w:b w:val="0"/>
                <w:bCs/>
                <w:color w:val="000000"/>
                <w:w w:val="15"/>
                <w:shd w:val="solid" w:color="000000" w:fill="000000"/>
                <w:fitText w:val="50" w:id="-892700922"/>
                <w14:textFill>
                  <w14:solidFill>
                    <w14:srgbClr w14:val="000000">
                      <w14:alpha w14:val="100000"/>
                    </w14:srgbClr>
                  </w14:solidFill>
                </w14:textFill>
              </w:rPr>
              <w:t xml:space="preserve">　</w:t>
            </w:r>
            <w:r w:rsidR="00683384" w:rsidRPr="00683384">
              <w:rPr>
                <w:b w:val="0"/>
                <w:bCs/>
                <w:color w:val="000000"/>
                <w:w w:val="15"/>
                <w:shd w:val="solid" w:color="000000" w:fill="000000"/>
                <w:fitText w:val="50" w:id="-892700922"/>
                <w14:textFill>
                  <w14:solidFill>
                    <w14:srgbClr w14:val="000000">
                      <w14:alpha w14:val="100000"/>
                    </w14:srgbClr>
                  </w14:solidFill>
                </w14:textFill>
              </w:rPr>
              <w:t>|</w:t>
            </w:r>
            <w:r w:rsidR="00683384" w:rsidRPr="00683384">
              <w:rPr>
                <w:rFonts w:hint="eastAsia"/>
                <w:b w:val="0"/>
                <w:bCs/>
                <w:color w:val="000000"/>
                <w:spacing w:val="-15"/>
                <w:w w:val="15"/>
                <w:shd w:val="solid" w:color="000000" w:fill="000000"/>
                <w:fitText w:val="50" w:id="-892700922"/>
                <w14:textFill>
                  <w14:solidFill>
                    <w14:srgbClr w14:val="000000">
                      <w14:alpha w14:val="100000"/>
                    </w14:srgbClr>
                  </w14:solidFill>
                </w14:textFill>
              </w:rPr>
              <w:t xml:space="preserve">　</w:t>
            </w:r>
            <w:r w:rsidRPr="008217F1">
              <w:rPr>
                <w:b w:val="0"/>
                <w:bCs/>
              </w:rPr>
              <w:t>%</w:t>
            </w:r>
          </w:p>
        </w:tc>
      </w:tr>
      <w:tr w:rsidR="002F57E6" w:rsidRPr="008217F1" w14:paraId="1DF2BD8A" w14:textId="77777777" w:rsidTr="00683384">
        <w:tc>
          <w:tcPr>
            <w:tcW w:w="3822" w:type="dxa"/>
          </w:tcPr>
          <w:p w14:paraId="72579245" w14:textId="77777777" w:rsidR="002F57E6" w:rsidRPr="008217F1" w:rsidRDefault="002F57E6" w:rsidP="002F57E6">
            <w:pPr>
              <w:pStyle w:val="COMTableheadingrow"/>
              <w:keepNext w:val="0"/>
              <w:rPr>
                <w:b w:val="0"/>
                <w:bCs/>
                <w:lang w:val="en-AU"/>
              </w:rPr>
            </w:pPr>
            <w:r w:rsidRPr="008217F1">
              <w:rPr>
                <w:b w:val="0"/>
                <w:bCs/>
                <w:szCs w:val="20"/>
              </w:rPr>
              <w:t xml:space="preserve">MDE utility decreased by </w:t>
            </w:r>
            <w:proofErr w:type="gramStart"/>
            <w:r w:rsidRPr="008217F1">
              <w:rPr>
                <w:b w:val="0"/>
                <w:bCs/>
                <w:szCs w:val="20"/>
              </w:rPr>
              <w:t>20</w:t>
            </w:r>
            <w:proofErr w:type="gramEnd"/>
            <w:r w:rsidRPr="008217F1">
              <w:rPr>
                <w:b w:val="0"/>
                <w:bCs/>
                <w:szCs w:val="20"/>
              </w:rPr>
              <w:t>%</w:t>
            </w:r>
          </w:p>
        </w:tc>
        <w:tc>
          <w:tcPr>
            <w:tcW w:w="1298" w:type="dxa"/>
            <w:tcBorders>
              <w:bottom w:val="single" w:sz="4" w:space="0" w:color="auto"/>
            </w:tcBorders>
            <w:shd w:val="solid" w:color="000000" w:fill="000000"/>
            <w:vAlign w:val="center"/>
          </w:tcPr>
          <w:p w14:paraId="24934480" w14:textId="14E3FB79"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40B79779"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0.2474</w:t>
            </w:r>
          </w:p>
        </w:tc>
        <w:tc>
          <w:tcPr>
            <w:tcW w:w="1298" w:type="dxa"/>
            <w:vAlign w:val="center"/>
          </w:tcPr>
          <w:p w14:paraId="5E3AE6E7" w14:textId="371F98C4"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1E0447" w:rsidRPr="00A96044">
              <w:rPr>
                <w:vertAlign w:val="superscript"/>
                <w:lang w:val="en-AU"/>
              </w:rPr>
              <w:t>1</w:t>
            </w:r>
          </w:p>
        </w:tc>
        <w:tc>
          <w:tcPr>
            <w:tcW w:w="1299" w:type="dxa"/>
            <w:vAlign w:val="center"/>
          </w:tcPr>
          <w:p w14:paraId="14B925FB" w14:textId="0650DE13" w:rsidR="002F57E6" w:rsidRPr="008217F1" w:rsidRDefault="002F57E6" w:rsidP="002F57E6">
            <w:pPr>
              <w:pStyle w:val="COMTableheadingrow"/>
              <w:keepNext w:val="0"/>
              <w:jc w:val="center"/>
              <w:rPr>
                <w:b w:val="0"/>
                <w:bCs/>
                <w:lang w:val="en-AU"/>
              </w:rPr>
            </w:pPr>
            <w:r w:rsidRPr="008217F1">
              <w:rPr>
                <w:rFonts w:cs="Calibri"/>
                <w:b w:val="0"/>
                <w:bCs/>
                <w:color w:val="000000"/>
                <w:szCs w:val="20"/>
              </w:rPr>
              <w:t>-</w:t>
            </w:r>
            <w:r w:rsidR="00683384" w:rsidRPr="00A34B18">
              <w:rPr>
                <w:rFonts w:cs="Calibri" w:hint="eastAsia"/>
                <w:b w:val="0"/>
                <w:bCs/>
                <w:color w:val="000000"/>
                <w:w w:val="15"/>
                <w:szCs w:val="20"/>
                <w:shd w:val="solid" w:color="000000" w:fill="000000"/>
                <w:fitText w:val="20" w:id="-892700921"/>
                <w14:textFill>
                  <w14:solidFill>
                    <w14:srgbClr w14:val="000000">
                      <w14:alpha w14:val="100000"/>
                    </w14:srgbClr>
                  </w14:solidFill>
                </w14:textFill>
              </w:rPr>
              <w:t xml:space="preserve">　</w:t>
            </w:r>
            <w:r w:rsidR="00683384" w:rsidRPr="00A34B18">
              <w:rPr>
                <w:rFonts w:cs="Calibri"/>
                <w:b w:val="0"/>
                <w:bCs/>
                <w:color w:val="000000"/>
                <w:w w:val="15"/>
                <w:szCs w:val="20"/>
                <w:shd w:val="solid" w:color="000000" w:fill="000000"/>
                <w:fitText w:val="20" w:id="-892700921"/>
                <w14:textFill>
                  <w14:solidFill>
                    <w14:srgbClr w14:val="000000">
                      <w14:alpha w14:val="100000"/>
                    </w14:srgbClr>
                  </w14:solidFill>
                </w14:textFill>
              </w:rPr>
              <w:t>|</w:t>
            </w:r>
            <w:r w:rsidR="00683384" w:rsidRPr="00A34B18">
              <w:rPr>
                <w:rFonts w:cs="Calibri" w:hint="eastAsia"/>
                <w:b w:val="0"/>
                <w:bCs/>
                <w:color w:val="000000"/>
                <w:spacing w:val="-45"/>
                <w:w w:val="15"/>
                <w:szCs w:val="20"/>
                <w:shd w:val="solid" w:color="000000" w:fill="000000"/>
                <w:fitText w:val="20" w:id="-892700921"/>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2D38F941" w14:textId="77777777" w:rsidTr="00683384">
        <w:tc>
          <w:tcPr>
            <w:tcW w:w="3822" w:type="dxa"/>
          </w:tcPr>
          <w:p w14:paraId="045E292F" w14:textId="77777777" w:rsidR="002F57E6" w:rsidRPr="008217F1" w:rsidRDefault="002F57E6" w:rsidP="002F57E6">
            <w:pPr>
              <w:pStyle w:val="COMTableheadingrow"/>
              <w:keepNext w:val="0"/>
              <w:rPr>
                <w:b w:val="0"/>
                <w:bCs/>
                <w:lang w:val="en-AU"/>
              </w:rPr>
            </w:pPr>
            <w:r w:rsidRPr="008217F1">
              <w:rPr>
                <w:b w:val="0"/>
                <w:bCs/>
                <w:szCs w:val="20"/>
              </w:rPr>
              <w:t>Recovery utility increased to 1.0 </w:t>
            </w:r>
          </w:p>
        </w:tc>
        <w:tc>
          <w:tcPr>
            <w:tcW w:w="1298" w:type="dxa"/>
            <w:tcBorders>
              <w:bottom w:val="single" w:sz="4" w:space="0" w:color="auto"/>
            </w:tcBorders>
            <w:shd w:val="solid" w:color="000000" w:fill="000000"/>
            <w:vAlign w:val="center"/>
          </w:tcPr>
          <w:p w14:paraId="2B5E9F95" w14:textId="576225F4"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681CD0BF"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0.2567</w:t>
            </w:r>
          </w:p>
        </w:tc>
        <w:tc>
          <w:tcPr>
            <w:tcW w:w="1298" w:type="dxa"/>
            <w:vAlign w:val="center"/>
          </w:tcPr>
          <w:p w14:paraId="34812360" w14:textId="6510A76E"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1E0447" w:rsidRPr="00A96044">
              <w:rPr>
                <w:vertAlign w:val="superscript"/>
                <w:lang w:val="en-AU"/>
              </w:rPr>
              <w:t>1</w:t>
            </w:r>
          </w:p>
        </w:tc>
        <w:tc>
          <w:tcPr>
            <w:tcW w:w="1299" w:type="dxa"/>
            <w:vAlign w:val="center"/>
          </w:tcPr>
          <w:p w14:paraId="5936FA9B" w14:textId="70C78E19" w:rsidR="002F57E6" w:rsidRPr="008217F1" w:rsidRDefault="002F57E6" w:rsidP="002F57E6">
            <w:pPr>
              <w:pStyle w:val="COMTableheadingrow"/>
              <w:keepNext w:val="0"/>
              <w:jc w:val="center"/>
              <w:rPr>
                <w:b w:val="0"/>
                <w:bCs/>
                <w:lang w:val="en-AU"/>
              </w:rPr>
            </w:pPr>
            <w:r w:rsidRPr="008217F1">
              <w:rPr>
                <w:rFonts w:cs="Calibri"/>
                <w:b w:val="0"/>
                <w:bCs/>
                <w:color w:val="000000"/>
                <w:szCs w:val="20"/>
              </w:rPr>
              <w:t>-</w:t>
            </w:r>
            <w:r w:rsidR="00683384" w:rsidRPr="00A34B18">
              <w:rPr>
                <w:rFonts w:cs="Calibri" w:hint="eastAsia"/>
                <w:b w:val="0"/>
                <w:bCs/>
                <w:color w:val="000000"/>
                <w:w w:val="15"/>
                <w:szCs w:val="20"/>
                <w:shd w:val="solid" w:color="000000" w:fill="000000"/>
                <w:fitText w:val="20" w:id="-892700920"/>
                <w14:textFill>
                  <w14:solidFill>
                    <w14:srgbClr w14:val="000000">
                      <w14:alpha w14:val="100000"/>
                    </w14:srgbClr>
                  </w14:solidFill>
                </w14:textFill>
              </w:rPr>
              <w:t xml:space="preserve">　</w:t>
            </w:r>
            <w:r w:rsidR="00683384" w:rsidRPr="00A34B18">
              <w:rPr>
                <w:rFonts w:cs="Calibri"/>
                <w:b w:val="0"/>
                <w:bCs/>
                <w:color w:val="000000"/>
                <w:w w:val="15"/>
                <w:szCs w:val="20"/>
                <w:shd w:val="solid" w:color="000000" w:fill="000000"/>
                <w:fitText w:val="20" w:id="-892700920"/>
                <w14:textFill>
                  <w14:solidFill>
                    <w14:srgbClr w14:val="000000">
                      <w14:alpha w14:val="100000"/>
                    </w14:srgbClr>
                  </w14:solidFill>
                </w14:textFill>
              </w:rPr>
              <w:t>|</w:t>
            </w:r>
            <w:r w:rsidR="00683384" w:rsidRPr="00A34B18">
              <w:rPr>
                <w:rFonts w:cs="Calibri" w:hint="eastAsia"/>
                <w:b w:val="0"/>
                <w:bCs/>
                <w:color w:val="000000"/>
                <w:spacing w:val="-45"/>
                <w:w w:val="15"/>
                <w:szCs w:val="20"/>
                <w:shd w:val="solid" w:color="000000" w:fill="000000"/>
                <w:fitText w:val="20" w:id="-892700920"/>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44CF8929" w14:textId="77777777" w:rsidTr="00683384">
        <w:tc>
          <w:tcPr>
            <w:tcW w:w="3822" w:type="dxa"/>
          </w:tcPr>
          <w:p w14:paraId="7DBF107F" w14:textId="77777777" w:rsidR="002F57E6" w:rsidRPr="008217F1" w:rsidRDefault="002F57E6" w:rsidP="002F57E6">
            <w:pPr>
              <w:pStyle w:val="COMTableheadingrow"/>
              <w:keepNext w:val="0"/>
              <w:rPr>
                <w:b w:val="0"/>
                <w:bCs/>
                <w:lang w:val="en-AU"/>
              </w:rPr>
            </w:pPr>
            <w:r w:rsidRPr="008217F1">
              <w:rPr>
                <w:b w:val="0"/>
                <w:bCs/>
                <w:szCs w:val="20"/>
              </w:rPr>
              <w:t xml:space="preserve">Recovery utility decreased by 20% </w:t>
            </w:r>
          </w:p>
        </w:tc>
        <w:tc>
          <w:tcPr>
            <w:tcW w:w="1298" w:type="dxa"/>
            <w:tcBorders>
              <w:bottom w:val="single" w:sz="4" w:space="0" w:color="auto"/>
            </w:tcBorders>
            <w:shd w:val="solid" w:color="000000" w:fill="000000"/>
            <w:vAlign w:val="center"/>
          </w:tcPr>
          <w:p w14:paraId="25E8C8D5" w14:textId="1245A3E1"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6E6D4E0C"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0.1413</w:t>
            </w:r>
          </w:p>
        </w:tc>
        <w:tc>
          <w:tcPr>
            <w:tcW w:w="1298" w:type="dxa"/>
            <w:vAlign w:val="center"/>
          </w:tcPr>
          <w:p w14:paraId="725804D0" w14:textId="5CFF36EC"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8E3F89" w:rsidRPr="00A96044">
              <w:rPr>
                <w:rFonts w:cs="Calibri"/>
                <w:b w:val="0"/>
                <w:bCs/>
                <w:color w:val="000000"/>
                <w:szCs w:val="20"/>
                <w:vertAlign w:val="superscript"/>
              </w:rPr>
              <w:t>3</w:t>
            </w:r>
          </w:p>
        </w:tc>
        <w:tc>
          <w:tcPr>
            <w:tcW w:w="1299" w:type="dxa"/>
            <w:vAlign w:val="center"/>
          </w:tcPr>
          <w:p w14:paraId="35BD937A" w14:textId="39632465" w:rsidR="002F57E6" w:rsidRPr="008217F1" w:rsidRDefault="002F57E6" w:rsidP="002F57E6">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19"/>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19"/>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19"/>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71D5BD3F" w14:textId="77777777" w:rsidTr="00683384">
        <w:tc>
          <w:tcPr>
            <w:tcW w:w="3822" w:type="dxa"/>
          </w:tcPr>
          <w:p w14:paraId="68CDBB90" w14:textId="77777777" w:rsidR="002F57E6" w:rsidRPr="008217F1" w:rsidRDefault="002F57E6" w:rsidP="002F57E6">
            <w:pPr>
              <w:pStyle w:val="COMTableheadingrow"/>
              <w:keepNext w:val="0"/>
              <w:rPr>
                <w:b w:val="0"/>
                <w:bCs/>
                <w:lang w:val="en-AU"/>
              </w:rPr>
            </w:pPr>
            <w:r w:rsidRPr="008217F1">
              <w:rPr>
                <w:b w:val="0"/>
                <w:bCs/>
                <w:szCs w:val="20"/>
              </w:rPr>
              <w:t>Health state utilities from TRANSFORM-2 using Canadian value set </w:t>
            </w:r>
          </w:p>
        </w:tc>
        <w:tc>
          <w:tcPr>
            <w:tcW w:w="1298" w:type="dxa"/>
            <w:shd w:val="solid" w:color="000000" w:fill="000000"/>
            <w:vAlign w:val="center"/>
          </w:tcPr>
          <w:p w14:paraId="37A18311" w14:textId="6679EE7A"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4A2DF167"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0.1829</w:t>
            </w:r>
          </w:p>
        </w:tc>
        <w:tc>
          <w:tcPr>
            <w:tcW w:w="1298" w:type="dxa"/>
            <w:vAlign w:val="center"/>
          </w:tcPr>
          <w:p w14:paraId="5F92C82B" w14:textId="53B031A9"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561A42" w:rsidRPr="00A96044">
              <w:rPr>
                <w:rFonts w:cs="Calibri"/>
                <w:b w:val="0"/>
                <w:bCs/>
                <w:color w:val="000000"/>
                <w:szCs w:val="20"/>
                <w:vertAlign w:val="superscript"/>
              </w:rPr>
              <w:t>5</w:t>
            </w:r>
          </w:p>
        </w:tc>
        <w:tc>
          <w:tcPr>
            <w:tcW w:w="1299" w:type="dxa"/>
            <w:vAlign w:val="center"/>
          </w:tcPr>
          <w:p w14:paraId="1D160BF7" w14:textId="33188AC7" w:rsidR="002F57E6" w:rsidRPr="008217F1" w:rsidRDefault="002F57E6" w:rsidP="002F57E6">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18"/>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18"/>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18"/>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768B9F35" w14:textId="77777777" w:rsidTr="006813A2">
        <w:tc>
          <w:tcPr>
            <w:tcW w:w="9016" w:type="dxa"/>
            <w:gridSpan w:val="5"/>
          </w:tcPr>
          <w:p w14:paraId="2FCA14C5" w14:textId="77777777" w:rsidR="002F57E6" w:rsidRPr="008217F1" w:rsidRDefault="002F57E6" w:rsidP="002F57E6">
            <w:pPr>
              <w:pStyle w:val="COMTableheadingrow"/>
              <w:keepNext w:val="0"/>
              <w:rPr>
                <w:b w:val="0"/>
                <w:bCs/>
                <w:lang w:val="en-AU"/>
              </w:rPr>
            </w:pPr>
            <w:r w:rsidRPr="008217F1">
              <w:rPr>
                <w:bCs/>
                <w:szCs w:val="20"/>
              </w:rPr>
              <w:t>Esketamine utilisation and costs (base case: trial-based circumstances of use)</w:t>
            </w:r>
            <w:r w:rsidRPr="008217F1">
              <w:rPr>
                <w:szCs w:val="20"/>
              </w:rPr>
              <w:t> </w:t>
            </w:r>
          </w:p>
        </w:tc>
      </w:tr>
      <w:tr w:rsidR="002F57E6" w:rsidRPr="008217F1" w14:paraId="19FA237E" w14:textId="77777777" w:rsidTr="00683384">
        <w:tc>
          <w:tcPr>
            <w:tcW w:w="3822" w:type="dxa"/>
          </w:tcPr>
          <w:p w14:paraId="6567A5B2" w14:textId="77777777" w:rsidR="002F57E6" w:rsidRPr="008217F1" w:rsidRDefault="002F57E6" w:rsidP="002F57E6">
            <w:pPr>
              <w:pStyle w:val="COMTableheadingrow"/>
              <w:keepNext w:val="0"/>
              <w:rPr>
                <w:b w:val="0"/>
                <w:bCs/>
                <w:lang w:val="en-AU"/>
              </w:rPr>
            </w:pPr>
            <w:r w:rsidRPr="008217F1">
              <w:rPr>
                <w:b w:val="0"/>
                <w:bCs/>
                <w:szCs w:val="20"/>
              </w:rPr>
              <w:t>All patients receive once weekly dosing during maintenance weeks 9+ </w:t>
            </w:r>
          </w:p>
        </w:tc>
        <w:tc>
          <w:tcPr>
            <w:tcW w:w="1298" w:type="dxa"/>
            <w:tcBorders>
              <w:bottom w:val="single" w:sz="4" w:space="0" w:color="auto"/>
            </w:tcBorders>
            <w:shd w:val="solid" w:color="000000" w:fill="000000"/>
            <w:vAlign w:val="center"/>
          </w:tcPr>
          <w:p w14:paraId="544C77CD" w14:textId="6B808913" w:rsidR="002F57E6" w:rsidRPr="008217F1" w:rsidRDefault="00683384" w:rsidP="002F57E6">
            <w:pPr>
              <w:pStyle w:val="COMTableheadingrow"/>
              <w:keepNext w:val="0"/>
              <w:jc w:val="center"/>
              <w:rPr>
                <w:b w:val="0"/>
                <w:bCs/>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149CE105"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0.2050</w:t>
            </w:r>
          </w:p>
        </w:tc>
        <w:tc>
          <w:tcPr>
            <w:tcW w:w="1298" w:type="dxa"/>
            <w:vAlign w:val="center"/>
          </w:tcPr>
          <w:p w14:paraId="617145B8" w14:textId="58620588" w:rsidR="002F57E6" w:rsidRPr="008217F1" w:rsidRDefault="00683384" w:rsidP="002F57E6">
            <w:pPr>
              <w:pStyle w:val="COMTableheadingrow"/>
              <w:keepNext w:val="0"/>
              <w:jc w:val="center"/>
              <w:rPr>
                <w:b w:val="0"/>
                <w:bCs/>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8E3F89" w:rsidRPr="00A96044">
              <w:rPr>
                <w:rFonts w:cs="Calibri"/>
                <w:b w:val="0"/>
                <w:bCs/>
                <w:color w:val="000000"/>
                <w:szCs w:val="20"/>
                <w:vertAlign w:val="superscript"/>
              </w:rPr>
              <w:t>3</w:t>
            </w:r>
          </w:p>
        </w:tc>
        <w:tc>
          <w:tcPr>
            <w:tcW w:w="1299" w:type="dxa"/>
            <w:vAlign w:val="center"/>
          </w:tcPr>
          <w:p w14:paraId="518C99EE" w14:textId="39BDA5BC" w:rsidR="002F57E6" w:rsidRPr="008217F1" w:rsidRDefault="002F57E6" w:rsidP="002F57E6">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17"/>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17"/>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17"/>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4DD805A5" w14:textId="77777777" w:rsidTr="00683384">
        <w:tc>
          <w:tcPr>
            <w:tcW w:w="3822" w:type="dxa"/>
          </w:tcPr>
          <w:p w14:paraId="2C305F0F" w14:textId="77777777" w:rsidR="002F57E6" w:rsidRPr="008217F1" w:rsidRDefault="002F57E6" w:rsidP="002F57E6">
            <w:pPr>
              <w:pStyle w:val="COMTableheadingrow"/>
              <w:keepNext w:val="0"/>
              <w:rPr>
                <w:b w:val="0"/>
                <w:bCs/>
                <w:lang w:val="en-AU"/>
              </w:rPr>
            </w:pPr>
            <w:r w:rsidRPr="008217F1">
              <w:rPr>
                <w:b w:val="0"/>
                <w:bCs/>
                <w:szCs w:val="20"/>
              </w:rPr>
              <w:t>All patients receive once fortnightly dosing during maintenance weeks 9+ </w:t>
            </w:r>
          </w:p>
        </w:tc>
        <w:tc>
          <w:tcPr>
            <w:tcW w:w="1298" w:type="dxa"/>
            <w:shd w:val="solid" w:color="000000" w:fill="000000"/>
            <w:vAlign w:val="center"/>
          </w:tcPr>
          <w:p w14:paraId="56BB8476" w14:textId="16AE650C" w:rsidR="002F57E6" w:rsidRPr="008217F1" w:rsidRDefault="00683384" w:rsidP="002F57E6">
            <w:pPr>
              <w:pStyle w:val="COMTableheadingrow"/>
              <w:keepNext w:val="0"/>
              <w:jc w:val="center"/>
              <w:rPr>
                <w:b w:val="0"/>
                <w:bCs/>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72D57DAD"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0.2050</w:t>
            </w:r>
          </w:p>
        </w:tc>
        <w:tc>
          <w:tcPr>
            <w:tcW w:w="1298" w:type="dxa"/>
            <w:vAlign w:val="center"/>
          </w:tcPr>
          <w:p w14:paraId="03435BC0" w14:textId="2A1A6950" w:rsidR="002F57E6" w:rsidRPr="008217F1" w:rsidRDefault="00683384" w:rsidP="002F57E6">
            <w:pPr>
              <w:pStyle w:val="COMTableheadingrow"/>
              <w:keepNext w:val="0"/>
              <w:jc w:val="center"/>
              <w:rPr>
                <w:b w:val="0"/>
                <w:bCs/>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CF5286" w:rsidRPr="00A96044">
              <w:rPr>
                <w:rFonts w:cs="Calibri"/>
                <w:b w:val="0"/>
                <w:bCs/>
                <w:color w:val="000000"/>
                <w:szCs w:val="20"/>
                <w:vertAlign w:val="superscript"/>
              </w:rPr>
              <w:t>4</w:t>
            </w:r>
          </w:p>
        </w:tc>
        <w:tc>
          <w:tcPr>
            <w:tcW w:w="1299" w:type="dxa"/>
            <w:vAlign w:val="center"/>
          </w:tcPr>
          <w:p w14:paraId="4A2378A4" w14:textId="26DE70E2" w:rsidR="002F57E6" w:rsidRPr="008217F1" w:rsidRDefault="002F57E6" w:rsidP="002F57E6">
            <w:pPr>
              <w:pStyle w:val="COMTableheadingrow"/>
              <w:keepNext w:val="0"/>
              <w:jc w:val="center"/>
              <w:rPr>
                <w:b w:val="0"/>
                <w:bCs/>
                <w:lang w:val="en-AU"/>
              </w:rPr>
            </w:pPr>
            <w:r w:rsidRPr="008217F1">
              <w:rPr>
                <w:rFonts w:cs="Calibri"/>
                <w:b w:val="0"/>
                <w:bCs/>
                <w:color w:val="000000"/>
                <w:szCs w:val="20"/>
              </w:rPr>
              <w:t>-</w:t>
            </w:r>
            <w:r w:rsidR="00683384" w:rsidRPr="00A34B18">
              <w:rPr>
                <w:rFonts w:cs="Calibri" w:hint="eastAsia"/>
                <w:b w:val="0"/>
                <w:bCs/>
                <w:color w:val="000000"/>
                <w:w w:val="15"/>
                <w:szCs w:val="20"/>
                <w:shd w:val="solid" w:color="000000" w:fill="000000"/>
                <w:fitText w:val="20" w:id="-892700916"/>
                <w14:textFill>
                  <w14:solidFill>
                    <w14:srgbClr w14:val="000000">
                      <w14:alpha w14:val="100000"/>
                    </w14:srgbClr>
                  </w14:solidFill>
                </w14:textFill>
              </w:rPr>
              <w:t xml:space="preserve">　</w:t>
            </w:r>
            <w:r w:rsidR="00683384" w:rsidRPr="00A34B18">
              <w:rPr>
                <w:rFonts w:cs="Calibri"/>
                <w:b w:val="0"/>
                <w:bCs/>
                <w:color w:val="000000"/>
                <w:w w:val="15"/>
                <w:szCs w:val="20"/>
                <w:shd w:val="solid" w:color="000000" w:fill="000000"/>
                <w:fitText w:val="20" w:id="-892700916"/>
                <w14:textFill>
                  <w14:solidFill>
                    <w14:srgbClr w14:val="000000">
                      <w14:alpha w14:val="100000"/>
                    </w14:srgbClr>
                  </w14:solidFill>
                </w14:textFill>
              </w:rPr>
              <w:t>|</w:t>
            </w:r>
            <w:r w:rsidR="00683384" w:rsidRPr="00A34B18">
              <w:rPr>
                <w:rFonts w:cs="Calibri" w:hint="eastAsia"/>
                <w:b w:val="0"/>
                <w:bCs/>
                <w:color w:val="000000"/>
                <w:spacing w:val="-45"/>
                <w:w w:val="15"/>
                <w:szCs w:val="20"/>
                <w:shd w:val="solid" w:color="000000" w:fill="000000"/>
                <w:fitText w:val="20" w:id="-892700916"/>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608B82DA" w14:textId="77777777" w:rsidTr="006813A2">
        <w:tc>
          <w:tcPr>
            <w:tcW w:w="9016" w:type="dxa"/>
            <w:gridSpan w:val="5"/>
          </w:tcPr>
          <w:p w14:paraId="735D6228" w14:textId="77777777" w:rsidR="002F57E6" w:rsidRPr="008217F1" w:rsidRDefault="002F57E6" w:rsidP="002F57E6">
            <w:pPr>
              <w:pStyle w:val="COMTableheadingrow"/>
              <w:keepNext w:val="0"/>
              <w:rPr>
                <w:rFonts w:cs="Calibri"/>
                <w:b w:val="0"/>
                <w:bCs/>
                <w:color w:val="000000"/>
                <w:szCs w:val="20"/>
              </w:rPr>
            </w:pPr>
            <w:r w:rsidRPr="008217F1">
              <w:rPr>
                <w:szCs w:val="20"/>
              </w:rPr>
              <w:t>Esketamine administration and monitoring costs (base case: $238.15 per administration, based on MBS item 308; psychiatrist consultation &gt;75 minutes)</w:t>
            </w:r>
          </w:p>
        </w:tc>
      </w:tr>
      <w:tr w:rsidR="002F57E6" w:rsidRPr="008217F1" w14:paraId="13F4C86A" w14:textId="77777777" w:rsidTr="00683384">
        <w:tc>
          <w:tcPr>
            <w:tcW w:w="3822" w:type="dxa"/>
          </w:tcPr>
          <w:p w14:paraId="6327DBCE" w14:textId="77777777" w:rsidR="002F57E6" w:rsidRPr="008217F1" w:rsidRDefault="002F57E6" w:rsidP="002F57E6">
            <w:pPr>
              <w:pStyle w:val="COMTableheadingrow"/>
              <w:keepNext w:val="0"/>
              <w:rPr>
                <w:b w:val="0"/>
                <w:bCs/>
                <w:szCs w:val="20"/>
              </w:rPr>
            </w:pPr>
            <w:r w:rsidRPr="008217F1">
              <w:rPr>
                <w:b w:val="0"/>
                <w:bCs/>
                <w:szCs w:val="20"/>
              </w:rPr>
              <w:t xml:space="preserve">Increase costs by </w:t>
            </w:r>
            <w:proofErr w:type="gramStart"/>
            <w:r w:rsidRPr="008217F1">
              <w:rPr>
                <w:b w:val="0"/>
                <w:bCs/>
                <w:szCs w:val="20"/>
              </w:rPr>
              <w:t>50</w:t>
            </w:r>
            <w:proofErr w:type="gramEnd"/>
            <w:r w:rsidRPr="008217F1">
              <w:rPr>
                <w:b w:val="0"/>
                <w:bCs/>
                <w:szCs w:val="20"/>
              </w:rPr>
              <w:t>%</w:t>
            </w:r>
          </w:p>
        </w:tc>
        <w:tc>
          <w:tcPr>
            <w:tcW w:w="1298" w:type="dxa"/>
            <w:tcBorders>
              <w:bottom w:val="single" w:sz="4" w:space="0" w:color="auto"/>
            </w:tcBorders>
            <w:shd w:val="solid" w:color="000000" w:fill="000000"/>
            <w:vAlign w:val="center"/>
          </w:tcPr>
          <w:p w14:paraId="0B285C49" w14:textId="0E429123" w:rsidR="002F57E6" w:rsidRPr="008D2AC7" w:rsidRDefault="00683384" w:rsidP="002F57E6">
            <w:pPr>
              <w:pStyle w:val="COMTableheadingrow"/>
              <w:keepNext w:val="0"/>
              <w:jc w:val="center"/>
              <w:rPr>
                <w:rFonts w:cs="Calibri"/>
                <w:b w:val="0"/>
                <w:bCs/>
                <w:color w:val="000000"/>
                <w:szCs w:val="20"/>
                <w:highlight w:val="lightGray"/>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266905F5" w14:textId="77777777" w:rsidR="002F57E6" w:rsidRPr="008217F1" w:rsidRDefault="002F57E6" w:rsidP="002F57E6">
            <w:pPr>
              <w:pStyle w:val="COMTableheadingrow"/>
              <w:keepNext w:val="0"/>
              <w:jc w:val="center"/>
              <w:rPr>
                <w:rFonts w:cs="Calibri"/>
                <w:b w:val="0"/>
                <w:bCs/>
                <w:color w:val="000000"/>
                <w:szCs w:val="20"/>
              </w:rPr>
            </w:pPr>
            <w:r w:rsidRPr="008217F1">
              <w:rPr>
                <w:rFonts w:cs="Calibri"/>
                <w:b w:val="0"/>
                <w:bCs/>
                <w:color w:val="000000"/>
                <w:szCs w:val="20"/>
              </w:rPr>
              <w:t>0.2050</w:t>
            </w:r>
          </w:p>
        </w:tc>
        <w:tc>
          <w:tcPr>
            <w:tcW w:w="1298" w:type="dxa"/>
            <w:vAlign w:val="center"/>
          </w:tcPr>
          <w:p w14:paraId="26164CA4" w14:textId="7B1B1962" w:rsidR="002F57E6" w:rsidRPr="008D2AC7" w:rsidRDefault="00683384" w:rsidP="002F57E6">
            <w:pPr>
              <w:pStyle w:val="COMTableheadingrow"/>
              <w:keepNext w:val="0"/>
              <w:jc w:val="center"/>
              <w:rPr>
                <w:rFonts w:cs="Calibri"/>
                <w:b w:val="0"/>
                <w:bCs/>
                <w:color w:val="000000"/>
                <w:szCs w:val="20"/>
                <w:highlight w:val="lightGray"/>
              </w:rPr>
            </w:pPr>
            <w:r w:rsidRPr="00683384">
              <w:rPr>
                <w:rFonts w:cs="Calibri"/>
                <w:b w:val="0"/>
                <w:bCs/>
                <w:color w:val="000000"/>
                <w:szCs w:val="20"/>
                <w:shd w:val="solid" w:color="000000" w:fill="000000"/>
                <w14:textFill>
                  <w14:solidFill>
                    <w14:srgbClr w14:val="000000">
                      <w14:alpha w14:val="100000"/>
                    </w14:srgbClr>
                  </w14:solidFill>
                </w14:textFill>
              </w:rPr>
              <w:t>|</w:t>
            </w:r>
            <w:r w:rsidR="008E3F89" w:rsidRPr="00A96044">
              <w:rPr>
                <w:rFonts w:cs="Calibri"/>
                <w:b w:val="0"/>
                <w:bCs/>
                <w:color w:val="000000"/>
                <w:szCs w:val="20"/>
                <w:vertAlign w:val="superscript"/>
              </w:rPr>
              <w:t>3</w:t>
            </w:r>
          </w:p>
        </w:tc>
        <w:tc>
          <w:tcPr>
            <w:tcW w:w="1299" w:type="dxa"/>
            <w:vAlign w:val="center"/>
          </w:tcPr>
          <w:p w14:paraId="4086F1BD" w14:textId="42357979" w:rsidR="002F57E6" w:rsidRPr="008217F1" w:rsidRDefault="002F57E6" w:rsidP="002F57E6">
            <w:pPr>
              <w:pStyle w:val="COMTableheadingrow"/>
              <w:keepNext w:val="0"/>
              <w:jc w:val="center"/>
              <w:rPr>
                <w:rFonts w:cs="Calibri"/>
                <w:b w:val="0"/>
                <w:bCs/>
                <w:color w:val="000000"/>
                <w:szCs w:val="20"/>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15"/>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15"/>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15"/>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02128490" w14:textId="77777777" w:rsidTr="00683384">
        <w:tc>
          <w:tcPr>
            <w:tcW w:w="3822" w:type="dxa"/>
          </w:tcPr>
          <w:p w14:paraId="30B93B70" w14:textId="77777777" w:rsidR="002F57E6" w:rsidRPr="008217F1" w:rsidRDefault="002F57E6" w:rsidP="002F57E6">
            <w:pPr>
              <w:pStyle w:val="COMTableheadingrow"/>
              <w:keepNext w:val="0"/>
              <w:rPr>
                <w:b w:val="0"/>
                <w:bCs/>
                <w:szCs w:val="20"/>
              </w:rPr>
            </w:pPr>
            <w:r w:rsidRPr="008217F1">
              <w:rPr>
                <w:b w:val="0"/>
                <w:bCs/>
                <w:szCs w:val="20"/>
              </w:rPr>
              <w:t xml:space="preserve">Decrease costs by </w:t>
            </w:r>
            <w:proofErr w:type="gramStart"/>
            <w:r w:rsidRPr="008217F1">
              <w:rPr>
                <w:b w:val="0"/>
                <w:bCs/>
                <w:szCs w:val="20"/>
              </w:rPr>
              <w:t>50</w:t>
            </w:r>
            <w:proofErr w:type="gramEnd"/>
            <w:r w:rsidRPr="008217F1">
              <w:rPr>
                <w:b w:val="0"/>
                <w:bCs/>
                <w:szCs w:val="20"/>
              </w:rPr>
              <w:t>%</w:t>
            </w:r>
          </w:p>
        </w:tc>
        <w:tc>
          <w:tcPr>
            <w:tcW w:w="1298" w:type="dxa"/>
            <w:shd w:val="solid" w:color="000000" w:fill="000000"/>
            <w:vAlign w:val="center"/>
          </w:tcPr>
          <w:p w14:paraId="4D2A029E" w14:textId="3643AE8D" w:rsidR="002F57E6" w:rsidRPr="008D2AC7" w:rsidRDefault="00683384" w:rsidP="002F57E6">
            <w:pPr>
              <w:pStyle w:val="COMTableheadingrow"/>
              <w:keepNext w:val="0"/>
              <w:jc w:val="center"/>
              <w:rPr>
                <w:rFonts w:cs="Calibri"/>
                <w:b w:val="0"/>
                <w:bCs/>
                <w:color w:val="000000"/>
                <w:szCs w:val="20"/>
                <w:highlight w:val="lightGray"/>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5FB33373" w14:textId="77777777" w:rsidR="002F57E6" w:rsidRPr="008217F1" w:rsidRDefault="002F57E6" w:rsidP="002F57E6">
            <w:pPr>
              <w:pStyle w:val="COMTableheadingrow"/>
              <w:keepNext w:val="0"/>
              <w:jc w:val="center"/>
              <w:rPr>
                <w:rFonts w:cs="Calibri"/>
                <w:b w:val="0"/>
                <w:bCs/>
                <w:color w:val="000000"/>
                <w:szCs w:val="20"/>
              </w:rPr>
            </w:pPr>
            <w:r w:rsidRPr="008217F1">
              <w:rPr>
                <w:rFonts w:cs="Calibri"/>
                <w:b w:val="0"/>
                <w:bCs/>
                <w:color w:val="000000"/>
                <w:szCs w:val="20"/>
              </w:rPr>
              <w:t>0.2050</w:t>
            </w:r>
          </w:p>
        </w:tc>
        <w:tc>
          <w:tcPr>
            <w:tcW w:w="1298" w:type="dxa"/>
            <w:vAlign w:val="center"/>
          </w:tcPr>
          <w:p w14:paraId="78C9AAA0" w14:textId="0EBF2149" w:rsidR="002F57E6" w:rsidRPr="008D2AC7" w:rsidRDefault="00683384" w:rsidP="002F57E6">
            <w:pPr>
              <w:pStyle w:val="COMTableheadingrow"/>
              <w:keepNext w:val="0"/>
              <w:jc w:val="center"/>
              <w:rPr>
                <w:rFonts w:cs="Calibri"/>
                <w:b w:val="0"/>
                <w:bCs/>
                <w:color w:val="000000"/>
                <w:szCs w:val="20"/>
                <w:highlight w:val="lightGray"/>
              </w:rPr>
            </w:pPr>
            <w:r w:rsidRPr="00683384">
              <w:rPr>
                <w:rFonts w:cs="Calibri"/>
                <w:b w:val="0"/>
                <w:bCs/>
                <w:color w:val="000000"/>
                <w:szCs w:val="20"/>
                <w:shd w:val="solid" w:color="000000" w:fill="000000"/>
                <w14:textFill>
                  <w14:solidFill>
                    <w14:srgbClr w14:val="000000">
                      <w14:alpha w14:val="100000"/>
                    </w14:srgbClr>
                  </w14:solidFill>
                </w14:textFill>
              </w:rPr>
              <w:t>|</w:t>
            </w:r>
            <w:r w:rsidR="00253A15" w:rsidRPr="00A96044">
              <w:rPr>
                <w:b w:val="0"/>
                <w:bCs/>
                <w:vertAlign w:val="superscript"/>
                <w:lang w:val="en-AU"/>
              </w:rPr>
              <w:t>6</w:t>
            </w:r>
          </w:p>
        </w:tc>
        <w:tc>
          <w:tcPr>
            <w:tcW w:w="1299" w:type="dxa"/>
            <w:vAlign w:val="center"/>
          </w:tcPr>
          <w:p w14:paraId="6BA3B2E2" w14:textId="5E688185" w:rsidR="002F57E6" w:rsidRPr="008217F1" w:rsidRDefault="002F57E6" w:rsidP="002F57E6">
            <w:pPr>
              <w:pStyle w:val="COMTableheadingrow"/>
              <w:keepNext w:val="0"/>
              <w:jc w:val="center"/>
              <w:rPr>
                <w:rFonts w:cs="Calibri"/>
                <w:b w:val="0"/>
                <w:bCs/>
                <w:color w:val="000000"/>
                <w:szCs w:val="20"/>
              </w:rPr>
            </w:pPr>
            <w:r w:rsidRPr="008217F1">
              <w:rPr>
                <w:rFonts w:cs="Calibri"/>
                <w:b w:val="0"/>
                <w:bCs/>
                <w:color w:val="000000"/>
                <w:szCs w:val="20"/>
              </w:rPr>
              <w:t>-</w:t>
            </w:r>
            <w:r w:rsidR="00683384" w:rsidRPr="00A34B18">
              <w:rPr>
                <w:rFonts w:cs="Calibri" w:hint="eastAsia"/>
                <w:b w:val="0"/>
                <w:bCs/>
                <w:color w:val="000000"/>
                <w:w w:val="15"/>
                <w:szCs w:val="20"/>
                <w:shd w:val="solid" w:color="000000" w:fill="000000"/>
                <w:fitText w:val="20" w:id="-892700914"/>
                <w14:textFill>
                  <w14:solidFill>
                    <w14:srgbClr w14:val="000000">
                      <w14:alpha w14:val="100000"/>
                    </w14:srgbClr>
                  </w14:solidFill>
                </w14:textFill>
              </w:rPr>
              <w:t xml:space="preserve">　</w:t>
            </w:r>
            <w:r w:rsidR="00683384" w:rsidRPr="00A34B18">
              <w:rPr>
                <w:rFonts w:cs="Calibri"/>
                <w:b w:val="0"/>
                <w:bCs/>
                <w:color w:val="000000"/>
                <w:w w:val="15"/>
                <w:szCs w:val="20"/>
                <w:shd w:val="solid" w:color="000000" w:fill="000000"/>
                <w:fitText w:val="20" w:id="-892700914"/>
                <w14:textFill>
                  <w14:solidFill>
                    <w14:srgbClr w14:val="000000">
                      <w14:alpha w14:val="100000"/>
                    </w14:srgbClr>
                  </w14:solidFill>
                </w14:textFill>
              </w:rPr>
              <w:t>|</w:t>
            </w:r>
            <w:r w:rsidR="00683384" w:rsidRPr="00A34B18">
              <w:rPr>
                <w:rFonts w:cs="Calibri" w:hint="eastAsia"/>
                <w:b w:val="0"/>
                <w:bCs/>
                <w:color w:val="000000"/>
                <w:spacing w:val="-45"/>
                <w:w w:val="15"/>
                <w:szCs w:val="20"/>
                <w:shd w:val="solid" w:color="000000" w:fill="000000"/>
                <w:fitText w:val="20" w:id="-892700914"/>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53775974" w14:textId="77777777" w:rsidTr="006813A2">
        <w:tc>
          <w:tcPr>
            <w:tcW w:w="9016" w:type="dxa"/>
            <w:gridSpan w:val="5"/>
          </w:tcPr>
          <w:p w14:paraId="1B74308D" w14:textId="77777777" w:rsidR="002F57E6" w:rsidRPr="008217F1" w:rsidRDefault="002F57E6" w:rsidP="002F57E6">
            <w:pPr>
              <w:pStyle w:val="COMTableheadingrow"/>
              <w:keepNext w:val="0"/>
              <w:rPr>
                <w:lang w:val="en-AU"/>
              </w:rPr>
            </w:pPr>
            <w:r w:rsidRPr="008217F1">
              <w:rPr>
                <w:lang w:val="en-AU"/>
              </w:rPr>
              <w:lastRenderedPageBreak/>
              <w:t>Health care resource use (base case: Goldney 2007 MDD excess utilisation; hospitalisation rate adjusted for risk in TRD versus non-TRD patients (Zhang 2018) and multiplied by LOS from post hoc analysis of Melbourne clinic data; hospitalisation days 0.94 per cycle)</w:t>
            </w:r>
          </w:p>
        </w:tc>
      </w:tr>
      <w:tr w:rsidR="002F57E6" w:rsidRPr="008217F1" w14:paraId="12D1CD17" w14:textId="77777777" w:rsidTr="00683384">
        <w:tc>
          <w:tcPr>
            <w:tcW w:w="3822" w:type="dxa"/>
          </w:tcPr>
          <w:p w14:paraId="24AFABE2" w14:textId="77777777" w:rsidR="002F57E6" w:rsidRPr="008217F1" w:rsidRDefault="002F57E6" w:rsidP="002F57E6">
            <w:pPr>
              <w:pStyle w:val="COMTableheadingrow"/>
              <w:keepNext w:val="0"/>
              <w:rPr>
                <w:b w:val="0"/>
                <w:bCs/>
                <w:lang w:val="en-AU"/>
              </w:rPr>
            </w:pPr>
            <w:r w:rsidRPr="008217F1">
              <w:rPr>
                <w:b w:val="0"/>
                <w:bCs/>
                <w:lang w:val="en-AU"/>
              </w:rPr>
              <w:t>Denee 2021 UK data as per previous submissions</w:t>
            </w:r>
          </w:p>
        </w:tc>
        <w:tc>
          <w:tcPr>
            <w:tcW w:w="1298" w:type="dxa"/>
            <w:tcBorders>
              <w:bottom w:val="single" w:sz="4" w:space="0" w:color="auto"/>
            </w:tcBorders>
            <w:shd w:val="solid" w:color="000000" w:fill="000000"/>
            <w:vAlign w:val="center"/>
          </w:tcPr>
          <w:p w14:paraId="0261B06E" w14:textId="441E2C90"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78BA2FB1"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0.2050</w:t>
            </w:r>
          </w:p>
        </w:tc>
        <w:tc>
          <w:tcPr>
            <w:tcW w:w="1298" w:type="dxa"/>
            <w:vAlign w:val="center"/>
          </w:tcPr>
          <w:p w14:paraId="19C4A14D" w14:textId="562B1979"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253A15" w:rsidRPr="00A96044">
              <w:rPr>
                <w:b w:val="0"/>
                <w:bCs/>
                <w:vertAlign w:val="superscript"/>
                <w:lang w:val="en-AU"/>
              </w:rPr>
              <w:t>6</w:t>
            </w:r>
          </w:p>
        </w:tc>
        <w:tc>
          <w:tcPr>
            <w:tcW w:w="1299" w:type="dxa"/>
            <w:vAlign w:val="center"/>
          </w:tcPr>
          <w:p w14:paraId="276CC517" w14:textId="04379360" w:rsidR="002F57E6" w:rsidRPr="008217F1" w:rsidRDefault="002F57E6" w:rsidP="002F57E6">
            <w:pPr>
              <w:pStyle w:val="COMTableheadingrow"/>
              <w:keepNext w:val="0"/>
              <w:jc w:val="center"/>
              <w:rPr>
                <w:b w:val="0"/>
                <w:bCs/>
                <w:lang w:val="en-AU"/>
              </w:rPr>
            </w:pPr>
            <w:r w:rsidRPr="008217F1">
              <w:rPr>
                <w:rFonts w:cs="Calibri"/>
                <w:b w:val="0"/>
                <w:bCs/>
                <w:color w:val="000000"/>
                <w:szCs w:val="20"/>
              </w:rPr>
              <w:t>-</w:t>
            </w:r>
            <w:r w:rsidR="00683384" w:rsidRPr="00A34B18">
              <w:rPr>
                <w:rFonts w:cs="Calibri" w:hint="eastAsia"/>
                <w:b w:val="0"/>
                <w:bCs/>
                <w:color w:val="000000"/>
                <w:w w:val="15"/>
                <w:szCs w:val="20"/>
                <w:shd w:val="solid" w:color="000000" w:fill="000000"/>
                <w:fitText w:val="20" w:id="-892700913"/>
                <w14:textFill>
                  <w14:solidFill>
                    <w14:srgbClr w14:val="000000">
                      <w14:alpha w14:val="100000"/>
                    </w14:srgbClr>
                  </w14:solidFill>
                </w14:textFill>
              </w:rPr>
              <w:t xml:space="preserve">　</w:t>
            </w:r>
            <w:r w:rsidR="00683384" w:rsidRPr="00A34B18">
              <w:rPr>
                <w:rFonts w:cs="Calibri"/>
                <w:b w:val="0"/>
                <w:bCs/>
                <w:color w:val="000000"/>
                <w:w w:val="15"/>
                <w:szCs w:val="20"/>
                <w:shd w:val="solid" w:color="000000" w:fill="000000"/>
                <w:fitText w:val="20" w:id="-892700913"/>
                <w14:textFill>
                  <w14:solidFill>
                    <w14:srgbClr w14:val="000000">
                      <w14:alpha w14:val="100000"/>
                    </w14:srgbClr>
                  </w14:solidFill>
                </w14:textFill>
              </w:rPr>
              <w:t>|</w:t>
            </w:r>
            <w:r w:rsidR="00683384" w:rsidRPr="00A34B18">
              <w:rPr>
                <w:rFonts w:cs="Calibri" w:hint="eastAsia"/>
                <w:b w:val="0"/>
                <w:bCs/>
                <w:color w:val="000000"/>
                <w:spacing w:val="-45"/>
                <w:w w:val="15"/>
                <w:szCs w:val="20"/>
                <w:shd w:val="solid" w:color="000000" w:fill="000000"/>
                <w:fitText w:val="20" w:id="-892700913"/>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58DD4ACF" w14:textId="77777777" w:rsidTr="00683384">
        <w:tc>
          <w:tcPr>
            <w:tcW w:w="3822" w:type="dxa"/>
          </w:tcPr>
          <w:p w14:paraId="15B594A5" w14:textId="77777777" w:rsidR="002F57E6" w:rsidRPr="008217F1" w:rsidRDefault="002F57E6" w:rsidP="002F57E6">
            <w:pPr>
              <w:pStyle w:val="COMTableheadingrow"/>
              <w:keepNext w:val="0"/>
              <w:rPr>
                <w:b w:val="0"/>
                <w:bCs/>
                <w:lang w:val="en-AU"/>
              </w:rPr>
            </w:pPr>
            <w:r w:rsidRPr="008217F1">
              <w:rPr>
                <w:b w:val="0"/>
                <w:bCs/>
                <w:lang w:val="en-AU"/>
              </w:rPr>
              <w:t>Hospitalisation costs based on AR-DRG episode of care (U63A; Major affective disorders, major complexity; $22,305); with rate of hospitalisation as per base case (Goldney 2007 estimate adjusted for TRD versus non-TRD based on Zhang 2018)</w:t>
            </w:r>
          </w:p>
        </w:tc>
        <w:tc>
          <w:tcPr>
            <w:tcW w:w="1298" w:type="dxa"/>
            <w:tcBorders>
              <w:bottom w:val="single" w:sz="4" w:space="0" w:color="auto"/>
            </w:tcBorders>
            <w:shd w:val="solid" w:color="000000" w:fill="000000"/>
            <w:vAlign w:val="center"/>
          </w:tcPr>
          <w:p w14:paraId="721434A3" w14:textId="7E7FA6CA"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0C3441FC"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0.2050</w:t>
            </w:r>
          </w:p>
        </w:tc>
        <w:tc>
          <w:tcPr>
            <w:tcW w:w="1298" w:type="dxa"/>
            <w:vAlign w:val="center"/>
          </w:tcPr>
          <w:p w14:paraId="4BD42242" w14:textId="29BE8461"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8E3F89" w:rsidRPr="00A96044">
              <w:rPr>
                <w:rFonts w:cs="Calibri"/>
                <w:b w:val="0"/>
                <w:bCs/>
                <w:color w:val="000000"/>
                <w:szCs w:val="20"/>
                <w:vertAlign w:val="superscript"/>
              </w:rPr>
              <w:t>3</w:t>
            </w:r>
          </w:p>
        </w:tc>
        <w:tc>
          <w:tcPr>
            <w:tcW w:w="1299" w:type="dxa"/>
            <w:vAlign w:val="center"/>
          </w:tcPr>
          <w:p w14:paraId="24332348" w14:textId="3C649E06" w:rsidR="002F57E6" w:rsidRPr="008217F1" w:rsidRDefault="002F57E6" w:rsidP="002F57E6">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12"/>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12"/>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12"/>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5458F9EF" w14:textId="77777777" w:rsidTr="00683384">
        <w:tc>
          <w:tcPr>
            <w:tcW w:w="3822" w:type="dxa"/>
          </w:tcPr>
          <w:p w14:paraId="3C8BD63E" w14:textId="77777777" w:rsidR="002F57E6" w:rsidRPr="008217F1" w:rsidRDefault="002F57E6" w:rsidP="002F57E6">
            <w:pPr>
              <w:pStyle w:val="COMTableheadingrow"/>
              <w:keepNext w:val="0"/>
              <w:rPr>
                <w:b w:val="0"/>
                <w:bCs/>
                <w:lang w:val="en-AU"/>
              </w:rPr>
            </w:pPr>
            <w:r w:rsidRPr="008217F1">
              <w:rPr>
                <w:b w:val="0"/>
                <w:bCs/>
                <w:lang w:val="en-AU"/>
              </w:rPr>
              <w:t>Hospitalisation costs based on AR-DRG episode of care (weighted average of U63A/B; Major affective disorders, major/minor complexity) with LOS adjustment for TRD versus non-TRD based on Zhang 2018 (2.4 versus 1.5 days=1.6); with rate of hospitalisation as per base case</w:t>
            </w:r>
          </w:p>
        </w:tc>
        <w:tc>
          <w:tcPr>
            <w:tcW w:w="1298" w:type="dxa"/>
            <w:tcBorders>
              <w:bottom w:val="single" w:sz="4" w:space="0" w:color="auto"/>
            </w:tcBorders>
            <w:shd w:val="solid" w:color="000000" w:fill="000000"/>
            <w:vAlign w:val="center"/>
          </w:tcPr>
          <w:p w14:paraId="5BA6E9B4" w14:textId="46864A43"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2D608EC9"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0.2050</w:t>
            </w:r>
          </w:p>
        </w:tc>
        <w:tc>
          <w:tcPr>
            <w:tcW w:w="1298" w:type="dxa"/>
            <w:vAlign w:val="center"/>
          </w:tcPr>
          <w:p w14:paraId="6C527A2D" w14:textId="060CB5B6"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8E3F89" w:rsidRPr="00A96044">
              <w:rPr>
                <w:rFonts w:cs="Calibri"/>
                <w:b w:val="0"/>
                <w:bCs/>
                <w:color w:val="000000"/>
                <w:szCs w:val="20"/>
                <w:vertAlign w:val="superscript"/>
              </w:rPr>
              <w:t>3</w:t>
            </w:r>
          </w:p>
        </w:tc>
        <w:tc>
          <w:tcPr>
            <w:tcW w:w="1299" w:type="dxa"/>
            <w:vAlign w:val="center"/>
          </w:tcPr>
          <w:p w14:paraId="3326034A" w14:textId="5F2CE656" w:rsidR="002F57E6" w:rsidRPr="008217F1" w:rsidRDefault="002F57E6" w:rsidP="002F57E6">
            <w:pPr>
              <w:pStyle w:val="COMTableheadingrow"/>
              <w:keepNext w:val="0"/>
              <w:jc w:val="center"/>
              <w:rPr>
                <w:b w:val="0"/>
                <w:bCs/>
                <w:lang w:val="en-AU"/>
              </w:rPr>
            </w:pPr>
            <w:r w:rsidRPr="008217F1">
              <w:rPr>
                <w:rFonts w:cs="Calibri"/>
                <w:b w:val="0"/>
                <w:bCs/>
                <w:color w:val="000000"/>
                <w:szCs w:val="20"/>
              </w:rPr>
              <w:t>+</w:t>
            </w:r>
            <w:r w:rsidR="00683384" w:rsidRPr="00683384">
              <w:rPr>
                <w:rFonts w:cs="Calibri" w:hint="eastAsia"/>
                <w:b w:val="0"/>
                <w:bCs/>
                <w:color w:val="000000"/>
                <w:w w:val="15"/>
                <w:szCs w:val="20"/>
                <w:shd w:val="solid" w:color="000000" w:fill="000000"/>
                <w:fitText w:val="50" w:id="-892700928"/>
                <w14:textFill>
                  <w14:solidFill>
                    <w14:srgbClr w14:val="000000">
                      <w14:alpha w14:val="100000"/>
                    </w14:srgbClr>
                  </w14:solidFill>
                </w14:textFill>
              </w:rPr>
              <w:t xml:space="preserve">　</w:t>
            </w:r>
            <w:r w:rsidR="00683384" w:rsidRPr="00683384">
              <w:rPr>
                <w:rFonts w:cs="Calibri"/>
                <w:b w:val="0"/>
                <w:bCs/>
                <w:color w:val="000000"/>
                <w:w w:val="15"/>
                <w:szCs w:val="20"/>
                <w:shd w:val="solid" w:color="000000" w:fill="000000"/>
                <w:fitText w:val="50" w:id="-892700928"/>
                <w14:textFill>
                  <w14:solidFill>
                    <w14:srgbClr w14:val="000000">
                      <w14:alpha w14:val="100000"/>
                    </w14:srgbClr>
                  </w14:solidFill>
                </w14:textFill>
              </w:rPr>
              <w:t>|</w:t>
            </w:r>
            <w:r w:rsidR="00683384" w:rsidRPr="00683384">
              <w:rPr>
                <w:rFonts w:cs="Calibri" w:hint="eastAsia"/>
                <w:b w:val="0"/>
                <w:bCs/>
                <w:color w:val="000000"/>
                <w:spacing w:val="-15"/>
                <w:w w:val="15"/>
                <w:szCs w:val="20"/>
                <w:shd w:val="solid" w:color="000000" w:fill="000000"/>
                <w:fitText w:val="50" w:id="-892700928"/>
                <w14:textFill>
                  <w14:solidFill>
                    <w14:srgbClr w14:val="000000">
                      <w14:alpha w14:val="100000"/>
                    </w14:srgbClr>
                  </w14:solidFill>
                </w14:textFill>
              </w:rPr>
              <w:t xml:space="preserve">　</w:t>
            </w:r>
            <w:r w:rsidRPr="008217F1">
              <w:rPr>
                <w:rFonts w:cs="Calibri"/>
                <w:b w:val="0"/>
                <w:bCs/>
                <w:color w:val="000000"/>
                <w:szCs w:val="20"/>
              </w:rPr>
              <w:t>%</w:t>
            </w:r>
          </w:p>
        </w:tc>
      </w:tr>
      <w:tr w:rsidR="002F57E6" w:rsidRPr="008217F1" w14:paraId="3A4A4D18" w14:textId="77777777" w:rsidTr="00683384">
        <w:tc>
          <w:tcPr>
            <w:tcW w:w="3822" w:type="dxa"/>
          </w:tcPr>
          <w:p w14:paraId="74792DAC" w14:textId="77777777" w:rsidR="002F57E6" w:rsidRPr="008217F1" w:rsidRDefault="002F57E6" w:rsidP="002F57E6">
            <w:pPr>
              <w:pStyle w:val="COMTableheadingrow"/>
              <w:keepNext w:val="0"/>
              <w:rPr>
                <w:b w:val="0"/>
                <w:bCs/>
                <w:lang w:val="en-AU"/>
              </w:rPr>
            </w:pPr>
            <w:r w:rsidRPr="008217F1">
              <w:rPr>
                <w:b w:val="0"/>
                <w:bCs/>
                <w:lang w:val="en-AU"/>
              </w:rPr>
              <w:t>Hospitalisation days based on post hoc analysis of Melbourne clinic data based on 3-year hospitalisation rate and LOS (2.32 days per cycle)</w:t>
            </w:r>
          </w:p>
        </w:tc>
        <w:tc>
          <w:tcPr>
            <w:tcW w:w="1298" w:type="dxa"/>
            <w:tcBorders>
              <w:bottom w:val="single" w:sz="4" w:space="0" w:color="auto"/>
            </w:tcBorders>
            <w:shd w:val="solid" w:color="000000" w:fill="000000"/>
            <w:vAlign w:val="center"/>
          </w:tcPr>
          <w:p w14:paraId="67DA163E" w14:textId="7D53EED6"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349444FB"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0.2050</w:t>
            </w:r>
          </w:p>
        </w:tc>
        <w:tc>
          <w:tcPr>
            <w:tcW w:w="1298" w:type="dxa"/>
            <w:vAlign w:val="center"/>
          </w:tcPr>
          <w:p w14:paraId="37271FB6"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Esketamine dominant</w:t>
            </w:r>
          </w:p>
        </w:tc>
        <w:tc>
          <w:tcPr>
            <w:tcW w:w="1299" w:type="dxa"/>
            <w:vAlign w:val="center"/>
          </w:tcPr>
          <w:p w14:paraId="72F84A60"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w:t>
            </w:r>
          </w:p>
        </w:tc>
      </w:tr>
      <w:tr w:rsidR="002F57E6" w:rsidRPr="008217F1" w14:paraId="7957476D" w14:textId="77777777" w:rsidTr="00683384">
        <w:tc>
          <w:tcPr>
            <w:tcW w:w="3822" w:type="dxa"/>
          </w:tcPr>
          <w:p w14:paraId="4F7C7440" w14:textId="77777777" w:rsidR="002F57E6" w:rsidRPr="008217F1" w:rsidRDefault="002F57E6" w:rsidP="002F57E6">
            <w:pPr>
              <w:pStyle w:val="COMTableheadingrow"/>
              <w:keepNext w:val="0"/>
              <w:rPr>
                <w:b w:val="0"/>
                <w:bCs/>
                <w:lang w:val="en-AU"/>
              </w:rPr>
            </w:pPr>
            <w:r w:rsidRPr="008217F1">
              <w:rPr>
                <w:b w:val="0"/>
                <w:bCs/>
                <w:lang w:val="en-AU"/>
              </w:rPr>
              <w:t>Hospitalisation days based on post hoc analysis of Melbourne clinic data based on 10-year hospitalisation rate and LOS (1.13 days per cycle)</w:t>
            </w:r>
          </w:p>
        </w:tc>
        <w:tc>
          <w:tcPr>
            <w:tcW w:w="1298" w:type="dxa"/>
            <w:shd w:val="solid" w:color="000000" w:fill="000000"/>
            <w:vAlign w:val="center"/>
          </w:tcPr>
          <w:p w14:paraId="74848F9E" w14:textId="594486C4" w:rsidR="002F57E6" w:rsidRPr="008D2AC7" w:rsidRDefault="00683384" w:rsidP="002F57E6">
            <w:pPr>
              <w:pStyle w:val="COMTableheadingrow"/>
              <w:keepNext w:val="0"/>
              <w:jc w:val="center"/>
              <w:rPr>
                <w:b w:val="0"/>
                <w:bCs/>
                <w:highlight w:val="lightGray"/>
                <w:lang w:val="en-AU"/>
              </w:rPr>
            </w:pPr>
            <w:r w:rsidRPr="00683384">
              <w:rPr>
                <w:rFonts w:cs="Calibri"/>
                <w:b w:val="0"/>
                <w:bCs/>
                <w:color w:val="000000"/>
                <w:szCs w:val="20"/>
                <w14:textFill>
                  <w14:solidFill>
                    <w14:srgbClr w14:val="000000">
                      <w14:alpha w14:val="100000"/>
                    </w14:srgbClr>
                  </w14:solidFill>
                </w14:textFill>
              </w:rPr>
              <w:t>|</w:t>
            </w:r>
          </w:p>
        </w:tc>
        <w:tc>
          <w:tcPr>
            <w:tcW w:w="1299" w:type="dxa"/>
            <w:vAlign w:val="center"/>
          </w:tcPr>
          <w:p w14:paraId="1C868E78" w14:textId="77777777" w:rsidR="002F57E6" w:rsidRPr="008217F1" w:rsidRDefault="002F57E6" w:rsidP="002F57E6">
            <w:pPr>
              <w:pStyle w:val="COMTableheadingrow"/>
              <w:keepNext w:val="0"/>
              <w:jc w:val="center"/>
              <w:rPr>
                <w:b w:val="0"/>
                <w:bCs/>
                <w:lang w:val="en-AU"/>
              </w:rPr>
            </w:pPr>
            <w:r w:rsidRPr="008217F1">
              <w:rPr>
                <w:rFonts w:cs="Calibri"/>
                <w:b w:val="0"/>
                <w:bCs/>
                <w:color w:val="000000"/>
                <w:szCs w:val="20"/>
              </w:rPr>
              <w:t>0.2050</w:t>
            </w:r>
          </w:p>
        </w:tc>
        <w:tc>
          <w:tcPr>
            <w:tcW w:w="1298" w:type="dxa"/>
            <w:vAlign w:val="center"/>
          </w:tcPr>
          <w:p w14:paraId="711464FC" w14:textId="571BBC5F" w:rsidR="002F57E6" w:rsidRPr="008217F1" w:rsidRDefault="00683384" w:rsidP="002F57E6">
            <w:pPr>
              <w:pStyle w:val="COMTableheadingrow"/>
              <w:keepNext w:val="0"/>
              <w:jc w:val="center"/>
              <w:rPr>
                <w:b w:val="0"/>
                <w:bCs/>
                <w:lang w:val="en-AU"/>
              </w:rPr>
            </w:pPr>
            <w:r w:rsidRPr="00683384">
              <w:rPr>
                <w:rFonts w:cs="Calibri"/>
                <w:b w:val="0"/>
                <w:bCs/>
                <w:color w:val="000000"/>
                <w:szCs w:val="20"/>
                <w:shd w:val="solid" w:color="000000" w:fill="000000"/>
                <w14:textFill>
                  <w14:solidFill>
                    <w14:srgbClr w14:val="000000">
                      <w14:alpha w14:val="100000"/>
                    </w14:srgbClr>
                  </w14:solidFill>
                </w14:textFill>
              </w:rPr>
              <w:t>|</w:t>
            </w:r>
            <w:r w:rsidR="00CF5286" w:rsidRPr="00A96044">
              <w:rPr>
                <w:rFonts w:cs="Calibri"/>
                <w:b w:val="0"/>
                <w:bCs/>
                <w:color w:val="000000"/>
                <w:szCs w:val="20"/>
                <w:vertAlign w:val="superscript"/>
              </w:rPr>
              <w:t>4</w:t>
            </w:r>
          </w:p>
        </w:tc>
        <w:tc>
          <w:tcPr>
            <w:tcW w:w="1299" w:type="dxa"/>
            <w:vAlign w:val="center"/>
          </w:tcPr>
          <w:p w14:paraId="36731E1E" w14:textId="02251CCB" w:rsidR="002F57E6" w:rsidRPr="008217F1" w:rsidRDefault="002F57E6" w:rsidP="002F57E6">
            <w:pPr>
              <w:pStyle w:val="COMTableheadingrow"/>
              <w:keepNext w:val="0"/>
              <w:jc w:val="center"/>
              <w:rPr>
                <w:b w:val="0"/>
                <w:bCs/>
                <w:lang w:val="en-AU"/>
              </w:rPr>
            </w:pPr>
            <w:r w:rsidRPr="008217F1">
              <w:rPr>
                <w:rFonts w:cs="Calibri"/>
                <w:b w:val="0"/>
                <w:bCs/>
                <w:color w:val="000000"/>
                <w:szCs w:val="20"/>
              </w:rPr>
              <w:t>-</w:t>
            </w:r>
            <w:r w:rsidR="00683384" w:rsidRPr="00A34B18">
              <w:rPr>
                <w:rFonts w:cs="Calibri" w:hint="eastAsia"/>
                <w:b w:val="0"/>
                <w:bCs/>
                <w:color w:val="000000"/>
                <w:w w:val="15"/>
                <w:szCs w:val="20"/>
                <w:shd w:val="solid" w:color="000000" w:fill="000000"/>
                <w:fitText w:val="20" w:id="-892700927"/>
                <w14:textFill>
                  <w14:solidFill>
                    <w14:srgbClr w14:val="000000">
                      <w14:alpha w14:val="100000"/>
                    </w14:srgbClr>
                  </w14:solidFill>
                </w14:textFill>
              </w:rPr>
              <w:t xml:space="preserve">　</w:t>
            </w:r>
            <w:r w:rsidR="00683384" w:rsidRPr="00A34B18">
              <w:rPr>
                <w:rFonts w:cs="Calibri"/>
                <w:b w:val="0"/>
                <w:bCs/>
                <w:color w:val="000000"/>
                <w:w w:val="15"/>
                <w:szCs w:val="20"/>
                <w:shd w:val="solid" w:color="000000" w:fill="000000"/>
                <w:fitText w:val="20" w:id="-892700927"/>
                <w14:textFill>
                  <w14:solidFill>
                    <w14:srgbClr w14:val="000000">
                      <w14:alpha w14:val="100000"/>
                    </w14:srgbClr>
                  </w14:solidFill>
                </w14:textFill>
              </w:rPr>
              <w:t>|</w:t>
            </w:r>
            <w:r w:rsidR="00683384" w:rsidRPr="00A34B18">
              <w:rPr>
                <w:rFonts w:cs="Calibri" w:hint="eastAsia"/>
                <w:b w:val="0"/>
                <w:bCs/>
                <w:color w:val="000000"/>
                <w:spacing w:val="-45"/>
                <w:w w:val="15"/>
                <w:szCs w:val="20"/>
                <w:shd w:val="solid" w:color="000000" w:fill="000000"/>
                <w:fitText w:val="20" w:id="-892700927"/>
                <w14:textFill>
                  <w14:solidFill>
                    <w14:srgbClr w14:val="000000">
                      <w14:alpha w14:val="100000"/>
                    </w14:srgbClr>
                  </w14:solidFill>
                </w14:textFill>
              </w:rPr>
              <w:t xml:space="preserve">　</w:t>
            </w:r>
            <w:r w:rsidRPr="008217F1">
              <w:rPr>
                <w:rFonts w:cs="Calibri"/>
                <w:b w:val="0"/>
                <w:bCs/>
                <w:color w:val="000000"/>
                <w:szCs w:val="20"/>
              </w:rPr>
              <w:t>%</w:t>
            </w:r>
          </w:p>
        </w:tc>
      </w:tr>
    </w:tbl>
    <w:p w14:paraId="245C1B55" w14:textId="47F8FE14" w:rsidR="00665A74" w:rsidRPr="00D26534" w:rsidRDefault="00665A74" w:rsidP="00665A74">
      <w:pPr>
        <w:pStyle w:val="COMTablefooter"/>
      </w:pPr>
      <w:r w:rsidRPr="00D26534">
        <w:t>Source: Table 3-37, and Figure 3-6, p125 of the resubmission; ‘Attachment 3.4 Esketamine TRD CE Retreatment model’ spreadsheet</w:t>
      </w:r>
    </w:p>
    <w:p w14:paraId="7C9153BB" w14:textId="77777777" w:rsidR="00665A74" w:rsidRPr="00D26534" w:rsidRDefault="00665A74" w:rsidP="00665A74">
      <w:pPr>
        <w:pStyle w:val="COMTablefooter"/>
      </w:pPr>
      <w:r w:rsidRPr="00D26534">
        <w:t>Abbreviations: AE, adverse event; AIHW, Australian Institute of Health and Welfare; AR-DRG, Australian refined diagnosis related group; EAP, early access program; ICER, incremental cost-effectiveness ratio; LOS, length of stay; MDE, major depressive episode; NICE, National Institute for Health and Care Excellence; QALY, quality adjusted life year; TRD, treatment-resistant depression</w:t>
      </w:r>
    </w:p>
    <w:p w14:paraId="6E46348D" w14:textId="77777777" w:rsidR="00665A74" w:rsidRPr="00D26534" w:rsidRDefault="00665A74" w:rsidP="00665A74">
      <w:pPr>
        <w:pStyle w:val="COMTablefooter"/>
      </w:pPr>
      <w:r w:rsidRPr="00D26534">
        <w:t>Note: A number of sensitivity analyses affect the proportion of patients retreated over the model time horizon (e.g. response rates, the proportion of patients remaining on esketamine beyond 12 months). Consistent with the approach presented in the resubmission, these sensitivity analyses were conducted based on 1.48% of eligible patients being retreated each cycle; estimates were not recalibrated so that the total proportion of patients treated over the model time horizon remained at 22%.</w:t>
      </w:r>
    </w:p>
    <w:p w14:paraId="5B79D657" w14:textId="02F064EA" w:rsidR="001E3840" w:rsidRDefault="003A4A2F" w:rsidP="00665A74">
      <w:pPr>
        <w:pStyle w:val="COMTablefooter"/>
      </w:pPr>
      <w:r>
        <w:rPr>
          <w:vertAlign w:val="superscript"/>
        </w:rPr>
        <w:t>a</w:t>
      </w:r>
      <w:r w:rsidR="00665A74" w:rsidRPr="00F014FF">
        <w:rPr>
          <w:vertAlign w:val="superscript"/>
        </w:rPr>
        <w:t xml:space="preserve"> </w:t>
      </w:r>
      <w:r w:rsidR="00665A74" w:rsidRPr="00F014FF">
        <w:t>Retreatment efficacy for remission (60.9%) and response (12.5% = 73.4%-60.9%) during the induction phase based on the SUSTAIN-3 subgroup analysis of patients receiving a second esketamine induction following relapse on placebo plus OAD (Castro 2023)</w:t>
      </w:r>
    </w:p>
    <w:p w14:paraId="2BCD5E00" w14:textId="77777777" w:rsidR="008F69A2" w:rsidRPr="00A96044" w:rsidRDefault="008F69A2" w:rsidP="008F69A2">
      <w:pPr>
        <w:pStyle w:val="COMTablefooter"/>
        <w:rPr>
          <w:i/>
          <w:iCs/>
        </w:rPr>
      </w:pPr>
      <w:r w:rsidRPr="00A96044">
        <w:rPr>
          <w:i/>
          <w:iCs/>
        </w:rPr>
        <w:t>The redacted values correspond to the following ranges:</w:t>
      </w:r>
    </w:p>
    <w:p w14:paraId="4958FB01" w14:textId="77777777" w:rsidR="001E0447" w:rsidRPr="00A96044" w:rsidRDefault="001E0447" w:rsidP="001E0447">
      <w:pPr>
        <w:pStyle w:val="COMTablefooter"/>
        <w:rPr>
          <w:i/>
          <w:iCs/>
        </w:rPr>
      </w:pPr>
      <w:r>
        <w:rPr>
          <w:i/>
          <w:iCs/>
          <w:vertAlign w:val="superscript"/>
        </w:rPr>
        <w:t>1</w:t>
      </w:r>
      <w:r w:rsidRPr="00A96044">
        <w:rPr>
          <w:i/>
          <w:iCs/>
        </w:rPr>
        <w:t xml:space="preserve"> $35,000 to &lt; $45,000</w:t>
      </w:r>
    </w:p>
    <w:p w14:paraId="762D1608" w14:textId="41EDD355" w:rsidR="001E0447" w:rsidRPr="008D2AC7" w:rsidRDefault="0022610B" w:rsidP="001E0447">
      <w:pPr>
        <w:pStyle w:val="COMTablefooter"/>
        <w:rPr>
          <w:i/>
          <w:iCs/>
        </w:rPr>
      </w:pPr>
      <w:r w:rsidRPr="008D2AC7">
        <w:rPr>
          <w:i/>
          <w:iCs/>
        </w:rPr>
        <w:t>2</w:t>
      </w:r>
      <w:r>
        <w:rPr>
          <w:i/>
          <w:iCs/>
        </w:rPr>
        <w:t xml:space="preserve"> </w:t>
      </w:r>
      <w:r w:rsidR="001E0447" w:rsidRPr="008D2AC7">
        <w:rPr>
          <w:i/>
          <w:iCs/>
        </w:rPr>
        <w:t>$115,000 to &lt; $135,000</w:t>
      </w:r>
    </w:p>
    <w:p w14:paraId="5F3C001D" w14:textId="5CB9D4BD" w:rsidR="000B3885" w:rsidRPr="00A96044" w:rsidRDefault="000B3885" w:rsidP="000B3885">
      <w:pPr>
        <w:pStyle w:val="COMTablefooter"/>
        <w:rPr>
          <w:i/>
          <w:iCs/>
        </w:rPr>
      </w:pPr>
      <w:r>
        <w:rPr>
          <w:i/>
          <w:iCs/>
          <w:vertAlign w:val="superscript"/>
        </w:rPr>
        <w:t>3</w:t>
      </w:r>
      <w:r w:rsidRPr="00A96044">
        <w:rPr>
          <w:i/>
          <w:iCs/>
        </w:rPr>
        <w:t xml:space="preserve"> $55,000 to &lt; $75,000</w:t>
      </w:r>
    </w:p>
    <w:p w14:paraId="009BFF65" w14:textId="488994CB" w:rsidR="008F69A2" w:rsidRDefault="0086467F" w:rsidP="008F69A2">
      <w:pPr>
        <w:pStyle w:val="COMTablefooter"/>
        <w:rPr>
          <w:i/>
          <w:iCs/>
        </w:rPr>
      </w:pPr>
      <w:r>
        <w:rPr>
          <w:i/>
          <w:iCs/>
          <w:vertAlign w:val="superscript"/>
        </w:rPr>
        <w:t>4</w:t>
      </w:r>
      <w:r w:rsidR="008F69A2" w:rsidRPr="00A96044">
        <w:rPr>
          <w:i/>
          <w:iCs/>
        </w:rPr>
        <w:t xml:space="preserve"> $25,000 to &lt; $35,000</w:t>
      </w:r>
    </w:p>
    <w:p w14:paraId="06C24AC1" w14:textId="7ED4806B" w:rsidR="00561A42" w:rsidRPr="00A96044" w:rsidRDefault="00561A42" w:rsidP="00561A42">
      <w:pPr>
        <w:pStyle w:val="COMTablefooter"/>
        <w:rPr>
          <w:i/>
          <w:iCs/>
        </w:rPr>
      </w:pPr>
      <w:r>
        <w:rPr>
          <w:i/>
          <w:iCs/>
          <w:vertAlign w:val="superscript"/>
        </w:rPr>
        <w:t xml:space="preserve">5 </w:t>
      </w:r>
      <w:r w:rsidRPr="00A96044">
        <w:rPr>
          <w:i/>
          <w:iCs/>
        </w:rPr>
        <w:t>$45,000 to &lt; $55,000</w:t>
      </w:r>
    </w:p>
    <w:p w14:paraId="7BA16D8D" w14:textId="33498BFF" w:rsidR="008F69A2" w:rsidRPr="00A96044" w:rsidRDefault="00253A15" w:rsidP="008F69A2">
      <w:pPr>
        <w:pStyle w:val="COMTablefooter"/>
        <w:rPr>
          <w:i/>
          <w:iCs/>
        </w:rPr>
      </w:pPr>
      <w:r>
        <w:rPr>
          <w:i/>
          <w:iCs/>
          <w:vertAlign w:val="superscript"/>
        </w:rPr>
        <w:t>6</w:t>
      </w:r>
      <w:r w:rsidR="008F69A2" w:rsidRPr="00A96044">
        <w:rPr>
          <w:i/>
          <w:iCs/>
        </w:rPr>
        <w:t xml:space="preserve"> $15,000 to &lt; $25,000</w:t>
      </w:r>
    </w:p>
    <w:p w14:paraId="17845D33" w14:textId="77777777" w:rsidR="008F69A2" w:rsidRPr="00A96044" w:rsidRDefault="008F69A2" w:rsidP="008F69A2">
      <w:pPr>
        <w:pStyle w:val="COMTablefooter"/>
        <w:rPr>
          <w:i/>
          <w:iCs/>
        </w:rPr>
      </w:pPr>
      <w:r w:rsidRPr="00A96044">
        <w:rPr>
          <w:i/>
          <w:iCs/>
          <w:vertAlign w:val="superscript"/>
        </w:rPr>
        <w:t>4</w:t>
      </w:r>
      <w:r w:rsidRPr="00A96044">
        <w:rPr>
          <w:i/>
          <w:iCs/>
        </w:rPr>
        <w:t xml:space="preserve"> $25,000 to &lt; $35,000</w:t>
      </w:r>
    </w:p>
    <w:p w14:paraId="4BF82E0A" w14:textId="77777777" w:rsidR="008F69A2" w:rsidRPr="00A96044" w:rsidRDefault="008F69A2" w:rsidP="008F69A2">
      <w:pPr>
        <w:pStyle w:val="COMTablefooter"/>
        <w:rPr>
          <w:i/>
          <w:iCs/>
        </w:rPr>
      </w:pPr>
      <w:bookmarkStart w:id="51" w:name="_Hlk176339554"/>
      <w:r w:rsidRPr="00A96044">
        <w:rPr>
          <w:i/>
          <w:iCs/>
          <w:vertAlign w:val="superscript"/>
        </w:rPr>
        <w:t>5</w:t>
      </w:r>
      <w:r w:rsidRPr="00A96044">
        <w:rPr>
          <w:i/>
          <w:iCs/>
        </w:rPr>
        <w:t xml:space="preserve"> $115,000 to &lt; $135,000</w:t>
      </w:r>
    </w:p>
    <w:bookmarkEnd w:id="51"/>
    <w:p w14:paraId="0B0B1E89" w14:textId="77777777" w:rsidR="008F69A2" w:rsidRPr="00A96044" w:rsidRDefault="008F69A2" w:rsidP="008F69A2">
      <w:pPr>
        <w:pStyle w:val="COMTablefooter"/>
        <w:rPr>
          <w:i/>
          <w:iCs/>
        </w:rPr>
      </w:pPr>
      <w:r w:rsidRPr="00A96044">
        <w:rPr>
          <w:i/>
          <w:iCs/>
          <w:vertAlign w:val="superscript"/>
        </w:rPr>
        <w:t>6</w:t>
      </w:r>
      <w:r w:rsidRPr="00A96044">
        <w:rPr>
          <w:i/>
          <w:iCs/>
        </w:rPr>
        <w:t xml:space="preserve"> $5,000 to &lt; $15,000</w:t>
      </w:r>
    </w:p>
    <w:p w14:paraId="018F156A" w14:textId="3C5C22D9" w:rsidR="00CA4E19" w:rsidRPr="008217F1" w:rsidRDefault="00CA4E19" w:rsidP="00FB181C">
      <w:pPr>
        <w:pStyle w:val="ListParagraph"/>
        <w:numPr>
          <w:ilvl w:val="1"/>
          <w:numId w:val="1"/>
        </w:numPr>
        <w:spacing w:after="120"/>
        <w:ind w:hanging="720"/>
        <w:contextualSpacing w:val="0"/>
        <w:rPr>
          <w:rFonts w:cs="Calibri"/>
          <w:bCs/>
          <w:iCs/>
        </w:rPr>
      </w:pPr>
      <w:r w:rsidRPr="008217F1">
        <w:rPr>
          <w:rFonts w:cs="Calibri"/>
          <w:bCs/>
          <w:iCs/>
        </w:rPr>
        <w:t>The economic model was most sensitive to the time horizon, the probability of achieving remission or response at treatment induction, the proportion of patients remaining on esketamine treatment beyond 12 months, the proportion of patients retreated with esketamine, the effectiveness of the subsequent treatment mix based on the STAR*D study, the esketamine dosing schedule in the maintenance period (weekly/fortnightly), esketamine administration and monitoring costs, estimates of inpatient hospitalisation days associated with TRD</w:t>
      </w:r>
      <w:r w:rsidR="00C50276" w:rsidRPr="008217F1">
        <w:rPr>
          <w:rFonts w:cs="Calibri"/>
          <w:bCs/>
          <w:iCs/>
        </w:rPr>
        <w:t xml:space="preserve"> (and associated cost)</w:t>
      </w:r>
      <w:r w:rsidRPr="008217F1">
        <w:rPr>
          <w:rFonts w:cs="Calibri"/>
          <w:bCs/>
          <w:iCs/>
        </w:rPr>
        <w:t xml:space="preserve">, and health state utility values. </w:t>
      </w:r>
      <w:r w:rsidR="002F57E6" w:rsidRPr="008217F1">
        <w:rPr>
          <w:rFonts w:cs="Calibri"/>
          <w:bCs/>
          <w:iCs/>
        </w:rPr>
        <w:t xml:space="preserve"> </w:t>
      </w:r>
    </w:p>
    <w:p w14:paraId="7D89C20E" w14:textId="736C4F15" w:rsidR="001C1898" w:rsidRPr="008217F1" w:rsidRDefault="00CA4E19" w:rsidP="00FB181C">
      <w:pPr>
        <w:pStyle w:val="ListParagraph"/>
        <w:numPr>
          <w:ilvl w:val="1"/>
          <w:numId w:val="1"/>
        </w:numPr>
        <w:spacing w:after="120"/>
        <w:ind w:hanging="720"/>
        <w:contextualSpacing w:val="0"/>
        <w:rPr>
          <w:rFonts w:cs="Calibri"/>
          <w:bCs/>
          <w:iCs/>
        </w:rPr>
      </w:pPr>
      <w:r w:rsidRPr="008217F1">
        <w:rPr>
          <w:rFonts w:cs="Calibri"/>
          <w:bCs/>
          <w:iCs/>
        </w:rPr>
        <w:t>Due to limitations of the model structure, it was not possible to assess the impact of the requirement for a 4-month treatment gap prior to retreatment.</w:t>
      </w:r>
      <w:r w:rsidR="00AB6D93" w:rsidRPr="008217F1">
        <w:rPr>
          <w:rFonts w:cs="Calibri"/>
          <w:bCs/>
          <w:iCs/>
        </w:rPr>
        <w:t xml:space="preserve"> </w:t>
      </w:r>
      <w:r w:rsidR="008527A6" w:rsidRPr="008217F1">
        <w:rPr>
          <w:rFonts w:cs="Calibri"/>
          <w:bCs/>
          <w:iCs/>
        </w:rPr>
        <w:t>The PSCR</w:t>
      </w:r>
      <w:r w:rsidR="00AB6D93" w:rsidRPr="008217F1">
        <w:rPr>
          <w:rFonts w:cs="Calibri"/>
          <w:bCs/>
          <w:iCs/>
        </w:rPr>
        <w:t xml:space="preserve"> however </w:t>
      </w:r>
      <w:r w:rsidR="00AB6D93" w:rsidRPr="008217F1">
        <w:rPr>
          <w:rFonts w:cs="Calibri"/>
          <w:bCs/>
          <w:iCs/>
        </w:rPr>
        <w:lastRenderedPageBreak/>
        <w:t>acknowledged the 4 month treatment gap parameter could not be varied in the model, but argued this was consistent with the MBS listing of rTMS and that given re-treatment requires relapse in addition to a treatment break, any change would likely have a small effect on the re-treatment rate.</w:t>
      </w:r>
    </w:p>
    <w:p w14:paraId="4776D6FD" w14:textId="4CB271BE" w:rsidR="008602A6" w:rsidRPr="008217F1" w:rsidRDefault="008602A6" w:rsidP="00FB181C">
      <w:pPr>
        <w:pStyle w:val="ListParagraph"/>
        <w:numPr>
          <w:ilvl w:val="1"/>
          <w:numId w:val="1"/>
        </w:numPr>
        <w:spacing w:after="120"/>
        <w:ind w:hanging="720"/>
        <w:contextualSpacing w:val="0"/>
        <w:rPr>
          <w:rFonts w:cs="Calibri"/>
          <w:bCs/>
          <w:iCs/>
        </w:rPr>
      </w:pPr>
      <w:r w:rsidRPr="008217F1">
        <w:rPr>
          <w:rFonts w:cs="Calibri"/>
          <w:bCs/>
          <w:iCs/>
        </w:rPr>
        <w:t xml:space="preserve">The ESC noted the economic model </w:t>
      </w:r>
      <w:r w:rsidR="00331C22" w:rsidRPr="008217F1">
        <w:rPr>
          <w:rFonts w:cs="Calibri"/>
          <w:bCs/>
          <w:iCs/>
        </w:rPr>
        <w:t>wa</w:t>
      </w:r>
      <w:r w:rsidRPr="008217F1">
        <w:rPr>
          <w:rFonts w:cs="Calibri"/>
          <w:bCs/>
          <w:iCs/>
        </w:rPr>
        <w:t xml:space="preserve">s sensitive to </w:t>
      </w:r>
      <w:proofErr w:type="gramStart"/>
      <w:r w:rsidRPr="008217F1">
        <w:rPr>
          <w:rFonts w:cs="Calibri"/>
          <w:bCs/>
          <w:iCs/>
        </w:rPr>
        <w:t>a number of</w:t>
      </w:r>
      <w:proofErr w:type="gramEnd"/>
      <w:r w:rsidRPr="008217F1">
        <w:rPr>
          <w:rFonts w:cs="Calibri"/>
          <w:bCs/>
          <w:iCs/>
        </w:rPr>
        <w:t xml:space="preserve"> inputs which are associated with significant uncertainty, as outlined in </w:t>
      </w:r>
      <w:r w:rsidRPr="008217F1">
        <w:rPr>
          <w:rFonts w:cs="Calibri"/>
          <w:bCs/>
          <w:iCs/>
        </w:rPr>
        <w:fldChar w:fldCharType="begin" w:fldLock="1"/>
      </w:r>
      <w:r w:rsidRPr="008217F1">
        <w:rPr>
          <w:rFonts w:cs="Calibri"/>
          <w:bCs/>
          <w:iCs/>
        </w:rPr>
        <w:instrText xml:space="preserve"> REF _Ref104805122 \h  \* MERGEFORMAT </w:instrText>
      </w:r>
      <w:r w:rsidRPr="008217F1">
        <w:rPr>
          <w:rFonts w:cs="Calibri"/>
          <w:bCs/>
          <w:iCs/>
        </w:rPr>
      </w:r>
      <w:r w:rsidRPr="008217F1">
        <w:rPr>
          <w:rFonts w:cs="Calibri"/>
          <w:bCs/>
          <w:iCs/>
        </w:rPr>
        <w:fldChar w:fldCharType="separate"/>
      </w:r>
      <w:r w:rsidR="002B3C60" w:rsidRPr="008217F1">
        <w:rPr>
          <w:iCs/>
        </w:rPr>
        <w:t xml:space="preserve">Table </w:t>
      </w:r>
      <w:r w:rsidR="002B3C60" w:rsidRPr="008217F1">
        <w:rPr>
          <w:iCs/>
          <w:noProof/>
        </w:rPr>
        <w:t>13</w:t>
      </w:r>
      <w:r w:rsidRPr="008217F1">
        <w:rPr>
          <w:rFonts w:cs="Calibri"/>
          <w:bCs/>
          <w:iCs/>
        </w:rPr>
        <w:fldChar w:fldCharType="end"/>
      </w:r>
      <w:r w:rsidRPr="008217F1">
        <w:rPr>
          <w:rFonts w:cs="Calibri"/>
          <w:bCs/>
          <w:iCs/>
        </w:rPr>
        <w:t xml:space="preserve">.  </w:t>
      </w:r>
    </w:p>
    <w:p w14:paraId="2BB61F28" w14:textId="7C64CCCB" w:rsidR="007A4B16" w:rsidRPr="007A4B16" w:rsidRDefault="00C50276" w:rsidP="00FB181C">
      <w:pPr>
        <w:pStyle w:val="ListParagraph"/>
        <w:numPr>
          <w:ilvl w:val="1"/>
          <w:numId w:val="1"/>
        </w:numPr>
        <w:spacing w:after="120"/>
        <w:ind w:hanging="720"/>
        <w:contextualSpacing w:val="0"/>
        <w:rPr>
          <w:rFonts w:cs="Calibri"/>
          <w:bCs/>
          <w:iCs/>
        </w:rPr>
      </w:pPr>
      <w:r w:rsidRPr="008217F1">
        <w:rPr>
          <w:rFonts w:cs="Calibri"/>
          <w:bCs/>
          <w:iCs/>
        </w:rPr>
        <w:t>The ESC noted that MSAC had previously considered eTMS to be largely cost-effective because the ICER in the respecified base case and sensitivity analyses remained less than $50,000 per QALY</w:t>
      </w:r>
      <w:r w:rsidRPr="008217F1">
        <w:rPr>
          <w:rStyle w:val="FootnoteReference"/>
          <w:rFonts w:cs="Calibri"/>
          <w:bCs/>
          <w:iCs/>
        </w:rPr>
        <w:footnoteReference w:id="1"/>
      </w:r>
      <w:r w:rsidRPr="008217F1">
        <w:rPr>
          <w:rFonts w:cs="Calibri"/>
          <w:bCs/>
          <w:iCs/>
        </w:rPr>
        <w:t>.</w:t>
      </w:r>
      <w:r w:rsidR="007A4B16">
        <w:rPr>
          <w:rFonts w:cs="Calibri"/>
          <w:bCs/>
          <w:iCs/>
        </w:rPr>
        <w:t xml:space="preserve"> </w:t>
      </w:r>
      <w:r w:rsidR="007A4B16" w:rsidRPr="0039513B">
        <w:rPr>
          <w:rFonts w:cs="Calibri"/>
          <w:bCs/>
          <w:iCs/>
        </w:rPr>
        <w:t>The Pre-PBAC Response argued the evidence base for rTMS was of lower quality than for esketamine as there were no direct comparative trials of efficacy or safety compared with OADs and further argued other factors, such as the risk sharing arrangement (RSA) proposal for esketamine, provide certainty compared to the consideration of rTMS.</w:t>
      </w:r>
      <w:r w:rsidR="007A4B16">
        <w:rPr>
          <w:rFonts w:cs="Calibri"/>
          <w:bCs/>
          <w:i/>
        </w:rPr>
        <w:t xml:space="preserve"> </w:t>
      </w:r>
    </w:p>
    <w:p w14:paraId="6E157BDB" w14:textId="0E7B9385" w:rsidR="00C50276" w:rsidRPr="008217F1" w:rsidRDefault="00C50276" w:rsidP="00FB181C">
      <w:pPr>
        <w:pStyle w:val="ListParagraph"/>
        <w:numPr>
          <w:ilvl w:val="1"/>
          <w:numId w:val="1"/>
        </w:numPr>
        <w:spacing w:after="120"/>
        <w:ind w:hanging="720"/>
        <w:contextualSpacing w:val="0"/>
        <w:rPr>
          <w:rFonts w:cs="Calibri"/>
          <w:bCs/>
          <w:iCs/>
        </w:rPr>
      </w:pPr>
      <w:r w:rsidRPr="008217F1">
        <w:rPr>
          <w:rFonts w:cs="Calibri"/>
          <w:bCs/>
          <w:iCs/>
        </w:rPr>
        <w:t>The ESC noted a number of plausible sensitivity analyses for esketamine resulted in ICERs above $</w:t>
      </w:r>
      <w:r w:rsidR="008B6171" w:rsidRPr="008B6171">
        <w:rPr>
          <w:rFonts w:cs="Calibri"/>
          <w:bCs/>
          <w:iCs/>
        </w:rPr>
        <w:t>45,000 to &lt; $55,000</w:t>
      </w:r>
      <w:r w:rsidR="00BD1946">
        <w:rPr>
          <w:rFonts w:cs="Calibri"/>
          <w:bCs/>
          <w:iCs/>
        </w:rPr>
        <w:t xml:space="preserve"> </w:t>
      </w:r>
      <w:r w:rsidRPr="008217F1">
        <w:rPr>
          <w:rFonts w:cs="Calibri"/>
          <w:bCs/>
          <w:iCs/>
        </w:rPr>
        <w:t xml:space="preserve">per QALY including: </w:t>
      </w:r>
    </w:p>
    <w:p w14:paraId="559677A7" w14:textId="7D545B05" w:rsidR="00574B89" w:rsidRPr="008217F1" w:rsidRDefault="00C50276" w:rsidP="00BD1946">
      <w:pPr>
        <w:pStyle w:val="ListParagraph"/>
        <w:numPr>
          <w:ilvl w:val="0"/>
          <w:numId w:val="6"/>
        </w:numPr>
        <w:spacing w:after="120"/>
        <w:ind w:left="1134" w:hanging="357"/>
        <w:contextualSpacing w:val="0"/>
        <w:rPr>
          <w:rFonts w:cs="Calibri"/>
          <w:bCs/>
          <w:iCs/>
        </w:rPr>
      </w:pPr>
      <w:r w:rsidRPr="008217F1">
        <w:rPr>
          <w:rFonts w:cs="Calibri"/>
          <w:bCs/>
          <w:iCs/>
        </w:rPr>
        <w:t>Applying hospitalisation episode of care per cycle (rather than nights per cycle) to calculate health resource costs (ICER $</w:t>
      </w:r>
      <w:bookmarkStart w:id="52" w:name="_Hlk176340722"/>
      <w:r w:rsidR="00580E23" w:rsidRPr="00580E23">
        <w:rPr>
          <w:rFonts w:cs="Calibri"/>
          <w:bCs/>
          <w:iCs/>
        </w:rPr>
        <w:t xml:space="preserve">55,000 to &lt; $75,000 </w:t>
      </w:r>
      <w:bookmarkEnd w:id="52"/>
      <w:r w:rsidRPr="008217F1">
        <w:rPr>
          <w:rFonts w:cs="Calibri"/>
          <w:bCs/>
          <w:iCs/>
        </w:rPr>
        <w:t>per QALY);</w:t>
      </w:r>
    </w:p>
    <w:p w14:paraId="4A631EDF" w14:textId="0B96812B" w:rsidR="00C50276" w:rsidRPr="008217F1" w:rsidRDefault="00C50276" w:rsidP="00BD1946">
      <w:pPr>
        <w:pStyle w:val="ListParagraph"/>
        <w:numPr>
          <w:ilvl w:val="0"/>
          <w:numId w:val="6"/>
        </w:numPr>
        <w:spacing w:after="120"/>
        <w:ind w:left="1134" w:hanging="357"/>
        <w:contextualSpacing w:val="0"/>
        <w:rPr>
          <w:rFonts w:cs="Calibri"/>
        </w:rPr>
      </w:pPr>
      <w:r w:rsidRPr="259D127E">
        <w:rPr>
          <w:rFonts w:cs="Calibri"/>
        </w:rPr>
        <w:t xml:space="preserve">Assuming </w:t>
      </w:r>
      <w:r w:rsidR="00683384" w:rsidRPr="007A7EF7">
        <w:rPr>
          <w:rFonts w:cs="Calibri"/>
          <w:color w:val="000000"/>
          <w:w w:val="30"/>
          <w:shd w:val="solid" w:color="000000" w:fill="000000"/>
          <w:fitText w:val="170" w:id="-892700926"/>
          <w14:textFill>
            <w14:solidFill>
              <w14:srgbClr w14:val="000000">
                <w14:alpha w14:val="100000"/>
              </w14:srgbClr>
            </w14:solidFill>
          </w14:textFill>
        </w:rPr>
        <w:t>||  |</w:t>
      </w:r>
      <w:r w:rsidR="00683384" w:rsidRPr="007A7EF7">
        <w:rPr>
          <w:rFonts w:cs="Calibri"/>
          <w:color w:val="000000"/>
          <w:spacing w:val="4"/>
          <w:w w:val="30"/>
          <w:shd w:val="solid" w:color="000000" w:fill="000000"/>
          <w:fitText w:val="170" w:id="-892700926"/>
          <w14:textFill>
            <w14:solidFill>
              <w14:srgbClr w14:val="000000">
                <w14:alpha w14:val="100000"/>
              </w14:srgbClr>
            </w14:solidFill>
          </w14:textFill>
        </w:rPr>
        <w:t>|</w:t>
      </w:r>
      <w:r w:rsidRPr="00E90507">
        <w:rPr>
          <w:rFonts w:cs="Calibri"/>
        </w:rPr>
        <w:t xml:space="preserve">% (rather than </w:t>
      </w:r>
      <w:r w:rsidR="00683384" w:rsidRPr="007A7EF7">
        <w:rPr>
          <w:rFonts w:cs="Calibri"/>
          <w:color w:val="000000"/>
          <w:w w:val="29"/>
          <w:shd w:val="solid" w:color="000000" w:fill="000000"/>
          <w:fitText w:val="160" w:id="-892700925"/>
          <w14:textFill>
            <w14:solidFill>
              <w14:srgbClr w14:val="000000">
                <w14:alpha w14:val="100000"/>
              </w14:srgbClr>
            </w14:solidFill>
          </w14:textFill>
        </w:rPr>
        <w:t>||  ||</w:t>
      </w:r>
      <w:r w:rsidRPr="00E90507">
        <w:rPr>
          <w:rFonts w:cs="Calibri"/>
        </w:rPr>
        <w:t>%)</w:t>
      </w:r>
      <w:r w:rsidRPr="259D127E">
        <w:rPr>
          <w:rFonts w:cs="Calibri"/>
        </w:rPr>
        <w:t xml:space="preserve"> of patients remain on treatment for longer than 12 months (ICER $</w:t>
      </w:r>
      <w:r w:rsidR="0098599C" w:rsidRPr="259D127E">
        <w:rPr>
          <w:rFonts w:cs="Calibri"/>
        </w:rPr>
        <w:t>45,000 to &lt; $55,000</w:t>
      </w:r>
      <w:r w:rsidR="00BD1946">
        <w:rPr>
          <w:rFonts w:cs="Calibri"/>
        </w:rPr>
        <w:t xml:space="preserve"> </w:t>
      </w:r>
      <w:r w:rsidRPr="259D127E">
        <w:rPr>
          <w:rFonts w:cs="Calibri"/>
        </w:rPr>
        <w:t>per QALY);</w:t>
      </w:r>
      <w:r w:rsidR="00BD0AE8" w:rsidRPr="259D127E">
        <w:rPr>
          <w:rFonts w:cs="Calibri"/>
        </w:rPr>
        <w:t xml:space="preserve"> and</w:t>
      </w:r>
    </w:p>
    <w:p w14:paraId="5BDC2781" w14:textId="51F3A890" w:rsidR="00C50276" w:rsidRPr="008217F1" w:rsidRDefault="00C50276" w:rsidP="00BD1946">
      <w:pPr>
        <w:pStyle w:val="ListParagraph"/>
        <w:numPr>
          <w:ilvl w:val="0"/>
          <w:numId w:val="6"/>
        </w:numPr>
        <w:spacing w:after="120"/>
        <w:ind w:left="1134" w:hanging="357"/>
        <w:contextualSpacing w:val="0"/>
        <w:rPr>
          <w:rFonts w:cs="Calibri"/>
          <w:bCs/>
          <w:iCs/>
        </w:rPr>
      </w:pPr>
      <w:r w:rsidRPr="008217F1">
        <w:rPr>
          <w:rFonts w:cs="Calibri"/>
          <w:bCs/>
          <w:iCs/>
        </w:rPr>
        <w:t>Assuming 22% of patients eligible for retreatment over 5 years (rather than 22% of initiating patients over 5 years) (ICER $</w:t>
      </w:r>
      <w:r w:rsidR="0098599C" w:rsidRPr="0098599C">
        <w:rPr>
          <w:rFonts w:cs="Calibri"/>
          <w:bCs/>
          <w:iCs/>
        </w:rPr>
        <w:t>45,000 to &lt; $55,000</w:t>
      </w:r>
      <w:r w:rsidR="00BD1946">
        <w:rPr>
          <w:rFonts w:cs="Calibri"/>
          <w:bCs/>
          <w:iCs/>
        </w:rPr>
        <w:t xml:space="preserve"> </w:t>
      </w:r>
      <w:r w:rsidRPr="008217F1">
        <w:rPr>
          <w:rFonts w:cs="Calibri"/>
          <w:bCs/>
          <w:iCs/>
        </w:rPr>
        <w:t>per QALY).</w:t>
      </w:r>
    </w:p>
    <w:p w14:paraId="4F119040" w14:textId="71A16E74" w:rsidR="00C50276" w:rsidRDefault="00C50276" w:rsidP="00C50276">
      <w:pPr>
        <w:pStyle w:val="ListParagraph"/>
        <w:numPr>
          <w:ilvl w:val="1"/>
          <w:numId w:val="1"/>
        </w:numPr>
        <w:spacing w:after="120"/>
        <w:ind w:hanging="720"/>
        <w:contextualSpacing w:val="0"/>
        <w:rPr>
          <w:rFonts w:cs="Calibri"/>
          <w:bCs/>
          <w:iCs/>
        </w:rPr>
      </w:pPr>
      <w:r w:rsidRPr="008217F1">
        <w:rPr>
          <w:rFonts w:cs="Calibri"/>
          <w:bCs/>
          <w:iCs/>
        </w:rPr>
        <w:t xml:space="preserve">The ESC noted </w:t>
      </w:r>
      <w:r w:rsidR="002F64B3" w:rsidRPr="008217F1">
        <w:rPr>
          <w:rFonts w:cs="Calibri"/>
          <w:bCs/>
          <w:iCs/>
        </w:rPr>
        <w:t>that</w:t>
      </w:r>
      <w:r w:rsidRPr="008217F1">
        <w:rPr>
          <w:rFonts w:cs="Calibri"/>
          <w:bCs/>
          <w:iCs/>
        </w:rPr>
        <w:t xml:space="preserve"> </w:t>
      </w:r>
      <w:r w:rsidR="001B2D1A" w:rsidRPr="008217F1">
        <w:rPr>
          <w:rFonts w:cs="Calibri"/>
          <w:bCs/>
          <w:iCs/>
        </w:rPr>
        <w:t xml:space="preserve">plausible </w:t>
      </w:r>
      <w:r w:rsidRPr="008217F1">
        <w:rPr>
          <w:rFonts w:cs="Calibri"/>
          <w:bCs/>
          <w:iCs/>
        </w:rPr>
        <w:t>multivariate analys</w:t>
      </w:r>
      <w:r w:rsidR="002F64B3" w:rsidRPr="008217F1">
        <w:rPr>
          <w:rFonts w:cs="Calibri"/>
          <w:bCs/>
          <w:iCs/>
        </w:rPr>
        <w:t>e</w:t>
      </w:r>
      <w:r w:rsidRPr="008217F1">
        <w:rPr>
          <w:rFonts w:cs="Calibri"/>
          <w:bCs/>
          <w:iCs/>
        </w:rPr>
        <w:t>s would result in ICER</w:t>
      </w:r>
      <w:r w:rsidR="002F64B3" w:rsidRPr="008217F1">
        <w:rPr>
          <w:rFonts w:cs="Calibri"/>
          <w:bCs/>
          <w:iCs/>
        </w:rPr>
        <w:t>s</w:t>
      </w:r>
      <w:r w:rsidRPr="008217F1">
        <w:rPr>
          <w:rFonts w:cs="Calibri"/>
          <w:bCs/>
          <w:iCs/>
        </w:rPr>
        <w:t xml:space="preserve"> over $</w:t>
      </w:r>
      <w:r w:rsidR="0008334D" w:rsidRPr="0008334D">
        <w:rPr>
          <w:rFonts w:cs="Calibri"/>
          <w:bCs/>
          <w:iCs/>
        </w:rPr>
        <w:t xml:space="preserve">95,000 to &lt; $115,000 </w:t>
      </w:r>
      <w:r w:rsidRPr="008217F1">
        <w:rPr>
          <w:rFonts w:cs="Calibri"/>
          <w:bCs/>
          <w:iCs/>
        </w:rPr>
        <w:t xml:space="preserve">per QALY. </w:t>
      </w:r>
    </w:p>
    <w:p w14:paraId="5AE57F37" w14:textId="6ED60306" w:rsidR="007A4B16" w:rsidRPr="0039513B" w:rsidRDefault="007A4B16" w:rsidP="00C50276">
      <w:pPr>
        <w:pStyle w:val="ListParagraph"/>
        <w:numPr>
          <w:ilvl w:val="1"/>
          <w:numId w:val="1"/>
        </w:numPr>
        <w:spacing w:after="120"/>
        <w:ind w:hanging="720"/>
        <w:contextualSpacing w:val="0"/>
        <w:rPr>
          <w:rFonts w:cs="Calibri"/>
          <w:bCs/>
          <w:iCs/>
        </w:rPr>
      </w:pPr>
      <w:r w:rsidRPr="0039513B">
        <w:rPr>
          <w:rFonts w:cs="Calibri"/>
          <w:bCs/>
          <w:iCs/>
        </w:rPr>
        <w:t xml:space="preserve">The Pre-PBAC Response argued the direction of the impact of uncertainties raised by the ESC (Table 13 and Table 15 refer) were unclear </w:t>
      </w:r>
      <w:r w:rsidR="00094784" w:rsidRPr="0039513B">
        <w:rPr>
          <w:rFonts w:cs="Calibri"/>
          <w:bCs/>
          <w:iCs/>
        </w:rPr>
        <w:t xml:space="preserve">and </w:t>
      </w:r>
      <w:r w:rsidRPr="0039513B">
        <w:rPr>
          <w:rFonts w:cs="Calibri"/>
          <w:bCs/>
          <w:iCs/>
        </w:rPr>
        <w:t>stated the sensitivity analyses range from esketamine being dominant over OADs, up to $</w:t>
      </w:r>
      <w:r w:rsidR="0008334D" w:rsidRPr="0008334D">
        <w:rPr>
          <w:rFonts w:cs="Calibri"/>
          <w:bCs/>
          <w:iCs/>
        </w:rPr>
        <w:t xml:space="preserve">55,000 to &lt; $75,000 </w:t>
      </w:r>
      <w:r w:rsidRPr="0039513B">
        <w:rPr>
          <w:rFonts w:cs="Calibri"/>
          <w:bCs/>
          <w:iCs/>
        </w:rPr>
        <w:t>per QALY</w:t>
      </w:r>
      <w:r w:rsidR="00094784" w:rsidRPr="0039513B">
        <w:rPr>
          <w:rFonts w:cs="Calibri"/>
          <w:bCs/>
          <w:iCs/>
        </w:rPr>
        <w:t>.</w:t>
      </w:r>
      <w:r w:rsidR="0039513B" w:rsidRPr="0039513B">
        <w:rPr>
          <w:rFonts w:cs="Calibri"/>
          <w:bCs/>
          <w:iCs/>
        </w:rPr>
        <w:t xml:space="preserve"> </w:t>
      </w:r>
      <w:r w:rsidR="00094784" w:rsidRPr="0039513B">
        <w:rPr>
          <w:rFonts w:cs="Calibri"/>
          <w:bCs/>
          <w:iCs/>
        </w:rPr>
        <w:t xml:space="preserve">The pre-PBAC response </w:t>
      </w:r>
      <w:r w:rsidRPr="0039513B">
        <w:rPr>
          <w:rFonts w:cs="Calibri"/>
          <w:bCs/>
          <w:iCs/>
        </w:rPr>
        <w:t>argued that while there may be concern that the ICER is higher than the</w:t>
      </w:r>
      <w:r w:rsidR="0039513B" w:rsidRPr="0039513B">
        <w:rPr>
          <w:rFonts w:cs="Calibri"/>
          <w:bCs/>
          <w:iCs/>
        </w:rPr>
        <w:t xml:space="preserve"> </w:t>
      </w:r>
      <w:r w:rsidR="00094784" w:rsidRPr="0039513B">
        <w:rPr>
          <w:rFonts w:cs="Calibri"/>
          <w:bCs/>
          <w:iCs/>
        </w:rPr>
        <w:t>r</w:t>
      </w:r>
      <w:r w:rsidR="0039513B" w:rsidRPr="0039513B">
        <w:rPr>
          <w:rFonts w:cs="Calibri"/>
          <w:bCs/>
          <w:iCs/>
        </w:rPr>
        <w:t>e</w:t>
      </w:r>
      <w:r w:rsidRPr="0039513B">
        <w:rPr>
          <w:rFonts w:cs="Calibri"/>
          <w:bCs/>
          <w:iCs/>
        </w:rPr>
        <w:t xml:space="preserve">submission base case, it may also be possible that the ICER is lower. The Response also argued it was important to note that </w:t>
      </w:r>
      <w:r w:rsidR="00094784" w:rsidRPr="0039513B">
        <w:rPr>
          <w:rFonts w:cs="Calibri"/>
          <w:bCs/>
          <w:iCs/>
        </w:rPr>
        <w:t>esketamine</w:t>
      </w:r>
      <w:r w:rsidRPr="0039513B">
        <w:rPr>
          <w:rFonts w:cs="Calibri"/>
          <w:bCs/>
          <w:iCs/>
        </w:rPr>
        <w:t xml:space="preserve"> provide</w:t>
      </w:r>
      <w:r w:rsidR="00094784" w:rsidRPr="0039513B">
        <w:rPr>
          <w:rFonts w:cs="Calibri"/>
          <w:bCs/>
          <w:iCs/>
        </w:rPr>
        <w:t xml:space="preserve">d </w:t>
      </w:r>
      <w:r w:rsidRPr="0039513B">
        <w:rPr>
          <w:rFonts w:cs="Calibri"/>
          <w:bCs/>
          <w:iCs/>
        </w:rPr>
        <w:t xml:space="preserve">value to patients and society beyond that captured in the economic model. </w:t>
      </w:r>
    </w:p>
    <w:p w14:paraId="472842D7" w14:textId="517E05E5" w:rsidR="00C25D9C" w:rsidRDefault="00C25D9C" w:rsidP="00BB732D">
      <w:pPr>
        <w:pStyle w:val="COMH2-non-numbered"/>
      </w:pPr>
      <w:bookmarkStart w:id="53" w:name="_Toc22897646"/>
      <w:bookmarkStart w:id="54" w:name="_Toc167274378"/>
      <w:r w:rsidRPr="00043790">
        <w:t>Drug cost/patient</w:t>
      </w:r>
      <w:bookmarkEnd w:id="53"/>
      <w:bookmarkEnd w:id="54"/>
    </w:p>
    <w:p w14:paraId="078A5E8B" w14:textId="40B9EA6C" w:rsidR="002A2708" w:rsidRPr="00FB181C" w:rsidRDefault="002A2708" w:rsidP="00FB181C">
      <w:pPr>
        <w:pStyle w:val="ListParagraph"/>
        <w:numPr>
          <w:ilvl w:val="1"/>
          <w:numId w:val="1"/>
        </w:numPr>
        <w:spacing w:after="120"/>
        <w:ind w:hanging="720"/>
        <w:contextualSpacing w:val="0"/>
        <w:rPr>
          <w:rFonts w:cs="Calibri"/>
          <w:bCs/>
          <w:iCs/>
        </w:rPr>
      </w:pPr>
      <w:r w:rsidRPr="00FB181C">
        <w:rPr>
          <w:rFonts w:cs="Calibri"/>
          <w:bCs/>
          <w:iCs/>
        </w:rPr>
        <w:t>The estimated drug cost per patient for esketamine applied in the economic model and the financial estimates is summarised in the table below.</w:t>
      </w:r>
    </w:p>
    <w:p w14:paraId="02EC575E" w14:textId="38823E26" w:rsidR="00281FDB" w:rsidRPr="00D26534" w:rsidRDefault="00060BDE" w:rsidP="009D01BC">
      <w:pPr>
        <w:pStyle w:val="COMTableheadingrow"/>
      </w:pPr>
      <w:bookmarkStart w:id="55" w:name="_Ref170043134"/>
      <w:r w:rsidRPr="00D26534">
        <w:lastRenderedPageBreak/>
        <w:t xml:space="preserve">Table </w:t>
      </w:r>
      <w:r w:rsidRPr="00D26534">
        <w:fldChar w:fldCharType="begin" w:fldLock="1"/>
      </w:r>
      <w:r w:rsidRPr="00D26534">
        <w:instrText xml:space="preserve"> SEQ Table \* ARABIC </w:instrText>
      </w:r>
      <w:r w:rsidRPr="00D26534">
        <w:fldChar w:fldCharType="separate"/>
      </w:r>
      <w:r w:rsidR="002B3C60">
        <w:rPr>
          <w:noProof/>
        </w:rPr>
        <w:t>16</w:t>
      </w:r>
      <w:r w:rsidRPr="00D26534">
        <w:fldChar w:fldCharType="end"/>
      </w:r>
      <w:bookmarkEnd w:id="55"/>
      <w:r w:rsidR="001A5547" w:rsidRPr="00D26534">
        <w:t>: Esketamine drug cost per patient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Esketamine drug cost per patient"/>
      </w:tblPr>
      <w:tblGrid>
        <w:gridCol w:w="5666"/>
        <w:gridCol w:w="1560"/>
        <w:gridCol w:w="1791"/>
      </w:tblGrid>
      <w:tr w:rsidR="003B72A6" w:rsidRPr="00D26534" w14:paraId="44149701" w14:textId="77777777" w:rsidTr="259D127E">
        <w:tc>
          <w:tcPr>
            <w:tcW w:w="5665" w:type="dxa"/>
            <w:shd w:val="clear" w:color="auto" w:fill="auto"/>
            <w:noWrap/>
            <w:vAlign w:val="bottom"/>
          </w:tcPr>
          <w:p w14:paraId="22758ABD" w14:textId="77777777" w:rsidR="00754382" w:rsidRPr="00D26534" w:rsidRDefault="00754382" w:rsidP="00CA64D7">
            <w:pPr>
              <w:rPr>
                <w:rFonts w:ascii="Arial Narrow" w:hAnsi="Arial Narrow" w:cs="Calibri"/>
                <w:color w:val="000000"/>
                <w:sz w:val="20"/>
                <w:szCs w:val="20"/>
              </w:rPr>
            </w:pPr>
          </w:p>
        </w:tc>
        <w:tc>
          <w:tcPr>
            <w:tcW w:w="1560" w:type="dxa"/>
            <w:vAlign w:val="center"/>
          </w:tcPr>
          <w:p w14:paraId="12583A32" w14:textId="77777777" w:rsidR="00754382" w:rsidRPr="00D26534" w:rsidRDefault="00754382" w:rsidP="00CA64D7">
            <w:pPr>
              <w:jc w:val="center"/>
              <w:rPr>
                <w:rFonts w:ascii="Arial Narrow" w:hAnsi="Arial Narrow" w:cs="Calibri"/>
                <w:color w:val="000000"/>
                <w:sz w:val="20"/>
                <w:szCs w:val="20"/>
              </w:rPr>
            </w:pPr>
            <w:r w:rsidRPr="00D26534">
              <w:rPr>
                <w:rFonts w:ascii="Arial Narrow" w:hAnsi="Arial Narrow" w:cs="Times New Roman"/>
                <w:b/>
                <w:bCs/>
                <w:sz w:val="20"/>
                <w:szCs w:val="20"/>
              </w:rPr>
              <w:t>Economic model</w:t>
            </w:r>
            <w:r w:rsidRPr="00D26534">
              <w:rPr>
                <w:rFonts w:ascii="Arial Narrow" w:hAnsi="Arial Narrow" w:cs="Times New Roman"/>
                <w:sz w:val="20"/>
                <w:szCs w:val="20"/>
              </w:rPr>
              <w:t> </w:t>
            </w:r>
          </w:p>
        </w:tc>
        <w:tc>
          <w:tcPr>
            <w:tcW w:w="1791" w:type="dxa"/>
            <w:vAlign w:val="center"/>
          </w:tcPr>
          <w:p w14:paraId="5DBD5938" w14:textId="77777777" w:rsidR="00754382" w:rsidRPr="00D26534" w:rsidRDefault="00754382" w:rsidP="00CA64D7">
            <w:pPr>
              <w:jc w:val="center"/>
              <w:rPr>
                <w:rFonts w:ascii="Arial Narrow" w:hAnsi="Arial Narrow" w:cs="Calibri"/>
                <w:color w:val="000000"/>
                <w:sz w:val="20"/>
                <w:szCs w:val="20"/>
              </w:rPr>
            </w:pPr>
            <w:r w:rsidRPr="00D26534">
              <w:rPr>
                <w:rFonts w:ascii="Arial Narrow" w:hAnsi="Arial Narrow" w:cs="Times New Roman"/>
                <w:b/>
                <w:bCs/>
                <w:sz w:val="20"/>
                <w:szCs w:val="20"/>
              </w:rPr>
              <w:t>Financial estimates</w:t>
            </w:r>
            <w:r w:rsidRPr="00D26534">
              <w:rPr>
                <w:rFonts w:ascii="Arial Narrow" w:hAnsi="Arial Narrow" w:cs="Times New Roman"/>
                <w:sz w:val="20"/>
                <w:szCs w:val="20"/>
              </w:rPr>
              <w:t> </w:t>
            </w:r>
          </w:p>
        </w:tc>
      </w:tr>
      <w:tr w:rsidR="00754382" w:rsidRPr="00D26534" w14:paraId="2DBDE834" w14:textId="77777777" w:rsidTr="259D127E">
        <w:tc>
          <w:tcPr>
            <w:tcW w:w="9016" w:type="dxa"/>
            <w:gridSpan w:val="3"/>
            <w:shd w:val="clear" w:color="auto" w:fill="auto"/>
            <w:noWrap/>
            <w:vAlign w:val="bottom"/>
          </w:tcPr>
          <w:p w14:paraId="64F1DD26" w14:textId="77777777" w:rsidR="00754382" w:rsidRPr="00D26534" w:rsidRDefault="00754382" w:rsidP="00CA64D7">
            <w:pPr>
              <w:rPr>
                <w:rFonts w:ascii="Arial Narrow" w:hAnsi="Arial Narrow" w:cs="Calibri"/>
                <w:b/>
                <w:bCs/>
                <w:smallCaps/>
                <w:color w:val="000000"/>
                <w:sz w:val="20"/>
                <w:szCs w:val="20"/>
              </w:rPr>
            </w:pPr>
            <w:r w:rsidRPr="00D26534">
              <w:rPr>
                <w:rFonts w:ascii="Arial Narrow" w:hAnsi="Arial Narrow" w:cs="Calibri"/>
                <w:b/>
                <w:bCs/>
                <w:smallCaps/>
                <w:color w:val="000000"/>
                <w:sz w:val="20"/>
                <w:szCs w:val="20"/>
              </w:rPr>
              <w:t>Initial treatment</w:t>
            </w:r>
          </w:p>
        </w:tc>
      </w:tr>
      <w:tr w:rsidR="00754382" w:rsidRPr="00D26534" w14:paraId="33C348E4" w14:textId="77777777" w:rsidTr="259D127E">
        <w:tc>
          <w:tcPr>
            <w:tcW w:w="9016" w:type="dxa"/>
            <w:gridSpan w:val="3"/>
            <w:shd w:val="clear" w:color="auto" w:fill="auto"/>
            <w:noWrap/>
            <w:vAlign w:val="bottom"/>
          </w:tcPr>
          <w:p w14:paraId="6981CDDB" w14:textId="22191B5F" w:rsidR="00754382" w:rsidRPr="00D26534" w:rsidRDefault="00754382" w:rsidP="00CA64D7">
            <w:pPr>
              <w:rPr>
                <w:rFonts w:ascii="Arial Narrow" w:hAnsi="Arial Narrow" w:cs="Calibri"/>
                <w:b/>
                <w:bCs/>
                <w:color w:val="000000"/>
                <w:sz w:val="20"/>
                <w:szCs w:val="20"/>
              </w:rPr>
            </w:pPr>
            <w:r w:rsidRPr="259D127E">
              <w:rPr>
                <w:rFonts w:ascii="Arial Narrow" w:hAnsi="Arial Narrow" w:cs="Calibri"/>
                <w:b/>
                <w:bCs/>
                <w:color w:val="000000" w:themeColor="text1"/>
                <w:sz w:val="20"/>
                <w:szCs w:val="20"/>
              </w:rPr>
              <w:t>Patients on initial treatment for less than 12 months (</w:t>
            </w:r>
            <w:r w:rsidR="00683384" w:rsidRPr="007A7EF7">
              <w:rPr>
                <w:rFonts w:ascii="Arial Narrow" w:hAnsi="Arial Narrow" w:cs="Calibri"/>
                <w:b/>
                <w:bCs/>
                <w:color w:val="000000" w:themeColor="text1"/>
                <w:spacing w:val="10"/>
                <w:sz w:val="20"/>
                <w:szCs w:val="20"/>
                <w:shd w:val="solid" w:color="000000" w:fill="000000"/>
                <w:fitText w:val="330" w:id="-892700924"/>
                <w14:textFill>
                  <w14:solidFill>
                    <w14:schemeClr w14:val="tx1">
                      <w14:alpha w14:val="100000"/>
                    </w14:schemeClr>
                  </w14:solidFill>
                </w14:textFill>
              </w:rPr>
              <w:t>||  |</w:t>
            </w:r>
            <w:r w:rsidR="00683384" w:rsidRPr="007A7EF7">
              <w:rPr>
                <w:rFonts w:ascii="Arial Narrow" w:hAnsi="Arial Narrow" w:cs="Calibri"/>
                <w:b/>
                <w:bCs/>
                <w:color w:val="000000" w:themeColor="text1"/>
                <w:spacing w:val="5"/>
                <w:sz w:val="20"/>
                <w:szCs w:val="20"/>
                <w:shd w:val="solid" w:color="000000" w:fill="000000"/>
                <w:fitText w:val="330" w:id="-892700924"/>
                <w14:textFill>
                  <w14:solidFill>
                    <w14:schemeClr w14:val="tx1">
                      <w14:alpha w14:val="100000"/>
                    </w14:schemeClr>
                  </w14:solidFill>
                </w14:textFill>
              </w:rPr>
              <w:t>|</w:t>
            </w:r>
            <w:r w:rsidRPr="00E90507">
              <w:rPr>
                <w:rFonts w:ascii="Arial Narrow" w:hAnsi="Arial Narrow" w:cs="Calibri"/>
                <w:b/>
                <w:bCs/>
                <w:color w:val="000000" w:themeColor="text1"/>
                <w:sz w:val="20"/>
                <w:szCs w:val="20"/>
              </w:rPr>
              <w:t>%</w:t>
            </w:r>
            <w:r w:rsidRPr="259D127E">
              <w:rPr>
                <w:rFonts w:ascii="Arial Narrow" w:hAnsi="Arial Narrow" w:cs="Calibri"/>
                <w:b/>
                <w:bCs/>
                <w:color w:val="000000" w:themeColor="text1"/>
                <w:sz w:val="20"/>
                <w:szCs w:val="20"/>
              </w:rPr>
              <w:t xml:space="preserve"> of patients)</w:t>
            </w:r>
          </w:p>
        </w:tc>
      </w:tr>
      <w:tr w:rsidR="003B72A6" w:rsidRPr="00D26534" w14:paraId="5203C4BF" w14:textId="77777777" w:rsidTr="259D127E">
        <w:tc>
          <w:tcPr>
            <w:tcW w:w="5665" w:type="dxa"/>
            <w:shd w:val="clear" w:color="auto" w:fill="auto"/>
            <w:noWrap/>
            <w:vAlign w:val="bottom"/>
          </w:tcPr>
          <w:p w14:paraId="65D00FBE" w14:textId="77777777" w:rsidR="00754382" w:rsidRPr="00D26534" w:rsidRDefault="00754382" w:rsidP="00CA64D7">
            <w:pPr>
              <w:rPr>
                <w:rFonts w:ascii="Arial Narrow" w:hAnsi="Arial Narrow" w:cs="Calibri"/>
                <w:color w:val="000000"/>
                <w:sz w:val="20"/>
                <w:szCs w:val="20"/>
              </w:rPr>
            </w:pPr>
            <w:r w:rsidRPr="00D26534">
              <w:rPr>
                <w:rFonts w:ascii="Arial Narrow" w:hAnsi="Arial Narrow" w:cs="Calibri"/>
                <w:color w:val="000000"/>
                <w:sz w:val="20"/>
                <w:szCs w:val="20"/>
              </w:rPr>
              <w:t>- Duration of treatment</w:t>
            </w:r>
          </w:p>
        </w:tc>
        <w:tc>
          <w:tcPr>
            <w:tcW w:w="1560" w:type="dxa"/>
            <w:vAlign w:val="center"/>
          </w:tcPr>
          <w:p w14:paraId="79F8DFB6" w14:textId="77777777"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18.0 weeks</w:t>
            </w:r>
            <w:r w:rsidRPr="00D26534">
              <w:rPr>
                <w:rFonts w:ascii="Arial Narrow" w:hAnsi="Arial Narrow" w:cs="Calibri"/>
                <w:color w:val="000000"/>
                <w:sz w:val="20"/>
                <w:szCs w:val="20"/>
                <w:vertAlign w:val="superscript"/>
              </w:rPr>
              <w:t>a</w:t>
            </w:r>
          </w:p>
        </w:tc>
        <w:tc>
          <w:tcPr>
            <w:tcW w:w="1791" w:type="dxa"/>
            <w:vAlign w:val="center"/>
          </w:tcPr>
          <w:p w14:paraId="5BAB3457" w14:textId="77777777"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22.95 weeks</w:t>
            </w:r>
            <w:r w:rsidRPr="00D26534">
              <w:rPr>
                <w:rFonts w:ascii="Arial Narrow" w:hAnsi="Arial Narrow" w:cs="Calibri"/>
                <w:color w:val="000000"/>
                <w:sz w:val="20"/>
                <w:szCs w:val="20"/>
                <w:vertAlign w:val="superscript"/>
              </w:rPr>
              <w:t>f</w:t>
            </w:r>
          </w:p>
        </w:tc>
      </w:tr>
      <w:tr w:rsidR="003B72A6" w:rsidRPr="00D26534" w14:paraId="034D975C" w14:textId="77777777" w:rsidTr="259D127E">
        <w:tc>
          <w:tcPr>
            <w:tcW w:w="5665" w:type="dxa"/>
            <w:shd w:val="clear" w:color="auto" w:fill="auto"/>
            <w:noWrap/>
            <w:vAlign w:val="bottom"/>
            <w:hideMark/>
          </w:tcPr>
          <w:p w14:paraId="759FB6BD" w14:textId="77777777" w:rsidR="00754382" w:rsidRPr="00D26534" w:rsidRDefault="00754382" w:rsidP="00CA64D7">
            <w:pPr>
              <w:rPr>
                <w:rFonts w:ascii="Arial Narrow" w:hAnsi="Arial Narrow" w:cs="Calibri"/>
                <w:color w:val="000000"/>
                <w:sz w:val="20"/>
                <w:szCs w:val="20"/>
              </w:rPr>
            </w:pPr>
            <w:r w:rsidRPr="00D26534">
              <w:rPr>
                <w:rFonts w:ascii="Arial Narrow" w:hAnsi="Arial Narrow" w:cs="Calibri"/>
                <w:color w:val="000000"/>
                <w:sz w:val="20"/>
                <w:szCs w:val="20"/>
              </w:rPr>
              <w:t>- Cost of treatment</w:t>
            </w:r>
          </w:p>
        </w:tc>
        <w:tc>
          <w:tcPr>
            <w:tcW w:w="1560" w:type="dxa"/>
            <w:vAlign w:val="center"/>
          </w:tcPr>
          <w:p w14:paraId="0B326B52" w14:textId="2F5FB335"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w:t>
            </w:r>
            <w:r w:rsidR="00683384" w:rsidRPr="00683384">
              <w:rPr>
                <w:rFonts w:ascii="Arial Narrow" w:hAnsi="Arial Narrow" w:cs="Calibri"/>
                <w:color w:val="000000"/>
                <w:sz w:val="20"/>
                <w:szCs w:val="20"/>
                <w:shd w:val="solid" w:color="000000" w:fill="000000"/>
                <w14:textFill>
                  <w14:solidFill>
                    <w14:srgbClr w14:val="000000">
                      <w14:alpha w14:val="100000"/>
                    </w14:srgbClr>
                  </w14:solidFill>
                </w14:textFill>
              </w:rPr>
              <w:t>|</w:t>
            </w:r>
            <w:r w:rsidRPr="00D26534">
              <w:rPr>
                <w:rFonts w:ascii="Arial Narrow" w:hAnsi="Arial Narrow" w:cs="Calibri"/>
                <w:color w:val="000000"/>
                <w:sz w:val="20"/>
                <w:szCs w:val="20"/>
                <w:vertAlign w:val="superscript"/>
              </w:rPr>
              <w:t>b</w:t>
            </w:r>
          </w:p>
        </w:tc>
        <w:tc>
          <w:tcPr>
            <w:tcW w:w="1791" w:type="dxa"/>
            <w:vAlign w:val="center"/>
          </w:tcPr>
          <w:p w14:paraId="284BE99B" w14:textId="273FAD18"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w:t>
            </w:r>
            <w:r w:rsidR="00683384" w:rsidRPr="00683384">
              <w:rPr>
                <w:rFonts w:ascii="Arial Narrow" w:hAnsi="Arial Narrow" w:cs="Calibri"/>
                <w:color w:val="000000"/>
                <w:sz w:val="20"/>
                <w:szCs w:val="20"/>
                <w:shd w:val="solid" w:color="000000" w:fill="000000"/>
                <w14:textFill>
                  <w14:solidFill>
                    <w14:srgbClr w14:val="000000">
                      <w14:alpha w14:val="100000"/>
                    </w14:srgbClr>
                  </w14:solidFill>
                </w14:textFill>
              </w:rPr>
              <w:t>|</w:t>
            </w:r>
            <w:r w:rsidRPr="00D26534">
              <w:rPr>
                <w:rFonts w:ascii="Arial Narrow" w:hAnsi="Arial Narrow" w:cs="Calibri"/>
                <w:color w:val="000000"/>
                <w:sz w:val="20"/>
                <w:szCs w:val="20"/>
                <w:vertAlign w:val="superscript"/>
              </w:rPr>
              <w:t>g</w:t>
            </w:r>
          </w:p>
        </w:tc>
      </w:tr>
      <w:tr w:rsidR="00754382" w:rsidRPr="00D26534" w14:paraId="6AD96D05" w14:textId="77777777" w:rsidTr="259D127E">
        <w:tc>
          <w:tcPr>
            <w:tcW w:w="9016" w:type="dxa"/>
            <w:gridSpan w:val="3"/>
            <w:shd w:val="clear" w:color="auto" w:fill="auto"/>
            <w:noWrap/>
            <w:vAlign w:val="bottom"/>
          </w:tcPr>
          <w:p w14:paraId="52B452CD" w14:textId="74800A81" w:rsidR="00754382" w:rsidRPr="00D26534" w:rsidRDefault="00754382" w:rsidP="00CA64D7">
            <w:pPr>
              <w:rPr>
                <w:rFonts w:ascii="Arial Narrow" w:hAnsi="Arial Narrow" w:cs="Calibri"/>
                <w:b/>
                <w:bCs/>
                <w:color w:val="000000"/>
                <w:sz w:val="20"/>
                <w:szCs w:val="20"/>
              </w:rPr>
            </w:pPr>
            <w:r w:rsidRPr="259D127E">
              <w:rPr>
                <w:rFonts w:ascii="Arial Narrow" w:hAnsi="Arial Narrow" w:cs="Calibri"/>
                <w:b/>
                <w:bCs/>
                <w:color w:val="000000" w:themeColor="text1"/>
                <w:sz w:val="20"/>
                <w:szCs w:val="20"/>
              </w:rPr>
              <w:t>Patients on initial treatment for at least 12 months (</w:t>
            </w:r>
            <w:r w:rsidR="00683384" w:rsidRPr="007A7EF7">
              <w:rPr>
                <w:rFonts w:ascii="Arial Narrow" w:hAnsi="Arial Narrow" w:cs="Calibri"/>
                <w:b/>
                <w:bCs/>
                <w:color w:val="000000" w:themeColor="text1"/>
                <w:spacing w:val="12"/>
                <w:sz w:val="20"/>
                <w:szCs w:val="20"/>
                <w:shd w:val="solid" w:color="000000" w:fill="000000"/>
                <w:fitText w:val="340" w:id="-892700923"/>
                <w14:textFill>
                  <w14:solidFill>
                    <w14:schemeClr w14:val="tx1">
                      <w14:alpha w14:val="100000"/>
                    </w14:schemeClr>
                  </w14:solidFill>
                </w14:textFill>
              </w:rPr>
              <w:t>||  |</w:t>
            </w:r>
            <w:r w:rsidR="00683384" w:rsidRPr="007A7EF7">
              <w:rPr>
                <w:rFonts w:ascii="Arial Narrow" w:hAnsi="Arial Narrow" w:cs="Calibri"/>
                <w:b/>
                <w:bCs/>
                <w:color w:val="000000" w:themeColor="text1"/>
                <w:spacing w:val="5"/>
                <w:sz w:val="20"/>
                <w:szCs w:val="20"/>
                <w:shd w:val="solid" w:color="000000" w:fill="000000"/>
                <w:fitText w:val="340" w:id="-892700923"/>
                <w14:textFill>
                  <w14:solidFill>
                    <w14:schemeClr w14:val="tx1">
                      <w14:alpha w14:val="100000"/>
                    </w14:schemeClr>
                  </w14:solidFill>
                </w14:textFill>
              </w:rPr>
              <w:t>|</w:t>
            </w:r>
            <w:r w:rsidRPr="259D127E">
              <w:rPr>
                <w:rFonts w:ascii="Arial Narrow" w:hAnsi="Arial Narrow" w:cs="Calibri"/>
                <w:b/>
                <w:bCs/>
                <w:color w:val="000000" w:themeColor="text1"/>
                <w:sz w:val="20"/>
                <w:szCs w:val="20"/>
              </w:rPr>
              <w:t>% of patients)</w:t>
            </w:r>
          </w:p>
        </w:tc>
      </w:tr>
      <w:tr w:rsidR="003B72A6" w:rsidRPr="00D26534" w14:paraId="3C8CA58C" w14:textId="77777777" w:rsidTr="259D127E">
        <w:tc>
          <w:tcPr>
            <w:tcW w:w="5665" w:type="dxa"/>
            <w:shd w:val="clear" w:color="auto" w:fill="auto"/>
            <w:noWrap/>
            <w:vAlign w:val="bottom"/>
            <w:hideMark/>
          </w:tcPr>
          <w:p w14:paraId="323854E6" w14:textId="77777777" w:rsidR="00754382" w:rsidRPr="00D26534" w:rsidRDefault="00754382" w:rsidP="00CA64D7">
            <w:pPr>
              <w:rPr>
                <w:rFonts w:ascii="Arial Narrow" w:hAnsi="Arial Narrow" w:cs="Calibri"/>
                <w:color w:val="000000"/>
                <w:sz w:val="20"/>
                <w:szCs w:val="20"/>
              </w:rPr>
            </w:pPr>
            <w:r w:rsidRPr="00D26534">
              <w:rPr>
                <w:rFonts w:ascii="Arial Narrow" w:hAnsi="Arial Narrow" w:cs="Calibri"/>
                <w:color w:val="000000"/>
                <w:sz w:val="20"/>
                <w:szCs w:val="20"/>
              </w:rPr>
              <w:t>- Duration of treatment</w:t>
            </w:r>
          </w:p>
        </w:tc>
        <w:tc>
          <w:tcPr>
            <w:tcW w:w="1560" w:type="dxa"/>
            <w:vAlign w:val="center"/>
          </w:tcPr>
          <w:p w14:paraId="361DCD9A" w14:textId="77777777"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130.3 weeks</w:t>
            </w:r>
            <w:r w:rsidRPr="00D26534">
              <w:rPr>
                <w:rFonts w:ascii="Arial Narrow" w:hAnsi="Arial Narrow" w:cs="Calibri"/>
                <w:color w:val="000000"/>
                <w:sz w:val="20"/>
                <w:szCs w:val="20"/>
                <w:vertAlign w:val="superscript"/>
              </w:rPr>
              <w:t>c</w:t>
            </w:r>
          </w:p>
        </w:tc>
        <w:tc>
          <w:tcPr>
            <w:tcW w:w="1791" w:type="dxa"/>
            <w:vAlign w:val="center"/>
          </w:tcPr>
          <w:p w14:paraId="306562D0" w14:textId="77777777"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136.14 weeks</w:t>
            </w:r>
            <w:r w:rsidRPr="00D26534">
              <w:rPr>
                <w:rFonts w:ascii="Arial Narrow" w:hAnsi="Arial Narrow" w:cs="Calibri"/>
                <w:color w:val="000000"/>
                <w:sz w:val="20"/>
                <w:szCs w:val="20"/>
                <w:vertAlign w:val="superscript"/>
              </w:rPr>
              <w:t>h</w:t>
            </w:r>
          </w:p>
        </w:tc>
      </w:tr>
      <w:tr w:rsidR="003B72A6" w:rsidRPr="00D26534" w14:paraId="0B2CBEFF" w14:textId="77777777" w:rsidTr="259D127E">
        <w:tc>
          <w:tcPr>
            <w:tcW w:w="5665" w:type="dxa"/>
            <w:shd w:val="clear" w:color="auto" w:fill="auto"/>
            <w:noWrap/>
            <w:vAlign w:val="bottom"/>
            <w:hideMark/>
          </w:tcPr>
          <w:p w14:paraId="7AB7B97B" w14:textId="77777777" w:rsidR="00754382" w:rsidRPr="00D26534" w:rsidRDefault="00754382" w:rsidP="00CA64D7">
            <w:pPr>
              <w:rPr>
                <w:rFonts w:ascii="Arial Narrow" w:hAnsi="Arial Narrow" w:cs="Calibri"/>
                <w:color w:val="000000"/>
                <w:sz w:val="20"/>
                <w:szCs w:val="20"/>
              </w:rPr>
            </w:pPr>
            <w:r w:rsidRPr="00D26534">
              <w:rPr>
                <w:rFonts w:ascii="Arial Narrow" w:hAnsi="Arial Narrow" w:cs="Calibri"/>
                <w:color w:val="000000"/>
                <w:sz w:val="20"/>
                <w:szCs w:val="20"/>
              </w:rPr>
              <w:t>- Cost of treatment</w:t>
            </w:r>
          </w:p>
        </w:tc>
        <w:tc>
          <w:tcPr>
            <w:tcW w:w="1560" w:type="dxa"/>
            <w:vAlign w:val="center"/>
          </w:tcPr>
          <w:p w14:paraId="7553AAC7" w14:textId="580E7733"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w:t>
            </w:r>
            <w:r w:rsidR="00683384" w:rsidRPr="00683384">
              <w:rPr>
                <w:rFonts w:ascii="Arial Narrow" w:hAnsi="Arial Narrow" w:cs="Calibri"/>
                <w:color w:val="000000"/>
                <w:sz w:val="20"/>
                <w:szCs w:val="20"/>
                <w:shd w:val="solid" w:color="000000" w:fill="000000"/>
                <w14:textFill>
                  <w14:solidFill>
                    <w14:srgbClr w14:val="000000">
                      <w14:alpha w14:val="100000"/>
                    </w14:srgbClr>
                  </w14:solidFill>
                </w14:textFill>
              </w:rPr>
              <w:t>|</w:t>
            </w:r>
            <w:r w:rsidRPr="00D26534">
              <w:rPr>
                <w:rFonts w:ascii="Arial Narrow" w:hAnsi="Arial Narrow" w:cs="Calibri"/>
                <w:color w:val="000000"/>
                <w:sz w:val="20"/>
                <w:szCs w:val="20"/>
                <w:vertAlign w:val="superscript"/>
              </w:rPr>
              <w:t>b</w:t>
            </w:r>
          </w:p>
        </w:tc>
        <w:tc>
          <w:tcPr>
            <w:tcW w:w="1791" w:type="dxa"/>
            <w:vAlign w:val="center"/>
          </w:tcPr>
          <w:p w14:paraId="25CB8151" w14:textId="6EAFA192"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w:t>
            </w:r>
            <w:r w:rsidR="00683384" w:rsidRPr="00683384">
              <w:rPr>
                <w:rFonts w:ascii="Arial Narrow" w:hAnsi="Arial Narrow" w:cs="Calibri"/>
                <w:color w:val="000000"/>
                <w:sz w:val="20"/>
                <w:szCs w:val="20"/>
                <w:shd w:val="solid" w:color="000000" w:fill="000000"/>
                <w14:textFill>
                  <w14:solidFill>
                    <w14:srgbClr w14:val="000000">
                      <w14:alpha w14:val="100000"/>
                    </w14:srgbClr>
                  </w14:solidFill>
                </w14:textFill>
              </w:rPr>
              <w:t>|</w:t>
            </w:r>
            <w:r w:rsidRPr="00D26534">
              <w:rPr>
                <w:rFonts w:ascii="Arial Narrow" w:hAnsi="Arial Narrow" w:cs="Calibri"/>
                <w:color w:val="000000"/>
                <w:sz w:val="20"/>
                <w:szCs w:val="20"/>
                <w:vertAlign w:val="superscript"/>
              </w:rPr>
              <w:t>g</w:t>
            </w:r>
          </w:p>
        </w:tc>
      </w:tr>
      <w:tr w:rsidR="00754382" w:rsidRPr="00D26534" w14:paraId="19CD9011" w14:textId="77777777" w:rsidTr="259D127E">
        <w:tc>
          <w:tcPr>
            <w:tcW w:w="9016" w:type="dxa"/>
            <w:gridSpan w:val="3"/>
            <w:shd w:val="clear" w:color="auto" w:fill="auto"/>
            <w:noWrap/>
            <w:vAlign w:val="bottom"/>
          </w:tcPr>
          <w:p w14:paraId="4EA7E373" w14:textId="77777777" w:rsidR="00754382" w:rsidRPr="00D26534" w:rsidRDefault="00754382" w:rsidP="00CA64D7">
            <w:pPr>
              <w:rPr>
                <w:rFonts w:ascii="Arial Narrow" w:hAnsi="Arial Narrow" w:cs="Calibri"/>
                <w:color w:val="000000"/>
                <w:sz w:val="20"/>
                <w:szCs w:val="20"/>
              </w:rPr>
            </w:pPr>
            <w:r w:rsidRPr="00D26534">
              <w:rPr>
                <w:rFonts w:ascii="Arial Narrow" w:hAnsi="Arial Narrow" w:cs="Calibri"/>
                <w:b/>
                <w:bCs/>
                <w:smallCaps/>
                <w:color w:val="000000"/>
                <w:sz w:val="20"/>
                <w:szCs w:val="20"/>
              </w:rPr>
              <w:t>Retreatment</w:t>
            </w:r>
          </w:p>
        </w:tc>
      </w:tr>
      <w:tr w:rsidR="003B72A6" w:rsidRPr="00D26534" w14:paraId="48614089" w14:textId="77777777" w:rsidTr="259D127E">
        <w:tc>
          <w:tcPr>
            <w:tcW w:w="5665" w:type="dxa"/>
            <w:shd w:val="clear" w:color="auto" w:fill="auto"/>
            <w:noWrap/>
            <w:vAlign w:val="bottom"/>
          </w:tcPr>
          <w:p w14:paraId="7E1C951E" w14:textId="77777777" w:rsidR="00754382" w:rsidRPr="00D26534" w:rsidRDefault="00754382" w:rsidP="00CA64D7">
            <w:pPr>
              <w:rPr>
                <w:rFonts w:ascii="Arial Narrow" w:hAnsi="Arial Narrow" w:cs="Calibri"/>
                <w:b/>
                <w:bCs/>
                <w:color w:val="000000"/>
                <w:sz w:val="20"/>
                <w:szCs w:val="20"/>
              </w:rPr>
            </w:pPr>
            <w:r w:rsidRPr="00D26534">
              <w:rPr>
                <w:rFonts w:ascii="Arial Narrow" w:hAnsi="Arial Narrow" w:cs="Calibri"/>
                <w:color w:val="000000"/>
                <w:sz w:val="20"/>
                <w:szCs w:val="20"/>
              </w:rPr>
              <w:t>- Proportion of patients receiving retreatment</w:t>
            </w:r>
          </w:p>
        </w:tc>
        <w:tc>
          <w:tcPr>
            <w:tcW w:w="1560" w:type="dxa"/>
            <w:vAlign w:val="center"/>
          </w:tcPr>
          <w:p w14:paraId="2991A1E7" w14:textId="77777777"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22% over 5 years</w:t>
            </w:r>
          </w:p>
        </w:tc>
        <w:tc>
          <w:tcPr>
            <w:tcW w:w="1791" w:type="dxa"/>
            <w:vAlign w:val="center"/>
          </w:tcPr>
          <w:p w14:paraId="52FCD416" w14:textId="553007B1"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6</w:t>
            </w:r>
            <w:r w:rsidR="006612EF">
              <w:rPr>
                <w:rFonts w:ascii="Arial Narrow" w:hAnsi="Arial Narrow" w:cs="Calibri"/>
                <w:color w:val="000000"/>
                <w:sz w:val="20"/>
                <w:szCs w:val="20"/>
              </w:rPr>
              <w:t>1</w:t>
            </w:r>
            <w:r w:rsidRPr="00D26534">
              <w:rPr>
                <w:rFonts w:ascii="Arial Narrow" w:hAnsi="Arial Narrow" w:cs="Calibri"/>
                <w:color w:val="000000"/>
                <w:sz w:val="20"/>
                <w:szCs w:val="20"/>
              </w:rPr>
              <w:t>% over 6 years</w:t>
            </w:r>
            <w:r w:rsidRPr="00D26534">
              <w:rPr>
                <w:rFonts w:ascii="Arial Narrow" w:hAnsi="Arial Narrow" w:cs="Calibri"/>
                <w:color w:val="000000"/>
                <w:sz w:val="20"/>
                <w:szCs w:val="20"/>
                <w:vertAlign w:val="superscript"/>
              </w:rPr>
              <w:t>i</w:t>
            </w:r>
          </w:p>
        </w:tc>
      </w:tr>
      <w:tr w:rsidR="00754382" w:rsidRPr="00D26534" w14:paraId="4A42FAFC" w14:textId="77777777" w:rsidTr="259D127E">
        <w:tc>
          <w:tcPr>
            <w:tcW w:w="9016" w:type="dxa"/>
            <w:gridSpan w:val="3"/>
            <w:shd w:val="clear" w:color="auto" w:fill="auto"/>
            <w:noWrap/>
            <w:vAlign w:val="bottom"/>
          </w:tcPr>
          <w:p w14:paraId="55F59ADD" w14:textId="60F29190" w:rsidR="00754382" w:rsidRPr="00D26534" w:rsidRDefault="00754382" w:rsidP="00CA64D7">
            <w:pPr>
              <w:rPr>
                <w:rFonts w:ascii="Arial Narrow" w:hAnsi="Arial Narrow" w:cs="Calibri"/>
                <w:color w:val="000000"/>
                <w:sz w:val="20"/>
                <w:szCs w:val="20"/>
              </w:rPr>
            </w:pPr>
            <w:r w:rsidRPr="259D127E">
              <w:rPr>
                <w:rFonts w:ascii="Arial Narrow" w:hAnsi="Arial Narrow" w:cs="Calibri"/>
                <w:b/>
                <w:bCs/>
                <w:color w:val="000000" w:themeColor="text1"/>
                <w:sz w:val="20"/>
                <w:szCs w:val="20"/>
              </w:rPr>
              <w:t>Receiving retreatment for less than 12 months (</w:t>
            </w:r>
            <w:r w:rsidR="00683384" w:rsidRPr="007A7EF7">
              <w:rPr>
                <w:rFonts w:ascii="Arial Narrow" w:hAnsi="Arial Narrow" w:cs="Calibri"/>
                <w:b/>
                <w:bCs/>
                <w:color w:val="000000" w:themeColor="text1"/>
                <w:spacing w:val="10"/>
                <w:sz w:val="20"/>
                <w:szCs w:val="20"/>
                <w:shd w:val="solid" w:color="000000" w:fill="000000"/>
                <w:fitText w:val="330" w:id="-892700922"/>
                <w14:textFill>
                  <w14:solidFill>
                    <w14:schemeClr w14:val="tx1">
                      <w14:alpha w14:val="100000"/>
                    </w14:schemeClr>
                  </w14:solidFill>
                </w14:textFill>
              </w:rPr>
              <w:t>||  |</w:t>
            </w:r>
            <w:r w:rsidR="00683384" w:rsidRPr="007A7EF7">
              <w:rPr>
                <w:rFonts w:ascii="Arial Narrow" w:hAnsi="Arial Narrow" w:cs="Calibri"/>
                <w:b/>
                <w:bCs/>
                <w:color w:val="000000" w:themeColor="text1"/>
                <w:spacing w:val="5"/>
                <w:sz w:val="20"/>
                <w:szCs w:val="20"/>
                <w:shd w:val="solid" w:color="000000" w:fill="000000"/>
                <w:fitText w:val="330" w:id="-892700922"/>
                <w14:textFill>
                  <w14:solidFill>
                    <w14:schemeClr w14:val="tx1">
                      <w14:alpha w14:val="100000"/>
                    </w14:schemeClr>
                  </w14:solidFill>
                </w14:textFill>
              </w:rPr>
              <w:t>|</w:t>
            </w:r>
            <w:r w:rsidRPr="259D127E">
              <w:rPr>
                <w:rFonts w:ascii="Arial Narrow" w:hAnsi="Arial Narrow" w:cs="Calibri"/>
                <w:b/>
                <w:bCs/>
                <w:color w:val="000000" w:themeColor="text1"/>
                <w:sz w:val="20"/>
                <w:szCs w:val="20"/>
              </w:rPr>
              <w:t>% of patients)</w:t>
            </w:r>
          </w:p>
        </w:tc>
      </w:tr>
      <w:tr w:rsidR="003B72A6" w:rsidRPr="00D26534" w14:paraId="54859CD9" w14:textId="77777777" w:rsidTr="259D127E">
        <w:tc>
          <w:tcPr>
            <w:tcW w:w="5665" w:type="dxa"/>
            <w:shd w:val="clear" w:color="auto" w:fill="auto"/>
            <w:noWrap/>
            <w:vAlign w:val="bottom"/>
            <w:hideMark/>
          </w:tcPr>
          <w:p w14:paraId="06A36234" w14:textId="77777777" w:rsidR="00754382" w:rsidRPr="00D26534" w:rsidRDefault="00754382" w:rsidP="00CA64D7">
            <w:pPr>
              <w:rPr>
                <w:rFonts w:ascii="Arial Narrow" w:hAnsi="Arial Narrow" w:cs="Calibri"/>
                <w:color w:val="000000"/>
                <w:sz w:val="20"/>
                <w:szCs w:val="20"/>
              </w:rPr>
            </w:pPr>
            <w:r w:rsidRPr="00D26534">
              <w:rPr>
                <w:rFonts w:ascii="Arial Narrow" w:hAnsi="Arial Narrow" w:cs="Calibri"/>
                <w:color w:val="000000"/>
                <w:sz w:val="20"/>
                <w:szCs w:val="20"/>
              </w:rPr>
              <w:t>- Duration of treatment</w:t>
            </w:r>
          </w:p>
        </w:tc>
        <w:tc>
          <w:tcPr>
            <w:tcW w:w="1560" w:type="dxa"/>
            <w:vAlign w:val="center"/>
          </w:tcPr>
          <w:p w14:paraId="44FB1166" w14:textId="77777777"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27.1 weeks</w:t>
            </w:r>
            <w:r w:rsidRPr="00D26534">
              <w:rPr>
                <w:rFonts w:ascii="Arial Narrow" w:hAnsi="Arial Narrow" w:cs="Calibri"/>
                <w:color w:val="000000"/>
                <w:sz w:val="20"/>
                <w:szCs w:val="20"/>
                <w:vertAlign w:val="superscript"/>
              </w:rPr>
              <w:t>d</w:t>
            </w:r>
          </w:p>
        </w:tc>
        <w:tc>
          <w:tcPr>
            <w:tcW w:w="1791" w:type="dxa"/>
            <w:vAlign w:val="center"/>
          </w:tcPr>
          <w:p w14:paraId="6ED74BD8" w14:textId="77777777"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19.51 weeks</w:t>
            </w:r>
            <w:r w:rsidRPr="00D26534">
              <w:rPr>
                <w:rFonts w:ascii="Arial Narrow" w:hAnsi="Arial Narrow" w:cs="Calibri"/>
                <w:color w:val="000000"/>
                <w:sz w:val="20"/>
                <w:szCs w:val="20"/>
                <w:vertAlign w:val="superscript"/>
              </w:rPr>
              <w:t>j</w:t>
            </w:r>
          </w:p>
        </w:tc>
      </w:tr>
      <w:tr w:rsidR="003B72A6" w:rsidRPr="00D26534" w14:paraId="4670FB10" w14:textId="77777777" w:rsidTr="259D127E">
        <w:tc>
          <w:tcPr>
            <w:tcW w:w="5665" w:type="dxa"/>
            <w:shd w:val="clear" w:color="auto" w:fill="auto"/>
            <w:noWrap/>
            <w:vAlign w:val="bottom"/>
            <w:hideMark/>
          </w:tcPr>
          <w:p w14:paraId="24DF0295" w14:textId="77777777" w:rsidR="00754382" w:rsidRPr="00D26534" w:rsidRDefault="00754382" w:rsidP="00CA64D7">
            <w:pPr>
              <w:rPr>
                <w:rFonts w:ascii="Arial Narrow" w:hAnsi="Arial Narrow" w:cs="Calibri"/>
                <w:color w:val="000000"/>
                <w:sz w:val="20"/>
                <w:szCs w:val="20"/>
              </w:rPr>
            </w:pPr>
            <w:r w:rsidRPr="00D26534">
              <w:rPr>
                <w:rFonts w:ascii="Arial Narrow" w:hAnsi="Arial Narrow" w:cs="Calibri"/>
                <w:color w:val="000000"/>
                <w:sz w:val="20"/>
                <w:szCs w:val="20"/>
              </w:rPr>
              <w:t>- Cost of treatment</w:t>
            </w:r>
          </w:p>
        </w:tc>
        <w:tc>
          <w:tcPr>
            <w:tcW w:w="1560" w:type="dxa"/>
            <w:vAlign w:val="center"/>
          </w:tcPr>
          <w:p w14:paraId="1A72C820" w14:textId="42E0E0AB"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w:t>
            </w:r>
            <w:r w:rsidR="00683384" w:rsidRPr="00683384">
              <w:rPr>
                <w:rFonts w:ascii="Arial Narrow" w:hAnsi="Arial Narrow" w:cs="Calibri"/>
                <w:color w:val="000000"/>
                <w:sz w:val="20"/>
                <w:szCs w:val="20"/>
                <w:shd w:val="solid" w:color="000000" w:fill="000000"/>
                <w14:textFill>
                  <w14:solidFill>
                    <w14:srgbClr w14:val="000000">
                      <w14:alpha w14:val="100000"/>
                    </w14:srgbClr>
                  </w14:solidFill>
                </w14:textFill>
              </w:rPr>
              <w:t>|</w:t>
            </w:r>
            <w:r w:rsidRPr="00D26534">
              <w:rPr>
                <w:rFonts w:ascii="Arial Narrow" w:hAnsi="Arial Narrow" w:cs="Calibri"/>
                <w:color w:val="000000"/>
                <w:sz w:val="20"/>
                <w:szCs w:val="20"/>
                <w:vertAlign w:val="superscript"/>
              </w:rPr>
              <w:t>b</w:t>
            </w:r>
          </w:p>
        </w:tc>
        <w:tc>
          <w:tcPr>
            <w:tcW w:w="1791" w:type="dxa"/>
            <w:vAlign w:val="center"/>
          </w:tcPr>
          <w:p w14:paraId="40743DBB" w14:textId="4FCDD6B0"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w:t>
            </w:r>
            <w:r w:rsidR="00683384" w:rsidRPr="00683384">
              <w:rPr>
                <w:rFonts w:ascii="Arial Narrow" w:hAnsi="Arial Narrow" w:cs="Calibri"/>
                <w:color w:val="000000"/>
                <w:sz w:val="20"/>
                <w:szCs w:val="20"/>
                <w:shd w:val="solid" w:color="000000" w:fill="000000"/>
                <w14:textFill>
                  <w14:solidFill>
                    <w14:srgbClr w14:val="000000">
                      <w14:alpha w14:val="100000"/>
                    </w14:srgbClr>
                  </w14:solidFill>
                </w14:textFill>
              </w:rPr>
              <w:t>|</w:t>
            </w:r>
            <w:r w:rsidRPr="00D26534">
              <w:rPr>
                <w:rFonts w:ascii="Arial Narrow" w:hAnsi="Arial Narrow" w:cs="Calibri"/>
                <w:color w:val="000000"/>
                <w:sz w:val="20"/>
                <w:szCs w:val="20"/>
                <w:vertAlign w:val="superscript"/>
              </w:rPr>
              <w:t>g</w:t>
            </w:r>
          </w:p>
        </w:tc>
      </w:tr>
      <w:tr w:rsidR="00754382" w:rsidRPr="00D26534" w14:paraId="2D72EC58" w14:textId="77777777" w:rsidTr="259D127E">
        <w:tc>
          <w:tcPr>
            <w:tcW w:w="9016" w:type="dxa"/>
            <w:gridSpan w:val="3"/>
            <w:shd w:val="clear" w:color="auto" w:fill="auto"/>
            <w:noWrap/>
            <w:vAlign w:val="bottom"/>
          </w:tcPr>
          <w:p w14:paraId="775C5D44" w14:textId="4691C423" w:rsidR="00754382" w:rsidRPr="00D26534" w:rsidRDefault="00754382" w:rsidP="00CA64D7">
            <w:pPr>
              <w:rPr>
                <w:rFonts w:ascii="Arial Narrow" w:hAnsi="Arial Narrow" w:cs="Calibri"/>
                <w:color w:val="000000"/>
                <w:sz w:val="20"/>
                <w:szCs w:val="20"/>
              </w:rPr>
            </w:pPr>
            <w:r w:rsidRPr="259D127E">
              <w:rPr>
                <w:rFonts w:ascii="Arial Narrow" w:hAnsi="Arial Narrow" w:cs="Calibri"/>
                <w:b/>
                <w:bCs/>
                <w:color w:val="000000" w:themeColor="text1"/>
                <w:sz w:val="20"/>
                <w:szCs w:val="20"/>
              </w:rPr>
              <w:t>Receiving retreatment for at least 12 months (</w:t>
            </w:r>
            <w:r w:rsidR="00683384" w:rsidRPr="007A7EF7">
              <w:rPr>
                <w:rFonts w:ascii="Arial Narrow" w:hAnsi="Arial Narrow" w:cs="Calibri"/>
                <w:b/>
                <w:bCs/>
                <w:color w:val="000000" w:themeColor="text1"/>
                <w:spacing w:val="12"/>
                <w:sz w:val="20"/>
                <w:szCs w:val="20"/>
                <w:shd w:val="solid" w:color="000000" w:fill="000000"/>
                <w:fitText w:val="340" w:id="-892700921"/>
                <w14:textFill>
                  <w14:solidFill>
                    <w14:schemeClr w14:val="tx1">
                      <w14:alpha w14:val="100000"/>
                    </w14:schemeClr>
                  </w14:solidFill>
                </w14:textFill>
              </w:rPr>
              <w:t>||  |</w:t>
            </w:r>
            <w:r w:rsidR="00683384" w:rsidRPr="007A7EF7">
              <w:rPr>
                <w:rFonts w:ascii="Arial Narrow" w:hAnsi="Arial Narrow" w:cs="Calibri"/>
                <w:b/>
                <w:bCs/>
                <w:color w:val="000000" w:themeColor="text1"/>
                <w:spacing w:val="5"/>
                <w:sz w:val="20"/>
                <w:szCs w:val="20"/>
                <w:shd w:val="solid" w:color="000000" w:fill="000000"/>
                <w:fitText w:val="340" w:id="-892700921"/>
                <w14:textFill>
                  <w14:solidFill>
                    <w14:schemeClr w14:val="tx1">
                      <w14:alpha w14:val="100000"/>
                    </w14:schemeClr>
                  </w14:solidFill>
                </w14:textFill>
              </w:rPr>
              <w:t>|</w:t>
            </w:r>
            <w:r w:rsidRPr="00E90507">
              <w:rPr>
                <w:rFonts w:ascii="Arial Narrow" w:hAnsi="Arial Narrow" w:cs="Calibri"/>
                <w:b/>
                <w:bCs/>
                <w:color w:val="000000" w:themeColor="text1"/>
                <w:sz w:val="20"/>
                <w:szCs w:val="20"/>
              </w:rPr>
              <w:t>%</w:t>
            </w:r>
            <w:r w:rsidRPr="259D127E">
              <w:rPr>
                <w:rFonts w:ascii="Arial Narrow" w:hAnsi="Arial Narrow" w:cs="Calibri"/>
                <w:b/>
                <w:bCs/>
                <w:color w:val="000000" w:themeColor="text1"/>
                <w:sz w:val="20"/>
                <w:szCs w:val="20"/>
              </w:rPr>
              <w:t xml:space="preserve"> of patients)</w:t>
            </w:r>
          </w:p>
        </w:tc>
      </w:tr>
      <w:tr w:rsidR="003B72A6" w:rsidRPr="00D26534" w14:paraId="459F07CC" w14:textId="77777777" w:rsidTr="259D127E">
        <w:tc>
          <w:tcPr>
            <w:tcW w:w="5665" w:type="dxa"/>
            <w:shd w:val="clear" w:color="auto" w:fill="auto"/>
            <w:noWrap/>
            <w:vAlign w:val="bottom"/>
            <w:hideMark/>
          </w:tcPr>
          <w:p w14:paraId="2CE1C283" w14:textId="77777777" w:rsidR="00754382" w:rsidRPr="00D26534" w:rsidRDefault="00754382" w:rsidP="00CA64D7">
            <w:pPr>
              <w:rPr>
                <w:rFonts w:ascii="Arial Narrow" w:hAnsi="Arial Narrow" w:cs="Calibri"/>
                <w:color w:val="000000"/>
                <w:sz w:val="20"/>
                <w:szCs w:val="20"/>
              </w:rPr>
            </w:pPr>
            <w:r w:rsidRPr="00D26534">
              <w:rPr>
                <w:rFonts w:ascii="Arial Narrow" w:hAnsi="Arial Narrow" w:cs="Calibri"/>
                <w:color w:val="000000"/>
                <w:sz w:val="20"/>
                <w:szCs w:val="20"/>
              </w:rPr>
              <w:t>- Duration of treatment</w:t>
            </w:r>
          </w:p>
        </w:tc>
        <w:tc>
          <w:tcPr>
            <w:tcW w:w="1560" w:type="dxa"/>
            <w:vAlign w:val="center"/>
          </w:tcPr>
          <w:p w14:paraId="6BEFED8F" w14:textId="77777777"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83.6 weeks</w:t>
            </w:r>
            <w:r w:rsidRPr="00D26534">
              <w:rPr>
                <w:rFonts w:ascii="Arial Narrow" w:hAnsi="Arial Narrow" w:cs="Calibri"/>
                <w:color w:val="000000"/>
                <w:sz w:val="20"/>
                <w:szCs w:val="20"/>
                <w:vertAlign w:val="superscript"/>
              </w:rPr>
              <w:t>e</w:t>
            </w:r>
          </w:p>
        </w:tc>
        <w:tc>
          <w:tcPr>
            <w:tcW w:w="1791" w:type="dxa"/>
            <w:vAlign w:val="center"/>
          </w:tcPr>
          <w:p w14:paraId="6E797C36" w14:textId="77777777"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115.72 weeks</w:t>
            </w:r>
            <w:r w:rsidRPr="00D26534">
              <w:rPr>
                <w:rFonts w:ascii="Arial Narrow" w:hAnsi="Arial Narrow" w:cs="Calibri"/>
                <w:color w:val="000000"/>
                <w:sz w:val="20"/>
                <w:szCs w:val="20"/>
                <w:vertAlign w:val="superscript"/>
              </w:rPr>
              <w:t>j</w:t>
            </w:r>
          </w:p>
        </w:tc>
      </w:tr>
      <w:tr w:rsidR="003B72A6" w:rsidRPr="00D26534" w14:paraId="663BC2CE" w14:textId="77777777" w:rsidTr="259D127E">
        <w:tc>
          <w:tcPr>
            <w:tcW w:w="5665" w:type="dxa"/>
            <w:shd w:val="clear" w:color="auto" w:fill="auto"/>
            <w:noWrap/>
            <w:vAlign w:val="bottom"/>
            <w:hideMark/>
          </w:tcPr>
          <w:p w14:paraId="00FAF168" w14:textId="77777777" w:rsidR="00754382" w:rsidRPr="00D26534" w:rsidRDefault="00754382" w:rsidP="00CA64D7">
            <w:pPr>
              <w:rPr>
                <w:rFonts w:ascii="Arial Narrow" w:hAnsi="Arial Narrow" w:cs="Calibri"/>
                <w:color w:val="000000"/>
                <w:sz w:val="20"/>
                <w:szCs w:val="20"/>
              </w:rPr>
            </w:pPr>
            <w:r w:rsidRPr="00D26534">
              <w:rPr>
                <w:rFonts w:ascii="Arial Narrow" w:hAnsi="Arial Narrow" w:cs="Calibri"/>
                <w:color w:val="000000"/>
                <w:sz w:val="20"/>
                <w:szCs w:val="20"/>
              </w:rPr>
              <w:t>- Cost of treatment</w:t>
            </w:r>
          </w:p>
        </w:tc>
        <w:tc>
          <w:tcPr>
            <w:tcW w:w="1560" w:type="dxa"/>
            <w:vAlign w:val="center"/>
          </w:tcPr>
          <w:p w14:paraId="360BE385" w14:textId="10A481C9"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w:t>
            </w:r>
            <w:r w:rsidR="00683384" w:rsidRPr="00683384">
              <w:rPr>
                <w:rFonts w:ascii="Arial Narrow" w:hAnsi="Arial Narrow" w:cs="Calibri"/>
                <w:color w:val="000000"/>
                <w:sz w:val="20"/>
                <w:szCs w:val="20"/>
                <w:shd w:val="solid" w:color="000000" w:fill="000000"/>
                <w14:textFill>
                  <w14:solidFill>
                    <w14:srgbClr w14:val="000000">
                      <w14:alpha w14:val="100000"/>
                    </w14:srgbClr>
                  </w14:solidFill>
                </w14:textFill>
              </w:rPr>
              <w:t>|</w:t>
            </w:r>
            <w:r w:rsidRPr="00D26534">
              <w:rPr>
                <w:rFonts w:ascii="Arial Narrow" w:hAnsi="Arial Narrow" w:cs="Calibri"/>
                <w:color w:val="000000"/>
                <w:sz w:val="20"/>
                <w:szCs w:val="20"/>
                <w:vertAlign w:val="superscript"/>
              </w:rPr>
              <w:t>b</w:t>
            </w:r>
          </w:p>
        </w:tc>
        <w:tc>
          <w:tcPr>
            <w:tcW w:w="1791" w:type="dxa"/>
            <w:vAlign w:val="center"/>
          </w:tcPr>
          <w:p w14:paraId="01243CC3" w14:textId="4211D6D7" w:rsidR="00754382" w:rsidRPr="00D26534" w:rsidRDefault="00754382" w:rsidP="00CA64D7">
            <w:pPr>
              <w:jc w:val="center"/>
              <w:rPr>
                <w:rFonts w:ascii="Arial Narrow" w:hAnsi="Arial Narrow" w:cs="Calibri"/>
                <w:color w:val="000000"/>
                <w:sz w:val="20"/>
                <w:szCs w:val="20"/>
              </w:rPr>
            </w:pPr>
            <w:r w:rsidRPr="00D26534">
              <w:rPr>
                <w:rFonts w:ascii="Arial Narrow" w:hAnsi="Arial Narrow" w:cs="Calibri"/>
                <w:color w:val="000000"/>
                <w:sz w:val="20"/>
                <w:szCs w:val="20"/>
              </w:rPr>
              <w:t>$</w:t>
            </w:r>
            <w:r w:rsidR="00683384" w:rsidRPr="00683384">
              <w:rPr>
                <w:rFonts w:ascii="Arial Narrow" w:hAnsi="Arial Narrow" w:cs="Calibri"/>
                <w:color w:val="000000"/>
                <w:sz w:val="20"/>
                <w:szCs w:val="20"/>
                <w:shd w:val="solid" w:color="000000" w:fill="000000"/>
                <w14:textFill>
                  <w14:solidFill>
                    <w14:srgbClr w14:val="000000">
                      <w14:alpha w14:val="100000"/>
                    </w14:srgbClr>
                  </w14:solidFill>
                </w14:textFill>
              </w:rPr>
              <w:t>|</w:t>
            </w:r>
            <w:r w:rsidRPr="00D26534">
              <w:rPr>
                <w:rFonts w:ascii="Arial Narrow" w:hAnsi="Arial Narrow" w:cs="Calibri"/>
                <w:color w:val="000000"/>
                <w:sz w:val="20"/>
                <w:szCs w:val="20"/>
                <w:vertAlign w:val="superscript"/>
              </w:rPr>
              <w:t>g</w:t>
            </w:r>
          </w:p>
        </w:tc>
      </w:tr>
      <w:tr w:rsidR="00754382" w:rsidRPr="00D26534" w14:paraId="19BD05A2" w14:textId="77777777" w:rsidTr="259D127E">
        <w:tc>
          <w:tcPr>
            <w:tcW w:w="9016" w:type="dxa"/>
            <w:gridSpan w:val="3"/>
            <w:shd w:val="clear" w:color="auto" w:fill="auto"/>
            <w:noWrap/>
            <w:vAlign w:val="bottom"/>
          </w:tcPr>
          <w:p w14:paraId="1DAD3AFF" w14:textId="77777777" w:rsidR="00754382" w:rsidRPr="00D26534" w:rsidRDefault="00754382" w:rsidP="00CA64D7">
            <w:pPr>
              <w:rPr>
                <w:rFonts w:ascii="Arial Narrow" w:hAnsi="Arial Narrow" w:cs="Calibri"/>
                <w:b/>
                <w:bCs/>
                <w:smallCaps/>
                <w:color w:val="000000"/>
                <w:sz w:val="20"/>
                <w:szCs w:val="20"/>
              </w:rPr>
            </w:pPr>
            <w:r w:rsidRPr="00D26534">
              <w:rPr>
                <w:rFonts w:ascii="Arial Narrow" w:hAnsi="Arial Narrow" w:cs="Calibri"/>
                <w:b/>
                <w:bCs/>
                <w:smallCaps/>
                <w:color w:val="000000"/>
                <w:sz w:val="20"/>
                <w:szCs w:val="20"/>
              </w:rPr>
              <w:t>Total</w:t>
            </w:r>
          </w:p>
        </w:tc>
      </w:tr>
      <w:tr w:rsidR="003B72A6" w:rsidRPr="00D26534" w14:paraId="40F8A550" w14:textId="77777777" w:rsidTr="259D127E">
        <w:tc>
          <w:tcPr>
            <w:tcW w:w="5665" w:type="dxa"/>
            <w:shd w:val="clear" w:color="auto" w:fill="auto"/>
            <w:noWrap/>
            <w:vAlign w:val="bottom"/>
          </w:tcPr>
          <w:p w14:paraId="038DC5C9" w14:textId="77777777" w:rsidR="00754382" w:rsidRPr="00D26534" w:rsidRDefault="00754382" w:rsidP="00CA64D7">
            <w:pPr>
              <w:rPr>
                <w:rFonts w:ascii="Arial Narrow" w:hAnsi="Arial Narrow" w:cs="Calibri"/>
                <w:b/>
                <w:bCs/>
                <w:color w:val="000000"/>
                <w:sz w:val="20"/>
                <w:szCs w:val="20"/>
              </w:rPr>
            </w:pPr>
            <w:r w:rsidRPr="00D26534">
              <w:rPr>
                <w:rFonts w:ascii="Arial Narrow" w:hAnsi="Arial Narrow" w:cs="Calibri"/>
                <w:b/>
                <w:bCs/>
                <w:color w:val="000000"/>
                <w:sz w:val="20"/>
                <w:szCs w:val="20"/>
              </w:rPr>
              <w:t>Average cost per patient (including initial treatment and retreatment)</w:t>
            </w:r>
          </w:p>
        </w:tc>
        <w:tc>
          <w:tcPr>
            <w:tcW w:w="1560" w:type="dxa"/>
            <w:vAlign w:val="center"/>
          </w:tcPr>
          <w:p w14:paraId="70E970C1" w14:textId="024E73A7" w:rsidR="00754382" w:rsidRPr="00D26534" w:rsidRDefault="00754382" w:rsidP="00CA64D7">
            <w:pPr>
              <w:jc w:val="center"/>
              <w:rPr>
                <w:rFonts w:ascii="Arial Narrow" w:hAnsi="Arial Narrow" w:cs="Calibri"/>
                <w:b/>
                <w:bCs/>
                <w:color w:val="000000"/>
                <w:sz w:val="20"/>
                <w:szCs w:val="20"/>
              </w:rPr>
            </w:pPr>
            <w:r w:rsidRPr="00D26534">
              <w:rPr>
                <w:rFonts w:ascii="Arial Narrow" w:hAnsi="Arial Narrow" w:cs="Calibri"/>
                <w:b/>
                <w:bCs/>
                <w:color w:val="000000"/>
                <w:sz w:val="20"/>
                <w:szCs w:val="20"/>
              </w:rPr>
              <w:t>$</w:t>
            </w:r>
            <w:r w:rsidR="00683384" w:rsidRPr="00683384">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Pr="00D26534">
              <w:rPr>
                <w:rFonts w:ascii="Arial Narrow" w:hAnsi="Arial Narrow" w:cs="Calibri"/>
                <w:b/>
                <w:bCs/>
                <w:color w:val="000000"/>
                <w:sz w:val="20"/>
                <w:szCs w:val="20"/>
                <w:vertAlign w:val="superscript"/>
              </w:rPr>
              <w:t>b</w:t>
            </w:r>
          </w:p>
        </w:tc>
        <w:tc>
          <w:tcPr>
            <w:tcW w:w="1791" w:type="dxa"/>
            <w:vAlign w:val="center"/>
          </w:tcPr>
          <w:p w14:paraId="469799EB" w14:textId="46A79B23" w:rsidR="00754382" w:rsidRPr="00D26534" w:rsidRDefault="00754382" w:rsidP="00CA64D7">
            <w:pPr>
              <w:jc w:val="center"/>
              <w:rPr>
                <w:rFonts w:ascii="Arial Narrow" w:hAnsi="Arial Narrow" w:cs="Calibri"/>
                <w:b/>
                <w:bCs/>
                <w:color w:val="000000"/>
                <w:sz w:val="20"/>
                <w:szCs w:val="20"/>
              </w:rPr>
            </w:pPr>
            <w:r w:rsidRPr="259D127E">
              <w:rPr>
                <w:rFonts w:ascii="Arial Narrow" w:hAnsi="Arial Narrow" w:cs="Calibri"/>
                <w:b/>
                <w:bCs/>
                <w:color w:val="000000" w:themeColor="text1"/>
                <w:sz w:val="20"/>
                <w:szCs w:val="20"/>
              </w:rPr>
              <w:t>$</w:t>
            </w:r>
            <w:r w:rsidR="00683384" w:rsidRPr="00683384">
              <w:rPr>
                <w:rFonts w:ascii="Arial Narrow" w:hAnsi="Arial Narrow" w:cs="Calibri"/>
                <w:b/>
                <w:bCs/>
                <w:color w:val="000000" w:themeColor="text1"/>
                <w:sz w:val="20"/>
                <w:szCs w:val="20"/>
                <w:shd w:val="solid" w:color="000000" w:fill="000000"/>
                <w14:textFill>
                  <w14:solidFill>
                    <w14:schemeClr w14:val="tx1">
                      <w14:alpha w14:val="100000"/>
                    </w14:schemeClr>
                  </w14:solidFill>
                </w14:textFill>
              </w:rPr>
              <w:t>|</w:t>
            </w:r>
            <w:r w:rsidRPr="259D127E">
              <w:rPr>
                <w:rFonts w:ascii="Arial Narrow" w:hAnsi="Arial Narrow" w:cs="Calibri"/>
                <w:b/>
                <w:bCs/>
                <w:color w:val="000000" w:themeColor="text1"/>
                <w:sz w:val="20"/>
                <w:szCs w:val="20"/>
                <w:vertAlign w:val="superscript"/>
              </w:rPr>
              <w:t>k</w:t>
            </w:r>
          </w:p>
        </w:tc>
      </w:tr>
    </w:tbl>
    <w:p w14:paraId="1DEAB8D8" w14:textId="77777777" w:rsidR="00754382" w:rsidRPr="00D26534" w:rsidRDefault="00754382" w:rsidP="00754382">
      <w:pPr>
        <w:pStyle w:val="TableFigureFooter"/>
      </w:pPr>
      <w:r w:rsidRPr="00D26534">
        <w:t>Source: Constructed during the evaluation based on ‘Attachment 3.4 – Esketamine TRD CE Retreatment model’ spreadsheet; and ‘Attachment 4.1 Esketamine UCM March 2024’ spreadsheet</w:t>
      </w:r>
    </w:p>
    <w:p w14:paraId="50C1F495" w14:textId="4A9262A6" w:rsidR="00754382" w:rsidRPr="00D26534" w:rsidRDefault="006F62CE" w:rsidP="00754382">
      <w:pPr>
        <w:pStyle w:val="TableFigureFooter"/>
      </w:pPr>
      <w:bookmarkStart w:id="56" w:name="_Hlk167130345"/>
      <w:r w:rsidRPr="00D26534">
        <w:t>Note: The private hospital/community access DPMQs in the resubmission were incorrectly calculated and were not corrected in the economic model and financial implications.</w:t>
      </w:r>
      <w:r w:rsidRPr="00D26534" w:rsidDel="006F62CE">
        <w:t xml:space="preserve"> </w:t>
      </w:r>
    </w:p>
    <w:bookmarkEnd w:id="56"/>
    <w:p w14:paraId="3BD0E839" w14:textId="6290E30F" w:rsidR="00754382" w:rsidRPr="00D26534" w:rsidRDefault="00754382" w:rsidP="00754382">
      <w:pPr>
        <w:pStyle w:val="TableFigureFooter"/>
      </w:pPr>
      <w:r w:rsidRPr="259D127E">
        <w:rPr>
          <w:vertAlign w:val="superscript"/>
        </w:rPr>
        <w:t xml:space="preserve">a </w:t>
      </w:r>
      <w:r>
        <w:t>Based on the proportion of patients in on-treatment health states for initial treatment over the first year (13 cycles) of the economic model, adjusted to remove patients who continued treatment beyond 12 months (</w:t>
      </w:r>
      <w:r w:rsidR="00683384" w:rsidRPr="007A7EF7">
        <w:rPr>
          <w:color w:val="000000"/>
          <w:spacing w:val="37"/>
          <w:shd w:val="solid" w:color="000000" w:fill="000000"/>
          <w:fitText w:val="270" w:id="-892700920"/>
          <w14:textFill>
            <w14:solidFill>
              <w14:srgbClr w14:val="000000">
                <w14:alpha w14:val="100000"/>
              </w14:srgbClr>
            </w14:solidFill>
          </w14:textFill>
        </w:rPr>
        <w:t xml:space="preserve">|  </w:t>
      </w:r>
      <w:r w:rsidR="00683384" w:rsidRPr="007A7EF7">
        <w:rPr>
          <w:color w:val="000000"/>
          <w:spacing w:val="1"/>
          <w:shd w:val="solid" w:color="000000" w:fill="000000"/>
          <w:fitText w:val="270" w:id="-892700920"/>
          <w14:textFill>
            <w14:solidFill>
              <w14:srgbClr w14:val="000000">
                <w14:alpha w14:val="100000"/>
              </w14:srgbClr>
            </w14:solidFill>
          </w14:textFill>
        </w:rPr>
        <w:t>|</w:t>
      </w:r>
      <w:r>
        <w:t>%).</w:t>
      </w:r>
    </w:p>
    <w:p w14:paraId="5869A25B" w14:textId="761062AB" w:rsidR="00754382" w:rsidRPr="00D26534" w:rsidRDefault="00754382" w:rsidP="00754382">
      <w:pPr>
        <w:pStyle w:val="TableFigureFooter"/>
      </w:pPr>
      <w:r w:rsidRPr="00D26534">
        <w:rPr>
          <w:vertAlign w:val="superscript"/>
        </w:rPr>
        <w:t xml:space="preserve">b </w:t>
      </w:r>
      <w:r w:rsidR="00A8294D" w:rsidRPr="00D26534">
        <w:t>B</w:t>
      </w:r>
      <w:r w:rsidRPr="00D26534">
        <w:t>ased on output of the economic model.</w:t>
      </w:r>
    </w:p>
    <w:p w14:paraId="67865A1E" w14:textId="7EA2EF58" w:rsidR="00754382" w:rsidRPr="00D26534" w:rsidRDefault="00754382" w:rsidP="00754382">
      <w:pPr>
        <w:pStyle w:val="TableFigureFooter"/>
      </w:pPr>
      <w:r w:rsidRPr="259D127E">
        <w:rPr>
          <w:vertAlign w:val="superscript"/>
        </w:rPr>
        <w:t xml:space="preserve">c </w:t>
      </w:r>
      <w:r>
        <w:t>Based on the proportion of patients in on-treatment health states for initial treatment from cycle 14 of the economic model; adjusted for the proportion of patients who continued treatment beyond 12 months (</w:t>
      </w:r>
      <w:r w:rsidR="00683384" w:rsidRPr="007A7EF7">
        <w:rPr>
          <w:color w:val="000000"/>
          <w:spacing w:val="37"/>
          <w:shd w:val="solid" w:color="000000" w:fill="000000"/>
          <w:fitText w:val="270" w:id="-892700919"/>
          <w14:textFill>
            <w14:solidFill>
              <w14:srgbClr w14:val="000000">
                <w14:alpha w14:val="100000"/>
              </w14:srgbClr>
            </w14:solidFill>
          </w14:textFill>
        </w:rPr>
        <w:t xml:space="preserve">|  </w:t>
      </w:r>
      <w:r w:rsidR="00683384" w:rsidRPr="007A7EF7">
        <w:rPr>
          <w:color w:val="000000"/>
          <w:spacing w:val="1"/>
          <w:shd w:val="solid" w:color="000000" w:fill="000000"/>
          <w:fitText w:val="270" w:id="-892700919"/>
          <w14:textFill>
            <w14:solidFill>
              <w14:srgbClr w14:val="000000">
                <w14:alpha w14:val="100000"/>
              </w14:srgbClr>
            </w14:solidFill>
          </w14:textFill>
        </w:rPr>
        <w:t>|</w:t>
      </w:r>
      <w:r>
        <w:t>%); plus 52 weeks of treatment in the first year (13 cycles).</w:t>
      </w:r>
    </w:p>
    <w:p w14:paraId="283C21AB" w14:textId="3BA297DA" w:rsidR="00754382" w:rsidRPr="00D26534" w:rsidRDefault="00754382" w:rsidP="00754382">
      <w:pPr>
        <w:pStyle w:val="TableFigureFooter"/>
      </w:pPr>
      <w:r w:rsidRPr="259D127E">
        <w:rPr>
          <w:vertAlign w:val="superscript"/>
        </w:rPr>
        <w:t xml:space="preserve">d </w:t>
      </w:r>
      <w:r>
        <w:t>Based on the proportion of patients in on-treatment health states for retreatment treatment over the first year (13 cycles) of the economic model, adjusted to remove patients who continued treatment beyond 12 months (</w:t>
      </w:r>
      <w:r w:rsidR="00683384" w:rsidRPr="007A7EF7">
        <w:rPr>
          <w:color w:val="000000"/>
          <w:spacing w:val="40"/>
          <w:shd w:val="solid" w:color="000000" w:fill="000000"/>
          <w:fitText w:val="280" w:id="-892700918"/>
          <w14:textFill>
            <w14:solidFill>
              <w14:srgbClr w14:val="000000">
                <w14:alpha w14:val="100000"/>
              </w14:srgbClr>
            </w14:solidFill>
          </w14:textFill>
        </w:rPr>
        <w:t xml:space="preserve">|  </w:t>
      </w:r>
      <w:r w:rsidR="00683384" w:rsidRPr="007A7EF7">
        <w:rPr>
          <w:color w:val="000000"/>
          <w:spacing w:val="2"/>
          <w:shd w:val="solid" w:color="000000" w:fill="000000"/>
          <w:fitText w:val="280" w:id="-892700918"/>
          <w14:textFill>
            <w14:solidFill>
              <w14:srgbClr w14:val="000000">
                <w14:alpha w14:val="100000"/>
              </w14:srgbClr>
            </w14:solidFill>
          </w14:textFill>
        </w:rPr>
        <w:t>|</w:t>
      </w:r>
      <w:r>
        <w:t>%); adjusted for the proportion of patients receiving retreatment (22%).</w:t>
      </w:r>
    </w:p>
    <w:p w14:paraId="25E45EC3" w14:textId="527A314C" w:rsidR="00754382" w:rsidRPr="00D26534" w:rsidRDefault="00754382" w:rsidP="00754382">
      <w:pPr>
        <w:pStyle w:val="TableFigureFooter"/>
      </w:pPr>
      <w:r w:rsidRPr="259D127E">
        <w:rPr>
          <w:vertAlign w:val="superscript"/>
        </w:rPr>
        <w:t xml:space="preserve">e </w:t>
      </w:r>
      <w:r>
        <w:t>Based on the proportion of patients in on-treatment health states for retreatment from cycle 14 of the economic model; adjusted for the proportion of patients who continued treatment beyond 12 months (</w:t>
      </w:r>
      <w:r w:rsidR="00683384" w:rsidRPr="007A7EF7">
        <w:rPr>
          <w:color w:val="000000"/>
          <w:spacing w:val="37"/>
          <w:shd w:val="solid" w:color="000000" w:fill="000000"/>
          <w:fitText w:val="270" w:id="-892700917"/>
          <w14:textFill>
            <w14:solidFill>
              <w14:srgbClr w14:val="000000">
                <w14:alpha w14:val="100000"/>
              </w14:srgbClr>
            </w14:solidFill>
          </w14:textFill>
        </w:rPr>
        <w:t xml:space="preserve">|  </w:t>
      </w:r>
      <w:r w:rsidR="00683384" w:rsidRPr="007A7EF7">
        <w:rPr>
          <w:color w:val="000000"/>
          <w:spacing w:val="1"/>
          <w:shd w:val="solid" w:color="000000" w:fill="000000"/>
          <w:fitText w:val="270" w:id="-892700917"/>
          <w14:textFill>
            <w14:solidFill>
              <w14:srgbClr w14:val="000000">
                <w14:alpha w14:val="100000"/>
              </w14:srgbClr>
            </w14:solidFill>
          </w14:textFill>
        </w:rPr>
        <w:t>|</w:t>
      </w:r>
      <w:r>
        <w:t>%); plus 52 weeks of treatment in the first year (13 cycles); adjusted for the proportion of patients receiving retreatment (</w:t>
      </w:r>
      <w:r w:rsidR="00683384" w:rsidRPr="007A7EF7">
        <w:rPr>
          <w:color w:val="000000"/>
          <w:spacing w:val="40"/>
          <w:shd w:val="solid" w:color="000000" w:fill="000000"/>
          <w:fitText w:val="280" w:id="-892700916"/>
          <w14:textFill>
            <w14:solidFill>
              <w14:srgbClr w14:val="000000">
                <w14:alpha w14:val="100000"/>
              </w14:srgbClr>
            </w14:solidFill>
          </w14:textFill>
        </w:rPr>
        <w:t xml:space="preserve">|  </w:t>
      </w:r>
      <w:r w:rsidR="00683384" w:rsidRPr="007A7EF7">
        <w:rPr>
          <w:color w:val="000000"/>
          <w:spacing w:val="2"/>
          <w:shd w:val="solid" w:color="000000" w:fill="000000"/>
          <w:fitText w:val="280" w:id="-892700916"/>
          <w14:textFill>
            <w14:solidFill>
              <w14:srgbClr w14:val="000000">
                <w14:alpha w14:val="100000"/>
              </w14:srgbClr>
            </w14:solidFill>
          </w14:textFill>
        </w:rPr>
        <w:t>|</w:t>
      </w:r>
      <w:r>
        <w:t>%).</w:t>
      </w:r>
    </w:p>
    <w:p w14:paraId="451416D0" w14:textId="77777777" w:rsidR="00754382" w:rsidRPr="00D26534" w:rsidRDefault="00754382" w:rsidP="00754382">
      <w:pPr>
        <w:pStyle w:val="TableFigureFooter"/>
      </w:pPr>
      <w:r w:rsidRPr="00D26534">
        <w:rPr>
          <w:vertAlign w:val="superscript"/>
        </w:rPr>
        <w:t xml:space="preserve">f </w:t>
      </w:r>
      <w:r w:rsidRPr="00D26534">
        <w:t>Stated to be based on output from the economic model. The resubmission’s estimate differed from that derived from the economic model (22.78 weeks; average duration of treatment in the first 12 months of the model) and did not adjust for the proportion of patients who received treatment for beyond 12 months.</w:t>
      </w:r>
    </w:p>
    <w:p w14:paraId="2EBBF757" w14:textId="781196CD" w:rsidR="00754382" w:rsidRPr="00D26534" w:rsidRDefault="00754382" w:rsidP="00754382">
      <w:pPr>
        <w:pStyle w:val="TableFigureFooter"/>
      </w:pPr>
      <w:r w:rsidRPr="00D26534">
        <w:rPr>
          <w:vertAlign w:val="superscript"/>
        </w:rPr>
        <w:t xml:space="preserve">g </w:t>
      </w:r>
      <w:r w:rsidRPr="00D26534">
        <w:t xml:space="preserve">Based on the number of scripts (initial, week 1-4; continuing, week 5-8; continuing, week 9+) derived from the duration of treatment, multiplied by the corresponding adherence rate and esketamine cost per script (see </w:t>
      </w:r>
      <w:r w:rsidR="006C6A71" w:rsidRPr="00D26534">
        <w:fldChar w:fldCharType="begin" w:fldLock="1"/>
      </w:r>
      <w:r w:rsidR="006C6A71" w:rsidRPr="00D26534">
        <w:instrText xml:space="preserve"> REF _Ref104805262 \h </w:instrText>
      </w:r>
      <w:r w:rsidR="00D26534" w:rsidRPr="00D26534">
        <w:instrText xml:space="preserve"> \* MERGEFORMAT </w:instrText>
      </w:r>
      <w:r w:rsidR="006C6A71" w:rsidRPr="00D26534">
        <w:fldChar w:fldCharType="separate"/>
      </w:r>
      <w:r w:rsidR="002B3C60" w:rsidRPr="00D26534">
        <w:t xml:space="preserve">Table </w:t>
      </w:r>
      <w:r w:rsidR="002B3C60">
        <w:rPr>
          <w:noProof/>
        </w:rPr>
        <w:t>17</w:t>
      </w:r>
      <w:r w:rsidR="006C6A71" w:rsidRPr="00D26534">
        <w:fldChar w:fldCharType="end"/>
      </w:r>
      <w:r w:rsidR="006C6A71" w:rsidRPr="00D26534">
        <w:t xml:space="preserve"> below)</w:t>
      </w:r>
      <w:r w:rsidRPr="00D26534">
        <w:t>.</w:t>
      </w:r>
    </w:p>
    <w:p w14:paraId="7C0C8CE8" w14:textId="4E14233E" w:rsidR="00754382" w:rsidRPr="00D26534" w:rsidRDefault="00754382" w:rsidP="00754382">
      <w:pPr>
        <w:pStyle w:val="TableFigureFooter"/>
      </w:pPr>
      <w:r w:rsidRPr="259D127E">
        <w:rPr>
          <w:vertAlign w:val="superscript"/>
        </w:rPr>
        <w:t xml:space="preserve">h </w:t>
      </w:r>
      <w:r>
        <w:t xml:space="preserve">Based on output from the economic model, adjusted for the proportion of patients who continued treatment from cycle 14 of the economic model (13.04%) rather than the </w:t>
      </w:r>
      <w:r w:rsidR="00683384" w:rsidRPr="007A7EF7">
        <w:rPr>
          <w:color w:val="000000"/>
          <w:spacing w:val="40"/>
          <w:shd w:val="solid" w:color="000000" w:fill="000000"/>
          <w:fitText w:val="280" w:id="-892700915"/>
          <w14:textFill>
            <w14:solidFill>
              <w14:srgbClr w14:val="000000">
                <w14:alpha w14:val="100000"/>
              </w14:srgbClr>
            </w14:solidFill>
          </w14:textFill>
        </w:rPr>
        <w:t xml:space="preserve">|  </w:t>
      </w:r>
      <w:r w:rsidR="00683384" w:rsidRPr="007A7EF7">
        <w:rPr>
          <w:color w:val="000000"/>
          <w:spacing w:val="2"/>
          <w:shd w:val="solid" w:color="000000" w:fill="000000"/>
          <w:fitText w:val="280" w:id="-892700915"/>
          <w14:textFill>
            <w14:solidFill>
              <w14:srgbClr w14:val="000000">
                <w14:alpha w14:val="100000"/>
              </w14:srgbClr>
            </w14:solidFill>
          </w14:textFill>
        </w:rPr>
        <w:t>|</w:t>
      </w:r>
      <w:r>
        <w:t>% of patients who received treatment for at least 12 months (the difference is due to a proportion of patients dying or discontinuing treatment between cycles 13 and 14).</w:t>
      </w:r>
    </w:p>
    <w:p w14:paraId="0886AB5A" w14:textId="77777777" w:rsidR="00754382" w:rsidRPr="00D26534" w:rsidRDefault="00754382" w:rsidP="00754382">
      <w:pPr>
        <w:pStyle w:val="TableFigureFooter"/>
      </w:pPr>
      <w:r w:rsidRPr="00D26534">
        <w:rPr>
          <w:vertAlign w:val="superscript"/>
        </w:rPr>
        <w:t xml:space="preserve">i </w:t>
      </w:r>
      <w:r w:rsidRPr="00D26534">
        <w:t>The proportion of patients initiating esketamine treatment in Year 1 who are retreated over the 6 year utilisation and cost model; calculated using a cohort approach, for consistency with the economic model.</w:t>
      </w:r>
    </w:p>
    <w:p w14:paraId="316853F8" w14:textId="0EC42E81" w:rsidR="00754382" w:rsidRPr="00D26534" w:rsidRDefault="00754382" w:rsidP="00754382">
      <w:pPr>
        <w:pStyle w:val="TableFigureFooter"/>
      </w:pPr>
      <w:r w:rsidRPr="259D127E">
        <w:rPr>
          <w:vertAlign w:val="superscript"/>
        </w:rPr>
        <w:t xml:space="preserve">j </w:t>
      </w:r>
      <w:r>
        <w:t xml:space="preserve">Assumed to be </w:t>
      </w:r>
      <w:r w:rsidR="00683384" w:rsidRPr="007A7EF7">
        <w:rPr>
          <w:color w:val="000000"/>
          <w:spacing w:val="40"/>
          <w:shd w:val="solid" w:color="000000" w:fill="000000"/>
          <w:fitText w:val="280" w:id="-892700914"/>
          <w14:textFill>
            <w14:solidFill>
              <w14:srgbClr w14:val="000000">
                <w14:alpha w14:val="100000"/>
              </w14:srgbClr>
            </w14:solidFill>
          </w14:textFill>
        </w:rPr>
        <w:t xml:space="preserve">|  </w:t>
      </w:r>
      <w:r w:rsidR="00683384" w:rsidRPr="007A7EF7">
        <w:rPr>
          <w:color w:val="000000"/>
          <w:spacing w:val="2"/>
          <w:shd w:val="solid" w:color="000000" w:fill="000000"/>
          <w:fitText w:val="280" w:id="-892700914"/>
          <w14:textFill>
            <w14:solidFill>
              <w14:srgbClr w14:val="000000">
                <w14:alpha w14:val="100000"/>
              </w14:srgbClr>
            </w14:solidFill>
          </w14:textFill>
        </w:rPr>
        <w:t>|</w:t>
      </w:r>
      <w:r>
        <w:t>% of the duration of treatment used for initial treatment.</w:t>
      </w:r>
    </w:p>
    <w:p w14:paraId="0A6A1462" w14:textId="77777777" w:rsidR="00754382" w:rsidRPr="00D26534" w:rsidRDefault="00754382" w:rsidP="00754382">
      <w:pPr>
        <w:pStyle w:val="TableFigureFooter"/>
      </w:pPr>
      <w:r w:rsidRPr="00D26534">
        <w:rPr>
          <w:vertAlign w:val="superscript"/>
        </w:rPr>
        <w:t xml:space="preserve">k </w:t>
      </w:r>
      <w:r w:rsidRPr="00D26534">
        <w:t>Weighted average based on the proportions of patients in each category and costs of treatment for each patient category.</w:t>
      </w:r>
    </w:p>
    <w:p w14:paraId="268768EF" w14:textId="49974A07" w:rsidR="00B60939" w:rsidRPr="00043790" w:rsidRDefault="00B60939" w:rsidP="002B05A1">
      <w:pPr>
        <w:pStyle w:val="COMH2-non-numbered"/>
      </w:pPr>
      <w:bookmarkStart w:id="57" w:name="_Toc22897647"/>
      <w:bookmarkStart w:id="58" w:name="_Toc167274379"/>
      <w:r w:rsidRPr="00043790">
        <w:t>Estimated PBS usage &amp; financial implications</w:t>
      </w:r>
      <w:bookmarkEnd w:id="57"/>
      <w:bookmarkEnd w:id="58"/>
    </w:p>
    <w:p w14:paraId="16EF4367" w14:textId="48FF0EDB" w:rsidR="002B05A1" w:rsidRPr="00FB181C" w:rsidRDefault="00C25D9C" w:rsidP="00FB181C">
      <w:pPr>
        <w:pStyle w:val="ListParagraph"/>
        <w:numPr>
          <w:ilvl w:val="1"/>
          <w:numId w:val="1"/>
        </w:numPr>
        <w:spacing w:after="120"/>
        <w:ind w:hanging="720"/>
        <w:contextualSpacing w:val="0"/>
        <w:rPr>
          <w:rFonts w:cs="Calibri"/>
          <w:bCs/>
          <w:iCs/>
        </w:rPr>
      </w:pPr>
      <w:r w:rsidRPr="00FB181C">
        <w:rPr>
          <w:rFonts w:cs="Calibri"/>
          <w:bCs/>
          <w:iCs/>
        </w:rPr>
        <w:t>Th</w:t>
      </w:r>
      <w:r w:rsidR="00D93EAD" w:rsidRPr="00FB181C">
        <w:rPr>
          <w:rFonts w:cs="Calibri"/>
          <w:bCs/>
          <w:iCs/>
        </w:rPr>
        <w:t>e</w:t>
      </w:r>
      <w:r w:rsidRPr="00FB181C">
        <w:rPr>
          <w:rFonts w:cs="Calibri"/>
          <w:bCs/>
          <w:iCs/>
        </w:rPr>
        <w:t xml:space="preserve"> </w:t>
      </w:r>
      <w:r w:rsidR="00D93EAD" w:rsidRPr="00FB181C">
        <w:rPr>
          <w:rFonts w:cs="Calibri"/>
          <w:bCs/>
          <w:iCs/>
        </w:rPr>
        <w:t>re</w:t>
      </w:r>
      <w:r w:rsidRPr="00FB181C">
        <w:rPr>
          <w:rFonts w:cs="Calibri"/>
          <w:bCs/>
          <w:iCs/>
        </w:rPr>
        <w:t xml:space="preserve">submission </w:t>
      </w:r>
      <w:r w:rsidR="00B201A4" w:rsidRPr="00FB181C">
        <w:rPr>
          <w:rFonts w:cs="Calibri"/>
          <w:bCs/>
          <w:iCs/>
        </w:rPr>
        <w:t>w</w:t>
      </w:r>
      <w:r w:rsidR="000F7EE0">
        <w:rPr>
          <w:rFonts w:cs="Calibri"/>
          <w:bCs/>
          <w:iCs/>
        </w:rPr>
        <w:t xml:space="preserve">as </w:t>
      </w:r>
      <w:r w:rsidRPr="00FB181C">
        <w:rPr>
          <w:rFonts w:cs="Calibri"/>
          <w:bCs/>
          <w:iCs/>
        </w:rPr>
        <w:t>not considered by DUSC.</w:t>
      </w:r>
      <w:r w:rsidR="00BC591F" w:rsidRPr="00FB181C">
        <w:rPr>
          <w:rFonts w:cs="Calibri"/>
          <w:bCs/>
          <w:iCs/>
        </w:rPr>
        <w:t xml:space="preserve"> </w:t>
      </w:r>
      <w:r w:rsidR="003330C2" w:rsidRPr="00FB181C">
        <w:rPr>
          <w:rFonts w:cs="Calibri"/>
          <w:bCs/>
          <w:iCs/>
        </w:rPr>
        <w:t>The resubmission used a market share approach to estimate the utilisation and financial impacts associated with the PBS listing of esketamine for TRD. Key changes in the financial model in the resubmission include:</w:t>
      </w:r>
    </w:p>
    <w:p w14:paraId="3CAF4095" w14:textId="64C01D4F" w:rsidR="003330C2" w:rsidRPr="00D26534" w:rsidRDefault="004F5EBB" w:rsidP="00BD1946">
      <w:pPr>
        <w:pStyle w:val="COMexecsummbulletlist"/>
        <w:ind w:left="1077" w:hanging="357"/>
      </w:pPr>
      <w:r w:rsidRPr="00D26534">
        <w:lastRenderedPageBreak/>
        <w:t xml:space="preserve">Extrapolation of DUSC PBS 100% sample analysis to </w:t>
      </w:r>
      <w:r w:rsidR="009F0C73" w:rsidRPr="00D26534">
        <w:t>the years of listing covered by the current resubmission (2025-2030).</w:t>
      </w:r>
    </w:p>
    <w:p w14:paraId="38F6D3FC" w14:textId="42A3585B" w:rsidR="009F0C73" w:rsidRPr="00D26534" w:rsidRDefault="00AA68A3" w:rsidP="00BD1946">
      <w:pPr>
        <w:pStyle w:val="COMexecsummbulletlist"/>
        <w:ind w:left="1077" w:hanging="357"/>
      </w:pPr>
      <w:r w:rsidRPr="00D26534">
        <w:t>Addition of a 1% year on year growth rate for patients in the psychiatry setting</w:t>
      </w:r>
      <w:r w:rsidR="00DF2099" w:rsidRPr="00D26534">
        <w:t>.</w:t>
      </w:r>
    </w:p>
    <w:p w14:paraId="7AD42B74" w14:textId="38C3E39F" w:rsidR="00AA68A3" w:rsidRPr="00D26534" w:rsidRDefault="000936BB" w:rsidP="00BD1946">
      <w:pPr>
        <w:pStyle w:val="COMexecsummbulletlist"/>
        <w:ind w:left="1077" w:hanging="357"/>
      </w:pPr>
      <w:r w:rsidRPr="00D26534">
        <w:t xml:space="preserve">Reduction in number of </w:t>
      </w:r>
      <w:r w:rsidR="00AA5609" w:rsidRPr="00D26534">
        <w:t>g</w:t>
      </w:r>
      <w:r w:rsidRPr="00D26534">
        <w:t>randfathered patients</w:t>
      </w:r>
      <w:r w:rsidR="00191408" w:rsidRPr="00D26534">
        <w:t>.</w:t>
      </w:r>
    </w:p>
    <w:p w14:paraId="4006BAA8" w14:textId="745A4180" w:rsidR="000936BB" w:rsidRPr="00D26534" w:rsidRDefault="000936BB" w:rsidP="00BD1946">
      <w:pPr>
        <w:pStyle w:val="COMexecsummbulletlist"/>
        <w:ind w:left="1077" w:hanging="357"/>
      </w:pPr>
      <w:r w:rsidRPr="00D26534">
        <w:t xml:space="preserve">Reduced </w:t>
      </w:r>
      <w:r w:rsidR="00533C22" w:rsidRPr="00D26534">
        <w:t xml:space="preserve">uptake rates (average </w:t>
      </w:r>
      <w:r w:rsidR="00563420" w:rsidRPr="00D26534">
        <w:t xml:space="preserve">reduction of </w:t>
      </w:r>
      <w:r w:rsidR="00533C22" w:rsidRPr="00D26534">
        <w:t>3% across 6 years of listing compared to the July 2023 resubmission, to a</w:t>
      </w:r>
      <w:r w:rsidR="009F47EB" w:rsidRPr="00D26534">
        <w:t>ddress concerns about likely barriers to access</w:t>
      </w:r>
      <w:r w:rsidR="00533C22" w:rsidRPr="00D26534">
        <w:t>)</w:t>
      </w:r>
      <w:r w:rsidR="00191408" w:rsidRPr="00D26534">
        <w:t>.</w:t>
      </w:r>
    </w:p>
    <w:p w14:paraId="782E3A99" w14:textId="4D4DA74E" w:rsidR="00533C22" w:rsidRPr="00D26534" w:rsidRDefault="009F47EB" w:rsidP="00BD1946">
      <w:pPr>
        <w:pStyle w:val="COMexecsummbulletlist"/>
        <w:ind w:left="1077" w:hanging="357"/>
      </w:pPr>
      <w:r w:rsidRPr="00D26534">
        <w:t>Proportion of patients retreated with esketamine derived from trial-based estimates of response/remission and subsequent relapse, with 100% of</w:t>
      </w:r>
      <w:r w:rsidR="00486103" w:rsidRPr="00D26534">
        <w:t xml:space="preserve"> patients who relapse after responding to esketamine previously assumed to be retreated, </w:t>
      </w:r>
      <w:r w:rsidR="00F96B4C" w:rsidRPr="00D26534">
        <w:t>mostly</w:t>
      </w:r>
      <w:r w:rsidR="00486103" w:rsidRPr="00D26534">
        <w:t xml:space="preserve"> in the</w:t>
      </w:r>
      <w:r w:rsidR="00F96B4C" w:rsidRPr="00D26534">
        <w:t xml:space="preserve"> same year of treatment initiation or in the year following</w:t>
      </w:r>
      <w:r w:rsidR="00486103" w:rsidRPr="00D26534">
        <w:t>.</w:t>
      </w:r>
    </w:p>
    <w:p w14:paraId="3CA83E14" w14:textId="2F42006A" w:rsidR="00486103" w:rsidRPr="00D26534" w:rsidRDefault="0055120C" w:rsidP="00BD1946">
      <w:pPr>
        <w:pStyle w:val="COMexecsummbulletlist"/>
        <w:ind w:left="1077" w:hanging="357"/>
      </w:pPr>
      <w:r w:rsidRPr="00D26534">
        <w:t xml:space="preserve">Proportion of patients </w:t>
      </w:r>
      <w:r w:rsidR="00191408" w:rsidRPr="00D26534">
        <w:t xml:space="preserve">treated </w:t>
      </w:r>
      <w:r w:rsidRPr="00D26534">
        <w:t>beyond 12 months, derived from the sponsor’s early access program</w:t>
      </w:r>
      <w:r w:rsidR="00DE2478" w:rsidRPr="00D26534">
        <w:t>.</w:t>
      </w:r>
    </w:p>
    <w:p w14:paraId="12046793" w14:textId="22514951" w:rsidR="00DE2478" w:rsidRPr="00D26534" w:rsidRDefault="00DE2478" w:rsidP="00BD1946">
      <w:pPr>
        <w:pStyle w:val="COMexecsummbulletlist"/>
        <w:ind w:left="1077" w:hanging="357"/>
      </w:pPr>
      <w:r w:rsidRPr="00D26534">
        <w:t>Average duration of therapy estimated separately by</w:t>
      </w:r>
      <w:r w:rsidR="00A46271" w:rsidRPr="00D26534">
        <w:t xml:space="preserve"> subgroups</w:t>
      </w:r>
      <w:r w:rsidR="000D75F8" w:rsidRPr="00D26534">
        <w:t xml:space="preserve">, derived from </w:t>
      </w:r>
      <w:r w:rsidR="00630E24" w:rsidRPr="00D26534">
        <w:t>the resubmission’s economic model</w:t>
      </w:r>
      <w:r w:rsidR="00A46271" w:rsidRPr="00D26534">
        <w:t xml:space="preserve"> (up to 12 months or beyond 12 months treatment; initial, </w:t>
      </w:r>
      <w:r w:rsidR="00630E24" w:rsidRPr="00D26534">
        <w:t>retreatment or grandfathered patients).</w:t>
      </w:r>
    </w:p>
    <w:p w14:paraId="09117B7C" w14:textId="7C5D6E91" w:rsidR="00A96FFA" w:rsidRPr="00D01055" w:rsidRDefault="00A96FFA" w:rsidP="00BD1946">
      <w:pPr>
        <w:pStyle w:val="COMexecsummbulletlist"/>
        <w:ind w:left="1077" w:hanging="357"/>
      </w:pPr>
      <w:r w:rsidRPr="00D26534">
        <w:t>Revising the effective AEMP of esketamine nasal spray from $</w:t>
      </w:r>
      <w:r w:rsidR="00683384" w:rsidRPr="00A34B18">
        <w:rPr>
          <w:color w:val="000000"/>
          <w:w w:val="15"/>
          <w:shd w:val="solid" w:color="000000" w:fill="000000"/>
          <w:fitText w:val="-20" w:id="-892700913"/>
          <w14:textFill>
            <w14:solidFill>
              <w14:srgbClr w14:val="000000">
                <w14:alpha w14:val="100000"/>
              </w14:srgbClr>
            </w14:solidFill>
          </w14:textFill>
        </w:rPr>
        <w:t xml:space="preserve">|  </w:t>
      </w:r>
      <w:r w:rsidR="00683384" w:rsidRPr="00A34B18">
        <w:rPr>
          <w:color w:val="000000"/>
          <w:spacing w:val="-69"/>
          <w:w w:val="15"/>
          <w:shd w:val="solid" w:color="000000" w:fill="000000"/>
          <w:fitText w:val="-20" w:id="-892700913"/>
          <w14:textFill>
            <w14:solidFill>
              <w14:srgbClr w14:val="000000">
                <w14:alpha w14:val="100000"/>
              </w14:srgbClr>
            </w14:solidFill>
          </w14:textFill>
        </w:rPr>
        <w:t>|</w:t>
      </w:r>
      <w:r w:rsidRPr="00D26534">
        <w:t xml:space="preserve"> to $</w:t>
      </w:r>
      <w:r w:rsidR="00683384" w:rsidRPr="00A34B18">
        <w:rPr>
          <w:color w:val="000000"/>
          <w:w w:val="15"/>
          <w:shd w:val="solid" w:color="000000" w:fill="000000"/>
          <w:fitText w:val="-20" w:id="-892700912"/>
          <w14:textFill>
            <w14:solidFill>
              <w14:srgbClr w14:val="000000">
                <w14:alpha w14:val="100000"/>
              </w14:srgbClr>
            </w14:solidFill>
          </w14:textFill>
        </w:rPr>
        <w:t xml:space="preserve">|  </w:t>
      </w:r>
      <w:r w:rsidR="00683384" w:rsidRPr="00A34B18">
        <w:rPr>
          <w:color w:val="000000"/>
          <w:spacing w:val="-69"/>
          <w:w w:val="15"/>
          <w:shd w:val="solid" w:color="000000" w:fill="000000"/>
          <w:fitText w:val="-20" w:id="-892700912"/>
          <w14:textFill>
            <w14:solidFill>
              <w14:srgbClr w14:val="000000">
                <w14:alpha w14:val="100000"/>
              </w14:srgbClr>
            </w14:solidFill>
          </w14:textFill>
        </w:rPr>
        <w:t>|</w:t>
      </w:r>
      <w:r w:rsidRPr="00D26534">
        <w:t xml:space="preserve"> </w:t>
      </w:r>
      <w:r w:rsidRPr="00D01055">
        <w:t>per 28 mg device.</w:t>
      </w:r>
    </w:p>
    <w:p w14:paraId="04B31D2D" w14:textId="207ECE9E" w:rsidR="0072416F" w:rsidRPr="008217F1" w:rsidRDefault="00E16AD8" w:rsidP="00FB181C">
      <w:pPr>
        <w:pStyle w:val="ListParagraph"/>
        <w:numPr>
          <w:ilvl w:val="1"/>
          <w:numId w:val="1"/>
        </w:numPr>
        <w:spacing w:after="120"/>
        <w:ind w:hanging="720"/>
        <w:contextualSpacing w:val="0"/>
        <w:rPr>
          <w:rFonts w:cs="Calibri"/>
          <w:bCs/>
          <w:iCs/>
        </w:rPr>
      </w:pPr>
      <w:r w:rsidRPr="008217F1">
        <w:rPr>
          <w:rFonts w:cs="Calibri"/>
          <w:bCs/>
          <w:iCs/>
        </w:rPr>
        <w:fldChar w:fldCharType="begin" w:fldLock="1"/>
      </w:r>
      <w:r w:rsidRPr="008217F1">
        <w:rPr>
          <w:rFonts w:cs="Calibri"/>
          <w:bCs/>
          <w:iCs/>
        </w:rPr>
        <w:instrText xml:space="preserve"> REF _Ref104805262 \h  \* MERGEFORMAT </w:instrText>
      </w:r>
      <w:r w:rsidRPr="008217F1">
        <w:rPr>
          <w:rFonts w:cs="Calibri"/>
          <w:bCs/>
          <w:iCs/>
        </w:rPr>
      </w:r>
      <w:r w:rsidRPr="008217F1">
        <w:rPr>
          <w:rFonts w:cs="Calibri"/>
          <w:bCs/>
          <w:iCs/>
        </w:rPr>
        <w:fldChar w:fldCharType="separate"/>
      </w:r>
      <w:r w:rsidR="002B3C60" w:rsidRPr="008217F1">
        <w:rPr>
          <w:rFonts w:cs="Calibri"/>
          <w:bCs/>
          <w:iCs/>
        </w:rPr>
        <w:t>Table 17</w:t>
      </w:r>
      <w:r w:rsidRPr="008217F1">
        <w:rPr>
          <w:rFonts w:cs="Calibri"/>
          <w:bCs/>
          <w:iCs/>
        </w:rPr>
        <w:fldChar w:fldCharType="end"/>
      </w:r>
      <w:r w:rsidRPr="008217F1">
        <w:rPr>
          <w:rFonts w:cs="Calibri"/>
          <w:bCs/>
          <w:iCs/>
        </w:rPr>
        <w:t xml:space="preserve"> </w:t>
      </w:r>
      <w:r w:rsidR="0050636F" w:rsidRPr="008217F1">
        <w:rPr>
          <w:rFonts w:cs="Calibri"/>
          <w:bCs/>
          <w:iCs/>
        </w:rPr>
        <w:t>summarises the key inputs for the financial estimates.</w:t>
      </w:r>
    </w:p>
    <w:p w14:paraId="3393BCE7" w14:textId="7653FBBB" w:rsidR="00E42F73" w:rsidRPr="00D26534" w:rsidRDefault="00E16AD8" w:rsidP="00FD4ED6">
      <w:pPr>
        <w:pStyle w:val="COMtablefigcaption"/>
      </w:pPr>
      <w:bookmarkStart w:id="59" w:name="_Ref104805262"/>
      <w:r w:rsidRPr="00D26534">
        <w:t xml:space="preserve">Table </w:t>
      </w:r>
      <w:r w:rsidR="004E64B8">
        <w:fldChar w:fldCharType="begin" w:fldLock="1"/>
      </w:r>
      <w:r w:rsidR="004E64B8">
        <w:instrText xml:space="preserve"> SEQ Table \* ARABIC </w:instrText>
      </w:r>
      <w:r w:rsidR="004E64B8">
        <w:fldChar w:fldCharType="separate"/>
      </w:r>
      <w:r w:rsidR="002B3C60">
        <w:rPr>
          <w:noProof/>
        </w:rPr>
        <w:t>17</w:t>
      </w:r>
      <w:r w:rsidR="004E64B8">
        <w:rPr>
          <w:noProof/>
        </w:rPr>
        <w:fldChar w:fldCharType="end"/>
      </w:r>
      <w:bookmarkEnd w:id="59"/>
      <w:r w:rsidRPr="00D26534">
        <w:t>:</w:t>
      </w:r>
      <w:r w:rsidR="00E42F73" w:rsidRPr="00D26534">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Key inputs for financial estimates"/>
      </w:tblPr>
      <w:tblGrid>
        <w:gridCol w:w="1500"/>
        <w:gridCol w:w="3740"/>
        <w:gridCol w:w="3777"/>
      </w:tblGrid>
      <w:tr w:rsidR="00675CC1" w:rsidRPr="00D26534" w14:paraId="32537823" w14:textId="77777777" w:rsidTr="259D127E">
        <w:trPr>
          <w:tblHeader/>
        </w:trPr>
        <w:tc>
          <w:tcPr>
            <w:tcW w:w="1500" w:type="dxa"/>
            <w:shd w:val="clear" w:color="auto" w:fill="auto"/>
            <w:vAlign w:val="center"/>
            <w:hideMark/>
          </w:tcPr>
          <w:p w14:paraId="0A66AEEC" w14:textId="77777777" w:rsidR="00675CC1" w:rsidRPr="00D26534" w:rsidRDefault="00675CC1" w:rsidP="00FA1E05">
            <w:pPr>
              <w:jc w:val="center"/>
              <w:textAlignment w:val="baseline"/>
              <w:rPr>
                <w:rFonts w:ascii="Times New Roman" w:hAnsi="Times New Roman" w:cs="Times New Roman"/>
                <w:b/>
                <w:bCs/>
              </w:rPr>
            </w:pPr>
            <w:r w:rsidRPr="00D26534">
              <w:rPr>
                <w:rFonts w:ascii="Arial Narrow" w:hAnsi="Arial Narrow" w:cs="Times New Roman"/>
                <w:b/>
                <w:bCs/>
                <w:sz w:val="20"/>
                <w:szCs w:val="20"/>
              </w:rPr>
              <w:t>Data </w:t>
            </w:r>
          </w:p>
        </w:tc>
        <w:tc>
          <w:tcPr>
            <w:tcW w:w="3740" w:type="dxa"/>
            <w:shd w:val="clear" w:color="auto" w:fill="auto"/>
            <w:vAlign w:val="center"/>
            <w:hideMark/>
          </w:tcPr>
          <w:p w14:paraId="67D8434A" w14:textId="77777777" w:rsidR="00675CC1" w:rsidRPr="00D26534" w:rsidRDefault="00675CC1" w:rsidP="00FA1E05">
            <w:pPr>
              <w:jc w:val="center"/>
              <w:textAlignment w:val="baseline"/>
              <w:rPr>
                <w:rFonts w:ascii="Times New Roman" w:hAnsi="Times New Roman" w:cs="Times New Roman"/>
                <w:b/>
                <w:bCs/>
              </w:rPr>
            </w:pPr>
            <w:r w:rsidRPr="00D26534">
              <w:rPr>
                <w:rFonts w:ascii="Arial Narrow" w:hAnsi="Arial Narrow" w:cs="Times New Roman"/>
                <w:b/>
                <w:bCs/>
                <w:sz w:val="20"/>
                <w:szCs w:val="20"/>
              </w:rPr>
              <w:t>Source </w:t>
            </w:r>
          </w:p>
        </w:tc>
        <w:tc>
          <w:tcPr>
            <w:tcW w:w="3777" w:type="dxa"/>
            <w:shd w:val="clear" w:color="auto" w:fill="auto"/>
            <w:vAlign w:val="center"/>
            <w:hideMark/>
          </w:tcPr>
          <w:p w14:paraId="6E9A58F4" w14:textId="77777777" w:rsidR="00675CC1" w:rsidRPr="00D26534" w:rsidRDefault="00675CC1" w:rsidP="00FA1E05">
            <w:pPr>
              <w:jc w:val="center"/>
              <w:textAlignment w:val="baseline"/>
              <w:rPr>
                <w:rFonts w:ascii="Times New Roman" w:hAnsi="Times New Roman" w:cs="Times New Roman"/>
                <w:b/>
                <w:bCs/>
              </w:rPr>
            </w:pPr>
            <w:r w:rsidRPr="00D26534">
              <w:rPr>
                <w:rFonts w:ascii="Arial Narrow" w:hAnsi="Arial Narrow" w:cs="Times New Roman"/>
                <w:b/>
                <w:bCs/>
                <w:sz w:val="20"/>
                <w:szCs w:val="20"/>
              </w:rPr>
              <w:t>Comment </w:t>
            </w:r>
          </w:p>
        </w:tc>
      </w:tr>
      <w:tr w:rsidR="003330C2" w:rsidRPr="00D26534" w14:paraId="474438D9" w14:textId="77777777" w:rsidTr="259D127E">
        <w:tc>
          <w:tcPr>
            <w:tcW w:w="9017" w:type="dxa"/>
            <w:gridSpan w:val="3"/>
            <w:shd w:val="clear" w:color="auto" w:fill="auto"/>
            <w:vAlign w:val="center"/>
            <w:hideMark/>
          </w:tcPr>
          <w:p w14:paraId="473494FB" w14:textId="77777777" w:rsidR="003330C2" w:rsidRPr="00D26534" w:rsidRDefault="003330C2" w:rsidP="00FA1E05">
            <w:pPr>
              <w:jc w:val="left"/>
              <w:textAlignment w:val="baseline"/>
              <w:rPr>
                <w:rFonts w:ascii="Times New Roman" w:hAnsi="Times New Roman" w:cs="Times New Roman"/>
                <w:b/>
                <w:bCs/>
              </w:rPr>
            </w:pPr>
            <w:r w:rsidRPr="00D26534">
              <w:rPr>
                <w:rFonts w:ascii="Arial Narrow" w:hAnsi="Arial Narrow" w:cs="Times New Roman"/>
                <w:b/>
                <w:bCs/>
                <w:sz w:val="20"/>
                <w:szCs w:val="20"/>
              </w:rPr>
              <w:t>Eligible population </w:t>
            </w:r>
          </w:p>
        </w:tc>
      </w:tr>
      <w:tr w:rsidR="00A1757F" w:rsidRPr="00D26534" w14:paraId="4705F47D" w14:textId="77777777" w:rsidTr="259D127E">
        <w:tc>
          <w:tcPr>
            <w:tcW w:w="1500" w:type="dxa"/>
            <w:shd w:val="clear" w:color="auto" w:fill="auto"/>
            <w:vAlign w:val="center"/>
            <w:hideMark/>
          </w:tcPr>
          <w:p w14:paraId="1F45CA9B" w14:textId="0DDAF581" w:rsidR="00A1757F" w:rsidRPr="00D26534" w:rsidRDefault="00A1757F" w:rsidP="00FA1E05">
            <w:pPr>
              <w:jc w:val="left"/>
              <w:textAlignment w:val="baseline"/>
              <w:rPr>
                <w:rFonts w:ascii="Times New Roman" w:hAnsi="Times New Roman" w:cs="Times New Roman"/>
                <w:highlight w:val="yellow"/>
              </w:rPr>
            </w:pPr>
            <w:r w:rsidRPr="00D26534">
              <w:rPr>
                <w:rFonts w:ascii="Arial Narrow" w:hAnsi="Arial Narrow" w:cs="Times New Roman"/>
                <w:sz w:val="20"/>
                <w:szCs w:val="20"/>
              </w:rPr>
              <w:t>Number of adult patients meeting criteria for TRD</w:t>
            </w:r>
          </w:p>
        </w:tc>
        <w:tc>
          <w:tcPr>
            <w:tcW w:w="3740" w:type="dxa"/>
            <w:shd w:val="clear" w:color="auto" w:fill="auto"/>
            <w:vAlign w:val="center"/>
            <w:hideMark/>
          </w:tcPr>
          <w:p w14:paraId="635D6D45" w14:textId="0015FC6D" w:rsidR="00A1757F" w:rsidRPr="00D26534" w:rsidRDefault="00A1757F" w:rsidP="00FA1E05">
            <w:pPr>
              <w:spacing w:after="60"/>
              <w:jc w:val="left"/>
              <w:textAlignment w:val="baseline"/>
              <w:rPr>
                <w:rFonts w:ascii="Arial Narrow" w:hAnsi="Arial Narrow" w:cs="Times New Roman"/>
                <w:sz w:val="20"/>
                <w:szCs w:val="20"/>
              </w:rPr>
            </w:pPr>
            <w:r w:rsidRPr="00D26534">
              <w:rPr>
                <w:rFonts w:ascii="Arial Narrow" w:hAnsi="Arial Narrow" w:cs="Times New Roman"/>
                <w:sz w:val="20"/>
                <w:szCs w:val="20"/>
              </w:rPr>
              <w:t>DUSC PBS 100% sample analysis. Patients who had inadequate responses to ≥2 antidepressants in the current MDD episode and started a new treatment (switching to a new antidepressant, adding on an augmentation agent or another antidepressant).</w:t>
            </w:r>
          </w:p>
          <w:p w14:paraId="1235E76E" w14:textId="5F10EDF6" w:rsidR="00A1757F" w:rsidRPr="00D26534" w:rsidRDefault="00A1757F" w:rsidP="008D31B6">
            <w:pPr>
              <w:jc w:val="left"/>
              <w:textAlignment w:val="baseline"/>
              <w:rPr>
                <w:rFonts w:ascii="Times New Roman" w:hAnsi="Times New Roman" w:cs="Times New Roman"/>
              </w:rPr>
            </w:pPr>
            <w:r w:rsidRPr="00D26534">
              <w:rPr>
                <w:rFonts w:ascii="Arial Narrow" w:hAnsi="Arial Narrow" w:cs="Times New Roman"/>
                <w:sz w:val="20"/>
                <w:szCs w:val="20"/>
              </w:rPr>
              <w:t>A logarithmic function was applied to the 100% PBS trend data from 2019 to 2021 to extrapolate growth of TRD (compound growth rate of 2.6% per year; 59,446 patients in Year 1)</w:t>
            </w:r>
            <w:r w:rsidR="008D31B6" w:rsidRPr="00D26534">
              <w:rPr>
                <w:rFonts w:ascii="Arial Narrow" w:hAnsi="Arial Narrow" w:cs="Times New Roman"/>
                <w:sz w:val="20"/>
                <w:szCs w:val="20"/>
              </w:rPr>
              <w:t>.</w:t>
            </w:r>
          </w:p>
        </w:tc>
        <w:tc>
          <w:tcPr>
            <w:tcW w:w="3777" w:type="dxa"/>
            <w:shd w:val="clear" w:color="auto" w:fill="auto"/>
            <w:vAlign w:val="center"/>
            <w:hideMark/>
          </w:tcPr>
          <w:p w14:paraId="14A2DD06" w14:textId="2EB37228" w:rsidR="00A1757F" w:rsidRPr="00D26534" w:rsidRDefault="007563FA" w:rsidP="00FA1E05">
            <w:pPr>
              <w:spacing w:after="60"/>
              <w:jc w:val="left"/>
              <w:textAlignment w:val="baseline"/>
              <w:rPr>
                <w:rFonts w:ascii="Times New Roman" w:hAnsi="Times New Roman" w:cs="Times New Roman"/>
                <w:highlight w:val="yellow"/>
              </w:rPr>
            </w:pPr>
            <w:r w:rsidRPr="00D26534">
              <w:rPr>
                <w:rFonts w:ascii="Arial Narrow" w:hAnsi="Arial Narrow" w:cs="Times New Roman"/>
                <w:sz w:val="20"/>
                <w:szCs w:val="20"/>
              </w:rPr>
              <w:t>Unchanged from the 2023 resubmission</w:t>
            </w:r>
            <w:r w:rsidR="00A1757F" w:rsidRPr="00D26534">
              <w:rPr>
                <w:rFonts w:ascii="Arial Narrow" w:hAnsi="Arial Narrow" w:cs="Times New Roman"/>
                <w:sz w:val="20"/>
                <w:szCs w:val="20"/>
              </w:rPr>
              <w:t>. </w:t>
            </w:r>
          </w:p>
        </w:tc>
      </w:tr>
      <w:tr w:rsidR="00A1757F" w:rsidRPr="00D26534" w14:paraId="75845E44" w14:textId="77777777" w:rsidTr="259D127E">
        <w:tc>
          <w:tcPr>
            <w:tcW w:w="1500" w:type="dxa"/>
            <w:shd w:val="clear" w:color="auto" w:fill="auto"/>
            <w:vAlign w:val="center"/>
            <w:hideMark/>
          </w:tcPr>
          <w:p w14:paraId="4A8139EC" w14:textId="77777777" w:rsidR="00A1757F" w:rsidRPr="00D26534" w:rsidRDefault="00A1757F" w:rsidP="00FA1E05">
            <w:pPr>
              <w:jc w:val="left"/>
              <w:textAlignment w:val="baseline"/>
              <w:rPr>
                <w:rFonts w:ascii="Times New Roman" w:hAnsi="Times New Roman" w:cs="Times New Roman"/>
                <w:highlight w:val="yellow"/>
              </w:rPr>
            </w:pPr>
            <w:r w:rsidRPr="00D26534">
              <w:rPr>
                <w:rFonts w:ascii="Arial Narrow" w:hAnsi="Arial Narrow" w:cs="Times New Roman"/>
                <w:sz w:val="20"/>
                <w:szCs w:val="20"/>
              </w:rPr>
              <w:t>Prescription setting </w:t>
            </w:r>
          </w:p>
        </w:tc>
        <w:tc>
          <w:tcPr>
            <w:tcW w:w="3740" w:type="dxa"/>
            <w:shd w:val="clear" w:color="auto" w:fill="auto"/>
            <w:vAlign w:val="center"/>
            <w:hideMark/>
          </w:tcPr>
          <w:p w14:paraId="13C87925" w14:textId="2E40D158" w:rsidR="00A1757F" w:rsidRPr="00D26534" w:rsidRDefault="00A1757F" w:rsidP="008D31B6">
            <w:pPr>
              <w:jc w:val="left"/>
              <w:textAlignment w:val="baseline"/>
              <w:rPr>
                <w:rFonts w:ascii="Times New Roman" w:hAnsi="Times New Roman" w:cs="Times New Roman"/>
              </w:rPr>
            </w:pPr>
            <w:r w:rsidRPr="00D26534">
              <w:rPr>
                <w:rFonts w:ascii="Arial Narrow" w:hAnsi="Arial Narrow" w:cs="Times New Roman"/>
                <w:sz w:val="20"/>
                <w:szCs w:val="20"/>
              </w:rPr>
              <w:t>100% PBS sample analysis. The PBS 100% patient line combination data shows an average 19.1% of all patient initiations from 2019 to 2021 occurred in the psychiatry setting. The resubmission assumed an additional 1% per year would initiate treatment with psychiatrists given a likely increase in referral rates over time (20.1% in Year 1 to 25.1% in Year 6).</w:t>
            </w:r>
          </w:p>
        </w:tc>
        <w:tc>
          <w:tcPr>
            <w:tcW w:w="3777" w:type="dxa"/>
            <w:shd w:val="clear" w:color="auto" w:fill="auto"/>
            <w:vAlign w:val="center"/>
            <w:hideMark/>
          </w:tcPr>
          <w:p w14:paraId="0CDC2BAE" w14:textId="519C99CF" w:rsidR="00A1757F" w:rsidRPr="00D26534" w:rsidRDefault="00A1757F" w:rsidP="00FA1E05">
            <w:pPr>
              <w:spacing w:after="60"/>
              <w:jc w:val="left"/>
              <w:textAlignment w:val="baseline"/>
              <w:rPr>
                <w:rFonts w:ascii="Times New Roman" w:hAnsi="Times New Roman" w:cs="Times New Roman"/>
                <w:highlight w:val="yellow"/>
              </w:rPr>
            </w:pPr>
            <w:r w:rsidRPr="00D26534">
              <w:rPr>
                <w:rFonts w:ascii="Arial Narrow" w:hAnsi="Arial Narrow" w:cs="Times New Roman"/>
                <w:sz w:val="20"/>
                <w:szCs w:val="20"/>
              </w:rPr>
              <w:t>The data source was unchanged from the July 2023 resubmission. The approach was reasonable, however the</w:t>
            </w:r>
            <w:r w:rsidR="00F723B7" w:rsidRPr="00D26534">
              <w:rPr>
                <w:rFonts w:ascii="Arial Narrow" w:hAnsi="Arial Narrow" w:cs="Times New Roman"/>
                <w:sz w:val="20"/>
                <w:szCs w:val="20"/>
              </w:rPr>
              <w:t xml:space="preserve"> addition of an</w:t>
            </w:r>
            <w:r w:rsidRPr="00D26534">
              <w:rPr>
                <w:rFonts w:ascii="Arial Narrow" w:hAnsi="Arial Narrow" w:cs="Times New Roman"/>
                <w:sz w:val="20"/>
                <w:szCs w:val="20"/>
              </w:rPr>
              <w:t xml:space="preserve"> annual increase in </w:t>
            </w:r>
            <w:r w:rsidR="00F723B7" w:rsidRPr="00D26534">
              <w:rPr>
                <w:rFonts w:ascii="Arial Narrow" w:hAnsi="Arial Narrow" w:cs="Times New Roman"/>
                <w:sz w:val="20"/>
                <w:szCs w:val="20"/>
              </w:rPr>
              <w:t>patients treated by psychiatrists</w:t>
            </w:r>
            <w:r w:rsidRPr="00D26534">
              <w:rPr>
                <w:rFonts w:ascii="Arial Narrow" w:hAnsi="Arial Narrow" w:cs="Times New Roman"/>
                <w:sz w:val="20"/>
                <w:szCs w:val="20"/>
              </w:rPr>
              <w:t xml:space="preserve"> was an assumption and is therefore uncertain.</w:t>
            </w:r>
          </w:p>
        </w:tc>
      </w:tr>
      <w:tr w:rsidR="00D10BC6" w:rsidRPr="00D26534" w14:paraId="60944954" w14:textId="77777777" w:rsidTr="259D127E">
        <w:tc>
          <w:tcPr>
            <w:tcW w:w="1500" w:type="dxa"/>
            <w:shd w:val="clear" w:color="auto" w:fill="auto"/>
            <w:vAlign w:val="center"/>
            <w:hideMark/>
          </w:tcPr>
          <w:p w14:paraId="7A2A736A" w14:textId="77777777" w:rsidR="00D10BC6" w:rsidRPr="00D26534" w:rsidRDefault="00D10BC6" w:rsidP="00FA1E05">
            <w:pPr>
              <w:jc w:val="left"/>
              <w:textAlignment w:val="baseline"/>
              <w:rPr>
                <w:rFonts w:ascii="Times New Roman" w:hAnsi="Times New Roman" w:cs="Times New Roman"/>
              </w:rPr>
            </w:pPr>
            <w:r w:rsidRPr="00D26534">
              <w:rPr>
                <w:rFonts w:ascii="Arial Narrow" w:hAnsi="Arial Narrow" w:cs="Times New Roman"/>
                <w:sz w:val="20"/>
                <w:szCs w:val="20"/>
              </w:rPr>
              <w:t>Grandfathered patients </w:t>
            </w:r>
          </w:p>
        </w:tc>
        <w:tc>
          <w:tcPr>
            <w:tcW w:w="3740" w:type="dxa"/>
            <w:shd w:val="clear" w:color="auto" w:fill="auto"/>
            <w:vAlign w:val="center"/>
            <w:hideMark/>
          </w:tcPr>
          <w:p w14:paraId="164CC28C" w14:textId="1433E15F" w:rsidR="00D10BC6" w:rsidRPr="00D26534" w:rsidRDefault="00D10BC6" w:rsidP="008D31B6">
            <w:pPr>
              <w:jc w:val="left"/>
              <w:textAlignment w:val="baseline"/>
              <w:rPr>
                <w:rFonts w:ascii="Times New Roman" w:hAnsi="Times New Roman" w:cs="Times New Roman"/>
                <w:sz w:val="20"/>
                <w:szCs w:val="20"/>
                <w:highlight w:val="yellow"/>
              </w:rPr>
            </w:pPr>
            <w:r w:rsidRPr="00D26534">
              <w:rPr>
                <w:rFonts w:ascii="Arial Narrow" w:hAnsi="Arial Narrow" w:cs="Times New Roman"/>
                <w:sz w:val="20"/>
                <w:szCs w:val="20"/>
              </w:rPr>
              <w:t xml:space="preserve">Estimated </w:t>
            </w:r>
            <w:r w:rsidR="00C02288">
              <w:rPr>
                <w:rFonts w:ascii="Arial Narrow" w:hAnsi="Arial Narrow" w:cs="Times New Roman"/>
                <w:sz w:val="20"/>
                <w:szCs w:val="20"/>
              </w:rPr>
              <w:t>&lt; 500</w:t>
            </w:r>
            <w:r w:rsidRPr="00D26534">
              <w:rPr>
                <w:rFonts w:ascii="Arial Narrow" w:hAnsi="Arial Narrow" w:cs="Times New Roman"/>
                <w:sz w:val="20"/>
                <w:szCs w:val="20"/>
              </w:rPr>
              <w:t xml:space="preserve"> patients enrolled in the sponsor’s early access program (updated from </w:t>
            </w:r>
            <w:r w:rsidR="00C02288">
              <w:rPr>
                <w:rFonts w:ascii="Arial Narrow" w:hAnsi="Arial Narrow" w:cs="Times New Roman"/>
                <w:sz w:val="20"/>
                <w:szCs w:val="20"/>
              </w:rPr>
              <w:t>500 to &lt; 5,000</w:t>
            </w:r>
            <w:r w:rsidRPr="00D26534">
              <w:rPr>
                <w:rFonts w:ascii="Arial Narrow" w:hAnsi="Arial Narrow" w:cs="Times New Roman"/>
                <w:sz w:val="20"/>
                <w:szCs w:val="20"/>
              </w:rPr>
              <w:t xml:space="preserve"> patients in the July 2023 resubmission – </w:t>
            </w:r>
            <w:r w:rsidR="00C02288">
              <w:rPr>
                <w:rFonts w:ascii="Arial Narrow" w:hAnsi="Arial Narrow" w:cs="Times New Roman"/>
                <w:sz w:val="20"/>
                <w:szCs w:val="20"/>
              </w:rPr>
              <w:t>&lt; 500</w:t>
            </w:r>
            <w:r w:rsidRPr="00D26534">
              <w:rPr>
                <w:rFonts w:ascii="Arial Narrow" w:hAnsi="Arial Narrow" w:cs="Times New Roman"/>
                <w:sz w:val="20"/>
                <w:szCs w:val="20"/>
              </w:rPr>
              <w:t xml:space="preserve"> patients have since </w:t>
            </w:r>
            <w:r w:rsidRPr="00D26534">
              <w:rPr>
                <w:rStyle w:val="COMTabletextChar"/>
                <w:sz w:val="20"/>
                <w:szCs w:val="20"/>
              </w:rPr>
              <w:t xml:space="preserve">ceased treatment with esketamine). </w:t>
            </w:r>
          </w:p>
        </w:tc>
        <w:tc>
          <w:tcPr>
            <w:tcW w:w="3777" w:type="dxa"/>
            <w:shd w:val="clear" w:color="auto" w:fill="auto"/>
            <w:vAlign w:val="center"/>
            <w:hideMark/>
          </w:tcPr>
          <w:p w14:paraId="19D02125" w14:textId="0E013876" w:rsidR="00D10BC6" w:rsidRPr="00D26534" w:rsidRDefault="00D10BC6" w:rsidP="008D31B6">
            <w:pPr>
              <w:jc w:val="left"/>
              <w:textAlignment w:val="baseline"/>
              <w:rPr>
                <w:rFonts w:ascii="Times New Roman" w:hAnsi="Times New Roman" w:cs="Times New Roman"/>
                <w:highlight w:val="yellow"/>
              </w:rPr>
            </w:pPr>
            <w:r w:rsidRPr="00D26534">
              <w:rPr>
                <w:rFonts w:ascii="Arial Narrow" w:hAnsi="Arial Narrow" w:cs="Times New Roman"/>
                <w:sz w:val="20"/>
                <w:szCs w:val="20"/>
              </w:rPr>
              <w:t>Grandfathered patients were excluded from the submission’s estimates of uptake, which was appropriate.</w:t>
            </w:r>
            <w:r w:rsidR="00C4454B" w:rsidRPr="00D26534">
              <w:rPr>
                <w:rFonts w:ascii="Arial Narrow" w:hAnsi="Arial Narrow" w:cs="Times New Roman"/>
                <w:sz w:val="20"/>
                <w:szCs w:val="20"/>
              </w:rPr>
              <w:t xml:space="preserve"> T</w:t>
            </w:r>
            <w:r w:rsidRPr="00D26534">
              <w:rPr>
                <w:rFonts w:ascii="Arial Narrow" w:hAnsi="Arial Narrow" w:cs="Times New Roman"/>
                <w:sz w:val="20"/>
                <w:szCs w:val="20"/>
              </w:rPr>
              <w:t>his approach</w:t>
            </w:r>
            <w:r w:rsidR="00C4454B" w:rsidRPr="00D26534">
              <w:rPr>
                <w:rFonts w:ascii="Arial Narrow" w:hAnsi="Arial Narrow" w:cs="Times New Roman"/>
                <w:sz w:val="20"/>
                <w:szCs w:val="20"/>
              </w:rPr>
              <w:t xml:space="preserve"> </w:t>
            </w:r>
            <w:r w:rsidRPr="00D26534">
              <w:rPr>
                <w:rFonts w:ascii="Arial Narrow" w:hAnsi="Arial Narrow" w:cs="Times New Roman"/>
                <w:sz w:val="20"/>
                <w:szCs w:val="20"/>
              </w:rPr>
              <w:t>excluded grandfathered patients from calculations of retreatment estimates.</w:t>
            </w:r>
          </w:p>
        </w:tc>
      </w:tr>
      <w:tr w:rsidR="003330C2" w:rsidRPr="00D26534" w14:paraId="010521D2" w14:textId="77777777" w:rsidTr="259D127E">
        <w:tc>
          <w:tcPr>
            <w:tcW w:w="9017" w:type="dxa"/>
            <w:gridSpan w:val="3"/>
            <w:shd w:val="clear" w:color="auto" w:fill="auto"/>
            <w:vAlign w:val="center"/>
            <w:hideMark/>
          </w:tcPr>
          <w:p w14:paraId="33CE00E5" w14:textId="77777777" w:rsidR="003330C2" w:rsidRPr="00D26534" w:rsidRDefault="003330C2" w:rsidP="00FA1E05">
            <w:pPr>
              <w:keepNext/>
              <w:jc w:val="left"/>
              <w:textAlignment w:val="baseline"/>
              <w:rPr>
                <w:rFonts w:ascii="Times New Roman" w:hAnsi="Times New Roman" w:cs="Times New Roman"/>
              </w:rPr>
            </w:pPr>
            <w:r w:rsidRPr="00D26534">
              <w:rPr>
                <w:rFonts w:ascii="Arial Narrow" w:hAnsi="Arial Narrow" w:cs="Times New Roman"/>
                <w:b/>
                <w:bCs/>
                <w:sz w:val="20"/>
                <w:szCs w:val="20"/>
              </w:rPr>
              <w:lastRenderedPageBreak/>
              <w:t>Treatment utilisation</w:t>
            </w:r>
            <w:r w:rsidRPr="00D26534">
              <w:rPr>
                <w:rFonts w:ascii="Arial Narrow" w:hAnsi="Arial Narrow" w:cs="Times New Roman"/>
                <w:sz w:val="20"/>
                <w:szCs w:val="20"/>
              </w:rPr>
              <w:t> </w:t>
            </w:r>
          </w:p>
        </w:tc>
      </w:tr>
      <w:tr w:rsidR="00675CC1" w:rsidRPr="00D26534" w14:paraId="57C43ED8" w14:textId="77777777" w:rsidTr="259D127E">
        <w:tc>
          <w:tcPr>
            <w:tcW w:w="1500" w:type="dxa"/>
            <w:shd w:val="clear" w:color="auto" w:fill="auto"/>
            <w:vAlign w:val="center"/>
            <w:hideMark/>
          </w:tcPr>
          <w:p w14:paraId="3CEF137C" w14:textId="18490EA3" w:rsidR="00675CC1" w:rsidRPr="00D26534" w:rsidRDefault="00675CC1" w:rsidP="00FA1E05">
            <w:pPr>
              <w:jc w:val="left"/>
              <w:textAlignment w:val="baseline"/>
              <w:rPr>
                <w:rFonts w:ascii="Times New Roman" w:hAnsi="Times New Roman" w:cs="Times New Roman"/>
              </w:rPr>
            </w:pPr>
            <w:r w:rsidRPr="00D26534">
              <w:rPr>
                <w:rFonts w:ascii="Arial Narrow" w:hAnsi="Arial Narrow" w:cs="Times New Roman"/>
                <w:sz w:val="20"/>
                <w:szCs w:val="20"/>
              </w:rPr>
              <w:t>Uptake rates</w:t>
            </w:r>
          </w:p>
        </w:tc>
        <w:tc>
          <w:tcPr>
            <w:tcW w:w="3740" w:type="dxa"/>
            <w:shd w:val="clear" w:color="auto" w:fill="auto"/>
            <w:vAlign w:val="center"/>
            <w:hideMark/>
          </w:tcPr>
          <w:p w14:paraId="6E964D29" w14:textId="2CA616CC" w:rsidR="00675CC1" w:rsidRPr="00C02288" w:rsidRDefault="00675CC1" w:rsidP="008D31B6">
            <w:pPr>
              <w:jc w:val="left"/>
              <w:textAlignment w:val="baseline"/>
              <w:rPr>
                <w:rFonts w:ascii="Arial Narrow" w:hAnsi="Arial Narrow" w:cs="Times New Roman"/>
                <w:sz w:val="20"/>
                <w:szCs w:val="20"/>
              </w:rPr>
            </w:pPr>
            <w:r w:rsidRPr="00C02288">
              <w:rPr>
                <w:rFonts w:ascii="Arial Narrow" w:hAnsi="Arial Narrow" w:cs="Times New Roman"/>
                <w:sz w:val="20"/>
                <w:szCs w:val="20"/>
              </w:rPr>
              <w:t>Sponsor assumption. Uptake rates applied to initial treatment only vary with line of therapy, and increase over time (</w:t>
            </w:r>
            <w:r w:rsidR="00A96FFA" w:rsidRPr="00C02288">
              <w:rPr>
                <w:rFonts w:ascii="Arial Narrow" w:hAnsi="Arial Narrow" w:cs="Times New Roman"/>
                <w:sz w:val="20"/>
                <w:szCs w:val="20"/>
              </w:rPr>
              <w:t xml:space="preserve">average </w:t>
            </w:r>
            <w:r w:rsidR="00C02288" w:rsidRPr="00C02288">
              <w:rPr>
                <w:rFonts w:ascii="Arial Narrow" w:hAnsi="Arial Narrow"/>
                <w:color w:val="000000"/>
                <w:spacing w:val="68"/>
                <w:w w:val="74"/>
                <w:sz w:val="20"/>
                <w:szCs w:val="20"/>
                <w:shd w:val="solid" w:color="000000" w:fill="000000"/>
                <w:fitText w:val="330" w:id="-892700928"/>
                <w14:textFill>
                  <w14:solidFill>
                    <w14:srgbClr w14:val="000000">
                      <w14:alpha w14:val="100000"/>
                    </w14:srgbClr>
                  </w14:solidFill>
                </w14:textFill>
              </w:rPr>
              <w:t>|||</w:t>
            </w:r>
            <w:r w:rsidR="00C02288" w:rsidRPr="00C02288">
              <w:rPr>
                <w:rFonts w:ascii="Arial Narrow" w:hAnsi="Arial Narrow"/>
                <w:color w:val="000000"/>
                <w:spacing w:val="1"/>
                <w:w w:val="74"/>
                <w:sz w:val="20"/>
                <w:szCs w:val="20"/>
                <w:shd w:val="solid" w:color="000000" w:fill="000000"/>
                <w:fitText w:val="330" w:id="-892700928"/>
                <w14:textFill>
                  <w14:solidFill>
                    <w14:srgbClr w14:val="000000">
                      <w14:alpha w14:val="100000"/>
                    </w14:srgbClr>
                  </w14:solidFill>
                </w14:textFill>
              </w:rPr>
              <w:t>|</w:t>
            </w:r>
            <w:r w:rsidR="00C02288" w:rsidRPr="00C02288">
              <w:rPr>
                <w:rFonts w:ascii="Arial Narrow" w:hAnsi="Arial Narrow"/>
                <w:sz w:val="20"/>
                <w:szCs w:val="20"/>
              </w:rPr>
              <w:t xml:space="preserve">% </w:t>
            </w:r>
            <w:r w:rsidRPr="00C02288">
              <w:rPr>
                <w:rFonts w:ascii="Arial Narrow" w:hAnsi="Arial Narrow" w:cs="Times New Roman"/>
                <w:sz w:val="20"/>
                <w:szCs w:val="20"/>
              </w:rPr>
              <w:t xml:space="preserve">in Year 1 to </w:t>
            </w:r>
            <w:r w:rsidR="00C02288" w:rsidRPr="00C02288">
              <w:rPr>
                <w:rFonts w:ascii="Arial Narrow" w:hAnsi="Arial Narrow"/>
                <w:color w:val="000000"/>
                <w:spacing w:val="68"/>
                <w:w w:val="74"/>
                <w:sz w:val="20"/>
                <w:szCs w:val="20"/>
                <w:shd w:val="solid" w:color="000000" w:fill="000000"/>
                <w:fitText w:val="330" w:id="-892700928"/>
                <w14:textFill>
                  <w14:solidFill>
                    <w14:srgbClr w14:val="000000">
                      <w14:alpha w14:val="100000"/>
                    </w14:srgbClr>
                  </w14:solidFill>
                </w14:textFill>
              </w:rPr>
              <w:t>|||</w:t>
            </w:r>
            <w:r w:rsidR="00C02288" w:rsidRPr="00C02288">
              <w:rPr>
                <w:rFonts w:ascii="Arial Narrow" w:hAnsi="Arial Narrow"/>
                <w:color w:val="000000"/>
                <w:spacing w:val="1"/>
                <w:w w:val="74"/>
                <w:sz w:val="20"/>
                <w:szCs w:val="20"/>
                <w:shd w:val="solid" w:color="000000" w:fill="000000"/>
                <w:fitText w:val="330" w:id="-892700928"/>
                <w14:textFill>
                  <w14:solidFill>
                    <w14:srgbClr w14:val="000000">
                      <w14:alpha w14:val="100000"/>
                    </w14:srgbClr>
                  </w14:solidFill>
                </w14:textFill>
              </w:rPr>
              <w:t>|</w:t>
            </w:r>
            <w:r w:rsidR="00C02288" w:rsidRPr="00C02288">
              <w:rPr>
                <w:rFonts w:ascii="Arial Narrow" w:hAnsi="Arial Narrow"/>
                <w:sz w:val="20"/>
                <w:szCs w:val="20"/>
              </w:rPr>
              <w:t xml:space="preserve">% </w:t>
            </w:r>
            <w:r w:rsidRPr="00C02288">
              <w:rPr>
                <w:rFonts w:ascii="Arial Narrow" w:hAnsi="Arial Narrow" w:cs="Times New Roman"/>
                <w:sz w:val="20"/>
                <w:szCs w:val="20"/>
              </w:rPr>
              <w:t>in Year 6). The uptake rate for grandfathered patients was assumed to be 100%.</w:t>
            </w:r>
          </w:p>
        </w:tc>
        <w:tc>
          <w:tcPr>
            <w:tcW w:w="3777" w:type="dxa"/>
            <w:shd w:val="clear" w:color="auto" w:fill="auto"/>
            <w:vAlign w:val="center"/>
            <w:hideMark/>
          </w:tcPr>
          <w:p w14:paraId="171B12A3" w14:textId="77777777" w:rsidR="00675CC1" w:rsidRPr="00D26534" w:rsidRDefault="00675CC1" w:rsidP="00FA1E05">
            <w:pPr>
              <w:spacing w:after="60"/>
              <w:jc w:val="left"/>
              <w:textAlignment w:val="baseline"/>
              <w:rPr>
                <w:rFonts w:ascii="Arial Narrow" w:hAnsi="Arial Narrow" w:cs="Times New Roman"/>
                <w:sz w:val="20"/>
                <w:szCs w:val="20"/>
              </w:rPr>
            </w:pPr>
            <w:r w:rsidRPr="00D26534">
              <w:rPr>
                <w:rFonts w:ascii="Arial Narrow" w:hAnsi="Arial Narrow" w:cs="Times New Roman"/>
                <w:sz w:val="20"/>
                <w:szCs w:val="20"/>
              </w:rPr>
              <w:t>The current resubmission assumed uptake of esketamine would be higher in Years 1 and 2 but lower in later years than assumed in the July 2023 resubmission.</w:t>
            </w:r>
          </w:p>
          <w:p w14:paraId="08EF19FA" w14:textId="42DCD9D3" w:rsidR="00675CC1" w:rsidRPr="00D26534" w:rsidRDefault="00675CC1" w:rsidP="008D31B6">
            <w:pPr>
              <w:jc w:val="left"/>
              <w:textAlignment w:val="baseline"/>
              <w:rPr>
                <w:rFonts w:ascii="Times New Roman" w:hAnsi="Times New Roman" w:cs="Times New Roman"/>
              </w:rPr>
            </w:pPr>
            <w:r w:rsidRPr="00D26534">
              <w:rPr>
                <w:rFonts w:ascii="Arial Narrow" w:hAnsi="Arial Narrow" w:cs="Times New Roman"/>
                <w:sz w:val="20"/>
                <w:szCs w:val="20"/>
              </w:rPr>
              <w:t>While the resubmission attempted to address PBAC concerns around uptake of esketamine in the context of likely barriers to access, compared to July 2023</w:t>
            </w:r>
            <w:r w:rsidR="006612EF">
              <w:rPr>
                <w:rFonts w:ascii="Arial Narrow" w:hAnsi="Arial Narrow" w:cs="Times New Roman"/>
                <w:sz w:val="20"/>
                <w:szCs w:val="20"/>
              </w:rPr>
              <w:t>, uptake remained high</w:t>
            </w:r>
            <w:r w:rsidR="0039513B">
              <w:rPr>
                <w:rFonts w:ascii="Arial Narrow" w:hAnsi="Arial Narrow" w:cs="Times New Roman"/>
                <w:sz w:val="20"/>
                <w:szCs w:val="20"/>
              </w:rPr>
              <w:t>.</w:t>
            </w:r>
            <w:r w:rsidRPr="00D26534">
              <w:rPr>
                <w:rFonts w:ascii="Arial Narrow" w:hAnsi="Arial Narrow" w:cs="Times New Roman"/>
                <w:sz w:val="20"/>
                <w:szCs w:val="20"/>
              </w:rPr>
              <w:t xml:space="preserve"> </w:t>
            </w:r>
          </w:p>
        </w:tc>
      </w:tr>
      <w:tr w:rsidR="00675CC1" w:rsidRPr="00D26534" w14:paraId="00FC1A29" w14:textId="77777777" w:rsidTr="259D127E">
        <w:tc>
          <w:tcPr>
            <w:tcW w:w="1500" w:type="dxa"/>
            <w:shd w:val="clear" w:color="auto" w:fill="auto"/>
            <w:vAlign w:val="center"/>
            <w:hideMark/>
          </w:tcPr>
          <w:p w14:paraId="6ADFD4E7" w14:textId="77777777" w:rsidR="00675CC1" w:rsidRPr="00D26534" w:rsidRDefault="00675CC1" w:rsidP="00FA1E05">
            <w:pPr>
              <w:jc w:val="left"/>
              <w:textAlignment w:val="baseline"/>
              <w:rPr>
                <w:rFonts w:ascii="Arial Narrow" w:hAnsi="Arial Narrow" w:cs="Times New Roman"/>
                <w:sz w:val="20"/>
                <w:szCs w:val="20"/>
                <w:highlight w:val="yellow"/>
              </w:rPr>
            </w:pPr>
            <w:r w:rsidRPr="00D26534">
              <w:rPr>
                <w:rFonts w:ascii="Arial Narrow" w:hAnsi="Arial Narrow" w:cs="Times New Roman"/>
                <w:sz w:val="20"/>
                <w:szCs w:val="20"/>
              </w:rPr>
              <w:t>Proportion of patients who retreat with esketamine in subsequent episodes of TRD</w:t>
            </w:r>
          </w:p>
        </w:tc>
        <w:tc>
          <w:tcPr>
            <w:tcW w:w="3740" w:type="dxa"/>
            <w:shd w:val="clear" w:color="auto" w:fill="auto"/>
            <w:vAlign w:val="center"/>
            <w:hideMark/>
          </w:tcPr>
          <w:p w14:paraId="5E7E5A30" w14:textId="429805ED" w:rsidR="00675CC1" w:rsidRPr="00D26534" w:rsidRDefault="00675CC1" w:rsidP="00FA1E05">
            <w:pPr>
              <w:spacing w:after="60"/>
              <w:jc w:val="left"/>
              <w:textAlignment w:val="baseline"/>
              <w:rPr>
                <w:rFonts w:ascii="Times New Roman" w:hAnsi="Times New Roman" w:cs="Times New Roman"/>
                <w:highlight w:val="yellow"/>
              </w:rPr>
            </w:pPr>
            <w:r w:rsidRPr="00D26534">
              <w:rPr>
                <w:rFonts w:ascii="Arial Narrow" w:hAnsi="Arial Narrow" w:cs="Times New Roman"/>
                <w:sz w:val="20"/>
                <w:szCs w:val="20"/>
              </w:rPr>
              <w:t>Patients who are responders/remitters to their initial course of esketamine (62.07%) based on TRANSFORM-2 and TRANSFORM-3 trial data, and who have subsequently relapsed into MDE/TRD, based on the SUSTAIN-1 Kaplan Meier curve of the combined Stable Remitter and Stable Responder population</w:t>
            </w:r>
            <w:r w:rsidR="004B5A02" w:rsidRPr="00D26534">
              <w:rPr>
                <w:rFonts w:ascii="Arial Narrow" w:hAnsi="Arial Narrow" w:cs="Times New Roman"/>
                <w:sz w:val="20"/>
                <w:szCs w:val="20"/>
              </w:rPr>
              <w:t>, are eligible for retreatment</w:t>
            </w:r>
            <w:r w:rsidRPr="00D26534">
              <w:rPr>
                <w:rFonts w:ascii="Arial Narrow" w:hAnsi="Arial Narrow" w:cs="Times New Roman"/>
                <w:sz w:val="20"/>
                <w:szCs w:val="20"/>
              </w:rPr>
              <w:t>. The 35% risk of relapse at 36 weeks was converted to an annual relapse rate (50.56%). 100% of these patients are assumed to be retreated with esketamine.</w:t>
            </w:r>
          </w:p>
        </w:tc>
        <w:tc>
          <w:tcPr>
            <w:tcW w:w="3777" w:type="dxa"/>
            <w:shd w:val="clear" w:color="auto" w:fill="auto"/>
            <w:vAlign w:val="center"/>
            <w:hideMark/>
          </w:tcPr>
          <w:p w14:paraId="77214206" w14:textId="0CC44FB7" w:rsidR="008617CE" w:rsidRPr="00D26534" w:rsidRDefault="008617CE" w:rsidP="00FA1E05">
            <w:pPr>
              <w:jc w:val="left"/>
              <w:textAlignment w:val="baseline"/>
            </w:pPr>
            <w:r w:rsidRPr="00D26534">
              <w:rPr>
                <w:rFonts w:ascii="Arial Narrow" w:hAnsi="Arial Narrow" w:cs="Times New Roman"/>
                <w:sz w:val="20"/>
                <w:szCs w:val="20"/>
              </w:rPr>
              <w:t xml:space="preserve">The approach to retreatment was an updated approach compared to the July 2023 resubmission. </w:t>
            </w:r>
            <w:r w:rsidRPr="006612EF">
              <w:rPr>
                <w:rFonts w:ascii="Arial Narrow" w:hAnsi="Arial Narrow" w:cs="Times New Roman"/>
                <w:sz w:val="20"/>
                <w:szCs w:val="20"/>
              </w:rPr>
              <w:t xml:space="preserve"> 31% </w:t>
            </w:r>
            <w:r w:rsidR="004A7BDF">
              <w:rPr>
                <w:rFonts w:ascii="Arial Narrow" w:hAnsi="Arial Narrow" w:cs="Times New Roman"/>
                <w:sz w:val="20"/>
                <w:szCs w:val="20"/>
              </w:rPr>
              <w:t xml:space="preserve">of </w:t>
            </w:r>
            <w:r w:rsidR="009C588A">
              <w:rPr>
                <w:rFonts w:ascii="Arial Narrow" w:hAnsi="Arial Narrow" w:cs="Times New Roman"/>
                <w:sz w:val="20"/>
                <w:szCs w:val="20"/>
              </w:rPr>
              <w:t xml:space="preserve">all </w:t>
            </w:r>
            <w:r w:rsidR="004A7BDF">
              <w:rPr>
                <w:rFonts w:ascii="Arial Narrow" w:hAnsi="Arial Narrow" w:cs="Times New Roman"/>
                <w:sz w:val="20"/>
                <w:szCs w:val="20"/>
              </w:rPr>
              <w:t xml:space="preserve">patients </w:t>
            </w:r>
            <w:r w:rsidR="00094784">
              <w:rPr>
                <w:rFonts w:ascii="Arial Narrow" w:hAnsi="Arial Narrow" w:cs="Times New Roman"/>
                <w:sz w:val="20"/>
                <w:szCs w:val="20"/>
              </w:rPr>
              <w:t xml:space="preserve">treated in </w:t>
            </w:r>
            <w:r w:rsidRPr="006612EF">
              <w:rPr>
                <w:rFonts w:ascii="Arial Narrow" w:hAnsi="Arial Narrow" w:cs="Times New Roman"/>
                <w:sz w:val="20"/>
                <w:szCs w:val="20"/>
              </w:rPr>
              <w:t xml:space="preserve">Year 1 </w:t>
            </w:r>
            <w:r w:rsidR="004A7BDF">
              <w:rPr>
                <w:rFonts w:ascii="Arial Narrow" w:hAnsi="Arial Narrow" w:cs="Times New Roman"/>
                <w:sz w:val="20"/>
                <w:szCs w:val="20"/>
              </w:rPr>
              <w:t xml:space="preserve">are retreated patients, increasing </w:t>
            </w:r>
            <w:r w:rsidRPr="006612EF">
              <w:rPr>
                <w:rFonts w:ascii="Arial Narrow" w:hAnsi="Arial Narrow" w:cs="Times New Roman"/>
                <w:sz w:val="20"/>
                <w:szCs w:val="20"/>
              </w:rPr>
              <w:t>to 57% in Year 6</w:t>
            </w:r>
            <w:r w:rsidR="004A7BDF">
              <w:rPr>
                <w:rFonts w:ascii="Arial Narrow" w:hAnsi="Arial Narrow" w:cs="Times New Roman"/>
                <w:sz w:val="20"/>
                <w:szCs w:val="20"/>
              </w:rPr>
              <w:t>. T</w:t>
            </w:r>
            <w:r w:rsidRPr="006612EF">
              <w:rPr>
                <w:rFonts w:ascii="Arial Narrow" w:hAnsi="Arial Narrow" w:cs="Times New Roman"/>
                <w:sz w:val="20"/>
                <w:szCs w:val="20"/>
              </w:rPr>
              <w:t>he risk of relapse is also applied to patients in years subsequent to treatment initiation (i.e. Year 1 patients who have not relapsed in Year 1, may relapse in Year 2, and so on).</w:t>
            </w:r>
            <w:r w:rsidRPr="00D26534">
              <w:rPr>
                <w:rFonts w:ascii="Arial Narrow" w:hAnsi="Arial Narrow" w:cs="Times New Roman"/>
                <w:sz w:val="20"/>
                <w:szCs w:val="20"/>
              </w:rPr>
              <w:t xml:space="preserve"> Relapse rates may not reflect treatment status – the risk of relapse (based on rates in esketamine-treated patients) is applied to patients over 6 years, while the majority of patients are treated with esketamine for less than 12 months</w:t>
            </w:r>
            <w:r w:rsidR="006D75C5">
              <w:rPr>
                <w:rFonts w:ascii="Arial Narrow" w:hAnsi="Arial Narrow" w:cs="Times New Roman"/>
                <w:sz w:val="20"/>
                <w:szCs w:val="20"/>
              </w:rPr>
              <w:t>, therefore the same risk of relapse has been applied to patients both on and off treatment with esketamine, which may underestimate the proportion of patients who are re-treated</w:t>
            </w:r>
            <w:r w:rsidR="004856D6">
              <w:rPr>
                <w:rFonts w:ascii="Arial Narrow" w:hAnsi="Arial Narrow" w:cs="Times New Roman"/>
                <w:sz w:val="20"/>
                <w:szCs w:val="20"/>
              </w:rPr>
              <w:t xml:space="preserve"> (as relapse rates may be higher in patients who are not on esketamine treatment)</w:t>
            </w:r>
            <w:r w:rsidRPr="00D26534">
              <w:rPr>
                <w:rFonts w:ascii="Arial Narrow" w:hAnsi="Arial Narrow" w:cs="Times New Roman"/>
                <w:sz w:val="20"/>
                <w:szCs w:val="20"/>
              </w:rPr>
              <w:t>.</w:t>
            </w:r>
          </w:p>
          <w:p w14:paraId="5CADC44C" w14:textId="3D0047E7" w:rsidR="00675CC1" w:rsidRPr="00D26534" w:rsidRDefault="00675CC1" w:rsidP="00FA1E05">
            <w:pPr>
              <w:pStyle w:val="COMTabletext"/>
              <w:spacing w:after="60"/>
            </w:pPr>
            <w:r w:rsidRPr="00D26534">
              <w:t xml:space="preserve">DUSC has previously considered the applicability of the trial-based estimates to Australian clinical practice is unclear (para 6.68, </w:t>
            </w:r>
            <w:r w:rsidR="00E71C49" w:rsidRPr="00D26534">
              <w:t>esketamine PSD</w:t>
            </w:r>
            <w:r w:rsidRPr="00D26534">
              <w:t>, July 2022 PBAC meeting).</w:t>
            </w:r>
          </w:p>
          <w:p w14:paraId="4396886A" w14:textId="03ABE813" w:rsidR="00675CC1" w:rsidRPr="00D26534" w:rsidRDefault="00675CC1" w:rsidP="002139BD">
            <w:pPr>
              <w:pStyle w:val="COMTabletext"/>
            </w:pPr>
            <w:r w:rsidRPr="00D26534">
              <w:t xml:space="preserve">The assumption that all </w:t>
            </w:r>
            <w:r w:rsidR="004B5A02" w:rsidRPr="00D26534">
              <w:t xml:space="preserve">eligible </w:t>
            </w:r>
            <w:r w:rsidRPr="00D26534">
              <w:t xml:space="preserve">patients would receive </w:t>
            </w:r>
            <w:r w:rsidR="004B5A02" w:rsidRPr="00D26534">
              <w:t>retreatment</w:t>
            </w:r>
            <w:r w:rsidRPr="00D26534">
              <w:t xml:space="preserve"> was uncertain and was inconsistent with the economic model</w:t>
            </w:r>
            <w:r w:rsidR="00B232D4">
              <w:t>.</w:t>
            </w:r>
          </w:p>
        </w:tc>
      </w:tr>
      <w:tr w:rsidR="00930626" w:rsidRPr="00D26534" w14:paraId="30BAB565" w14:textId="77777777" w:rsidTr="259D127E">
        <w:tc>
          <w:tcPr>
            <w:tcW w:w="1500" w:type="dxa"/>
            <w:shd w:val="clear" w:color="auto" w:fill="auto"/>
            <w:vAlign w:val="center"/>
          </w:tcPr>
          <w:p w14:paraId="62844D97" w14:textId="77777777" w:rsidR="00930626" w:rsidRPr="00D26534" w:rsidRDefault="00930626" w:rsidP="00FA1E05">
            <w:pPr>
              <w:jc w:val="left"/>
              <w:textAlignment w:val="baseline"/>
              <w:rPr>
                <w:rFonts w:ascii="Arial Narrow" w:hAnsi="Arial Narrow" w:cs="Times New Roman"/>
                <w:sz w:val="20"/>
                <w:szCs w:val="20"/>
              </w:rPr>
            </w:pPr>
            <w:r w:rsidRPr="00D26534">
              <w:rPr>
                <w:rFonts w:ascii="Arial Narrow" w:hAnsi="Arial Narrow" w:cs="Times New Roman"/>
                <w:sz w:val="20"/>
                <w:szCs w:val="20"/>
              </w:rPr>
              <w:t>Distribution of patients seeking retreatment</w:t>
            </w:r>
          </w:p>
        </w:tc>
        <w:tc>
          <w:tcPr>
            <w:tcW w:w="3740" w:type="dxa"/>
            <w:shd w:val="clear" w:color="auto" w:fill="auto"/>
            <w:vAlign w:val="center"/>
          </w:tcPr>
          <w:p w14:paraId="384FE93A" w14:textId="1076A690" w:rsidR="00930626" w:rsidRPr="00D26534" w:rsidRDefault="00930626" w:rsidP="002139BD">
            <w:pPr>
              <w:jc w:val="left"/>
              <w:textAlignment w:val="baseline"/>
              <w:rPr>
                <w:rFonts w:ascii="Arial Narrow" w:hAnsi="Arial Narrow" w:cs="Times New Roman"/>
                <w:sz w:val="20"/>
                <w:szCs w:val="20"/>
              </w:rPr>
            </w:pPr>
            <w:r w:rsidRPr="00D26534">
              <w:rPr>
                <w:rFonts w:ascii="Arial Narrow" w:hAnsi="Arial Narrow" w:cs="Times New Roman"/>
                <w:sz w:val="20"/>
                <w:szCs w:val="20"/>
              </w:rPr>
              <w:t>Sponsor assumption (50% retreated in year of relapse, 45% in second year, 5% in third year).</w:t>
            </w:r>
          </w:p>
        </w:tc>
        <w:tc>
          <w:tcPr>
            <w:tcW w:w="3777" w:type="dxa"/>
            <w:shd w:val="clear" w:color="auto" w:fill="auto"/>
            <w:vAlign w:val="center"/>
          </w:tcPr>
          <w:p w14:paraId="6CB32C63" w14:textId="77777777" w:rsidR="00930626" w:rsidRPr="00D26534" w:rsidRDefault="00930626" w:rsidP="002139BD">
            <w:pPr>
              <w:jc w:val="left"/>
              <w:textAlignment w:val="baseline"/>
              <w:rPr>
                <w:rFonts w:ascii="Arial Narrow" w:hAnsi="Arial Narrow" w:cs="Times New Roman"/>
                <w:sz w:val="20"/>
                <w:szCs w:val="20"/>
              </w:rPr>
            </w:pPr>
            <w:r w:rsidRPr="00D26534">
              <w:rPr>
                <w:rFonts w:ascii="Arial Narrow" w:hAnsi="Arial Narrow" w:cs="Times New Roman"/>
                <w:sz w:val="20"/>
                <w:szCs w:val="20"/>
              </w:rPr>
              <w:t>Updated approach compared to the July 2023 resubmission. The estimates were based on assumptions and are therefore uncertain.</w:t>
            </w:r>
          </w:p>
        </w:tc>
      </w:tr>
      <w:tr w:rsidR="00930626" w:rsidRPr="00D26534" w14:paraId="6FE3AAE9" w14:textId="77777777" w:rsidTr="259D127E">
        <w:tc>
          <w:tcPr>
            <w:tcW w:w="1500" w:type="dxa"/>
            <w:shd w:val="clear" w:color="auto" w:fill="auto"/>
            <w:vAlign w:val="center"/>
            <w:hideMark/>
          </w:tcPr>
          <w:p w14:paraId="05CDBF08" w14:textId="11F5CF70" w:rsidR="00930626" w:rsidRPr="00D26534" w:rsidRDefault="00930626" w:rsidP="00FA1E05">
            <w:pPr>
              <w:jc w:val="left"/>
              <w:textAlignment w:val="baseline"/>
              <w:rPr>
                <w:rFonts w:ascii="Times New Roman" w:hAnsi="Times New Roman" w:cs="Times New Roman"/>
              </w:rPr>
            </w:pPr>
            <w:r w:rsidRPr="00D26534">
              <w:rPr>
                <w:rFonts w:ascii="Arial Narrow" w:hAnsi="Arial Narrow" w:cs="Times New Roman"/>
                <w:sz w:val="20"/>
                <w:szCs w:val="20"/>
              </w:rPr>
              <w:t xml:space="preserve">Dose distribution </w:t>
            </w:r>
          </w:p>
        </w:tc>
        <w:tc>
          <w:tcPr>
            <w:tcW w:w="3740" w:type="dxa"/>
            <w:shd w:val="clear" w:color="auto" w:fill="auto"/>
            <w:vAlign w:val="center"/>
            <w:hideMark/>
          </w:tcPr>
          <w:p w14:paraId="7749452A" w14:textId="77D9DEFF" w:rsidR="001B107E" w:rsidRPr="00D26534" w:rsidRDefault="001B107E" w:rsidP="0030063C">
            <w:pPr>
              <w:spacing w:after="60"/>
              <w:jc w:val="left"/>
              <w:textAlignment w:val="baseline"/>
              <w:rPr>
                <w:rFonts w:ascii="Arial Narrow" w:hAnsi="Arial Narrow" w:cs="Times New Roman"/>
                <w:sz w:val="20"/>
                <w:szCs w:val="20"/>
              </w:rPr>
            </w:pPr>
            <w:r w:rsidRPr="00D26534">
              <w:rPr>
                <w:rFonts w:ascii="Arial Narrow" w:hAnsi="Arial Narrow" w:cs="Times New Roman"/>
                <w:sz w:val="20"/>
                <w:szCs w:val="20"/>
              </w:rPr>
              <w:t>The split between the 28 mg dose and the 56 mg/</w:t>
            </w:r>
            <w:r w:rsidR="00327C78" w:rsidRPr="00D26534">
              <w:rPr>
                <w:rFonts w:ascii="Arial Narrow" w:hAnsi="Arial Narrow" w:cs="Times New Roman"/>
                <w:sz w:val="20"/>
                <w:szCs w:val="20"/>
              </w:rPr>
              <w:t xml:space="preserve"> </w:t>
            </w:r>
            <w:r w:rsidRPr="00D26534">
              <w:rPr>
                <w:rFonts w:ascii="Arial Narrow" w:hAnsi="Arial Narrow" w:cs="Times New Roman"/>
                <w:sz w:val="20"/>
                <w:szCs w:val="20"/>
              </w:rPr>
              <w:t>84 mg doses w</w:t>
            </w:r>
            <w:r w:rsidR="006107AB" w:rsidRPr="00D26534">
              <w:rPr>
                <w:rFonts w:ascii="Arial Narrow" w:hAnsi="Arial Narrow" w:cs="Times New Roman"/>
                <w:sz w:val="20"/>
                <w:szCs w:val="20"/>
              </w:rPr>
              <w:t>as</w:t>
            </w:r>
            <w:r w:rsidRPr="00D26534">
              <w:rPr>
                <w:rFonts w:ascii="Arial Narrow" w:hAnsi="Arial Narrow" w:cs="Times New Roman"/>
                <w:sz w:val="20"/>
                <w:szCs w:val="20"/>
              </w:rPr>
              <w:t xml:space="preserve"> derived from the proportion of patients aged 18-64 years, and 65 years and over in the DUSC dataset (92.4%, and 7.6% respectively).</w:t>
            </w:r>
          </w:p>
          <w:p w14:paraId="5E1E961C" w14:textId="7C4CCFE0" w:rsidR="00930626" w:rsidRPr="00D26534" w:rsidRDefault="0030063C" w:rsidP="0030063C">
            <w:pPr>
              <w:spacing w:after="60"/>
              <w:jc w:val="left"/>
              <w:textAlignment w:val="baseline"/>
              <w:rPr>
                <w:rFonts w:cs="Calibri"/>
              </w:rPr>
            </w:pPr>
            <w:r w:rsidRPr="00D26534">
              <w:rPr>
                <w:rFonts w:ascii="Arial Narrow" w:hAnsi="Arial Narrow" w:cs="Times New Roman"/>
                <w:sz w:val="20"/>
                <w:szCs w:val="20"/>
              </w:rPr>
              <w:t>The split between the 56 mg and 84 mg doses for initial treatment was derived from the TRANSFORM-2 trial four week initial treatment period, and for continuing treatment from the SUSTAIN-1 maintenance phase.</w:t>
            </w:r>
          </w:p>
        </w:tc>
        <w:tc>
          <w:tcPr>
            <w:tcW w:w="3777" w:type="dxa"/>
            <w:shd w:val="clear" w:color="auto" w:fill="auto"/>
            <w:vAlign w:val="center"/>
            <w:hideMark/>
          </w:tcPr>
          <w:p w14:paraId="3A873406" w14:textId="7EF35D30" w:rsidR="00930626" w:rsidRPr="00D26534" w:rsidRDefault="00930626" w:rsidP="002139BD">
            <w:pPr>
              <w:jc w:val="left"/>
              <w:textAlignment w:val="baseline"/>
              <w:rPr>
                <w:rFonts w:ascii="Times New Roman" w:hAnsi="Times New Roman" w:cs="Times New Roman"/>
              </w:rPr>
            </w:pPr>
            <w:r w:rsidRPr="00D26534">
              <w:rPr>
                <w:rFonts w:ascii="Arial Narrow" w:hAnsi="Arial Narrow" w:cs="Times New Roman"/>
                <w:sz w:val="20"/>
                <w:szCs w:val="20"/>
              </w:rPr>
              <w:t>Unchanged from the July 2023 resubmission. The dose split used to define the elderly population, based on the population split in the DUSC 100% PBS dataset, differed from the population split used in the economic model (based on ABS population projections; 17.1% aged 65 years or older).</w:t>
            </w:r>
            <w:r w:rsidR="00F96B4C" w:rsidRPr="00D26534">
              <w:rPr>
                <w:rFonts w:ascii="Arial Narrow" w:hAnsi="Arial Narrow" w:cs="Times New Roman"/>
                <w:sz w:val="20"/>
                <w:szCs w:val="20"/>
              </w:rPr>
              <w:t xml:space="preserve"> </w:t>
            </w:r>
            <w:r w:rsidRPr="00D26534">
              <w:rPr>
                <w:rFonts w:ascii="Arial Narrow" w:hAnsi="Arial Narrow" w:cs="Times New Roman"/>
                <w:sz w:val="20"/>
                <w:szCs w:val="20"/>
              </w:rPr>
              <w:t xml:space="preserve">The PBAC has previously considered that differences between the clinical trial settings and Australian clinical practice may result in differences in dose distribution, frequency and adherence (Table 18, </w:t>
            </w:r>
            <w:r w:rsidR="00E71C49" w:rsidRPr="00D26534">
              <w:rPr>
                <w:rFonts w:ascii="Arial Narrow" w:hAnsi="Arial Narrow" w:cs="Times New Roman"/>
                <w:sz w:val="20"/>
                <w:szCs w:val="20"/>
              </w:rPr>
              <w:t>esketamine PSD</w:t>
            </w:r>
            <w:r w:rsidRPr="00D26534">
              <w:rPr>
                <w:rFonts w:ascii="Arial Narrow" w:hAnsi="Arial Narrow" w:cs="Times New Roman"/>
                <w:sz w:val="20"/>
                <w:szCs w:val="20"/>
              </w:rPr>
              <w:t>, July 2023 PBAC meeting).</w:t>
            </w:r>
            <w:r w:rsidR="00D01055">
              <w:rPr>
                <w:rFonts w:ascii="Arial Narrow" w:hAnsi="Arial Narrow" w:cs="Times New Roman"/>
                <w:sz w:val="20"/>
                <w:szCs w:val="20"/>
              </w:rPr>
              <w:t xml:space="preserve"> </w:t>
            </w:r>
          </w:p>
        </w:tc>
      </w:tr>
      <w:tr w:rsidR="00EB5179" w:rsidRPr="00D26534" w14:paraId="47D9DDA5" w14:textId="77777777" w:rsidTr="259D127E">
        <w:tc>
          <w:tcPr>
            <w:tcW w:w="1500" w:type="dxa"/>
            <w:shd w:val="clear" w:color="auto" w:fill="auto"/>
            <w:vAlign w:val="center"/>
          </w:tcPr>
          <w:p w14:paraId="3A2E897B" w14:textId="77777777" w:rsidR="00EB5179" w:rsidRPr="00D26534" w:rsidRDefault="00EB5179" w:rsidP="00FA1E05">
            <w:pPr>
              <w:pStyle w:val="COMTabletext"/>
            </w:pPr>
            <w:r w:rsidRPr="00D26534">
              <w:lastRenderedPageBreak/>
              <w:t xml:space="preserve">Dose frequency </w:t>
            </w:r>
          </w:p>
        </w:tc>
        <w:tc>
          <w:tcPr>
            <w:tcW w:w="3740" w:type="dxa"/>
            <w:shd w:val="clear" w:color="auto" w:fill="auto"/>
            <w:vAlign w:val="center"/>
          </w:tcPr>
          <w:p w14:paraId="0234295F" w14:textId="496B69D5" w:rsidR="00EB5179" w:rsidRPr="00D26534" w:rsidRDefault="00EB5179" w:rsidP="002139BD">
            <w:pPr>
              <w:jc w:val="left"/>
              <w:textAlignment w:val="baseline"/>
              <w:rPr>
                <w:rFonts w:ascii="Arial Narrow" w:hAnsi="Arial Narrow" w:cs="Times New Roman"/>
                <w:sz w:val="20"/>
                <w:szCs w:val="20"/>
              </w:rPr>
            </w:pPr>
            <w:r w:rsidRPr="00D26534">
              <w:rPr>
                <w:rFonts w:ascii="Arial Narrow" w:hAnsi="Arial Narrow" w:cs="Times New Roman"/>
                <w:sz w:val="20"/>
                <w:szCs w:val="20"/>
              </w:rPr>
              <w:t>Derived from the proportion of patients maintained on either weekly (40%) or fortnightly (60%) dosing in the SUSTAIN-1 trial.</w:t>
            </w:r>
          </w:p>
        </w:tc>
        <w:tc>
          <w:tcPr>
            <w:tcW w:w="3777" w:type="dxa"/>
            <w:shd w:val="clear" w:color="auto" w:fill="auto"/>
            <w:vAlign w:val="center"/>
          </w:tcPr>
          <w:p w14:paraId="2623D61D" w14:textId="77777777" w:rsidR="00EB5179" w:rsidRPr="00D26534" w:rsidRDefault="00EB5179" w:rsidP="002139BD">
            <w:pPr>
              <w:jc w:val="left"/>
              <w:textAlignment w:val="baseline"/>
              <w:rPr>
                <w:rFonts w:ascii="Arial Narrow" w:hAnsi="Arial Narrow" w:cs="Times New Roman"/>
                <w:sz w:val="20"/>
                <w:szCs w:val="20"/>
              </w:rPr>
            </w:pPr>
            <w:r w:rsidRPr="00D26534">
              <w:rPr>
                <w:rFonts w:ascii="Arial Narrow" w:hAnsi="Arial Narrow" w:cs="Times New Roman"/>
                <w:sz w:val="20"/>
                <w:szCs w:val="20"/>
              </w:rPr>
              <w:t>Unchanged from the July 2023 resubmission. Dose frequency in clinical practice may differ from that observed in the clinical trial setting.</w:t>
            </w:r>
          </w:p>
        </w:tc>
      </w:tr>
      <w:tr w:rsidR="007563FA" w:rsidRPr="00D26534" w14:paraId="45A81749" w14:textId="77777777" w:rsidTr="259D127E">
        <w:tc>
          <w:tcPr>
            <w:tcW w:w="1500" w:type="dxa"/>
            <w:shd w:val="clear" w:color="auto" w:fill="auto"/>
            <w:vAlign w:val="center"/>
          </w:tcPr>
          <w:p w14:paraId="0C18DBE3" w14:textId="77777777" w:rsidR="007563FA" w:rsidRPr="00C02288" w:rsidRDefault="007563FA" w:rsidP="00FA1E05">
            <w:pPr>
              <w:pStyle w:val="COMTabletext"/>
              <w:rPr>
                <w:szCs w:val="20"/>
              </w:rPr>
            </w:pPr>
            <w:r w:rsidRPr="00C02288">
              <w:rPr>
                <w:szCs w:val="20"/>
              </w:rPr>
              <w:t>Proportion of use up to or beyond 12 months</w:t>
            </w:r>
          </w:p>
        </w:tc>
        <w:tc>
          <w:tcPr>
            <w:tcW w:w="3740" w:type="dxa"/>
            <w:shd w:val="clear" w:color="auto" w:fill="auto"/>
            <w:vAlign w:val="center"/>
          </w:tcPr>
          <w:p w14:paraId="306A0913" w14:textId="3926E541" w:rsidR="007563FA" w:rsidRPr="00C02288" w:rsidRDefault="0330EEED" w:rsidP="005613CE">
            <w:pPr>
              <w:pStyle w:val="COMTabletext"/>
              <w:rPr>
                <w:szCs w:val="20"/>
              </w:rPr>
            </w:pPr>
            <w:r w:rsidRPr="00C02288">
              <w:rPr>
                <w:szCs w:val="20"/>
              </w:rPr>
              <w:t xml:space="preserve">Distribution of patients by duration of therapy from supply data from sponsor’s EAP. All patients (initial, retreatment and grandfathered) are split using these proportions (&lt;12 months: </w:t>
            </w:r>
            <w:r w:rsidR="00683384" w:rsidRPr="00C02288">
              <w:rPr>
                <w:color w:val="000000"/>
                <w:spacing w:val="53"/>
                <w:szCs w:val="20"/>
                <w:shd w:val="solid" w:color="000000" w:fill="000000"/>
                <w:fitText w:val="330" w:id="-892700928"/>
                <w14:textFill>
                  <w14:solidFill>
                    <w14:srgbClr w14:val="000000">
                      <w14:alpha w14:val="100000"/>
                    </w14:srgbClr>
                  </w14:solidFill>
                </w14:textFill>
              </w:rPr>
              <w:t>|||</w:t>
            </w:r>
            <w:r w:rsidR="00683384" w:rsidRPr="00C02288">
              <w:rPr>
                <w:color w:val="000000"/>
                <w:spacing w:val="1"/>
                <w:szCs w:val="20"/>
                <w:shd w:val="solid" w:color="000000" w:fill="000000"/>
                <w:fitText w:val="330" w:id="-892700928"/>
                <w14:textFill>
                  <w14:solidFill>
                    <w14:srgbClr w14:val="000000">
                      <w14:alpha w14:val="100000"/>
                    </w14:srgbClr>
                  </w14:solidFill>
                </w14:textFill>
              </w:rPr>
              <w:t>|</w:t>
            </w:r>
            <w:r w:rsidRPr="00C02288">
              <w:rPr>
                <w:szCs w:val="20"/>
              </w:rPr>
              <w:t xml:space="preserve">%; 12+ months: </w:t>
            </w:r>
            <w:r w:rsidR="00683384" w:rsidRPr="00C02288">
              <w:rPr>
                <w:color w:val="000000"/>
                <w:spacing w:val="53"/>
                <w:szCs w:val="20"/>
                <w:shd w:val="solid" w:color="000000" w:fill="000000"/>
                <w:fitText w:val="330" w:id="-892700927"/>
                <w14:textFill>
                  <w14:solidFill>
                    <w14:srgbClr w14:val="000000">
                      <w14:alpha w14:val="100000"/>
                    </w14:srgbClr>
                  </w14:solidFill>
                </w14:textFill>
              </w:rPr>
              <w:t>|||</w:t>
            </w:r>
            <w:r w:rsidR="00683384" w:rsidRPr="00C02288">
              <w:rPr>
                <w:color w:val="000000"/>
                <w:spacing w:val="1"/>
                <w:szCs w:val="20"/>
                <w:shd w:val="solid" w:color="000000" w:fill="000000"/>
                <w:fitText w:val="330" w:id="-892700927"/>
                <w14:textFill>
                  <w14:solidFill>
                    <w14:srgbClr w14:val="000000">
                      <w14:alpha w14:val="100000"/>
                    </w14:srgbClr>
                  </w14:solidFill>
                </w14:textFill>
              </w:rPr>
              <w:t>|</w:t>
            </w:r>
            <w:r w:rsidRPr="00C02288">
              <w:rPr>
                <w:szCs w:val="20"/>
              </w:rPr>
              <w:t>%)</w:t>
            </w:r>
          </w:p>
        </w:tc>
        <w:tc>
          <w:tcPr>
            <w:tcW w:w="3777" w:type="dxa"/>
            <w:shd w:val="clear" w:color="auto" w:fill="auto"/>
            <w:vAlign w:val="center"/>
          </w:tcPr>
          <w:p w14:paraId="6EEAED8C" w14:textId="5AF23348" w:rsidR="007563FA" w:rsidRPr="00C02288" w:rsidRDefault="0330EEED" w:rsidP="005613CE">
            <w:pPr>
              <w:pStyle w:val="COMTabletext"/>
              <w:rPr>
                <w:szCs w:val="20"/>
              </w:rPr>
            </w:pPr>
            <w:r w:rsidRPr="00C02288">
              <w:rPr>
                <w:szCs w:val="20"/>
              </w:rPr>
              <w:t>The resubmission argued that, as the majority of patients enrolled in the EAP do not pay for treatment</w:t>
            </w:r>
            <w:r w:rsidR="00B232D4" w:rsidRPr="00C02288">
              <w:rPr>
                <w:szCs w:val="20"/>
              </w:rPr>
              <w:t xml:space="preserve"> and</w:t>
            </w:r>
            <w:r w:rsidRPr="00C02288">
              <w:rPr>
                <w:szCs w:val="20"/>
              </w:rPr>
              <w:t xml:space="preserve"> there is no restriction on treatment duration, the proportion of patients supplied with esketamine for more than 12 months (</w:t>
            </w:r>
            <w:r w:rsidR="00683384" w:rsidRPr="00C02288">
              <w:rPr>
                <w:color w:val="000000"/>
                <w:spacing w:val="53"/>
                <w:szCs w:val="20"/>
                <w:shd w:val="solid" w:color="000000" w:fill="000000"/>
                <w:fitText w:val="330" w:id="-892700926"/>
                <w14:textFill>
                  <w14:solidFill>
                    <w14:srgbClr w14:val="000000">
                      <w14:alpha w14:val="100000"/>
                    </w14:srgbClr>
                  </w14:solidFill>
                </w14:textFill>
              </w:rPr>
              <w:t>|||</w:t>
            </w:r>
            <w:r w:rsidR="00683384" w:rsidRPr="00C02288">
              <w:rPr>
                <w:color w:val="000000"/>
                <w:spacing w:val="1"/>
                <w:szCs w:val="20"/>
                <w:shd w:val="solid" w:color="000000" w:fill="000000"/>
                <w:fitText w:val="330" w:id="-892700926"/>
                <w14:textFill>
                  <w14:solidFill>
                    <w14:srgbClr w14:val="000000">
                      <w14:alpha w14:val="100000"/>
                    </w14:srgbClr>
                  </w14:solidFill>
                </w14:textFill>
              </w:rPr>
              <w:t>|</w:t>
            </w:r>
            <w:r w:rsidRPr="00C02288">
              <w:rPr>
                <w:szCs w:val="20"/>
              </w:rPr>
              <w:t>%) represents an upper bound on what would be expected in the Australian setting. However, the analysis included a number of patients with limited follow-up (entered the EAP within 12 months of the analysis) who could not meet the ≥12 month criterion, potentially underestimating the proportion of patients continuing treatment beyond 12 months in clinical practice</w:t>
            </w:r>
            <w:r w:rsidR="00825AD8" w:rsidRPr="00C02288">
              <w:rPr>
                <w:szCs w:val="20"/>
              </w:rPr>
              <w:t>.</w:t>
            </w:r>
          </w:p>
        </w:tc>
      </w:tr>
      <w:tr w:rsidR="00A770FB" w:rsidRPr="00D26534" w14:paraId="1C029EED" w14:textId="77777777" w:rsidTr="259D127E">
        <w:tc>
          <w:tcPr>
            <w:tcW w:w="1500" w:type="dxa"/>
            <w:tcBorders>
              <w:bottom w:val="single" w:sz="4" w:space="0" w:color="auto"/>
            </w:tcBorders>
            <w:shd w:val="clear" w:color="auto" w:fill="auto"/>
            <w:vAlign w:val="center"/>
          </w:tcPr>
          <w:p w14:paraId="5C921612" w14:textId="2F5DB107" w:rsidR="00A770FB" w:rsidRPr="00D26534" w:rsidRDefault="00A770FB" w:rsidP="00FA1E05">
            <w:pPr>
              <w:pStyle w:val="COMTabletext"/>
            </w:pPr>
            <w:r w:rsidRPr="00D26534">
              <w:t>Duration of treatment</w:t>
            </w:r>
          </w:p>
        </w:tc>
        <w:tc>
          <w:tcPr>
            <w:tcW w:w="3740" w:type="dxa"/>
            <w:tcBorders>
              <w:bottom w:val="single" w:sz="4" w:space="0" w:color="auto"/>
            </w:tcBorders>
            <w:shd w:val="clear" w:color="auto" w:fill="auto"/>
            <w:vAlign w:val="center"/>
          </w:tcPr>
          <w:p w14:paraId="32041367" w14:textId="5C3E5E3F" w:rsidR="00A770FB" w:rsidRPr="00D26534" w:rsidRDefault="00A770FB" w:rsidP="005613CE">
            <w:pPr>
              <w:pStyle w:val="COMTabletext"/>
            </w:pPr>
            <w:r w:rsidRPr="00D26534">
              <w:t>Average duration derived from the proportion of patients on treatment over time in the economic model</w:t>
            </w:r>
            <w:r w:rsidR="00E67F36">
              <w:t xml:space="preserve"> </w:t>
            </w:r>
            <w:r w:rsidR="00E67F36" w:rsidRPr="00E67F36">
              <w:rPr>
                <w:i/>
                <w:iCs/>
              </w:rPr>
              <w:t>(</w:t>
            </w:r>
            <w:r w:rsidR="00E67F36" w:rsidRPr="004E64B8">
              <w:t>which incorporates the proportion of patients responding at 4 weeks and continuing treatment)</w:t>
            </w:r>
            <w:r w:rsidRPr="004E64B8">
              <w:t>.</w:t>
            </w:r>
            <w:r w:rsidRPr="00D26534">
              <w:t xml:space="preserve"> Estimated separately for patients treated up to 12 months</w:t>
            </w:r>
            <w:r w:rsidR="00860593" w:rsidRPr="00D26534">
              <w:t xml:space="preserve"> (average duration 22.95 weeks</w:t>
            </w:r>
            <w:r w:rsidR="00AB4BBC" w:rsidRPr="00D26534">
              <w:t xml:space="preserve"> [</w:t>
            </w:r>
            <w:r w:rsidR="00860593" w:rsidRPr="00D26534">
              <w:t>5.3 months</w:t>
            </w:r>
            <w:r w:rsidR="00AB4BBC" w:rsidRPr="00D26534">
              <w:t>])</w:t>
            </w:r>
            <w:r w:rsidRPr="00D26534">
              <w:t>, and those treated beyond 12 months</w:t>
            </w:r>
            <w:r w:rsidR="00AB4BBC" w:rsidRPr="00D26534">
              <w:t xml:space="preserve"> (average duration 136.14 weeks (or 31.42 months)</w:t>
            </w:r>
            <w:r w:rsidRPr="00D26534">
              <w:t>. Treatment duration for retreated patients was assumed to be 85% of initial treatment duration; and Grandfathered treatment was assumed to be 4 weeks less than the initial treatment duration, as the 4 week induction phase was assumed to occur prior to PBS listing of esketamine.</w:t>
            </w:r>
          </w:p>
        </w:tc>
        <w:tc>
          <w:tcPr>
            <w:tcW w:w="3777" w:type="dxa"/>
            <w:tcBorders>
              <w:bottom w:val="single" w:sz="4" w:space="0" w:color="auto"/>
            </w:tcBorders>
            <w:shd w:val="clear" w:color="auto" w:fill="auto"/>
            <w:vAlign w:val="center"/>
          </w:tcPr>
          <w:p w14:paraId="5CB50B5E" w14:textId="1AAC0E47" w:rsidR="008602A6" w:rsidRPr="00D26534" w:rsidRDefault="004A0CA8" w:rsidP="005613CE">
            <w:pPr>
              <w:pStyle w:val="COMTabletext"/>
            </w:pPr>
            <w:r w:rsidRPr="00D26534">
              <w:t>The estimated duration of treatment for patients receiving treatment for up to 12 months included the patients who received treatment beyond 12 months, therefore overestimating the duration of treatment for patients with less than 12 months of treatment.</w:t>
            </w:r>
            <w:r w:rsidR="0039513B">
              <w:t xml:space="preserve"> T</w:t>
            </w:r>
            <w:r w:rsidR="0039513B" w:rsidRPr="0039513B">
              <w:t xml:space="preserve">he PBAC considered the approach used in the </w:t>
            </w:r>
            <w:r w:rsidR="0039513B">
              <w:t>re</w:t>
            </w:r>
            <w:r w:rsidR="0039513B" w:rsidRPr="0039513B">
              <w:t>submission to calculat</w:t>
            </w:r>
            <w:r w:rsidR="0039513B">
              <w:t>e</w:t>
            </w:r>
            <w:r w:rsidR="0039513B" w:rsidRPr="0039513B">
              <w:t xml:space="preserve"> duration of treatment was reasonable.</w:t>
            </w:r>
          </w:p>
          <w:p w14:paraId="2D9B032E" w14:textId="77777777" w:rsidR="00B662AC" w:rsidRPr="00D26534" w:rsidRDefault="00B662AC" w:rsidP="005613CE">
            <w:pPr>
              <w:pStyle w:val="COMTabletext"/>
            </w:pPr>
          </w:p>
          <w:p w14:paraId="61693427" w14:textId="1F8432BB" w:rsidR="00A770FB" w:rsidRPr="00D26534" w:rsidRDefault="00A770FB" w:rsidP="005613CE">
            <w:pPr>
              <w:pStyle w:val="COMTabletext"/>
            </w:pPr>
            <w:r w:rsidRPr="00D26534">
              <w:t>Retreatment and grandfathered treatment durations were assumptions and therefore uncertain.</w:t>
            </w:r>
          </w:p>
        </w:tc>
      </w:tr>
      <w:tr w:rsidR="00A54236" w:rsidRPr="00D26534" w14:paraId="727589BD" w14:textId="77777777" w:rsidTr="259D127E">
        <w:tc>
          <w:tcPr>
            <w:tcW w:w="1500" w:type="dxa"/>
            <w:tcBorders>
              <w:bottom w:val="single" w:sz="4" w:space="0" w:color="auto"/>
            </w:tcBorders>
            <w:shd w:val="clear" w:color="auto" w:fill="auto"/>
            <w:vAlign w:val="center"/>
            <w:hideMark/>
          </w:tcPr>
          <w:p w14:paraId="3AB9BF6F" w14:textId="77777777" w:rsidR="00A54236" w:rsidRPr="00D26534" w:rsidRDefault="00A54236" w:rsidP="00FA1E05">
            <w:pPr>
              <w:jc w:val="left"/>
              <w:textAlignment w:val="baseline"/>
              <w:rPr>
                <w:rFonts w:ascii="Times New Roman" w:hAnsi="Times New Roman" w:cs="Times New Roman"/>
              </w:rPr>
            </w:pPr>
            <w:r w:rsidRPr="00D26534">
              <w:rPr>
                <w:rFonts w:ascii="Arial Narrow" w:hAnsi="Arial Narrow" w:cs="Times New Roman"/>
                <w:sz w:val="20"/>
                <w:szCs w:val="20"/>
              </w:rPr>
              <w:t>Adherence </w:t>
            </w:r>
          </w:p>
        </w:tc>
        <w:tc>
          <w:tcPr>
            <w:tcW w:w="3740" w:type="dxa"/>
            <w:tcBorders>
              <w:bottom w:val="single" w:sz="4" w:space="0" w:color="auto"/>
            </w:tcBorders>
            <w:shd w:val="clear" w:color="auto" w:fill="auto"/>
            <w:vAlign w:val="center"/>
            <w:hideMark/>
          </w:tcPr>
          <w:p w14:paraId="12E5ED20" w14:textId="4D3E5108" w:rsidR="00A54236" w:rsidRPr="00D26534" w:rsidRDefault="00A54236" w:rsidP="005613CE">
            <w:pPr>
              <w:jc w:val="left"/>
              <w:textAlignment w:val="baseline"/>
              <w:rPr>
                <w:rFonts w:ascii="Times New Roman" w:hAnsi="Times New Roman" w:cs="Times New Roman"/>
              </w:rPr>
            </w:pPr>
            <w:r w:rsidRPr="00D26534">
              <w:rPr>
                <w:rFonts w:ascii="Arial Narrow" w:hAnsi="Arial Narrow" w:cs="Times New Roman"/>
                <w:sz w:val="20"/>
                <w:szCs w:val="20"/>
              </w:rPr>
              <w:t>92.5% for initial treatment, and 73.8% for continuing treatment. Derived from TRANSFORM-2 (initial treatment) and SUSTAIN-1 (maintenance) trial data. </w:t>
            </w:r>
          </w:p>
        </w:tc>
        <w:tc>
          <w:tcPr>
            <w:tcW w:w="3777" w:type="dxa"/>
            <w:tcBorders>
              <w:bottom w:val="single" w:sz="4" w:space="0" w:color="auto"/>
            </w:tcBorders>
            <w:shd w:val="clear" w:color="auto" w:fill="auto"/>
            <w:vAlign w:val="center"/>
            <w:hideMark/>
          </w:tcPr>
          <w:p w14:paraId="19C69602" w14:textId="450B52FA" w:rsidR="00A54236" w:rsidRPr="00D26534" w:rsidRDefault="00A54236" w:rsidP="005613CE">
            <w:pPr>
              <w:jc w:val="left"/>
              <w:textAlignment w:val="baseline"/>
              <w:rPr>
                <w:rFonts w:ascii="Times New Roman" w:hAnsi="Times New Roman" w:cs="Times New Roman"/>
              </w:rPr>
            </w:pPr>
            <w:r w:rsidRPr="00D26534">
              <w:rPr>
                <w:rFonts w:ascii="Arial Narrow" w:hAnsi="Arial Narrow" w:cs="Times New Roman"/>
                <w:sz w:val="20"/>
                <w:szCs w:val="20"/>
              </w:rPr>
              <w:t>Unchanged from the July 2023 resubmission. Differences between the clinical trial setting and Australian clinical practice may result in differences in adherence.</w:t>
            </w:r>
          </w:p>
        </w:tc>
      </w:tr>
    </w:tbl>
    <w:p w14:paraId="3FA28530" w14:textId="77777777" w:rsidR="00A60C7B" w:rsidRPr="00A60C7B" w:rsidRDefault="003330C2" w:rsidP="003330C2">
      <w:pPr>
        <w:pStyle w:val="COMTablefooter"/>
        <w:rPr>
          <w:rFonts w:ascii="Segoe UI" w:hAnsi="Segoe UI"/>
        </w:rPr>
      </w:pPr>
      <w:r w:rsidRPr="00D26534">
        <w:t>Source: Section 4.2,; Section 4.3of the resubmission; ‘Attachment 4.1 Esketamine UCM March 2024’ Excel workbook </w:t>
      </w:r>
    </w:p>
    <w:p w14:paraId="30923A69" w14:textId="45C8B3B2" w:rsidR="003330C2" w:rsidRPr="00D26534" w:rsidRDefault="003330C2" w:rsidP="003330C2">
      <w:pPr>
        <w:pStyle w:val="COMTablefooter"/>
      </w:pPr>
      <w:r w:rsidRPr="00D26534">
        <w:t>Abbreviations: AEMP, approved ex-manufacturer price; EAP, early access program; GP, general practitioner; MDD, major depressive disorder; TRD, treatment-resistant depression. </w:t>
      </w:r>
    </w:p>
    <w:p w14:paraId="1E08A51F" w14:textId="6D88AAEE" w:rsidR="00571FCA" w:rsidRPr="008217F1" w:rsidRDefault="005638BC" w:rsidP="00FB181C">
      <w:pPr>
        <w:pStyle w:val="ListParagraph"/>
        <w:numPr>
          <w:ilvl w:val="1"/>
          <w:numId w:val="1"/>
        </w:numPr>
        <w:spacing w:after="120"/>
        <w:ind w:hanging="720"/>
        <w:contextualSpacing w:val="0"/>
        <w:rPr>
          <w:rFonts w:cs="Calibri"/>
          <w:bCs/>
          <w:iCs/>
        </w:rPr>
      </w:pPr>
      <w:r w:rsidRPr="008217F1">
        <w:rPr>
          <w:rFonts w:cs="Calibri"/>
          <w:bCs/>
          <w:iCs/>
        </w:rPr>
        <w:fldChar w:fldCharType="begin" w:fldLock="1"/>
      </w:r>
      <w:r w:rsidRPr="008217F1">
        <w:rPr>
          <w:rFonts w:cs="Calibri"/>
          <w:bCs/>
          <w:iCs/>
        </w:rPr>
        <w:instrText xml:space="preserve"> REF _Ref170117816 \h  \* MERGEFORMAT </w:instrText>
      </w:r>
      <w:r w:rsidRPr="008217F1">
        <w:rPr>
          <w:rFonts w:cs="Calibri"/>
          <w:bCs/>
          <w:iCs/>
        </w:rPr>
      </w:r>
      <w:r w:rsidRPr="008217F1">
        <w:rPr>
          <w:rFonts w:cs="Calibri"/>
          <w:bCs/>
          <w:iCs/>
        </w:rPr>
        <w:fldChar w:fldCharType="separate"/>
      </w:r>
      <w:r w:rsidR="002B3C60" w:rsidRPr="008217F1">
        <w:rPr>
          <w:rFonts w:cs="Calibri"/>
          <w:bCs/>
          <w:iCs/>
        </w:rPr>
        <w:t>Table 18</w:t>
      </w:r>
      <w:r w:rsidRPr="008217F1">
        <w:rPr>
          <w:rFonts w:cs="Calibri"/>
          <w:bCs/>
          <w:iCs/>
        </w:rPr>
        <w:fldChar w:fldCharType="end"/>
      </w:r>
      <w:r w:rsidRPr="008217F1">
        <w:rPr>
          <w:rFonts w:cs="Calibri"/>
          <w:bCs/>
          <w:iCs/>
        </w:rPr>
        <w:t xml:space="preserve"> </w:t>
      </w:r>
      <w:r w:rsidR="00571FCA" w:rsidRPr="008217F1">
        <w:rPr>
          <w:rFonts w:cs="Calibri"/>
          <w:bCs/>
          <w:iCs/>
        </w:rPr>
        <w:t>presents the derivation of the estimated number of patients that would be treated with esketamine on the PBS/RPBS for TRD.</w:t>
      </w:r>
    </w:p>
    <w:p w14:paraId="577B4944" w14:textId="4C90FB98" w:rsidR="00571FCA" w:rsidRPr="00D754BC" w:rsidRDefault="00571FCA" w:rsidP="00571FCA">
      <w:pPr>
        <w:keepNext/>
        <w:jc w:val="left"/>
        <w:textAlignment w:val="baseline"/>
        <w:rPr>
          <w:rFonts w:ascii="Segoe UI" w:hAnsi="Segoe UI" w:cs="Segoe UI"/>
          <w:b/>
          <w:bCs/>
          <w:sz w:val="18"/>
          <w:szCs w:val="18"/>
        </w:rPr>
      </w:pPr>
      <w:bookmarkStart w:id="60" w:name="_Ref170117816"/>
      <w:r w:rsidRPr="00D754BC">
        <w:rPr>
          <w:rFonts w:ascii="Arial Narrow" w:hAnsi="Arial Narrow" w:cs="Segoe UI"/>
          <w:b/>
          <w:bCs/>
          <w:sz w:val="20"/>
          <w:szCs w:val="20"/>
        </w:rPr>
        <w:lastRenderedPageBreak/>
        <w:t xml:space="preserve">Table </w:t>
      </w:r>
      <w:r w:rsidRPr="00D754BC">
        <w:rPr>
          <w:rFonts w:ascii="Arial Narrow" w:hAnsi="Arial Narrow" w:cs="Segoe UI"/>
          <w:b/>
          <w:bCs/>
          <w:sz w:val="20"/>
          <w:szCs w:val="20"/>
        </w:rPr>
        <w:fldChar w:fldCharType="begin" w:fldLock="1"/>
      </w:r>
      <w:r w:rsidRPr="00D754BC">
        <w:rPr>
          <w:rFonts w:ascii="Arial Narrow" w:hAnsi="Arial Narrow" w:cs="Segoe UI"/>
          <w:b/>
          <w:bCs/>
          <w:sz w:val="20"/>
          <w:szCs w:val="20"/>
        </w:rPr>
        <w:instrText xml:space="preserve"> SEQ Table \* ARABIC </w:instrText>
      </w:r>
      <w:r w:rsidRPr="00D754BC">
        <w:rPr>
          <w:rFonts w:ascii="Arial Narrow" w:hAnsi="Arial Narrow" w:cs="Segoe UI"/>
          <w:b/>
          <w:bCs/>
          <w:sz w:val="20"/>
          <w:szCs w:val="20"/>
        </w:rPr>
        <w:fldChar w:fldCharType="separate"/>
      </w:r>
      <w:r w:rsidR="002B3C60" w:rsidRPr="00D754BC">
        <w:rPr>
          <w:rFonts w:ascii="Arial Narrow" w:hAnsi="Arial Narrow" w:cs="Segoe UI"/>
          <w:b/>
          <w:bCs/>
          <w:noProof/>
          <w:sz w:val="20"/>
          <w:szCs w:val="20"/>
        </w:rPr>
        <w:t>18</w:t>
      </w:r>
      <w:r w:rsidRPr="00D754BC">
        <w:rPr>
          <w:rFonts w:ascii="Arial Narrow" w:hAnsi="Arial Narrow" w:cs="Segoe UI"/>
          <w:b/>
          <w:bCs/>
          <w:sz w:val="20"/>
          <w:szCs w:val="20"/>
        </w:rPr>
        <w:fldChar w:fldCharType="end"/>
      </w:r>
      <w:bookmarkEnd w:id="60"/>
      <w:r w:rsidRPr="00D754BC">
        <w:rPr>
          <w:rFonts w:ascii="Arial Narrow" w:hAnsi="Arial Narrow" w:cs="Segoe UI"/>
          <w:b/>
          <w:bCs/>
          <w:sz w:val="20"/>
          <w:szCs w:val="20"/>
        </w:rPr>
        <w:t>: Estimated utilisation of esketamine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8: Estimated utilisation of esketamine "/>
      </w:tblPr>
      <w:tblGrid>
        <w:gridCol w:w="2626"/>
        <w:gridCol w:w="997"/>
        <w:gridCol w:w="1001"/>
        <w:gridCol w:w="1001"/>
        <w:gridCol w:w="1001"/>
        <w:gridCol w:w="1001"/>
        <w:gridCol w:w="1390"/>
      </w:tblGrid>
      <w:tr w:rsidR="00571FCA" w:rsidRPr="008217F1" w14:paraId="470983E3" w14:textId="77777777" w:rsidTr="259D127E">
        <w:trPr>
          <w:tblHeader/>
        </w:trPr>
        <w:tc>
          <w:tcPr>
            <w:tcW w:w="1456" w:type="pct"/>
            <w:shd w:val="clear" w:color="auto" w:fill="auto"/>
            <w:hideMark/>
          </w:tcPr>
          <w:p w14:paraId="2FB69264" w14:textId="77777777" w:rsidR="00571FCA" w:rsidRPr="008217F1" w:rsidRDefault="00571FCA" w:rsidP="00F845EA">
            <w:pPr>
              <w:keepNext/>
              <w:jc w:val="left"/>
              <w:textAlignment w:val="baseline"/>
              <w:rPr>
                <w:rFonts w:ascii="Times New Roman" w:hAnsi="Times New Roman" w:cs="Times New Roman"/>
              </w:rPr>
            </w:pPr>
            <w:r w:rsidRPr="008217F1">
              <w:rPr>
                <w:rFonts w:ascii="Arial Narrow" w:hAnsi="Arial Narrow" w:cs="Times New Roman"/>
                <w:sz w:val="20"/>
                <w:szCs w:val="20"/>
              </w:rPr>
              <w:t> </w:t>
            </w:r>
          </w:p>
        </w:tc>
        <w:tc>
          <w:tcPr>
            <w:tcW w:w="553" w:type="pct"/>
            <w:shd w:val="clear" w:color="auto" w:fill="auto"/>
            <w:vAlign w:val="center"/>
            <w:hideMark/>
          </w:tcPr>
          <w:p w14:paraId="0A1AD442" w14:textId="77777777" w:rsidR="00571FCA" w:rsidRPr="008217F1" w:rsidRDefault="00571FCA" w:rsidP="00F845EA">
            <w:pPr>
              <w:keepNext/>
              <w:jc w:val="center"/>
              <w:textAlignment w:val="baseline"/>
              <w:rPr>
                <w:rFonts w:ascii="Times New Roman" w:hAnsi="Times New Roman" w:cs="Times New Roman"/>
              </w:rPr>
            </w:pPr>
            <w:r w:rsidRPr="008217F1">
              <w:rPr>
                <w:rFonts w:ascii="Arial Narrow" w:hAnsi="Arial Narrow" w:cs="Times New Roman"/>
                <w:b/>
                <w:bCs/>
                <w:sz w:val="20"/>
                <w:szCs w:val="20"/>
              </w:rPr>
              <w:t>Year 1</w:t>
            </w:r>
            <w:r w:rsidRPr="008217F1">
              <w:rPr>
                <w:rFonts w:ascii="Arial Narrow" w:hAnsi="Arial Narrow" w:cs="Times New Roman"/>
                <w:sz w:val="20"/>
                <w:szCs w:val="20"/>
              </w:rPr>
              <w:t> </w:t>
            </w:r>
          </w:p>
        </w:tc>
        <w:tc>
          <w:tcPr>
            <w:tcW w:w="555" w:type="pct"/>
            <w:shd w:val="clear" w:color="auto" w:fill="auto"/>
            <w:vAlign w:val="center"/>
            <w:hideMark/>
          </w:tcPr>
          <w:p w14:paraId="424D97DB" w14:textId="77777777" w:rsidR="00571FCA" w:rsidRPr="008217F1" w:rsidRDefault="00571FCA" w:rsidP="00F845EA">
            <w:pPr>
              <w:keepNext/>
              <w:jc w:val="center"/>
              <w:textAlignment w:val="baseline"/>
              <w:rPr>
                <w:rFonts w:ascii="Times New Roman" w:hAnsi="Times New Roman" w:cs="Times New Roman"/>
              </w:rPr>
            </w:pPr>
            <w:r w:rsidRPr="008217F1">
              <w:rPr>
                <w:rFonts w:ascii="Arial Narrow" w:hAnsi="Arial Narrow" w:cs="Times New Roman"/>
                <w:b/>
                <w:bCs/>
                <w:sz w:val="20"/>
                <w:szCs w:val="20"/>
              </w:rPr>
              <w:t>Year 2</w:t>
            </w:r>
            <w:r w:rsidRPr="008217F1">
              <w:rPr>
                <w:rFonts w:ascii="Arial Narrow" w:hAnsi="Arial Narrow" w:cs="Times New Roman"/>
                <w:sz w:val="20"/>
                <w:szCs w:val="20"/>
              </w:rPr>
              <w:t> </w:t>
            </w:r>
          </w:p>
        </w:tc>
        <w:tc>
          <w:tcPr>
            <w:tcW w:w="555" w:type="pct"/>
            <w:shd w:val="clear" w:color="auto" w:fill="auto"/>
            <w:vAlign w:val="center"/>
            <w:hideMark/>
          </w:tcPr>
          <w:p w14:paraId="35C78905" w14:textId="77777777" w:rsidR="00571FCA" w:rsidRPr="008217F1" w:rsidRDefault="00571FCA" w:rsidP="00F845EA">
            <w:pPr>
              <w:keepNext/>
              <w:jc w:val="center"/>
              <w:textAlignment w:val="baseline"/>
              <w:rPr>
                <w:rFonts w:ascii="Times New Roman" w:hAnsi="Times New Roman" w:cs="Times New Roman"/>
              </w:rPr>
            </w:pPr>
            <w:r w:rsidRPr="008217F1">
              <w:rPr>
                <w:rFonts w:ascii="Arial Narrow" w:hAnsi="Arial Narrow" w:cs="Times New Roman"/>
                <w:b/>
                <w:bCs/>
                <w:sz w:val="20"/>
                <w:szCs w:val="20"/>
              </w:rPr>
              <w:t>Year 3</w:t>
            </w:r>
            <w:r w:rsidRPr="008217F1">
              <w:rPr>
                <w:rFonts w:ascii="Arial Narrow" w:hAnsi="Arial Narrow" w:cs="Times New Roman"/>
                <w:sz w:val="20"/>
                <w:szCs w:val="20"/>
              </w:rPr>
              <w:t> </w:t>
            </w:r>
          </w:p>
        </w:tc>
        <w:tc>
          <w:tcPr>
            <w:tcW w:w="555" w:type="pct"/>
            <w:shd w:val="clear" w:color="auto" w:fill="auto"/>
            <w:vAlign w:val="center"/>
            <w:hideMark/>
          </w:tcPr>
          <w:p w14:paraId="42E06433" w14:textId="77777777" w:rsidR="00571FCA" w:rsidRPr="008217F1" w:rsidRDefault="00571FCA" w:rsidP="00F845EA">
            <w:pPr>
              <w:keepNext/>
              <w:jc w:val="center"/>
              <w:textAlignment w:val="baseline"/>
              <w:rPr>
                <w:rFonts w:ascii="Times New Roman" w:hAnsi="Times New Roman" w:cs="Times New Roman"/>
              </w:rPr>
            </w:pPr>
            <w:r w:rsidRPr="008217F1">
              <w:rPr>
                <w:rFonts w:ascii="Arial Narrow" w:hAnsi="Arial Narrow" w:cs="Times New Roman"/>
                <w:b/>
                <w:bCs/>
                <w:sz w:val="20"/>
                <w:szCs w:val="20"/>
              </w:rPr>
              <w:t>Year 4</w:t>
            </w:r>
            <w:r w:rsidRPr="008217F1">
              <w:rPr>
                <w:rFonts w:ascii="Arial Narrow" w:hAnsi="Arial Narrow" w:cs="Times New Roman"/>
                <w:sz w:val="20"/>
                <w:szCs w:val="20"/>
              </w:rPr>
              <w:t> </w:t>
            </w:r>
          </w:p>
        </w:tc>
        <w:tc>
          <w:tcPr>
            <w:tcW w:w="555" w:type="pct"/>
            <w:shd w:val="clear" w:color="auto" w:fill="auto"/>
            <w:vAlign w:val="center"/>
            <w:hideMark/>
          </w:tcPr>
          <w:p w14:paraId="3570DB22" w14:textId="77777777" w:rsidR="00571FCA" w:rsidRPr="008217F1" w:rsidRDefault="00571FCA" w:rsidP="00F845EA">
            <w:pPr>
              <w:keepNext/>
              <w:jc w:val="center"/>
              <w:textAlignment w:val="baseline"/>
              <w:rPr>
                <w:rFonts w:ascii="Times New Roman" w:hAnsi="Times New Roman" w:cs="Times New Roman"/>
              </w:rPr>
            </w:pPr>
            <w:r w:rsidRPr="008217F1">
              <w:rPr>
                <w:rFonts w:ascii="Arial Narrow" w:hAnsi="Arial Narrow" w:cs="Times New Roman"/>
                <w:b/>
                <w:bCs/>
                <w:sz w:val="20"/>
                <w:szCs w:val="20"/>
              </w:rPr>
              <w:t>Year 5</w:t>
            </w:r>
            <w:r w:rsidRPr="008217F1">
              <w:rPr>
                <w:rFonts w:ascii="Arial Narrow" w:hAnsi="Arial Narrow" w:cs="Times New Roman"/>
                <w:sz w:val="20"/>
                <w:szCs w:val="20"/>
              </w:rPr>
              <w:t> </w:t>
            </w:r>
          </w:p>
        </w:tc>
        <w:tc>
          <w:tcPr>
            <w:tcW w:w="771" w:type="pct"/>
            <w:shd w:val="clear" w:color="auto" w:fill="auto"/>
            <w:vAlign w:val="center"/>
            <w:hideMark/>
          </w:tcPr>
          <w:p w14:paraId="459382B0" w14:textId="77777777" w:rsidR="00571FCA" w:rsidRPr="008217F1" w:rsidRDefault="00571FCA" w:rsidP="00F845EA">
            <w:pPr>
              <w:keepNext/>
              <w:jc w:val="center"/>
              <w:textAlignment w:val="baseline"/>
              <w:rPr>
                <w:rFonts w:ascii="Times New Roman" w:hAnsi="Times New Roman" w:cs="Times New Roman"/>
              </w:rPr>
            </w:pPr>
            <w:r w:rsidRPr="008217F1">
              <w:rPr>
                <w:rFonts w:ascii="Arial Narrow" w:hAnsi="Arial Narrow" w:cs="Times New Roman"/>
                <w:b/>
                <w:bCs/>
                <w:sz w:val="20"/>
                <w:szCs w:val="20"/>
              </w:rPr>
              <w:t>Year 6</w:t>
            </w:r>
            <w:r w:rsidRPr="008217F1">
              <w:rPr>
                <w:rFonts w:ascii="Arial Narrow" w:hAnsi="Arial Narrow" w:cs="Times New Roman"/>
                <w:sz w:val="20"/>
                <w:szCs w:val="20"/>
              </w:rPr>
              <w:t> </w:t>
            </w:r>
          </w:p>
        </w:tc>
      </w:tr>
      <w:tr w:rsidR="00571FCA" w:rsidRPr="008217F1" w14:paraId="78564D9C" w14:textId="77777777" w:rsidTr="259D127E">
        <w:tc>
          <w:tcPr>
            <w:tcW w:w="5000" w:type="pct"/>
            <w:gridSpan w:val="7"/>
            <w:shd w:val="clear" w:color="auto" w:fill="auto"/>
            <w:vAlign w:val="center"/>
          </w:tcPr>
          <w:p w14:paraId="53156F29" w14:textId="77777777" w:rsidR="00571FCA" w:rsidRPr="008217F1" w:rsidRDefault="00571FCA" w:rsidP="00F845EA">
            <w:pPr>
              <w:pStyle w:val="TableText0"/>
              <w:rPr>
                <w:rStyle w:val="normaltextrun"/>
                <w:rFonts w:cs="Segoe UI"/>
                <w:b/>
                <w:bCs w:val="0"/>
                <w:szCs w:val="20"/>
              </w:rPr>
            </w:pPr>
            <w:r w:rsidRPr="008217F1">
              <w:rPr>
                <w:b/>
                <w:bCs w:val="0"/>
              </w:rPr>
              <w:t>Patient numbers</w:t>
            </w:r>
          </w:p>
        </w:tc>
      </w:tr>
      <w:tr w:rsidR="00571FCA" w:rsidRPr="008217F1" w14:paraId="534A5B42" w14:textId="77777777" w:rsidTr="259D127E">
        <w:tc>
          <w:tcPr>
            <w:tcW w:w="1456" w:type="pct"/>
            <w:shd w:val="clear" w:color="auto" w:fill="auto"/>
          </w:tcPr>
          <w:p w14:paraId="21EC5215" w14:textId="133D0C66" w:rsidR="00571FCA" w:rsidRPr="008217F1" w:rsidRDefault="00571FCA" w:rsidP="00F845EA">
            <w:pPr>
              <w:pStyle w:val="Tabletext"/>
              <w:keepNext/>
              <w:rPr>
                <w:vertAlign w:val="superscript"/>
              </w:rPr>
            </w:pPr>
            <w:r w:rsidRPr="008217F1">
              <w:t>Number of TRD patients in third line setting and over</w:t>
            </w:r>
            <w:r w:rsidR="00C02288">
              <w:rPr>
                <w:vertAlign w:val="superscript"/>
              </w:rPr>
              <w:t>a</w:t>
            </w:r>
          </w:p>
        </w:tc>
        <w:tc>
          <w:tcPr>
            <w:tcW w:w="553" w:type="pct"/>
            <w:shd w:val="clear" w:color="auto" w:fill="auto"/>
            <w:vAlign w:val="center"/>
          </w:tcPr>
          <w:p w14:paraId="0215C593" w14:textId="378E1ADA" w:rsidR="00571FCA" w:rsidRPr="008D2AC7" w:rsidRDefault="00683384" w:rsidP="00F845EA">
            <w:pPr>
              <w:pStyle w:val="TableText0"/>
              <w:jc w:val="center"/>
              <w:rPr>
                <w:szCs w:val="20"/>
                <w:highlight w:val="lightGray"/>
              </w:rPr>
            </w:pPr>
            <w:r w:rsidRPr="00683384">
              <w:rPr>
                <w:rFonts w:hint="eastAsia"/>
                <w:color w:val="000000"/>
                <w:w w:val="18"/>
                <w:shd w:val="solid" w:color="000000" w:fill="000000"/>
                <w:fitText w:val="80" w:id="-892700925"/>
                <w14:textFill>
                  <w14:solidFill>
                    <w14:srgbClr w14:val="000000">
                      <w14:alpha w14:val="100000"/>
                    </w14:srgbClr>
                  </w14:solidFill>
                </w14:textFill>
              </w:rPr>
              <w:t xml:space="preserve">　</w:t>
            </w:r>
            <w:r w:rsidRPr="00683384">
              <w:rPr>
                <w:color w:val="000000"/>
                <w:w w:val="18"/>
                <w:shd w:val="solid" w:color="000000" w:fill="000000"/>
                <w:fitText w:val="80" w:id="-892700925"/>
                <w14:textFill>
                  <w14:solidFill>
                    <w14:srgbClr w14:val="000000">
                      <w14:alpha w14:val="100000"/>
                    </w14:srgbClr>
                  </w14:solidFill>
                </w14:textFill>
              </w:rPr>
              <w:t>|</w:t>
            </w:r>
            <w:r w:rsidRPr="00683384">
              <w:rPr>
                <w:rFonts w:hint="eastAsia"/>
                <w:color w:val="000000"/>
                <w:w w:val="18"/>
                <w:shd w:val="solid" w:color="000000" w:fill="000000"/>
                <w:fitText w:val="80" w:id="-892700925"/>
                <w14:textFill>
                  <w14:solidFill>
                    <w14:srgbClr w14:val="000000">
                      <w14:alpha w14:val="100000"/>
                    </w14:srgbClr>
                  </w14:solidFill>
                </w14:textFill>
              </w:rPr>
              <w:t xml:space="preserve">　</w:t>
            </w:r>
            <w:r w:rsidR="00CF7935" w:rsidRPr="008D2AC7">
              <w:rPr>
                <w:vertAlign w:val="superscript"/>
              </w:rPr>
              <w:t>1</w:t>
            </w:r>
          </w:p>
        </w:tc>
        <w:tc>
          <w:tcPr>
            <w:tcW w:w="555" w:type="pct"/>
            <w:shd w:val="clear" w:color="auto" w:fill="auto"/>
            <w:vAlign w:val="center"/>
          </w:tcPr>
          <w:p w14:paraId="184958FE" w14:textId="18881EEA" w:rsidR="00571FCA" w:rsidRPr="008D2AC7" w:rsidRDefault="00683384" w:rsidP="00F845EA">
            <w:pPr>
              <w:pStyle w:val="TableText0"/>
              <w:jc w:val="center"/>
              <w:rPr>
                <w:szCs w:val="20"/>
                <w:highlight w:val="lightGray"/>
              </w:rPr>
            </w:pPr>
            <w:r w:rsidRPr="00683384">
              <w:rPr>
                <w:rFonts w:hint="eastAsia"/>
                <w:color w:val="000000"/>
                <w:w w:val="15"/>
                <w:shd w:val="solid" w:color="000000" w:fill="000000"/>
                <w:fitText w:val="70" w:id="-892700924"/>
                <w14:textFill>
                  <w14:solidFill>
                    <w14:srgbClr w14:val="000000">
                      <w14:alpha w14:val="100000"/>
                    </w14:srgbClr>
                  </w14:solidFill>
                </w14:textFill>
              </w:rPr>
              <w:t xml:space="preserve">　</w:t>
            </w:r>
            <w:r w:rsidRPr="00683384">
              <w:rPr>
                <w:color w:val="000000"/>
                <w:w w:val="15"/>
                <w:shd w:val="solid" w:color="000000" w:fill="000000"/>
                <w:fitText w:val="70" w:id="-892700924"/>
                <w14:textFill>
                  <w14:solidFill>
                    <w14:srgbClr w14:val="000000">
                      <w14:alpha w14:val="100000"/>
                    </w14:srgbClr>
                  </w14:solidFill>
                </w14:textFill>
              </w:rPr>
              <w:t>|</w:t>
            </w:r>
            <w:r w:rsidRPr="00683384">
              <w:rPr>
                <w:rFonts w:hint="eastAsia"/>
                <w:color w:val="000000"/>
                <w:spacing w:val="4"/>
                <w:w w:val="15"/>
                <w:shd w:val="solid" w:color="000000" w:fill="000000"/>
                <w:fitText w:val="70" w:id="-892700924"/>
                <w14:textFill>
                  <w14:solidFill>
                    <w14:srgbClr w14:val="000000">
                      <w14:alpha w14:val="100000"/>
                    </w14:srgbClr>
                  </w14:solidFill>
                </w14:textFill>
              </w:rPr>
              <w:t xml:space="preserve">　</w:t>
            </w:r>
            <w:r w:rsidR="004E21C9" w:rsidRPr="008D2AC7">
              <w:rPr>
                <w:vertAlign w:val="superscript"/>
              </w:rPr>
              <w:t>2</w:t>
            </w:r>
          </w:p>
        </w:tc>
        <w:tc>
          <w:tcPr>
            <w:tcW w:w="555" w:type="pct"/>
            <w:shd w:val="clear" w:color="auto" w:fill="auto"/>
            <w:vAlign w:val="center"/>
          </w:tcPr>
          <w:p w14:paraId="50E7D1C8" w14:textId="589DB23F" w:rsidR="00571FCA" w:rsidRPr="008D2AC7" w:rsidRDefault="00683384" w:rsidP="00F845EA">
            <w:pPr>
              <w:pStyle w:val="TableText0"/>
              <w:jc w:val="center"/>
              <w:rPr>
                <w:szCs w:val="20"/>
                <w:highlight w:val="lightGray"/>
              </w:rPr>
            </w:pPr>
            <w:r w:rsidRPr="00683384">
              <w:rPr>
                <w:rFonts w:hint="eastAsia"/>
                <w:color w:val="000000"/>
                <w:w w:val="15"/>
                <w:shd w:val="solid" w:color="000000" w:fill="000000"/>
                <w:fitText w:val="70" w:id="-892700923"/>
                <w14:textFill>
                  <w14:solidFill>
                    <w14:srgbClr w14:val="000000">
                      <w14:alpha w14:val="100000"/>
                    </w14:srgbClr>
                  </w14:solidFill>
                </w14:textFill>
              </w:rPr>
              <w:t xml:space="preserve">　</w:t>
            </w:r>
            <w:r w:rsidRPr="00683384">
              <w:rPr>
                <w:color w:val="000000"/>
                <w:w w:val="15"/>
                <w:shd w:val="solid" w:color="000000" w:fill="000000"/>
                <w:fitText w:val="70" w:id="-892700923"/>
                <w14:textFill>
                  <w14:solidFill>
                    <w14:srgbClr w14:val="000000">
                      <w14:alpha w14:val="100000"/>
                    </w14:srgbClr>
                  </w14:solidFill>
                </w14:textFill>
              </w:rPr>
              <w:t>|</w:t>
            </w:r>
            <w:r w:rsidRPr="00683384">
              <w:rPr>
                <w:rFonts w:hint="eastAsia"/>
                <w:color w:val="000000"/>
                <w:spacing w:val="4"/>
                <w:w w:val="15"/>
                <w:shd w:val="solid" w:color="000000" w:fill="000000"/>
                <w:fitText w:val="70" w:id="-892700923"/>
                <w14:textFill>
                  <w14:solidFill>
                    <w14:srgbClr w14:val="000000">
                      <w14:alpha w14:val="100000"/>
                    </w14:srgbClr>
                  </w14:solidFill>
                </w14:textFill>
              </w:rPr>
              <w:t xml:space="preserve">　</w:t>
            </w:r>
            <w:r w:rsidR="004E21C9" w:rsidRPr="00A96044">
              <w:rPr>
                <w:vertAlign w:val="superscript"/>
              </w:rPr>
              <w:t>2</w:t>
            </w:r>
          </w:p>
        </w:tc>
        <w:tc>
          <w:tcPr>
            <w:tcW w:w="555" w:type="pct"/>
            <w:shd w:val="clear" w:color="auto" w:fill="auto"/>
            <w:vAlign w:val="center"/>
          </w:tcPr>
          <w:p w14:paraId="6867B767" w14:textId="4F2C406F" w:rsidR="00571FCA" w:rsidRPr="008D2AC7" w:rsidRDefault="00683384" w:rsidP="00F845EA">
            <w:pPr>
              <w:pStyle w:val="TableText0"/>
              <w:jc w:val="center"/>
              <w:rPr>
                <w:szCs w:val="20"/>
                <w:highlight w:val="lightGray"/>
              </w:rPr>
            </w:pPr>
            <w:r w:rsidRPr="00683384">
              <w:rPr>
                <w:rFonts w:hint="eastAsia"/>
                <w:color w:val="000000"/>
                <w:w w:val="15"/>
                <w:shd w:val="solid" w:color="000000" w:fill="000000"/>
                <w:fitText w:val="70" w:id="-892700922"/>
                <w14:textFill>
                  <w14:solidFill>
                    <w14:srgbClr w14:val="000000">
                      <w14:alpha w14:val="100000"/>
                    </w14:srgbClr>
                  </w14:solidFill>
                </w14:textFill>
              </w:rPr>
              <w:t xml:space="preserve">　</w:t>
            </w:r>
            <w:r w:rsidRPr="00683384">
              <w:rPr>
                <w:color w:val="000000"/>
                <w:w w:val="15"/>
                <w:shd w:val="solid" w:color="000000" w:fill="000000"/>
                <w:fitText w:val="70" w:id="-892700922"/>
                <w14:textFill>
                  <w14:solidFill>
                    <w14:srgbClr w14:val="000000">
                      <w14:alpha w14:val="100000"/>
                    </w14:srgbClr>
                  </w14:solidFill>
                </w14:textFill>
              </w:rPr>
              <w:t>|</w:t>
            </w:r>
            <w:r w:rsidRPr="00683384">
              <w:rPr>
                <w:rFonts w:hint="eastAsia"/>
                <w:color w:val="000000"/>
                <w:spacing w:val="4"/>
                <w:w w:val="15"/>
                <w:shd w:val="solid" w:color="000000" w:fill="000000"/>
                <w:fitText w:val="70" w:id="-892700922"/>
                <w14:textFill>
                  <w14:solidFill>
                    <w14:srgbClr w14:val="000000">
                      <w14:alpha w14:val="100000"/>
                    </w14:srgbClr>
                  </w14:solidFill>
                </w14:textFill>
              </w:rPr>
              <w:t xml:space="preserve">　</w:t>
            </w:r>
            <w:r w:rsidR="004E21C9" w:rsidRPr="00A96044">
              <w:rPr>
                <w:vertAlign w:val="superscript"/>
              </w:rPr>
              <w:t>2</w:t>
            </w:r>
          </w:p>
        </w:tc>
        <w:tc>
          <w:tcPr>
            <w:tcW w:w="555" w:type="pct"/>
            <w:shd w:val="clear" w:color="auto" w:fill="auto"/>
            <w:vAlign w:val="center"/>
          </w:tcPr>
          <w:p w14:paraId="6DF3CAC6" w14:textId="2E58BE12" w:rsidR="00571FCA" w:rsidRPr="008D2AC7" w:rsidRDefault="00683384" w:rsidP="00F845EA">
            <w:pPr>
              <w:pStyle w:val="TableText0"/>
              <w:jc w:val="center"/>
              <w:rPr>
                <w:szCs w:val="20"/>
                <w:highlight w:val="lightGray"/>
              </w:rPr>
            </w:pPr>
            <w:r w:rsidRPr="00683384">
              <w:rPr>
                <w:rFonts w:hint="eastAsia"/>
                <w:color w:val="000000"/>
                <w:w w:val="15"/>
                <w:shd w:val="solid" w:color="000000" w:fill="000000"/>
                <w:fitText w:val="70" w:id="-892700921"/>
                <w14:textFill>
                  <w14:solidFill>
                    <w14:srgbClr w14:val="000000">
                      <w14:alpha w14:val="100000"/>
                    </w14:srgbClr>
                  </w14:solidFill>
                </w14:textFill>
              </w:rPr>
              <w:t xml:space="preserve">　</w:t>
            </w:r>
            <w:r w:rsidRPr="00683384">
              <w:rPr>
                <w:color w:val="000000"/>
                <w:w w:val="15"/>
                <w:shd w:val="solid" w:color="000000" w:fill="000000"/>
                <w:fitText w:val="70" w:id="-892700921"/>
                <w14:textFill>
                  <w14:solidFill>
                    <w14:srgbClr w14:val="000000">
                      <w14:alpha w14:val="100000"/>
                    </w14:srgbClr>
                  </w14:solidFill>
                </w14:textFill>
              </w:rPr>
              <w:t>|</w:t>
            </w:r>
            <w:r w:rsidRPr="00683384">
              <w:rPr>
                <w:rFonts w:hint="eastAsia"/>
                <w:color w:val="000000"/>
                <w:spacing w:val="4"/>
                <w:w w:val="15"/>
                <w:shd w:val="solid" w:color="000000" w:fill="000000"/>
                <w:fitText w:val="70" w:id="-892700921"/>
                <w14:textFill>
                  <w14:solidFill>
                    <w14:srgbClr w14:val="000000">
                      <w14:alpha w14:val="100000"/>
                    </w14:srgbClr>
                  </w14:solidFill>
                </w14:textFill>
              </w:rPr>
              <w:t xml:space="preserve">　</w:t>
            </w:r>
            <w:r w:rsidR="004E21C9" w:rsidRPr="00A96044">
              <w:rPr>
                <w:vertAlign w:val="superscript"/>
              </w:rPr>
              <w:t>2</w:t>
            </w:r>
          </w:p>
        </w:tc>
        <w:tc>
          <w:tcPr>
            <w:tcW w:w="771" w:type="pct"/>
            <w:shd w:val="clear" w:color="auto" w:fill="auto"/>
            <w:vAlign w:val="center"/>
          </w:tcPr>
          <w:p w14:paraId="3CB6FE66" w14:textId="26BF4C8B" w:rsidR="00571FCA" w:rsidRPr="008D2AC7" w:rsidRDefault="00683384" w:rsidP="00F845EA">
            <w:pPr>
              <w:pStyle w:val="TableText0"/>
              <w:jc w:val="center"/>
              <w:rPr>
                <w:szCs w:val="20"/>
                <w:highlight w:val="lightGray"/>
              </w:rPr>
            </w:pPr>
            <w:r w:rsidRPr="00683384">
              <w:rPr>
                <w:color w:val="000000"/>
                <w:shd w:val="solid" w:color="000000" w:fill="000000"/>
                <w14:textFill>
                  <w14:solidFill>
                    <w14:srgbClr w14:val="000000">
                      <w14:alpha w14:val="100000"/>
                    </w14:srgbClr>
                  </w14:solidFill>
                </w14:textFill>
              </w:rPr>
              <w:t>|</w:t>
            </w:r>
            <w:r w:rsidR="004E21C9" w:rsidRPr="00A96044">
              <w:rPr>
                <w:vertAlign w:val="superscript"/>
              </w:rPr>
              <w:t>2</w:t>
            </w:r>
          </w:p>
        </w:tc>
      </w:tr>
      <w:tr w:rsidR="00571FCA" w:rsidRPr="008217F1" w14:paraId="781E24AA" w14:textId="77777777" w:rsidTr="259D127E">
        <w:tc>
          <w:tcPr>
            <w:tcW w:w="1456" w:type="pct"/>
            <w:shd w:val="clear" w:color="auto" w:fill="auto"/>
          </w:tcPr>
          <w:p w14:paraId="669BC266" w14:textId="77777777" w:rsidR="00571FCA" w:rsidRPr="008217F1" w:rsidRDefault="00571FCA" w:rsidP="00F845EA">
            <w:pPr>
              <w:pStyle w:val="Tabletext"/>
              <w:keepNext/>
            </w:pPr>
            <w:r w:rsidRPr="008217F1">
              <w:t>% patients initiated in the psychiatry setting (19.1%, with 1% year on year growth applied)</w:t>
            </w:r>
          </w:p>
        </w:tc>
        <w:tc>
          <w:tcPr>
            <w:tcW w:w="553" w:type="pct"/>
            <w:shd w:val="clear" w:color="auto" w:fill="auto"/>
            <w:vAlign w:val="center"/>
          </w:tcPr>
          <w:p w14:paraId="007DB194" w14:textId="2275D074" w:rsidR="00571FCA" w:rsidRPr="00AC7025" w:rsidRDefault="00683384" w:rsidP="259D127E">
            <w:pPr>
              <w:pStyle w:val="TableText0"/>
              <w:jc w:val="center"/>
            </w:pPr>
            <w:r w:rsidRPr="00683384">
              <w:rPr>
                <w:rFonts w:hint="eastAsia"/>
                <w:color w:val="000000"/>
                <w:w w:val="29"/>
                <w:shd w:val="solid" w:color="000000" w:fill="000000"/>
                <w:fitText w:val="130" w:id="-892700920"/>
                <w14:textFill>
                  <w14:solidFill>
                    <w14:srgbClr w14:val="000000">
                      <w14:alpha w14:val="100000"/>
                    </w14:srgbClr>
                  </w14:solidFill>
                </w14:textFill>
              </w:rPr>
              <w:t xml:space="preserve">　</w:t>
            </w:r>
            <w:r w:rsidRPr="00683384">
              <w:rPr>
                <w:color w:val="000000"/>
                <w:w w:val="29"/>
                <w:shd w:val="solid" w:color="000000" w:fill="000000"/>
                <w:fitText w:val="130" w:id="-892700920"/>
                <w14:textFill>
                  <w14:solidFill>
                    <w14:srgbClr w14:val="000000">
                      <w14:alpha w14:val="100000"/>
                    </w14:srgbClr>
                  </w14:solidFill>
                </w14:textFill>
              </w:rPr>
              <w:t>|</w:t>
            </w:r>
            <w:r w:rsidRPr="00683384">
              <w:rPr>
                <w:rFonts w:hint="eastAsia"/>
                <w:color w:val="000000"/>
                <w:spacing w:val="2"/>
                <w:w w:val="29"/>
                <w:shd w:val="solid" w:color="000000" w:fill="000000"/>
                <w:fitText w:val="130" w:id="-892700920"/>
                <w14:textFill>
                  <w14:solidFill>
                    <w14:srgbClr w14:val="000000">
                      <w14:alpha w14:val="100000"/>
                    </w14:srgbClr>
                  </w14:solidFill>
                </w14:textFill>
              </w:rPr>
              <w:t xml:space="preserve">　</w:t>
            </w:r>
            <w:r w:rsidR="00571FCA" w:rsidRPr="00AC7025">
              <w:t>%</w:t>
            </w:r>
          </w:p>
        </w:tc>
        <w:tc>
          <w:tcPr>
            <w:tcW w:w="555" w:type="pct"/>
            <w:shd w:val="clear" w:color="auto" w:fill="auto"/>
            <w:vAlign w:val="center"/>
          </w:tcPr>
          <w:p w14:paraId="71122B2B" w14:textId="171E8A4B" w:rsidR="00571FCA" w:rsidRPr="00AC7025" w:rsidRDefault="00683384" w:rsidP="259D127E">
            <w:pPr>
              <w:pStyle w:val="TableText0"/>
              <w:jc w:val="center"/>
            </w:pPr>
            <w:r w:rsidRPr="00683384">
              <w:rPr>
                <w:rFonts w:hint="eastAsia"/>
                <w:color w:val="000000"/>
                <w:w w:val="29"/>
                <w:shd w:val="solid" w:color="000000" w:fill="000000"/>
                <w:fitText w:val="130" w:id="-892700919"/>
                <w14:textFill>
                  <w14:solidFill>
                    <w14:srgbClr w14:val="000000">
                      <w14:alpha w14:val="100000"/>
                    </w14:srgbClr>
                  </w14:solidFill>
                </w14:textFill>
              </w:rPr>
              <w:t xml:space="preserve">　</w:t>
            </w:r>
            <w:r w:rsidRPr="00683384">
              <w:rPr>
                <w:color w:val="000000"/>
                <w:w w:val="29"/>
                <w:shd w:val="solid" w:color="000000" w:fill="000000"/>
                <w:fitText w:val="130" w:id="-892700919"/>
                <w14:textFill>
                  <w14:solidFill>
                    <w14:srgbClr w14:val="000000">
                      <w14:alpha w14:val="100000"/>
                    </w14:srgbClr>
                  </w14:solidFill>
                </w14:textFill>
              </w:rPr>
              <w:t>|</w:t>
            </w:r>
            <w:r w:rsidRPr="00683384">
              <w:rPr>
                <w:rFonts w:hint="eastAsia"/>
                <w:color w:val="000000"/>
                <w:spacing w:val="2"/>
                <w:w w:val="29"/>
                <w:shd w:val="solid" w:color="000000" w:fill="000000"/>
                <w:fitText w:val="130" w:id="-892700919"/>
                <w14:textFill>
                  <w14:solidFill>
                    <w14:srgbClr w14:val="000000">
                      <w14:alpha w14:val="100000"/>
                    </w14:srgbClr>
                  </w14:solidFill>
                </w14:textFill>
              </w:rPr>
              <w:t xml:space="preserve">　</w:t>
            </w:r>
            <w:r w:rsidR="00571FCA" w:rsidRPr="00AC7025">
              <w:t>%</w:t>
            </w:r>
          </w:p>
        </w:tc>
        <w:tc>
          <w:tcPr>
            <w:tcW w:w="555" w:type="pct"/>
            <w:shd w:val="clear" w:color="auto" w:fill="auto"/>
            <w:vAlign w:val="center"/>
          </w:tcPr>
          <w:p w14:paraId="610EF77F" w14:textId="1B06EB21" w:rsidR="00571FCA" w:rsidRPr="008D2AC7" w:rsidRDefault="00683384" w:rsidP="259D127E">
            <w:pPr>
              <w:pStyle w:val="TableText0"/>
              <w:jc w:val="center"/>
            </w:pPr>
            <w:r w:rsidRPr="00683384">
              <w:rPr>
                <w:rFonts w:hint="eastAsia"/>
                <w:color w:val="000000"/>
                <w:w w:val="29"/>
                <w:shd w:val="solid" w:color="000000" w:fill="000000"/>
                <w:fitText w:val="130" w:id="-892700918"/>
                <w14:textFill>
                  <w14:solidFill>
                    <w14:srgbClr w14:val="000000">
                      <w14:alpha w14:val="100000"/>
                    </w14:srgbClr>
                  </w14:solidFill>
                </w14:textFill>
              </w:rPr>
              <w:t xml:space="preserve">　</w:t>
            </w:r>
            <w:r w:rsidRPr="00683384">
              <w:rPr>
                <w:color w:val="000000"/>
                <w:w w:val="29"/>
                <w:shd w:val="solid" w:color="000000" w:fill="000000"/>
                <w:fitText w:val="130" w:id="-892700918"/>
                <w14:textFill>
                  <w14:solidFill>
                    <w14:srgbClr w14:val="000000">
                      <w14:alpha w14:val="100000"/>
                    </w14:srgbClr>
                  </w14:solidFill>
                </w14:textFill>
              </w:rPr>
              <w:t>|</w:t>
            </w:r>
            <w:r w:rsidRPr="00683384">
              <w:rPr>
                <w:rFonts w:hint="eastAsia"/>
                <w:color w:val="000000"/>
                <w:spacing w:val="2"/>
                <w:w w:val="29"/>
                <w:shd w:val="solid" w:color="000000" w:fill="000000"/>
                <w:fitText w:val="130" w:id="-892700918"/>
                <w14:textFill>
                  <w14:solidFill>
                    <w14:srgbClr w14:val="000000">
                      <w14:alpha w14:val="100000"/>
                    </w14:srgbClr>
                  </w14:solidFill>
                </w14:textFill>
              </w:rPr>
              <w:t xml:space="preserve">　</w:t>
            </w:r>
            <w:r w:rsidR="00571FCA" w:rsidRPr="00AC7025">
              <w:t>%</w:t>
            </w:r>
          </w:p>
        </w:tc>
        <w:tc>
          <w:tcPr>
            <w:tcW w:w="555" w:type="pct"/>
            <w:shd w:val="clear" w:color="auto" w:fill="auto"/>
            <w:vAlign w:val="center"/>
          </w:tcPr>
          <w:p w14:paraId="1639B7A7" w14:textId="5BA513E8" w:rsidR="00571FCA" w:rsidRPr="008D2AC7" w:rsidRDefault="00683384" w:rsidP="259D127E">
            <w:pPr>
              <w:pStyle w:val="TableText0"/>
              <w:jc w:val="center"/>
            </w:pPr>
            <w:r w:rsidRPr="00683384">
              <w:rPr>
                <w:rFonts w:hint="eastAsia"/>
                <w:color w:val="000000"/>
                <w:w w:val="29"/>
                <w:shd w:val="solid" w:color="000000" w:fill="000000"/>
                <w:fitText w:val="130" w:id="-892700917"/>
                <w14:textFill>
                  <w14:solidFill>
                    <w14:srgbClr w14:val="000000">
                      <w14:alpha w14:val="100000"/>
                    </w14:srgbClr>
                  </w14:solidFill>
                </w14:textFill>
              </w:rPr>
              <w:t xml:space="preserve">　</w:t>
            </w:r>
            <w:r w:rsidRPr="00683384">
              <w:rPr>
                <w:color w:val="000000"/>
                <w:w w:val="29"/>
                <w:shd w:val="solid" w:color="000000" w:fill="000000"/>
                <w:fitText w:val="130" w:id="-892700917"/>
                <w14:textFill>
                  <w14:solidFill>
                    <w14:srgbClr w14:val="000000">
                      <w14:alpha w14:val="100000"/>
                    </w14:srgbClr>
                  </w14:solidFill>
                </w14:textFill>
              </w:rPr>
              <w:t>|</w:t>
            </w:r>
            <w:r w:rsidRPr="00683384">
              <w:rPr>
                <w:rFonts w:hint="eastAsia"/>
                <w:color w:val="000000"/>
                <w:spacing w:val="2"/>
                <w:w w:val="29"/>
                <w:shd w:val="solid" w:color="000000" w:fill="000000"/>
                <w:fitText w:val="130" w:id="-892700917"/>
                <w14:textFill>
                  <w14:solidFill>
                    <w14:srgbClr w14:val="000000">
                      <w14:alpha w14:val="100000"/>
                    </w14:srgbClr>
                  </w14:solidFill>
                </w14:textFill>
              </w:rPr>
              <w:t xml:space="preserve">　</w:t>
            </w:r>
            <w:r w:rsidR="00571FCA" w:rsidRPr="00AC7025">
              <w:t>%</w:t>
            </w:r>
          </w:p>
        </w:tc>
        <w:tc>
          <w:tcPr>
            <w:tcW w:w="555" w:type="pct"/>
            <w:shd w:val="clear" w:color="auto" w:fill="auto"/>
            <w:vAlign w:val="center"/>
          </w:tcPr>
          <w:p w14:paraId="3F474674" w14:textId="38E7CBCC" w:rsidR="00571FCA" w:rsidRPr="008D2AC7" w:rsidRDefault="00683384" w:rsidP="259D127E">
            <w:pPr>
              <w:pStyle w:val="TableText0"/>
              <w:jc w:val="center"/>
            </w:pPr>
            <w:r w:rsidRPr="00683384">
              <w:rPr>
                <w:rFonts w:hint="eastAsia"/>
                <w:color w:val="000000"/>
                <w:w w:val="29"/>
                <w:shd w:val="solid" w:color="000000" w:fill="000000"/>
                <w:fitText w:val="130" w:id="-892700916"/>
                <w14:textFill>
                  <w14:solidFill>
                    <w14:srgbClr w14:val="000000">
                      <w14:alpha w14:val="100000"/>
                    </w14:srgbClr>
                  </w14:solidFill>
                </w14:textFill>
              </w:rPr>
              <w:t xml:space="preserve">　</w:t>
            </w:r>
            <w:r w:rsidRPr="00683384">
              <w:rPr>
                <w:color w:val="000000"/>
                <w:w w:val="29"/>
                <w:shd w:val="solid" w:color="000000" w:fill="000000"/>
                <w:fitText w:val="130" w:id="-892700916"/>
                <w14:textFill>
                  <w14:solidFill>
                    <w14:srgbClr w14:val="000000">
                      <w14:alpha w14:val="100000"/>
                    </w14:srgbClr>
                  </w14:solidFill>
                </w14:textFill>
              </w:rPr>
              <w:t>|</w:t>
            </w:r>
            <w:r w:rsidRPr="00683384">
              <w:rPr>
                <w:rFonts w:hint="eastAsia"/>
                <w:color w:val="000000"/>
                <w:spacing w:val="2"/>
                <w:w w:val="29"/>
                <w:shd w:val="solid" w:color="000000" w:fill="000000"/>
                <w:fitText w:val="130" w:id="-892700916"/>
                <w14:textFill>
                  <w14:solidFill>
                    <w14:srgbClr w14:val="000000">
                      <w14:alpha w14:val="100000"/>
                    </w14:srgbClr>
                  </w14:solidFill>
                </w14:textFill>
              </w:rPr>
              <w:t xml:space="preserve">　</w:t>
            </w:r>
            <w:r w:rsidR="00571FCA" w:rsidRPr="00AC7025">
              <w:t>%</w:t>
            </w:r>
          </w:p>
        </w:tc>
        <w:tc>
          <w:tcPr>
            <w:tcW w:w="771" w:type="pct"/>
            <w:shd w:val="clear" w:color="auto" w:fill="auto"/>
            <w:vAlign w:val="center"/>
          </w:tcPr>
          <w:p w14:paraId="2C66A03E" w14:textId="7C4A83A4" w:rsidR="00571FCA" w:rsidRPr="008D2AC7" w:rsidRDefault="00683384" w:rsidP="259D127E">
            <w:pPr>
              <w:pStyle w:val="TableText0"/>
              <w:jc w:val="center"/>
            </w:pPr>
            <w:r w:rsidRPr="00683384">
              <w:rPr>
                <w:color w:val="000000"/>
                <w:shd w:val="solid" w:color="000000" w:fill="000000"/>
                <w14:textFill>
                  <w14:solidFill>
                    <w14:srgbClr w14:val="000000">
                      <w14:alpha w14:val="100000"/>
                    </w14:srgbClr>
                  </w14:solidFill>
                </w14:textFill>
              </w:rPr>
              <w:t>|</w:t>
            </w:r>
            <w:r w:rsidR="00571FCA" w:rsidRPr="00AC7025">
              <w:t>%</w:t>
            </w:r>
          </w:p>
        </w:tc>
      </w:tr>
      <w:tr w:rsidR="00571FCA" w:rsidRPr="008217F1" w14:paraId="43AC4696" w14:textId="77777777" w:rsidTr="259D127E">
        <w:tc>
          <w:tcPr>
            <w:tcW w:w="1456" w:type="pct"/>
            <w:shd w:val="clear" w:color="auto" w:fill="auto"/>
          </w:tcPr>
          <w:p w14:paraId="37718C2A" w14:textId="77777777" w:rsidR="00571FCA" w:rsidRPr="008217F1" w:rsidRDefault="00571FCA" w:rsidP="00F845EA">
            <w:pPr>
              <w:pStyle w:val="Tabletext"/>
              <w:keepNext/>
            </w:pPr>
            <w:r w:rsidRPr="008217F1">
              <w:t>Number of patients initiated in psychiatry setting</w:t>
            </w:r>
          </w:p>
        </w:tc>
        <w:tc>
          <w:tcPr>
            <w:tcW w:w="553" w:type="pct"/>
            <w:shd w:val="clear" w:color="auto" w:fill="auto"/>
            <w:vAlign w:val="center"/>
          </w:tcPr>
          <w:p w14:paraId="1A1AEB38" w14:textId="28115E27" w:rsidR="00571FCA" w:rsidRPr="008D2AC7" w:rsidRDefault="00683384" w:rsidP="00F845EA">
            <w:pPr>
              <w:pStyle w:val="TableText0"/>
              <w:jc w:val="center"/>
              <w:rPr>
                <w:highlight w:val="lightGray"/>
                <w:vertAlign w:val="superscript"/>
              </w:rPr>
            </w:pPr>
            <w:r w:rsidRPr="00683384">
              <w:rPr>
                <w:rFonts w:hint="eastAsia"/>
                <w:color w:val="000000"/>
                <w:w w:val="24"/>
                <w:shd w:val="solid" w:color="000000" w:fill="000000"/>
                <w:fitText w:val="110" w:id="-892700915"/>
                <w14:textFill>
                  <w14:solidFill>
                    <w14:srgbClr w14:val="000000">
                      <w14:alpha w14:val="100000"/>
                    </w14:srgbClr>
                  </w14:solidFill>
                </w14:textFill>
              </w:rPr>
              <w:t xml:space="preserve">　</w:t>
            </w:r>
            <w:r w:rsidRPr="00683384">
              <w:rPr>
                <w:color w:val="000000"/>
                <w:w w:val="24"/>
                <w:shd w:val="solid" w:color="000000" w:fill="000000"/>
                <w:fitText w:val="110" w:id="-892700915"/>
                <w14:textFill>
                  <w14:solidFill>
                    <w14:srgbClr w14:val="000000">
                      <w14:alpha w14:val="100000"/>
                    </w14:srgbClr>
                  </w14:solidFill>
                </w14:textFill>
              </w:rPr>
              <w:t>|</w:t>
            </w:r>
            <w:r w:rsidRPr="00683384">
              <w:rPr>
                <w:rFonts w:hint="eastAsia"/>
                <w:color w:val="000000"/>
                <w:spacing w:val="6"/>
                <w:w w:val="24"/>
                <w:shd w:val="solid" w:color="000000" w:fill="000000"/>
                <w:fitText w:val="110" w:id="-892700915"/>
                <w14:textFill>
                  <w14:solidFill>
                    <w14:srgbClr w14:val="000000">
                      <w14:alpha w14:val="100000"/>
                    </w14:srgbClr>
                  </w14:solidFill>
                </w14:textFill>
              </w:rPr>
              <w:t xml:space="preserve">　</w:t>
            </w:r>
            <w:r w:rsidR="006540D0" w:rsidRPr="008D2AC7">
              <w:rPr>
                <w:vertAlign w:val="superscript"/>
              </w:rPr>
              <w:t>3</w:t>
            </w:r>
            <w:r w:rsidR="00C02288">
              <w:rPr>
                <w:vertAlign w:val="superscript"/>
              </w:rPr>
              <w:t>b</w:t>
            </w:r>
          </w:p>
        </w:tc>
        <w:tc>
          <w:tcPr>
            <w:tcW w:w="555" w:type="pct"/>
            <w:shd w:val="clear" w:color="auto" w:fill="auto"/>
            <w:vAlign w:val="center"/>
          </w:tcPr>
          <w:p w14:paraId="15BE9385" w14:textId="406F538A" w:rsidR="00571FCA" w:rsidRPr="008D2AC7" w:rsidRDefault="00683384" w:rsidP="00F845EA">
            <w:pPr>
              <w:pStyle w:val="TableText0"/>
              <w:jc w:val="center"/>
              <w:rPr>
                <w:highlight w:val="lightGray"/>
              </w:rPr>
            </w:pPr>
            <w:r w:rsidRPr="00683384">
              <w:rPr>
                <w:rFonts w:hint="eastAsia"/>
                <w:color w:val="000000"/>
                <w:w w:val="15"/>
                <w:shd w:val="solid" w:color="000000" w:fill="000000"/>
                <w:fitText w:val="70" w:id="-892700914"/>
                <w14:textFill>
                  <w14:solidFill>
                    <w14:srgbClr w14:val="000000">
                      <w14:alpha w14:val="100000"/>
                    </w14:srgbClr>
                  </w14:solidFill>
                </w14:textFill>
              </w:rPr>
              <w:t xml:space="preserve">　</w:t>
            </w:r>
            <w:r w:rsidRPr="00683384">
              <w:rPr>
                <w:color w:val="000000"/>
                <w:w w:val="15"/>
                <w:shd w:val="solid" w:color="000000" w:fill="000000"/>
                <w:fitText w:val="70" w:id="-892700914"/>
                <w14:textFill>
                  <w14:solidFill>
                    <w14:srgbClr w14:val="000000">
                      <w14:alpha w14:val="100000"/>
                    </w14:srgbClr>
                  </w14:solidFill>
                </w14:textFill>
              </w:rPr>
              <w:t>|</w:t>
            </w:r>
            <w:r w:rsidRPr="00683384">
              <w:rPr>
                <w:rFonts w:hint="eastAsia"/>
                <w:color w:val="000000"/>
                <w:spacing w:val="4"/>
                <w:w w:val="15"/>
                <w:shd w:val="solid" w:color="000000" w:fill="000000"/>
                <w:fitText w:val="70" w:id="-892700914"/>
                <w14:textFill>
                  <w14:solidFill>
                    <w14:srgbClr w14:val="000000">
                      <w14:alpha w14:val="100000"/>
                    </w14:srgbClr>
                  </w14:solidFill>
                </w14:textFill>
              </w:rPr>
              <w:t xml:space="preserve">　</w:t>
            </w:r>
            <w:r w:rsidR="006540D0" w:rsidRPr="00A96044">
              <w:rPr>
                <w:vertAlign w:val="superscript"/>
              </w:rPr>
              <w:t>3</w:t>
            </w:r>
          </w:p>
        </w:tc>
        <w:tc>
          <w:tcPr>
            <w:tcW w:w="555" w:type="pct"/>
            <w:shd w:val="clear" w:color="auto" w:fill="auto"/>
            <w:vAlign w:val="center"/>
          </w:tcPr>
          <w:p w14:paraId="4B2E166E" w14:textId="4CA916D3" w:rsidR="00571FCA" w:rsidRPr="008D2AC7" w:rsidRDefault="00683384" w:rsidP="00F845EA">
            <w:pPr>
              <w:pStyle w:val="TableText0"/>
              <w:jc w:val="center"/>
              <w:rPr>
                <w:highlight w:val="lightGray"/>
              </w:rPr>
            </w:pPr>
            <w:r w:rsidRPr="00683384">
              <w:rPr>
                <w:rFonts w:hint="eastAsia"/>
                <w:color w:val="000000"/>
                <w:w w:val="15"/>
                <w:shd w:val="solid" w:color="000000" w:fill="000000"/>
                <w:fitText w:val="70" w:id="-892700913"/>
                <w14:textFill>
                  <w14:solidFill>
                    <w14:srgbClr w14:val="000000">
                      <w14:alpha w14:val="100000"/>
                    </w14:srgbClr>
                  </w14:solidFill>
                </w14:textFill>
              </w:rPr>
              <w:t xml:space="preserve">　</w:t>
            </w:r>
            <w:r w:rsidRPr="00683384">
              <w:rPr>
                <w:color w:val="000000"/>
                <w:w w:val="15"/>
                <w:shd w:val="solid" w:color="000000" w:fill="000000"/>
                <w:fitText w:val="70" w:id="-892700913"/>
                <w14:textFill>
                  <w14:solidFill>
                    <w14:srgbClr w14:val="000000">
                      <w14:alpha w14:val="100000"/>
                    </w14:srgbClr>
                  </w14:solidFill>
                </w14:textFill>
              </w:rPr>
              <w:t>|</w:t>
            </w:r>
            <w:r w:rsidRPr="00683384">
              <w:rPr>
                <w:rFonts w:hint="eastAsia"/>
                <w:color w:val="000000"/>
                <w:spacing w:val="4"/>
                <w:w w:val="15"/>
                <w:shd w:val="solid" w:color="000000" w:fill="000000"/>
                <w:fitText w:val="70" w:id="-892700913"/>
                <w14:textFill>
                  <w14:solidFill>
                    <w14:srgbClr w14:val="000000">
                      <w14:alpha w14:val="100000"/>
                    </w14:srgbClr>
                  </w14:solidFill>
                </w14:textFill>
              </w:rPr>
              <w:t xml:space="preserve">　</w:t>
            </w:r>
            <w:r w:rsidR="006540D0" w:rsidRPr="00A96044">
              <w:rPr>
                <w:vertAlign w:val="superscript"/>
              </w:rPr>
              <w:t>3</w:t>
            </w:r>
          </w:p>
        </w:tc>
        <w:tc>
          <w:tcPr>
            <w:tcW w:w="555" w:type="pct"/>
            <w:shd w:val="clear" w:color="auto" w:fill="auto"/>
            <w:vAlign w:val="center"/>
          </w:tcPr>
          <w:p w14:paraId="421F4DE1" w14:textId="0C961571" w:rsidR="00571FCA" w:rsidRPr="008D2AC7" w:rsidRDefault="00683384" w:rsidP="00F845EA">
            <w:pPr>
              <w:pStyle w:val="TableText0"/>
              <w:jc w:val="center"/>
              <w:rPr>
                <w:highlight w:val="lightGray"/>
              </w:rPr>
            </w:pPr>
            <w:r w:rsidRPr="00683384">
              <w:rPr>
                <w:color w:val="000000"/>
                <w:spacing w:val="214"/>
                <w:shd w:val="solid" w:color="000000" w:fill="000000"/>
                <w:fitText w:val="300" w:id="-892700912"/>
                <w14:textFill>
                  <w14:solidFill>
                    <w14:srgbClr w14:val="000000">
                      <w14:alpha w14:val="100000"/>
                    </w14:srgbClr>
                  </w14:solidFill>
                </w14:textFill>
              </w:rPr>
              <w:t>|</w:t>
            </w:r>
            <w:r w:rsidRPr="00683384">
              <w:rPr>
                <w:color w:val="000000"/>
                <w:spacing w:val="1"/>
                <w:shd w:val="solid" w:color="000000" w:fill="000000"/>
                <w:fitText w:val="300" w:id="-892700912"/>
                <w14:textFill>
                  <w14:solidFill>
                    <w14:srgbClr w14:val="000000">
                      <w14:alpha w14:val="100000"/>
                    </w14:srgbClr>
                  </w14:solidFill>
                </w14:textFill>
              </w:rPr>
              <w:t>|</w:t>
            </w:r>
            <w:r w:rsidR="006540D0" w:rsidRPr="00A96044">
              <w:rPr>
                <w:vertAlign w:val="superscript"/>
              </w:rPr>
              <w:t>3</w:t>
            </w:r>
          </w:p>
        </w:tc>
        <w:tc>
          <w:tcPr>
            <w:tcW w:w="555" w:type="pct"/>
            <w:shd w:val="clear" w:color="auto" w:fill="auto"/>
            <w:vAlign w:val="center"/>
          </w:tcPr>
          <w:p w14:paraId="45FB9B5C" w14:textId="598F54B2" w:rsidR="00571FCA" w:rsidRPr="008D2AC7" w:rsidRDefault="00683384" w:rsidP="00F845EA">
            <w:pPr>
              <w:pStyle w:val="TableText0"/>
              <w:jc w:val="center"/>
              <w:rPr>
                <w:highlight w:val="lightGray"/>
              </w:rPr>
            </w:pPr>
            <w:r w:rsidRPr="00683384">
              <w:rPr>
                <w:rFonts w:hint="eastAsia"/>
                <w:color w:val="000000"/>
                <w:w w:val="15"/>
                <w:shd w:val="solid" w:color="000000" w:fill="000000"/>
                <w:fitText w:val="70" w:id="-892700927"/>
                <w14:textFill>
                  <w14:solidFill>
                    <w14:srgbClr w14:val="000000">
                      <w14:alpha w14:val="100000"/>
                    </w14:srgbClr>
                  </w14:solidFill>
                </w14:textFill>
              </w:rPr>
              <w:t xml:space="preserve">　</w:t>
            </w:r>
            <w:r w:rsidRPr="00683384">
              <w:rPr>
                <w:color w:val="000000"/>
                <w:w w:val="15"/>
                <w:shd w:val="solid" w:color="000000" w:fill="000000"/>
                <w:fitText w:val="70" w:id="-892700927"/>
                <w14:textFill>
                  <w14:solidFill>
                    <w14:srgbClr w14:val="000000">
                      <w14:alpha w14:val="100000"/>
                    </w14:srgbClr>
                  </w14:solidFill>
                </w14:textFill>
              </w:rPr>
              <w:t>|</w:t>
            </w:r>
            <w:r w:rsidRPr="00683384">
              <w:rPr>
                <w:rFonts w:hint="eastAsia"/>
                <w:color w:val="000000"/>
                <w:spacing w:val="4"/>
                <w:w w:val="15"/>
                <w:shd w:val="solid" w:color="000000" w:fill="000000"/>
                <w:fitText w:val="70" w:id="-892700927"/>
                <w14:textFill>
                  <w14:solidFill>
                    <w14:srgbClr w14:val="000000">
                      <w14:alpha w14:val="100000"/>
                    </w14:srgbClr>
                  </w14:solidFill>
                </w14:textFill>
              </w:rPr>
              <w:t xml:space="preserve">　</w:t>
            </w:r>
            <w:r w:rsidR="006540D0" w:rsidRPr="00A96044">
              <w:rPr>
                <w:vertAlign w:val="superscript"/>
              </w:rPr>
              <w:t>3</w:t>
            </w:r>
          </w:p>
        </w:tc>
        <w:tc>
          <w:tcPr>
            <w:tcW w:w="771" w:type="pct"/>
            <w:shd w:val="clear" w:color="auto" w:fill="auto"/>
            <w:vAlign w:val="center"/>
          </w:tcPr>
          <w:p w14:paraId="60840478" w14:textId="11DF3AFF" w:rsidR="00571FCA" w:rsidRPr="008D2AC7" w:rsidRDefault="00683384" w:rsidP="00F845EA">
            <w:pPr>
              <w:pStyle w:val="TableText0"/>
              <w:jc w:val="center"/>
              <w:rPr>
                <w:highlight w:val="lightGray"/>
              </w:rPr>
            </w:pPr>
            <w:r w:rsidRPr="00683384">
              <w:rPr>
                <w:color w:val="000000"/>
                <w:shd w:val="solid" w:color="000000" w:fill="000000"/>
                <w14:textFill>
                  <w14:solidFill>
                    <w14:srgbClr w14:val="000000">
                      <w14:alpha w14:val="100000"/>
                    </w14:srgbClr>
                  </w14:solidFill>
                </w14:textFill>
              </w:rPr>
              <w:t>|</w:t>
            </w:r>
            <w:r w:rsidR="006540D0" w:rsidRPr="00A96044">
              <w:rPr>
                <w:vertAlign w:val="superscript"/>
              </w:rPr>
              <w:t>3</w:t>
            </w:r>
          </w:p>
        </w:tc>
      </w:tr>
      <w:tr w:rsidR="00571FCA" w:rsidRPr="008217F1" w14:paraId="3CE6476A" w14:textId="77777777" w:rsidTr="259D127E">
        <w:tc>
          <w:tcPr>
            <w:tcW w:w="1456" w:type="pct"/>
            <w:shd w:val="clear" w:color="auto" w:fill="auto"/>
          </w:tcPr>
          <w:p w14:paraId="431CBDE9" w14:textId="77777777" w:rsidR="00571FCA" w:rsidRPr="008217F1" w:rsidRDefault="00571FCA" w:rsidP="00F845EA">
            <w:pPr>
              <w:pStyle w:val="Tabletext"/>
            </w:pPr>
            <w:r w:rsidRPr="008217F1">
              <w:t>Average uptake of esketamine across all lines, excluding retreatment</w:t>
            </w:r>
          </w:p>
        </w:tc>
        <w:tc>
          <w:tcPr>
            <w:tcW w:w="553" w:type="pct"/>
            <w:shd w:val="clear" w:color="auto" w:fill="auto"/>
            <w:vAlign w:val="center"/>
          </w:tcPr>
          <w:p w14:paraId="40AE702E" w14:textId="5A50F299" w:rsidR="00571FCA" w:rsidRPr="008217F1" w:rsidRDefault="00C53C5A" w:rsidP="00F845EA">
            <w:pPr>
              <w:pStyle w:val="TableText0"/>
              <w:keepNext w:val="0"/>
              <w:jc w:val="center"/>
              <w:rPr>
                <w:rFonts w:cs="Arial"/>
                <w:bCs w:val="0"/>
                <w:color w:val="000000"/>
                <w:szCs w:val="20"/>
              </w:rPr>
            </w:pPr>
            <w:r w:rsidRPr="00C53C5A">
              <w:rPr>
                <w:rFonts w:hint="eastAsia"/>
                <w:color w:val="000000"/>
                <w:w w:val="18"/>
                <w:shd w:val="solid" w:color="000000" w:fill="000000"/>
                <w:fitText w:val="80" w:id="-892700926"/>
                <w14:textFill>
                  <w14:solidFill>
                    <w14:srgbClr w14:val="000000">
                      <w14:alpha w14:val="100000"/>
                    </w14:srgbClr>
                  </w14:solidFill>
                </w14:textFill>
              </w:rPr>
              <w:t xml:space="preserve">　</w:t>
            </w:r>
            <w:r w:rsidRPr="00C53C5A">
              <w:rPr>
                <w:color w:val="000000"/>
                <w:w w:val="18"/>
                <w:shd w:val="solid" w:color="000000" w:fill="000000"/>
                <w:fitText w:val="80" w:id="-892700926"/>
                <w14:textFill>
                  <w14:solidFill>
                    <w14:srgbClr w14:val="000000">
                      <w14:alpha w14:val="100000"/>
                    </w14:srgbClr>
                  </w14:solidFill>
                </w14:textFill>
              </w:rPr>
              <w:t>|</w:t>
            </w:r>
            <w:r w:rsidRPr="00C53C5A">
              <w:rPr>
                <w:rFonts w:hint="eastAsia"/>
                <w:color w:val="000000"/>
                <w:w w:val="18"/>
                <w:shd w:val="solid" w:color="000000" w:fill="000000"/>
                <w:fitText w:val="80" w:id="-892700926"/>
                <w14:textFill>
                  <w14:solidFill>
                    <w14:srgbClr w14:val="000000">
                      <w14:alpha w14:val="100000"/>
                    </w14:srgbClr>
                  </w14:solidFill>
                </w14:textFill>
              </w:rPr>
              <w:t xml:space="preserve">　</w:t>
            </w:r>
            <w:r w:rsidR="00571FCA" w:rsidRPr="008217F1">
              <w:rPr>
                <w:rFonts w:cs="Arial"/>
                <w:bCs w:val="0"/>
                <w:color w:val="000000"/>
                <w:szCs w:val="20"/>
              </w:rPr>
              <w:t>%</w:t>
            </w:r>
          </w:p>
        </w:tc>
        <w:tc>
          <w:tcPr>
            <w:tcW w:w="555" w:type="pct"/>
            <w:shd w:val="clear" w:color="auto" w:fill="auto"/>
            <w:vAlign w:val="center"/>
          </w:tcPr>
          <w:p w14:paraId="7F127B0F" w14:textId="01068C1A" w:rsidR="00571FCA" w:rsidRPr="008217F1" w:rsidRDefault="00C53C5A" w:rsidP="00F845EA">
            <w:pPr>
              <w:pStyle w:val="TableText0"/>
              <w:keepNext w:val="0"/>
              <w:jc w:val="center"/>
              <w:rPr>
                <w:rFonts w:cs="Arial"/>
                <w:bCs w:val="0"/>
                <w:color w:val="000000"/>
                <w:szCs w:val="20"/>
              </w:rPr>
            </w:pPr>
            <w:r w:rsidRPr="00C53C5A">
              <w:rPr>
                <w:rFonts w:hint="eastAsia"/>
                <w:color w:val="000000"/>
                <w:w w:val="18"/>
                <w:shd w:val="solid" w:color="000000" w:fill="000000"/>
                <w:fitText w:val="80" w:id="-892700926"/>
                <w14:textFill>
                  <w14:solidFill>
                    <w14:srgbClr w14:val="000000">
                      <w14:alpha w14:val="100000"/>
                    </w14:srgbClr>
                  </w14:solidFill>
                </w14:textFill>
              </w:rPr>
              <w:t xml:space="preserve">　</w:t>
            </w:r>
            <w:r w:rsidRPr="00C53C5A">
              <w:rPr>
                <w:color w:val="000000"/>
                <w:w w:val="18"/>
                <w:shd w:val="solid" w:color="000000" w:fill="000000"/>
                <w:fitText w:val="80" w:id="-892700926"/>
                <w14:textFill>
                  <w14:solidFill>
                    <w14:srgbClr w14:val="000000">
                      <w14:alpha w14:val="100000"/>
                    </w14:srgbClr>
                  </w14:solidFill>
                </w14:textFill>
              </w:rPr>
              <w:t>|</w:t>
            </w:r>
            <w:r w:rsidRPr="00C53C5A">
              <w:rPr>
                <w:rFonts w:hint="eastAsia"/>
                <w:color w:val="000000"/>
                <w:w w:val="18"/>
                <w:shd w:val="solid" w:color="000000" w:fill="000000"/>
                <w:fitText w:val="80" w:id="-892700926"/>
                <w14:textFill>
                  <w14:solidFill>
                    <w14:srgbClr w14:val="000000">
                      <w14:alpha w14:val="100000"/>
                    </w14:srgbClr>
                  </w14:solidFill>
                </w14:textFill>
              </w:rPr>
              <w:t xml:space="preserve">　</w:t>
            </w:r>
            <w:r w:rsidR="00571FCA" w:rsidRPr="008217F1">
              <w:rPr>
                <w:rFonts w:cs="Arial"/>
                <w:bCs w:val="0"/>
                <w:color w:val="000000"/>
                <w:szCs w:val="20"/>
              </w:rPr>
              <w:t>%</w:t>
            </w:r>
          </w:p>
        </w:tc>
        <w:tc>
          <w:tcPr>
            <w:tcW w:w="555" w:type="pct"/>
            <w:shd w:val="clear" w:color="auto" w:fill="auto"/>
            <w:vAlign w:val="center"/>
          </w:tcPr>
          <w:p w14:paraId="0307F34D" w14:textId="7B50758C" w:rsidR="00571FCA" w:rsidRPr="008217F1" w:rsidRDefault="00C53C5A" w:rsidP="00F845EA">
            <w:pPr>
              <w:pStyle w:val="TableText0"/>
              <w:keepNext w:val="0"/>
              <w:jc w:val="center"/>
              <w:rPr>
                <w:rFonts w:cs="Arial"/>
                <w:bCs w:val="0"/>
                <w:color w:val="000000"/>
                <w:szCs w:val="20"/>
              </w:rPr>
            </w:pPr>
            <w:r w:rsidRPr="00C53C5A">
              <w:rPr>
                <w:rFonts w:hint="eastAsia"/>
                <w:color w:val="000000"/>
                <w:w w:val="18"/>
                <w:shd w:val="solid" w:color="000000" w:fill="000000"/>
                <w:fitText w:val="80" w:id="-892700926"/>
                <w14:textFill>
                  <w14:solidFill>
                    <w14:srgbClr w14:val="000000">
                      <w14:alpha w14:val="100000"/>
                    </w14:srgbClr>
                  </w14:solidFill>
                </w14:textFill>
              </w:rPr>
              <w:t xml:space="preserve">　</w:t>
            </w:r>
            <w:r w:rsidRPr="00C53C5A">
              <w:rPr>
                <w:color w:val="000000"/>
                <w:w w:val="18"/>
                <w:shd w:val="solid" w:color="000000" w:fill="000000"/>
                <w:fitText w:val="80" w:id="-892700926"/>
                <w14:textFill>
                  <w14:solidFill>
                    <w14:srgbClr w14:val="000000">
                      <w14:alpha w14:val="100000"/>
                    </w14:srgbClr>
                  </w14:solidFill>
                </w14:textFill>
              </w:rPr>
              <w:t>|</w:t>
            </w:r>
            <w:r w:rsidRPr="00C53C5A">
              <w:rPr>
                <w:rFonts w:hint="eastAsia"/>
                <w:color w:val="000000"/>
                <w:w w:val="18"/>
                <w:shd w:val="solid" w:color="000000" w:fill="000000"/>
                <w:fitText w:val="80" w:id="-892700926"/>
                <w14:textFill>
                  <w14:solidFill>
                    <w14:srgbClr w14:val="000000">
                      <w14:alpha w14:val="100000"/>
                    </w14:srgbClr>
                  </w14:solidFill>
                </w14:textFill>
              </w:rPr>
              <w:t xml:space="preserve">　</w:t>
            </w:r>
            <w:r w:rsidR="00571FCA" w:rsidRPr="008217F1">
              <w:rPr>
                <w:rFonts w:cs="Arial"/>
                <w:bCs w:val="0"/>
                <w:color w:val="000000"/>
                <w:szCs w:val="20"/>
              </w:rPr>
              <w:t>%</w:t>
            </w:r>
          </w:p>
        </w:tc>
        <w:tc>
          <w:tcPr>
            <w:tcW w:w="555" w:type="pct"/>
            <w:shd w:val="clear" w:color="auto" w:fill="auto"/>
            <w:vAlign w:val="center"/>
          </w:tcPr>
          <w:p w14:paraId="630D8665" w14:textId="7D9C684E" w:rsidR="00571FCA" w:rsidRPr="008217F1" w:rsidRDefault="00C53C5A" w:rsidP="00F845EA">
            <w:pPr>
              <w:pStyle w:val="TableText0"/>
              <w:keepNext w:val="0"/>
              <w:jc w:val="center"/>
              <w:rPr>
                <w:rFonts w:cs="Arial"/>
                <w:bCs w:val="0"/>
                <w:color w:val="000000"/>
                <w:szCs w:val="20"/>
              </w:rPr>
            </w:pPr>
            <w:r w:rsidRPr="00C53C5A">
              <w:rPr>
                <w:rFonts w:hint="eastAsia"/>
                <w:color w:val="000000"/>
                <w:w w:val="18"/>
                <w:shd w:val="solid" w:color="000000" w:fill="000000"/>
                <w:fitText w:val="80" w:id="-892700926"/>
                <w14:textFill>
                  <w14:solidFill>
                    <w14:srgbClr w14:val="000000">
                      <w14:alpha w14:val="100000"/>
                    </w14:srgbClr>
                  </w14:solidFill>
                </w14:textFill>
              </w:rPr>
              <w:t xml:space="preserve">　</w:t>
            </w:r>
            <w:r w:rsidRPr="00C53C5A">
              <w:rPr>
                <w:color w:val="000000"/>
                <w:w w:val="18"/>
                <w:shd w:val="solid" w:color="000000" w:fill="000000"/>
                <w:fitText w:val="80" w:id="-892700926"/>
                <w14:textFill>
                  <w14:solidFill>
                    <w14:srgbClr w14:val="000000">
                      <w14:alpha w14:val="100000"/>
                    </w14:srgbClr>
                  </w14:solidFill>
                </w14:textFill>
              </w:rPr>
              <w:t>|</w:t>
            </w:r>
            <w:r w:rsidRPr="00C53C5A">
              <w:rPr>
                <w:rFonts w:hint="eastAsia"/>
                <w:color w:val="000000"/>
                <w:w w:val="18"/>
                <w:shd w:val="solid" w:color="000000" w:fill="000000"/>
                <w:fitText w:val="80" w:id="-892700926"/>
                <w14:textFill>
                  <w14:solidFill>
                    <w14:srgbClr w14:val="000000">
                      <w14:alpha w14:val="100000"/>
                    </w14:srgbClr>
                  </w14:solidFill>
                </w14:textFill>
              </w:rPr>
              <w:t xml:space="preserve">　</w:t>
            </w:r>
            <w:r w:rsidR="00571FCA" w:rsidRPr="008217F1">
              <w:rPr>
                <w:rFonts w:cs="Arial"/>
                <w:bCs w:val="0"/>
                <w:color w:val="000000"/>
                <w:szCs w:val="20"/>
              </w:rPr>
              <w:t>%</w:t>
            </w:r>
          </w:p>
        </w:tc>
        <w:tc>
          <w:tcPr>
            <w:tcW w:w="555" w:type="pct"/>
            <w:shd w:val="clear" w:color="auto" w:fill="auto"/>
            <w:vAlign w:val="center"/>
          </w:tcPr>
          <w:p w14:paraId="18E9BE17" w14:textId="4CAFA4D0" w:rsidR="00571FCA" w:rsidRPr="008217F1" w:rsidRDefault="00C53C5A" w:rsidP="00F845EA">
            <w:pPr>
              <w:pStyle w:val="TableText0"/>
              <w:keepNext w:val="0"/>
              <w:jc w:val="center"/>
              <w:rPr>
                <w:rFonts w:cs="Arial"/>
                <w:bCs w:val="0"/>
                <w:color w:val="000000"/>
                <w:szCs w:val="20"/>
              </w:rPr>
            </w:pPr>
            <w:r w:rsidRPr="00C53C5A">
              <w:rPr>
                <w:rFonts w:hint="eastAsia"/>
                <w:color w:val="000000"/>
                <w:w w:val="18"/>
                <w:shd w:val="solid" w:color="000000" w:fill="000000"/>
                <w:fitText w:val="80" w:id="-892700926"/>
                <w14:textFill>
                  <w14:solidFill>
                    <w14:srgbClr w14:val="000000">
                      <w14:alpha w14:val="100000"/>
                    </w14:srgbClr>
                  </w14:solidFill>
                </w14:textFill>
              </w:rPr>
              <w:t xml:space="preserve">　</w:t>
            </w:r>
            <w:r w:rsidRPr="00C53C5A">
              <w:rPr>
                <w:color w:val="000000"/>
                <w:w w:val="18"/>
                <w:shd w:val="solid" w:color="000000" w:fill="000000"/>
                <w:fitText w:val="80" w:id="-892700926"/>
                <w14:textFill>
                  <w14:solidFill>
                    <w14:srgbClr w14:val="000000">
                      <w14:alpha w14:val="100000"/>
                    </w14:srgbClr>
                  </w14:solidFill>
                </w14:textFill>
              </w:rPr>
              <w:t>|</w:t>
            </w:r>
            <w:r w:rsidRPr="00C53C5A">
              <w:rPr>
                <w:rFonts w:hint="eastAsia"/>
                <w:color w:val="000000"/>
                <w:w w:val="18"/>
                <w:shd w:val="solid" w:color="000000" w:fill="000000"/>
                <w:fitText w:val="80" w:id="-892700926"/>
                <w14:textFill>
                  <w14:solidFill>
                    <w14:srgbClr w14:val="000000">
                      <w14:alpha w14:val="100000"/>
                    </w14:srgbClr>
                  </w14:solidFill>
                </w14:textFill>
              </w:rPr>
              <w:t xml:space="preserve">　</w:t>
            </w:r>
            <w:r w:rsidR="00571FCA" w:rsidRPr="008217F1">
              <w:rPr>
                <w:rFonts w:cs="Arial"/>
                <w:bCs w:val="0"/>
                <w:color w:val="000000"/>
                <w:szCs w:val="20"/>
              </w:rPr>
              <w:t>%</w:t>
            </w:r>
          </w:p>
        </w:tc>
        <w:tc>
          <w:tcPr>
            <w:tcW w:w="771" w:type="pct"/>
            <w:shd w:val="clear" w:color="auto" w:fill="auto"/>
            <w:vAlign w:val="center"/>
          </w:tcPr>
          <w:p w14:paraId="5A2E4A53" w14:textId="40555BC8" w:rsidR="00571FCA" w:rsidRPr="008217F1" w:rsidRDefault="00C53C5A" w:rsidP="00F845EA">
            <w:pPr>
              <w:pStyle w:val="TableText0"/>
              <w:keepNext w:val="0"/>
              <w:jc w:val="center"/>
              <w:rPr>
                <w:rFonts w:cs="Arial"/>
                <w:bCs w:val="0"/>
                <w:color w:val="000000"/>
                <w:szCs w:val="20"/>
              </w:rPr>
            </w:pPr>
            <w:r w:rsidRPr="00C53C5A">
              <w:rPr>
                <w:rFonts w:hint="eastAsia"/>
                <w:color w:val="000000"/>
                <w:w w:val="18"/>
                <w:shd w:val="solid" w:color="000000" w:fill="000000"/>
                <w:fitText w:val="80" w:id="-892700926"/>
                <w14:textFill>
                  <w14:solidFill>
                    <w14:srgbClr w14:val="000000">
                      <w14:alpha w14:val="100000"/>
                    </w14:srgbClr>
                  </w14:solidFill>
                </w14:textFill>
              </w:rPr>
              <w:t xml:space="preserve">　</w:t>
            </w:r>
            <w:r w:rsidRPr="00C53C5A">
              <w:rPr>
                <w:color w:val="000000"/>
                <w:w w:val="18"/>
                <w:shd w:val="solid" w:color="000000" w:fill="000000"/>
                <w:fitText w:val="80" w:id="-892700926"/>
                <w14:textFill>
                  <w14:solidFill>
                    <w14:srgbClr w14:val="000000">
                      <w14:alpha w14:val="100000"/>
                    </w14:srgbClr>
                  </w14:solidFill>
                </w14:textFill>
              </w:rPr>
              <w:t>|</w:t>
            </w:r>
            <w:r w:rsidRPr="00C53C5A">
              <w:rPr>
                <w:rFonts w:hint="eastAsia"/>
                <w:color w:val="000000"/>
                <w:w w:val="18"/>
                <w:shd w:val="solid" w:color="000000" w:fill="000000"/>
                <w:fitText w:val="80" w:id="-892700926"/>
                <w14:textFill>
                  <w14:solidFill>
                    <w14:srgbClr w14:val="000000">
                      <w14:alpha w14:val="100000"/>
                    </w14:srgbClr>
                  </w14:solidFill>
                </w14:textFill>
              </w:rPr>
              <w:t xml:space="preserve">　</w:t>
            </w:r>
            <w:r w:rsidR="00571FCA" w:rsidRPr="008217F1">
              <w:rPr>
                <w:rFonts w:cs="Arial"/>
                <w:bCs w:val="0"/>
                <w:color w:val="000000"/>
                <w:szCs w:val="20"/>
              </w:rPr>
              <w:t>%</w:t>
            </w:r>
          </w:p>
        </w:tc>
      </w:tr>
      <w:tr w:rsidR="00571FCA" w:rsidRPr="008217F1" w14:paraId="5209492C" w14:textId="77777777" w:rsidTr="259D127E">
        <w:tc>
          <w:tcPr>
            <w:tcW w:w="1456" w:type="pct"/>
            <w:shd w:val="clear" w:color="auto" w:fill="auto"/>
          </w:tcPr>
          <w:p w14:paraId="694E919C" w14:textId="77777777" w:rsidR="00571FCA" w:rsidRPr="008217F1" w:rsidRDefault="00571FCA" w:rsidP="00F845EA">
            <w:pPr>
              <w:pStyle w:val="Tabletext"/>
              <w:rPr>
                <w:highlight w:val="yellow"/>
              </w:rPr>
            </w:pPr>
            <w:r w:rsidRPr="008217F1">
              <w:t>Patients – initial treatment</w:t>
            </w:r>
          </w:p>
        </w:tc>
        <w:tc>
          <w:tcPr>
            <w:tcW w:w="553" w:type="pct"/>
            <w:shd w:val="clear" w:color="auto" w:fill="auto"/>
            <w:vAlign w:val="center"/>
          </w:tcPr>
          <w:p w14:paraId="0635014A" w14:textId="4F2045DC" w:rsidR="00571FCA" w:rsidRPr="008D2AC7" w:rsidRDefault="00683384" w:rsidP="00F845EA">
            <w:pPr>
              <w:pStyle w:val="TableText0"/>
              <w:keepNext w:val="0"/>
              <w:jc w:val="center"/>
              <w:rPr>
                <w:rFonts w:cs="Arial"/>
                <w:bCs w:val="0"/>
                <w:color w:val="000000"/>
                <w:szCs w:val="20"/>
                <w:highlight w:val="lightGray"/>
              </w:rPr>
            </w:pPr>
            <w:r w:rsidRPr="00C53C5A">
              <w:rPr>
                <w:rFonts w:hint="eastAsia"/>
                <w:color w:val="000000"/>
                <w:w w:val="18"/>
                <w:shd w:val="solid" w:color="000000" w:fill="000000"/>
                <w:fitText w:val="80" w:id="-892700926"/>
                <w14:textFill>
                  <w14:solidFill>
                    <w14:srgbClr w14:val="000000">
                      <w14:alpha w14:val="100000"/>
                    </w14:srgbClr>
                  </w14:solidFill>
                </w14:textFill>
              </w:rPr>
              <w:t xml:space="preserve">　</w:t>
            </w:r>
            <w:r w:rsidRPr="00C53C5A">
              <w:rPr>
                <w:color w:val="000000"/>
                <w:w w:val="18"/>
                <w:shd w:val="solid" w:color="000000" w:fill="000000"/>
                <w:fitText w:val="80" w:id="-892700926"/>
                <w14:textFill>
                  <w14:solidFill>
                    <w14:srgbClr w14:val="000000">
                      <w14:alpha w14:val="100000"/>
                    </w14:srgbClr>
                  </w14:solidFill>
                </w14:textFill>
              </w:rPr>
              <w:t>|</w:t>
            </w:r>
            <w:r w:rsidRPr="00C53C5A">
              <w:rPr>
                <w:rFonts w:hint="eastAsia"/>
                <w:color w:val="000000"/>
                <w:w w:val="18"/>
                <w:shd w:val="solid" w:color="000000" w:fill="000000"/>
                <w:fitText w:val="80" w:id="-892700926"/>
                <w14:textFill>
                  <w14:solidFill>
                    <w14:srgbClr w14:val="000000">
                      <w14:alpha w14:val="100000"/>
                    </w14:srgbClr>
                  </w14:solidFill>
                </w14:textFill>
              </w:rPr>
              <w:t xml:space="preserve">　</w:t>
            </w:r>
            <w:r w:rsidR="006540D0" w:rsidRPr="008D2AC7">
              <w:rPr>
                <w:vertAlign w:val="superscript"/>
              </w:rPr>
              <w:t>4</w:t>
            </w:r>
          </w:p>
        </w:tc>
        <w:tc>
          <w:tcPr>
            <w:tcW w:w="555" w:type="pct"/>
            <w:shd w:val="clear" w:color="auto" w:fill="auto"/>
            <w:vAlign w:val="center"/>
          </w:tcPr>
          <w:p w14:paraId="3A7F31C6" w14:textId="21A5132C" w:rsidR="00571FCA" w:rsidRPr="008D2AC7" w:rsidRDefault="00683384" w:rsidP="00F845EA">
            <w:pPr>
              <w:pStyle w:val="TableText0"/>
              <w:keepNext w:val="0"/>
              <w:jc w:val="center"/>
              <w:rPr>
                <w:rFonts w:cs="Arial"/>
                <w:bCs w:val="0"/>
                <w:color w:val="000000"/>
                <w:szCs w:val="20"/>
                <w:highlight w:val="lightGray"/>
              </w:rPr>
            </w:pPr>
            <w:r w:rsidRPr="00683384">
              <w:rPr>
                <w:rFonts w:hint="eastAsia"/>
                <w:color w:val="000000"/>
                <w:w w:val="15"/>
                <w:shd w:val="solid" w:color="000000" w:fill="000000"/>
                <w:fitText w:val="70" w:id="-892700925"/>
                <w14:textFill>
                  <w14:solidFill>
                    <w14:srgbClr w14:val="000000">
                      <w14:alpha w14:val="100000"/>
                    </w14:srgbClr>
                  </w14:solidFill>
                </w14:textFill>
              </w:rPr>
              <w:t xml:space="preserve">　</w:t>
            </w:r>
            <w:r w:rsidRPr="00683384">
              <w:rPr>
                <w:color w:val="000000"/>
                <w:w w:val="15"/>
                <w:shd w:val="solid" w:color="000000" w:fill="000000"/>
                <w:fitText w:val="70" w:id="-892700925"/>
                <w14:textFill>
                  <w14:solidFill>
                    <w14:srgbClr w14:val="000000">
                      <w14:alpha w14:val="100000"/>
                    </w14:srgbClr>
                  </w14:solidFill>
                </w14:textFill>
              </w:rPr>
              <w:t>|</w:t>
            </w:r>
            <w:r w:rsidRPr="00683384">
              <w:rPr>
                <w:rFonts w:hint="eastAsia"/>
                <w:color w:val="000000"/>
                <w:spacing w:val="4"/>
                <w:w w:val="15"/>
                <w:shd w:val="solid" w:color="000000" w:fill="000000"/>
                <w:fitText w:val="70" w:id="-892700925"/>
                <w14:textFill>
                  <w14:solidFill>
                    <w14:srgbClr w14:val="000000">
                      <w14:alpha w14:val="100000"/>
                    </w14:srgbClr>
                  </w14:solidFill>
                </w14:textFill>
              </w:rPr>
              <w:t xml:space="preserve">　</w:t>
            </w:r>
            <w:r w:rsidR="006540D0" w:rsidRPr="00A96044">
              <w:rPr>
                <w:vertAlign w:val="superscript"/>
              </w:rPr>
              <w:t>4</w:t>
            </w:r>
          </w:p>
        </w:tc>
        <w:tc>
          <w:tcPr>
            <w:tcW w:w="555" w:type="pct"/>
            <w:shd w:val="clear" w:color="auto" w:fill="auto"/>
            <w:vAlign w:val="center"/>
          </w:tcPr>
          <w:p w14:paraId="3CA5541E" w14:textId="6E062D8D" w:rsidR="00571FCA" w:rsidRPr="008D2AC7" w:rsidRDefault="00683384" w:rsidP="00F845EA">
            <w:pPr>
              <w:pStyle w:val="TableText0"/>
              <w:keepNext w:val="0"/>
              <w:jc w:val="center"/>
              <w:rPr>
                <w:rFonts w:cs="Arial"/>
                <w:bCs w:val="0"/>
                <w:color w:val="000000"/>
                <w:szCs w:val="20"/>
                <w:highlight w:val="lightGray"/>
              </w:rPr>
            </w:pPr>
            <w:r w:rsidRPr="00683384">
              <w:rPr>
                <w:rFonts w:hint="eastAsia"/>
                <w:color w:val="000000"/>
                <w:w w:val="15"/>
                <w:shd w:val="solid" w:color="000000" w:fill="000000"/>
                <w:fitText w:val="70" w:id="-892700924"/>
                <w14:textFill>
                  <w14:solidFill>
                    <w14:srgbClr w14:val="000000">
                      <w14:alpha w14:val="100000"/>
                    </w14:srgbClr>
                  </w14:solidFill>
                </w14:textFill>
              </w:rPr>
              <w:t xml:space="preserve">　</w:t>
            </w:r>
            <w:r w:rsidRPr="00683384">
              <w:rPr>
                <w:color w:val="000000"/>
                <w:w w:val="15"/>
                <w:shd w:val="solid" w:color="000000" w:fill="000000"/>
                <w:fitText w:val="70" w:id="-892700924"/>
                <w14:textFill>
                  <w14:solidFill>
                    <w14:srgbClr w14:val="000000">
                      <w14:alpha w14:val="100000"/>
                    </w14:srgbClr>
                  </w14:solidFill>
                </w14:textFill>
              </w:rPr>
              <w:t>|</w:t>
            </w:r>
            <w:r w:rsidRPr="00683384">
              <w:rPr>
                <w:rFonts w:hint="eastAsia"/>
                <w:color w:val="000000"/>
                <w:spacing w:val="4"/>
                <w:w w:val="15"/>
                <w:shd w:val="solid" w:color="000000" w:fill="000000"/>
                <w:fitText w:val="70" w:id="-892700924"/>
                <w14:textFill>
                  <w14:solidFill>
                    <w14:srgbClr w14:val="000000">
                      <w14:alpha w14:val="100000"/>
                    </w14:srgbClr>
                  </w14:solidFill>
                </w14:textFill>
              </w:rPr>
              <w:t xml:space="preserve">　</w:t>
            </w:r>
            <w:r w:rsidR="006540D0" w:rsidRPr="008D2AC7">
              <w:rPr>
                <w:vertAlign w:val="superscript"/>
              </w:rPr>
              <w:t>5</w:t>
            </w:r>
          </w:p>
        </w:tc>
        <w:tc>
          <w:tcPr>
            <w:tcW w:w="555" w:type="pct"/>
            <w:shd w:val="clear" w:color="auto" w:fill="auto"/>
            <w:vAlign w:val="center"/>
          </w:tcPr>
          <w:p w14:paraId="2D98DEE9" w14:textId="0B64DFA2" w:rsidR="00571FCA" w:rsidRPr="008D2AC7" w:rsidRDefault="00683384" w:rsidP="00F845EA">
            <w:pPr>
              <w:pStyle w:val="TableText0"/>
              <w:keepNext w:val="0"/>
              <w:jc w:val="center"/>
              <w:rPr>
                <w:rFonts w:cs="Arial"/>
                <w:bCs w:val="0"/>
                <w:color w:val="000000"/>
                <w:szCs w:val="20"/>
                <w:highlight w:val="lightGray"/>
              </w:rPr>
            </w:pPr>
            <w:r w:rsidRPr="00683384">
              <w:rPr>
                <w:rFonts w:hint="eastAsia"/>
                <w:color w:val="000000"/>
                <w:w w:val="15"/>
                <w:shd w:val="solid" w:color="000000" w:fill="000000"/>
                <w:fitText w:val="70" w:id="-892700923"/>
                <w14:textFill>
                  <w14:solidFill>
                    <w14:srgbClr w14:val="000000">
                      <w14:alpha w14:val="100000"/>
                    </w14:srgbClr>
                  </w14:solidFill>
                </w14:textFill>
              </w:rPr>
              <w:t xml:space="preserve">　</w:t>
            </w:r>
            <w:r w:rsidRPr="00683384">
              <w:rPr>
                <w:color w:val="000000"/>
                <w:w w:val="15"/>
                <w:shd w:val="solid" w:color="000000" w:fill="000000"/>
                <w:fitText w:val="70" w:id="-892700923"/>
                <w14:textFill>
                  <w14:solidFill>
                    <w14:srgbClr w14:val="000000">
                      <w14:alpha w14:val="100000"/>
                    </w14:srgbClr>
                  </w14:solidFill>
                </w14:textFill>
              </w:rPr>
              <w:t>|</w:t>
            </w:r>
            <w:r w:rsidRPr="00683384">
              <w:rPr>
                <w:rFonts w:hint="eastAsia"/>
                <w:color w:val="000000"/>
                <w:spacing w:val="4"/>
                <w:w w:val="15"/>
                <w:shd w:val="solid" w:color="000000" w:fill="000000"/>
                <w:fitText w:val="70" w:id="-892700923"/>
                <w14:textFill>
                  <w14:solidFill>
                    <w14:srgbClr w14:val="000000">
                      <w14:alpha w14:val="100000"/>
                    </w14:srgbClr>
                  </w14:solidFill>
                </w14:textFill>
              </w:rPr>
              <w:t xml:space="preserve">　</w:t>
            </w:r>
            <w:r w:rsidR="006540D0" w:rsidRPr="00A96044">
              <w:rPr>
                <w:vertAlign w:val="superscript"/>
              </w:rPr>
              <w:t>5</w:t>
            </w:r>
          </w:p>
        </w:tc>
        <w:tc>
          <w:tcPr>
            <w:tcW w:w="555" w:type="pct"/>
            <w:shd w:val="clear" w:color="auto" w:fill="auto"/>
            <w:vAlign w:val="center"/>
          </w:tcPr>
          <w:p w14:paraId="5CAC6C95" w14:textId="50FB34FF" w:rsidR="00571FCA" w:rsidRPr="008D2AC7" w:rsidRDefault="00683384" w:rsidP="00F845EA">
            <w:pPr>
              <w:pStyle w:val="TableText0"/>
              <w:keepNext w:val="0"/>
              <w:jc w:val="center"/>
              <w:rPr>
                <w:rFonts w:cs="Arial"/>
                <w:bCs w:val="0"/>
                <w:color w:val="000000"/>
                <w:szCs w:val="20"/>
                <w:highlight w:val="lightGray"/>
              </w:rPr>
            </w:pPr>
            <w:r w:rsidRPr="00683384">
              <w:rPr>
                <w:rFonts w:hint="eastAsia"/>
                <w:color w:val="000000"/>
                <w:w w:val="15"/>
                <w:shd w:val="solid" w:color="000000" w:fill="000000"/>
                <w:fitText w:val="70" w:id="-892700922"/>
                <w14:textFill>
                  <w14:solidFill>
                    <w14:srgbClr w14:val="000000">
                      <w14:alpha w14:val="100000"/>
                    </w14:srgbClr>
                  </w14:solidFill>
                </w14:textFill>
              </w:rPr>
              <w:t xml:space="preserve">　</w:t>
            </w:r>
            <w:r w:rsidRPr="00683384">
              <w:rPr>
                <w:color w:val="000000"/>
                <w:w w:val="15"/>
                <w:shd w:val="solid" w:color="000000" w:fill="000000"/>
                <w:fitText w:val="70" w:id="-892700922"/>
                <w14:textFill>
                  <w14:solidFill>
                    <w14:srgbClr w14:val="000000">
                      <w14:alpha w14:val="100000"/>
                    </w14:srgbClr>
                  </w14:solidFill>
                </w14:textFill>
              </w:rPr>
              <w:t>|</w:t>
            </w:r>
            <w:r w:rsidRPr="00683384">
              <w:rPr>
                <w:rFonts w:hint="eastAsia"/>
                <w:color w:val="000000"/>
                <w:spacing w:val="4"/>
                <w:w w:val="15"/>
                <w:shd w:val="solid" w:color="000000" w:fill="000000"/>
                <w:fitText w:val="70" w:id="-892700922"/>
                <w14:textFill>
                  <w14:solidFill>
                    <w14:srgbClr w14:val="000000">
                      <w14:alpha w14:val="100000"/>
                    </w14:srgbClr>
                  </w14:solidFill>
                </w14:textFill>
              </w:rPr>
              <w:t xml:space="preserve">　</w:t>
            </w:r>
            <w:r w:rsidR="006540D0" w:rsidRPr="00A96044">
              <w:rPr>
                <w:vertAlign w:val="superscript"/>
              </w:rPr>
              <w:t>5</w:t>
            </w:r>
          </w:p>
        </w:tc>
        <w:tc>
          <w:tcPr>
            <w:tcW w:w="771" w:type="pct"/>
            <w:shd w:val="clear" w:color="auto" w:fill="auto"/>
            <w:vAlign w:val="center"/>
          </w:tcPr>
          <w:p w14:paraId="5DCE6519" w14:textId="2C435671" w:rsidR="00571FCA" w:rsidRPr="008D2AC7" w:rsidRDefault="00683384" w:rsidP="00F845EA">
            <w:pPr>
              <w:pStyle w:val="TableText0"/>
              <w:keepNext w:val="0"/>
              <w:jc w:val="center"/>
              <w:rPr>
                <w:rFonts w:cs="Arial"/>
                <w:bCs w:val="0"/>
                <w:color w:val="000000"/>
                <w:szCs w:val="20"/>
                <w:highlight w:val="lightGray"/>
              </w:rPr>
            </w:pPr>
            <w:r w:rsidRPr="00683384">
              <w:rPr>
                <w:color w:val="000000"/>
                <w:shd w:val="solid" w:color="000000" w:fill="000000"/>
                <w14:textFill>
                  <w14:solidFill>
                    <w14:srgbClr w14:val="000000">
                      <w14:alpha w14:val="100000"/>
                    </w14:srgbClr>
                  </w14:solidFill>
                </w14:textFill>
              </w:rPr>
              <w:t>|</w:t>
            </w:r>
            <w:r w:rsidR="006540D0" w:rsidRPr="00A96044">
              <w:rPr>
                <w:vertAlign w:val="superscript"/>
              </w:rPr>
              <w:t>5</w:t>
            </w:r>
          </w:p>
        </w:tc>
      </w:tr>
      <w:tr w:rsidR="00571FCA" w:rsidRPr="008217F1" w14:paraId="7F8B5C2E" w14:textId="77777777" w:rsidTr="259D127E">
        <w:tc>
          <w:tcPr>
            <w:tcW w:w="1456" w:type="pct"/>
            <w:shd w:val="clear" w:color="auto" w:fill="auto"/>
          </w:tcPr>
          <w:p w14:paraId="725FFA0B" w14:textId="77777777" w:rsidR="00571FCA" w:rsidRPr="008217F1" w:rsidRDefault="00571FCA" w:rsidP="00F845EA">
            <w:pPr>
              <w:pStyle w:val="Tabletext"/>
            </w:pPr>
            <w:r w:rsidRPr="008217F1">
              <w:t>Responders/remitters to initial esketamine (62.07%)</w:t>
            </w:r>
          </w:p>
        </w:tc>
        <w:tc>
          <w:tcPr>
            <w:tcW w:w="553" w:type="pct"/>
            <w:shd w:val="clear" w:color="auto" w:fill="auto"/>
            <w:vAlign w:val="center"/>
          </w:tcPr>
          <w:p w14:paraId="670876C6" w14:textId="3831B562" w:rsidR="00571FCA" w:rsidRPr="008D2AC7" w:rsidRDefault="00683384" w:rsidP="00F845EA">
            <w:pPr>
              <w:pStyle w:val="TableText0"/>
              <w:keepNext w:val="0"/>
              <w:jc w:val="center"/>
              <w:rPr>
                <w:rFonts w:cs="Arial"/>
                <w:bCs w:val="0"/>
                <w:color w:val="000000"/>
                <w:szCs w:val="20"/>
                <w:highlight w:val="lightGray"/>
              </w:rPr>
            </w:pPr>
            <w:r w:rsidRPr="00683384">
              <w:rPr>
                <w:rFonts w:hint="eastAsia"/>
                <w:color w:val="000000"/>
                <w:w w:val="18"/>
                <w:shd w:val="solid" w:color="000000" w:fill="000000"/>
                <w:fitText w:val="80" w:id="-892700921"/>
                <w14:textFill>
                  <w14:solidFill>
                    <w14:srgbClr w14:val="000000">
                      <w14:alpha w14:val="100000"/>
                    </w14:srgbClr>
                  </w14:solidFill>
                </w14:textFill>
              </w:rPr>
              <w:t xml:space="preserve">　</w:t>
            </w:r>
            <w:r w:rsidRPr="00683384">
              <w:rPr>
                <w:color w:val="000000"/>
                <w:w w:val="18"/>
                <w:shd w:val="solid" w:color="000000" w:fill="000000"/>
                <w:fitText w:val="80" w:id="-892700921"/>
                <w14:textFill>
                  <w14:solidFill>
                    <w14:srgbClr w14:val="000000">
                      <w14:alpha w14:val="100000"/>
                    </w14:srgbClr>
                  </w14:solidFill>
                </w14:textFill>
              </w:rPr>
              <w:t>|</w:t>
            </w:r>
            <w:r w:rsidRPr="00683384">
              <w:rPr>
                <w:rFonts w:hint="eastAsia"/>
                <w:color w:val="000000"/>
                <w:w w:val="18"/>
                <w:shd w:val="solid" w:color="000000" w:fill="000000"/>
                <w:fitText w:val="80" w:id="-892700921"/>
                <w14:textFill>
                  <w14:solidFill>
                    <w14:srgbClr w14:val="000000">
                      <w14:alpha w14:val="100000"/>
                    </w14:srgbClr>
                  </w14:solidFill>
                </w14:textFill>
              </w:rPr>
              <w:t xml:space="preserve">　</w:t>
            </w:r>
            <w:r w:rsidR="006540D0" w:rsidRPr="00A96044">
              <w:rPr>
                <w:vertAlign w:val="superscript"/>
              </w:rPr>
              <w:t>4</w:t>
            </w:r>
          </w:p>
        </w:tc>
        <w:tc>
          <w:tcPr>
            <w:tcW w:w="555" w:type="pct"/>
            <w:shd w:val="clear" w:color="auto" w:fill="auto"/>
            <w:vAlign w:val="center"/>
          </w:tcPr>
          <w:p w14:paraId="4AC170A8" w14:textId="27600B5E" w:rsidR="00571FCA" w:rsidRPr="008D2AC7" w:rsidRDefault="00683384" w:rsidP="00F845EA">
            <w:pPr>
              <w:pStyle w:val="TableText0"/>
              <w:keepNext w:val="0"/>
              <w:jc w:val="center"/>
              <w:rPr>
                <w:rFonts w:cs="Arial"/>
                <w:bCs w:val="0"/>
                <w:color w:val="000000"/>
                <w:szCs w:val="20"/>
                <w:highlight w:val="lightGray"/>
              </w:rPr>
            </w:pPr>
            <w:r w:rsidRPr="00683384">
              <w:rPr>
                <w:rFonts w:hint="eastAsia"/>
                <w:color w:val="000000"/>
                <w:w w:val="15"/>
                <w:shd w:val="solid" w:color="000000" w:fill="000000"/>
                <w:fitText w:val="70" w:id="-892700920"/>
                <w14:textFill>
                  <w14:solidFill>
                    <w14:srgbClr w14:val="000000">
                      <w14:alpha w14:val="100000"/>
                    </w14:srgbClr>
                  </w14:solidFill>
                </w14:textFill>
              </w:rPr>
              <w:t xml:space="preserve">　</w:t>
            </w:r>
            <w:r w:rsidRPr="00683384">
              <w:rPr>
                <w:color w:val="000000"/>
                <w:w w:val="15"/>
                <w:shd w:val="solid" w:color="000000" w:fill="000000"/>
                <w:fitText w:val="70" w:id="-892700920"/>
                <w14:textFill>
                  <w14:solidFill>
                    <w14:srgbClr w14:val="000000">
                      <w14:alpha w14:val="100000"/>
                    </w14:srgbClr>
                  </w14:solidFill>
                </w14:textFill>
              </w:rPr>
              <w:t>|</w:t>
            </w:r>
            <w:r w:rsidRPr="00683384">
              <w:rPr>
                <w:rFonts w:hint="eastAsia"/>
                <w:color w:val="000000"/>
                <w:spacing w:val="4"/>
                <w:w w:val="15"/>
                <w:shd w:val="solid" w:color="000000" w:fill="000000"/>
                <w:fitText w:val="70" w:id="-892700920"/>
                <w14:textFill>
                  <w14:solidFill>
                    <w14:srgbClr w14:val="000000">
                      <w14:alpha w14:val="100000"/>
                    </w14:srgbClr>
                  </w14:solidFill>
                </w14:textFill>
              </w:rPr>
              <w:t xml:space="preserve">　</w:t>
            </w:r>
            <w:r w:rsidR="006540D0" w:rsidRPr="00A96044">
              <w:rPr>
                <w:vertAlign w:val="superscript"/>
              </w:rPr>
              <w:t>4</w:t>
            </w:r>
          </w:p>
        </w:tc>
        <w:tc>
          <w:tcPr>
            <w:tcW w:w="555" w:type="pct"/>
            <w:shd w:val="clear" w:color="auto" w:fill="auto"/>
            <w:vAlign w:val="center"/>
          </w:tcPr>
          <w:p w14:paraId="7A0BB7FE" w14:textId="40AAE512" w:rsidR="00571FCA" w:rsidRPr="008D2AC7" w:rsidRDefault="00683384" w:rsidP="00F845EA">
            <w:pPr>
              <w:pStyle w:val="TableText0"/>
              <w:keepNext w:val="0"/>
              <w:jc w:val="center"/>
              <w:rPr>
                <w:rFonts w:cs="Arial"/>
                <w:bCs w:val="0"/>
                <w:color w:val="000000"/>
                <w:szCs w:val="20"/>
                <w:highlight w:val="lightGray"/>
              </w:rPr>
            </w:pPr>
            <w:r w:rsidRPr="00683384">
              <w:rPr>
                <w:rFonts w:hint="eastAsia"/>
                <w:color w:val="000000"/>
                <w:w w:val="15"/>
                <w:shd w:val="solid" w:color="000000" w:fill="000000"/>
                <w:fitText w:val="70" w:id="-892700919"/>
                <w14:textFill>
                  <w14:solidFill>
                    <w14:srgbClr w14:val="000000">
                      <w14:alpha w14:val="100000"/>
                    </w14:srgbClr>
                  </w14:solidFill>
                </w14:textFill>
              </w:rPr>
              <w:t xml:space="preserve">　</w:t>
            </w:r>
            <w:r w:rsidRPr="00683384">
              <w:rPr>
                <w:color w:val="000000"/>
                <w:w w:val="15"/>
                <w:shd w:val="solid" w:color="000000" w:fill="000000"/>
                <w:fitText w:val="70" w:id="-892700919"/>
                <w14:textFill>
                  <w14:solidFill>
                    <w14:srgbClr w14:val="000000">
                      <w14:alpha w14:val="100000"/>
                    </w14:srgbClr>
                  </w14:solidFill>
                </w14:textFill>
              </w:rPr>
              <w:t>|</w:t>
            </w:r>
            <w:r w:rsidRPr="00683384">
              <w:rPr>
                <w:rFonts w:hint="eastAsia"/>
                <w:color w:val="000000"/>
                <w:spacing w:val="4"/>
                <w:w w:val="15"/>
                <w:shd w:val="solid" w:color="000000" w:fill="000000"/>
                <w:fitText w:val="70" w:id="-892700919"/>
                <w14:textFill>
                  <w14:solidFill>
                    <w14:srgbClr w14:val="000000">
                      <w14:alpha w14:val="100000"/>
                    </w14:srgbClr>
                  </w14:solidFill>
                </w14:textFill>
              </w:rPr>
              <w:t xml:space="preserve">　</w:t>
            </w:r>
            <w:r w:rsidR="006540D0" w:rsidRPr="00A96044">
              <w:rPr>
                <w:vertAlign w:val="superscript"/>
              </w:rPr>
              <w:t>4</w:t>
            </w:r>
          </w:p>
        </w:tc>
        <w:tc>
          <w:tcPr>
            <w:tcW w:w="555" w:type="pct"/>
            <w:shd w:val="clear" w:color="auto" w:fill="auto"/>
            <w:vAlign w:val="center"/>
          </w:tcPr>
          <w:p w14:paraId="2E9E78BF" w14:textId="7C7026D2" w:rsidR="00571FCA" w:rsidRPr="008D2AC7" w:rsidRDefault="00683384" w:rsidP="00F845EA">
            <w:pPr>
              <w:pStyle w:val="TableText0"/>
              <w:keepNext w:val="0"/>
              <w:jc w:val="center"/>
              <w:rPr>
                <w:rFonts w:cs="Arial"/>
                <w:bCs w:val="0"/>
                <w:color w:val="000000"/>
                <w:szCs w:val="20"/>
                <w:highlight w:val="lightGray"/>
              </w:rPr>
            </w:pPr>
            <w:r w:rsidRPr="00683384">
              <w:rPr>
                <w:rFonts w:hint="eastAsia"/>
                <w:color w:val="000000"/>
                <w:w w:val="15"/>
                <w:shd w:val="solid" w:color="000000" w:fill="000000"/>
                <w:fitText w:val="70" w:id="-892700918"/>
                <w14:textFill>
                  <w14:solidFill>
                    <w14:srgbClr w14:val="000000">
                      <w14:alpha w14:val="100000"/>
                    </w14:srgbClr>
                  </w14:solidFill>
                </w14:textFill>
              </w:rPr>
              <w:t xml:space="preserve">　</w:t>
            </w:r>
            <w:r w:rsidRPr="00683384">
              <w:rPr>
                <w:color w:val="000000"/>
                <w:w w:val="15"/>
                <w:shd w:val="solid" w:color="000000" w:fill="000000"/>
                <w:fitText w:val="70" w:id="-892700918"/>
                <w14:textFill>
                  <w14:solidFill>
                    <w14:srgbClr w14:val="000000">
                      <w14:alpha w14:val="100000"/>
                    </w14:srgbClr>
                  </w14:solidFill>
                </w14:textFill>
              </w:rPr>
              <w:t>|</w:t>
            </w:r>
            <w:r w:rsidRPr="00683384">
              <w:rPr>
                <w:rFonts w:hint="eastAsia"/>
                <w:color w:val="000000"/>
                <w:spacing w:val="4"/>
                <w:w w:val="15"/>
                <w:shd w:val="solid" w:color="000000" w:fill="000000"/>
                <w:fitText w:val="70" w:id="-892700918"/>
                <w14:textFill>
                  <w14:solidFill>
                    <w14:srgbClr w14:val="000000">
                      <w14:alpha w14:val="100000"/>
                    </w14:srgbClr>
                  </w14:solidFill>
                </w14:textFill>
              </w:rPr>
              <w:t xml:space="preserve">　</w:t>
            </w:r>
            <w:r w:rsidR="006540D0" w:rsidRPr="00A96044">
              <w:rPr>
                <w:vertAlign w:val="superscript"/>
              </w:rPr>
              <w:t>4</w:t>
            </w:r>
          </w:p>
        </w:tc>
        <w:tc>
          <w:tcPr>
            <w:tcW w:w="555" w:type="pct"/>
            <w:shd w:val="clear" w:color="auto" w:fill="auto"/>
            <w:vAlign w:val="center"/>
          </w:tcPr>
          <w:p w14:paraId="108AF967" w14:textId="2F7190D4" w:rsidR="00571FCA" w:rsidRPr="008D2AC7" w:rsidRDefault="00683384" w:rsidP="00F845EA">
            <w:pPr>
              <w:pStyle w:val="TableText0"/>
              <w:keepNext w:val="0"/>
              <w:jc w:val="center"/>
              <w:rPr>
                <w:rFonts w:cs="Arial"/>
                <w:bCs w:val="0"/>
                <w:color w:val="000000"/>
                <w:szCs w:val="20"/>
                <w:highlight w:val="lightGray"/>
              </w:rPr>
            </w:pPr>
            <w:r w:rsidRPr="00683384">
              <w:rPr>
                <w:color w:val="000000"/>
                <w:spacing w:val="214"/>
                <w:shd w:val="solid" w:color="000000" w:fill="000000"/>
                <w:fitText w:val="300" w:id="-892700917"/>
                <w14:textFill>
                  <w14:solidFill>
                    <w14:srgbClr w14:val="000000">
                      <w14:alpha w14:val="100000"/>
                    </w14:srgbClr>
                  </w14:solidFill>
                </w14:textFill>
              </w:rPr>
              <w:t>|</w:t>
            </w:r>
            <w:r w:rsidRPr="00683384">
              <w:rPr>
                <w:color w:val="000000"/>
                <w:spacing w:val="1"/>
                <w:shd w:val="solid" w:color="000000" w:fill="000000"/>
                <w:fitText w:val="300" w:id="-892700917"/>
                <w14:textFill>
                  <w14:solidFill>
                    <w14:srgbClr w14:val="000000">
                      <w14:alpha w14:val="100000"/>
                    </w14:srgbClr>
                  </w14:solidFill>
                </w14:textFill>
              </w:rPr>
              <w:t>|</w:t>
            </w:r>
            <w:r w:rsidR="006540D0" w:rsidRPr="00A96044">
              <w:rPr>
                <w:vertAlign w:val="superscript"/>
              </w:rPr>
              <w:t>4</w:t>
            </w:r>
          </w:p>
        </w:tc>
        <w:tc>
          <w:tcPr>
            <w:tcW w:w="771" w:type="pct"/>
            <w:shd w:val="clear" w:color="auto" w:fill="auto"/>
            <w:vAlign w:val="center"/>
          </w:tcPr>
          <w:p w14:paraId="3E8E98DE" w14:textId="133243BD" w:rsidR="00571FCA" w:rsidRPr="008D2AC7" w:rsidRDefault="00683384" w:rsidP="00F845EA">
            <w:pPr>
              <w:pStyle w:val="TableText0"/>
              <w:keepNext w:val="0"/>
              <w:jc w:val="center"/>
              <w:rPr>
                <w:rFonts w:cs="Arial"/>
                <w:bCs w:val="0"/>
                <w:color w:val="000000"/>
                <w:szCs w:val="20"/>
                <w:highlight w:val="lightGray"/>
              </w:rPr>
            </w:pPr>
            <w:r w:rsidRPr="00683384">
              <w:rPr>
                <w:color w:val="000000"/>
                <w:shd w:val="solid" w:color="000000" w:fill="000000"/>
                <w14:textFill>
                  <w14:solidFill>
                    <w14:srgbClr w14:val="000000">
                      <w14:alpha w14:val="100000"/>
                    </w14:srgbClr>
                  </w14:solidFill>
                </w14:textFill>
              </w:rPr>
              <w:t>|</w:t>
            </w:r>
            <w:r w:rsidR="006540D0" w:rsidRPr="00A96044">
              <w:rPr>
                <w:vertAlign w:val="superscript"/>
              </w:rPr>
              <w:t>4</w:t>
            </w:r>
          </w:p>
        </w:tc>
      </w:tr>
      <w:tr w:rsidR="00571FCA" w:rsidRPr="008217F1" w14:paraId="1BD85A22" w14:textId="77777777" w:rsidTr="259D127E">
        <w:tc>
          <w:tcPr>
            <w:tcW w:w="1456" w:type="pct"/>
            <w:shd w:val="clear" w:color="auto" w:fill="auto"/>
          </w:tcPr>
          <w:p w14:paraId="205C4141" w14:textId="573B6667" w:rsidR="00571FCA" w:rsidRPr="008217F1" w:rsidRDefault="00571FCA" w:rsidP="00F845EA">
            <w:pPr>
              <w:pStyle w:val="Tabletext"/>
              <w:rPr>
                <w:vertAlign w:val="superscript"/>
              </w:rPr>
            </w:pPr>
            <w:r w:rsidRPr="008217F1">
              <w:t xml:space="preserve">Retreated patients (50.56% relapse after responding/remitting, 100% of these patients are retreated) </w:t>
            </w:r>
            <w:r w:rsidR="00C02288">
              <w:rPr>
                <w:vertAlign w:val="superscript"/>
              </w:rPr>
              <w:t>c</w:t>
            </w:r>
          </w:p>
        </w:tc>
        <w:tc>
          <w:tcPr>
            <w:tcW w:w="553" w:type="pct"/>
            <w:shd w:val="clear" w:color="auto" w:fill="auto"/>
            <w:vAlign w:val="center"/>
          </w:tcPr>
          <w:p w14:paraId="0E402DDD" w14:textId="3925AF85" w:rsidR="00571FCA" w:rsidRPr="008D2AC7" w:rsidRDefault="00683384" w:rsidP="00F845EA">
            <w:pPr>
              <w:pStyle w:val="TableText0"/>
              <w:keepNext w:val="0"/>
              <w:jc w:val="center"/>
              <w:rPr>
                <w:rFonts w:cs="Arial"/>
                <w:bCs w:val="0"/>
                <w:color w:val="000000"/>
                <w:szCs w:val="20"/>
                <w:highlight w:val="lightGray"/>
              </w:rPr>
            </w:pPr>
            <w:r w:rsidRPr="00C53C5A">
              <w:rPr>
                <w:rFonts w:hint="eastAsia"/>
                <w:color w:val="000000"/>
                <w:w w:val="18"/>
                <w:shd w:val="solid" w:color="000000" w:fill="000000"/>
                <w:fitText w:val="80" w:id="-892700915"/>
                <w14:textFill>
                  <w14:solidFill>
                    <w14:srgbClr w14:val="000000">
                      <w14:alpha w14:val="100000"/>
                    </w14:srgbClr>
                  </w14:solidFill>
                </w14:textFill>
              </w:rPr>
              <w:t xml:space="preserve">　</w:t>
            </w:r>
            <w:r w:rsidRPr="00C53C5A">
              <w:rPr>
                <w:color w:val="000000"/>
                <w:w w:val="18"/>
                <w:shd w:val="solid" w:color="000000" w:fill="000000"/>
                <w:fitText w:val="80" w:id="-892700915"/>
                <w14:textFill>
                  <w14:solidFill>
                    <w14:srgbClr w14:val="000000">
                      <w14:alpha w14:val="100000"/>
                    </w14:srgbClr>
                  </w14:solidFill>
                </w14:textFill>
              </w:rPr>
              <w:t>|</w:t>
            </w:r>
            <w:r w:rsidRPr="00C53C5A">
              <w:rPr>
                <w:rFonts w:hint="eastAsia"/>
                <w:color w:val="000000"/>
                <w:w w:val="18"/>
                <w:shd w:val="solid" w:color="000000" w:fill="000000"/>
                <w:fitText w:val="80" w:id="-892700915"/>
                <w14:textFill>
                  <w14:solidFill>
                    <w14:srgbClr w14:val="000000">
                      <w14:alpha w14:val="100000"/>
                    </w14:srgbClr>
                  </w14:solidFill>
                </w14:textFill>
              </w:rPr>
              <w:t xml:space="preserve">　</w:t>
            </w:r>
            <w:r w:rsidR="006540D0" w:rsidRPr="00A96044">
              <w:rPr>
                <w:vertAlign w:val="superscript"/>
              </w:rPr>
              <w:t>4</w:t>
            </w:r>
          </w:p>
        </w:tc>
        <w:tc>
          <w:tcPr>
            <w:tcW w:w="555" w:type="pct"/>
            <w:shd w:val="clear" w:color="auto" w:fill="auto"/>
            <w:vAlign w:val="center"/>
          </w:tcPr>
          <w:p w14:paraId="4F2C2331" w14:textId="483D7456" w:rsidR="00571FCA" w:rsidRPr="008D2AC7" w:rsidRDefault="00683384" w:rsidP="00F845EA">
            <w:pPr>
              <w:pStyle w:val="TableText0"/>
              <w:keepNext w:val="0"/>
              <w:jc w:val="center"/>
              <w:rPr>
                <w:rFonts w:cs="Arial"/>
                <w:bCs w:val="0"/>
                <w:color w:val="000000"/>
                <w:szCs w:val="20"/>
                <w:highlight w:val="lightGray"/>
              </w:rPr>
            </w:pPr>
            <w:r w:rsidRPr="00683384">
              <w:rPr>
                <w:rFonts w:hint="eastAsia"/>
                <w:color w:val="000000"/>
                <w:w w:val="15"/>
                <w:shd w:val="solid" w:color="000000" w:fill="000000"/>
                <w:fitText w:val="70" w:id="-892700914"/>
                <w14:textFill>
                  <w14:solidFill>
                    <w14:srgbClr w14:val="000000">
                      <w14:alpha w14:val="100000"/>
                    </w14:srgbClr>
                  </w14:solidFill>
                </w14:textFill>
              </w:rPr>
              <w:t xml:space="preserve">　</w:t>
            </w:r>
            <w:r w:rsidRPr="00683384">
              <w:rPr>
                <w:color w:val="000000"/>
                <w:w w:val="15"/>
                <w:shd w:val="solid" w:color="000000" w:fill="000000"/>
                <w:fitText w:val="70" w:id="-892700914"/>
                <w14:textFill>
                  <w14:solidFill>
                    <w14:srgbClr w14:val="000000">
                      <w14:alpha w14:val="100000"/>
                    </w14:srgbClr>
                  </w14:solidFill>
                </w14:textFill>
              </w:rPr>
              <w:t>|</w:t>
            </w:r>
            <w:r w:rsidRPr="00683384">
              <w:rPr>
                <w:rFonts w:hint="eastAsia"/>
                <w:color w:val="000000"/>
                <w:spacing w:val="4"/>
                <w:w w:val="15"/>
                <w:shd w:val="solid" w:color="000000" w:fill="000000"/>
                <w:fitText w:val="70" w:id="-892700914"/>
                <w14:textFill>
                  <w14:solidFill>
                    <w14:srgbClr w14:val="000000">
                      <w14:alpha w14:val="100000"/>
                    </w14:srgbClr>
                  </w14:solidFill>
                </w14:textFill>
              </w:rPr>
              <w:t xml:space="preserve">　</w:t>
            </w:r>
            <w:r w:rsidR="006540D0" w:rsidRPr="00A96044">
              <w:rPr>
                <w:vertAlign w:val="superscript"/>
              </w:rPr>
              <w:t>4</w:t>
            </w:r>
          </w:p>
        </w:tc>
        <w:tc>
          <w:tcPr>
            <w:tcW w:w="555" w:type="pct"/>
            <w:shd w:val="clear" w:color="auto" w:fill="auto"/>
            <w:vAlign w:val="center"/>
          </w:tcPr>
          <w:p w14:paraId="6B4EF992" w14:textId="51AD8B43" w:rsidR="00571FCA" w:rsidRPr="008D2AC7" w:rsidRDefault="00683384" w:rsidP="00F845EA">
            <w:pPr>
              <w:pStyle w:val="TableText0"/>
              <w:keepNext w:val="0"/>
              <w:jc w:val="center"/>
              <w:rPr>
                <w:rFonts w:cs="Arial"/>
                <w:bCs w:val="0"/>
                <w:color w:val="000000"/>
                <w:szCs w:val="20"/>
                <w:highlight w:val="lightGray"/>
              </w:rPr>
            </w:pPr>
            <w:r w:rsidRPr="00683384">
              <w:rPr>
                <w:rFonts w:hint="eastAsia"/>
                <w:color w:val="000000"/>
                <w:w w:val="15"/>
                <w:shd w:val="solid" w:color="000000" w:fill="000000"/>
                <w:fitText w:val="70" w:id="-892700913"/>
                <w14:textFill>
                  <w14:solidFill>
                    <w14:srgbClr w14:val="000000">
                      <w14:alpha w14:val="100000"/>
                    </w14:srgbClr>
                  </w14:solidFill>
                </w14:textFill>
              </w:rPr>
              <w:t xml:space="preserve">　</w:t>
            </w:r>
            <w:r w:rsidRPr="00683384">
              <w:rPr>
                <w:color w:val="000000"/>
                <w:w w:val="15"/>
                <w:shd w:val="solid" w:color="000000" w:fill="000000"/>
                <w:fitText w:val="70" w:id="-892700913"/>
                <w14:textFill>
                  <w14:solidFill>
                    <w14:srgbClr w14:val="000000">
                      <w14:alpha w14:val="100000"/>
                    </w14:srgbClr>
                  </w14:solidFill>
                </w14:textFill>
              </w:rPr>
              <w:t>|</w:t>
            </w:r>
            <w:r w:rsidRPr="00683384">
              <w:rPr>
                <w:rFonts w:hint="eastAsia"/>
                <w:color w:val="000000"/>
                <w:spacing w:val="4"/>
                <w:w w:val="15"/>
                <w:shd w:val="solid" w:color="000000" w:fill="000000"/>
                <w:fitText w:val="70" w:id="-892700913"/>
                <w14:textFill>
                  <w14:solidFill>
                    <w14:srgbClr w14:val="000000">
                      <w14:alpha w14:val="100000"/>
                    </w14:srgbClr>
                  </w14:solidFill>
                </w14:textFill>
              </w:rPr>
              <w:t xml:space="preserve">　</w:t>
            </w:r>
            <w:r w:rsidR="006540D0" w:rsidRPr="00A96044">
              <w:rPr>
                <w:vertAlign w:val="superscript"/>
              </w:rPr>
              <w:t>4</w:t>
            </w:r>
          </w:p>
        </w:tc>
        <w:tc>
          <w:tcPr>
            <w:tcW w:w="555" w:type="pct"/>
            <w:shd w:val="clear" w:color="auto" w:fill="auto"/>
            <w:vAlign w:val="center"/>
          </w:tcPr>
          <w:p w14:paraId="4FC95006" w14:textId="4E59C94E" w:rsidR="00571FCA" w:rsidRPr="008D2AC7" w:rsidRDefault="00683384" w:rsidP="00F845EA">
            <w:pPr>
              <w:pStyle w:val="TableText0"/>
              <w:keepNext w:val="0"/>
              <w:jc w:val="center"/>
              <w:rPr>
                <w:rFonts w:cs="Arial"/>
                <w:bCs w:val="0"/>
                <w:color w:val="000000"/>
                <w:szCs w:val="20"/>
                <w:highlight w:val="lightGray"/>
              </w:rPr>
            </w:pPr>
            <w:r w:rsidRPr="00683384">
              <w:rPr>
                <w:rFonts w:hint="eastAsia"/>
                <w:color w:val="000000"/>
                <w:w w:val="15"/>
                <w:shd w:val="solid" w:color="000000" w:fill="000000"/>
                <w:fitText w:val="70" w:id="-892700912"/>
                <w14:textFill>
                  <w14:solidFill>
                    <w14:srgbClr w14:val="000000">
                      <w14:alpha w14:val="100000"/>
                    </w14:srgbClr>
                  </w14:solidFill>
                </w14:textFill>
              </w:rPr>
              <w:t xml:space="preserve">　</w:t>
            </w:r>
            <w:r w:rsidRPr="00683384">
              <w:rPr>
                <w:color w:val="000000"/>
                <w:w w:val="15"/>
                <w:shd w:val="solid" w:color="000000" w:fill="000000"/>
                <w:fitText w:val="70" w:id="-892700912"/>
                <w14:textFill>
                  <w14:solidFill>
                    <w14:srgbClr w14:val="000000">
                      <w14:alpha w14:val="100000"/>
                    </w14:srgbClr>
                  </w14:solidFill>
                </w14:textFill>
              </w:rPr>
              <w:t>|</w:t>
            </w:r>
            <w:r w:rsidRPr="00683384">
              <w:rPr>
                <w:rFonts w:hint="eastAsia"/>
                <w:color w:val="000000"/>
                <w:spacing w:val="4"/>
                <w:w w:val="15"/>
                <w:shd w:val="solid" w:color="000000" w:fill="000000"/>
                <w:fitText w:val="70" w:id="-892700912"/>
                <w14:textFill>
                  <w14:solidFill>
                    <w14:srgbClr w14:val="000000">
                      <w14:alpha w14:val="100000"/>
                    </w14:srgbClr>
                  </w14:solidFill>
                </w14:textFill>
              </w:rPr>
              <w:t xml:space="preserve">　</w:t>
            </w:r>
            <w:r w:rsidR="006540D0" w:rsidRPr="00A96044">
              <w:rPr>
                <w:vertAlign w:val="superscript"/>
              </w:rPr>
              <w:t>4</w:t>
            </w:r>
          </w:p>
        </w:tc>
        <w:tc>
          <w:tcPr>
            <w:tcW w:w="555" w:type="pct"/>
            <w:shd w:val="clear" w:color="auto" w:fill="auto"/>
            <w:vAlign w:val="center"/>
          </w:tcPr>
          <w:p w14:paraId="790FC4ED" w14:textId="5D2C97CB" w:rsidR="00571FCA" w:rsidRPr="008D2AC7" w:rsidRDefault="00683384" w:rsidP="00F845EA">
            <w:pPr>
              <w:pStyle w:val="TableText0"/>
              <w:keepNext w:val="0"/>
              <w:jc w:val="center"/>
              <w:rPr>
                <w:rFonts w:cs="Arial"/>
                <w:bCs w:val="0"/>
                <w:color w:val="000000"/>
                <w:szCs w:val="20"/>
                <w:highlight w:val="lightGray"/>
              </w:rPr>
            </w:pPr>
            <w:r w:rsidRPr="00683384">
              <w:rPr>
                <w:rFonts w:hint="eastAsia"/>
                <w:color w:val="000000"/>
                <w:w w:val="15"/>
                <w:shd w:val="solid" w:color="000000" w:fill="000000"/>
                <w:fitText w:val="70" w:id="-892700928"/>
                <w14:textFill>
                  <w14:solidFill>
                    <w14:srgbClr w14:val="000000">
                      <w14:alpha w14:val="100000"/>
                    </w14:srgbClr>
                  </w14:solidFill>
                </w14:textFill>
              </w:rPr>
              <w:t xml:space="preserve">　</w:t>
            </w:r>
            <w:r w:rsidRPr="00683384">
              <w:rPr>
                <w:color w:val="000000"/>
                <w:w w:val="15"/>
                <w:shd w:val="solid" w:color="000000" w:fill="000000"/>
                <w:fitText w:val="70" w:id="-892700928"/>
                <w14:textFill>
                  <w14:solidFill>
                    <w14:srgbClr w14:val="000000">
                      <w14:alpha w14:val="100000"/>
                    </w14:srgbClr>
                  </w14:solidFill>
                </w14:textFill>
              </w:rPr>
              <w:t>|</w:t>
            </w:r>
            <w:r w:rsidRPr="00683384">
              <w:rPr>
                <w:rFonts w:hint="eastAsia"/>
                <w:color w:val="000000"/>
                <w:spacing w:val="4"/>
                <w:w w:val="15"/>
                <w:shd w:val="solid" w:color="000000" w:fill="000000"/>
                <w:fitText w:val="70" w:id="-892700928"/>
                <w14:textFill>
                  <w14:solidFill>
                    <w14:srgbClr w14:val="000000">
                      <w14:alpha w14:val="100000"/>
                    </w14:srgbClr>
                  </w14:solidFill>
                </w14:textFill>
              </w:rPr>
              <w:t xml:space="preserve">　</w:t>
            </w:r>
            <w:r w:rsidR="006540D0" w:rsidRPr="00A96044">
              <w:rPr>
                <w:vertAlign w:val="superscript"/>
              </w:rPr>
              <w:t>4</w:t>
            </w:r>
          </w:p>
        </w:tc>
        <w:tc>
          <w:tcPr>
            <w:tcW w:w="771" w:type="pct"/>
            <w:shd w:val="clear" w:color="auto" w:fill="auto"/>
            <w:vAlign w:val="center"/>
          </w:tcPr>
          <w:p w14:paraId="6D02B4A0" w14:textId="70C7E163" w:rsidR="00571FCA" w:rsidRPr="008D2AC7" w:rsidRDefault="00683384" w:rsidP="00F845EA">
            <w:pPr>
              <w:pStyle w:val="TableText0"/>
              <w:keepNext w:val="0"/>
              <w:jc w:val="center"/>
              <w:rPr>
                <w:rFonts w:cs="Arial"/>
                <w:bCs w:val="0"/>
                <w:color w:val="000000"/>
                <w:szCs w:val="20"/>
                <w:highlight w:val="lightGray"/>
              </w:rPr>
            </w:pPr>
            <w:r w:rsidRPr="00683384">
              <w:rPr>
                <w:color w:val="000000"/>
                <w:shd w:val="solid" w:color="000000" w:fill="000000"/>
                <w14:textFill>
                  <w14:solidFill>
                    <w14:srgbClr w14:val="000000">
                      <w14:alpha w14:val="100000"/>
                    </w14:srgbClr>
                  </w14:solidFill>
                </w14:textFill>
              </w:rPr>
              <w:t>|</w:t>
            </w:r>
            <w:r w:rsidR="006540D0" w:rsidRPr="00A96044">
              <w:rPr>
                <w:vertAlign w:val="superscript"/>
              </w:rPr>
              <w:t>4</w:t>
            </w:r>
          </w:p>
        </w:tc>
      </w:tr>
      <w:tr w:rsidR="00571FCA" w:rsidRPr="008217F1" w14:paraId="6EA65F92" w14:textId="77777777" w:rsidTr="259D127E">
        <w:tc>
          <w:tcPr>
            <w:tcW w:w="1456" w:type="pct"/>
            <w:shd w:val="clear" w:color="auto" w:fill="auto"/>
          </w:tcPr>
          <w:p w14:paraId="56069581" w14:textId="77777777" w:rsidR="00571FCA" w:rsidRPr="008217F1" w:rsidRDefault="00571FCA" w:rsidP="00F845EA">
            <w:pPr>
              <w:pStyle w:val="Tabletext"/>
            </w:pPr>
            <w:r w:rsidRPr="008217F1">
              <w:t>Patients – retreatment (50% retreated in year of relapse, 45% after 1 year and 5% after 2 years)</w:t>
            </w:r>
          </w:p>
        </w:tc>
        <w:tc>
          <w:tcPr>
            <w:tcW w:w="553" w:type="pct"/>
            <w:shd w:val="clear" w:color="auto" w:fill="auto"/>
            <w:vAlign w:val="center"/>
          </w:tcPr>
          <w:p w14:paraId="55A256D2" w14:textId="4C15F834" w:rsidR="00571FCA" w:rsidRPr="008D2AC7" w:rsidRDefault="00683384" w:rsidP="00F845EA">
            <w:pPr>
              <w:pStyle w:val="TableText0"/>
              <w:keepNext w:val="0"/>
              <w:jc w:val="center"/>
              <w:rPr>
                <w:highlight w:val="lightGray"/>
              </w:rPr>
            </w:pPr>
            <w:r w:rsidRPr="00683384">
              <w:rPr>
                <w:rFonts w:hint="eastAsia"/>
                <w:color w:val="000000"/>
                <w:w w:val="18"/>
                <w:shd w:val="solid" w:color="000000" w:fill="000000"/>
                <w:fitText w:val="80" w:id="-892700927"/>
                <w14:textFill>
                  <w14:solidFill>
                    <w14:srgbClr w14:val="000000">
                      <w14:alpha w14:val="100000"/>
                    </w14:srgbClr>
                  </w14:solidFill>
                </w14:textFill>
              </w:rPr>
              <w:t xml:space="preserve">　</w:t>
            </w:r>
            <w:r w:rsidRPr="00683384">
              <w:rPr>
                <w:color w:val="000000"/>
                <w:w w:val="18"/>
                <w:shd w:val="solid" w:color="000000" w:fill="000000"/>
                <w:fitText w:val="80" w:id="-892700927"/>
                <w14:textFill>
                  <w14:solidFill>
                    <w14:srgbClr w14:val="000000">
                      <w14:alpha w14:val="100000"/>
                    </w14:srgbClr>
                  </w14:solidFill>
                </w14:textFill>
              </w:rPr>
              <w:t>|</w:t>
            </w:r>
            <w:r w:rsidRPr="00683384">
              <w:rPr>
                <w:rFonts w:hint="eastAsia"/>
                <w:color w:val="000000"/>
                <w:w w:val="18"/>
                <w:shd w:val="solid" w:color="000000" w:fill="000000"/>
                <w:fitText w:val="80" w:id="-892700927"/>
                <w14:textFill>
                  <w14:solidFill>
                    <w14:srgbClr w14:val="000000">
                      <w14:alpha w14:val="100000"/>
                    </w14:srgbClr>
                  </w14:solidFill>
                </w14:textFill>
              </w:rPr>
              <w:t xml:space="preserve">　</w:t>
            </w:r>
            <w:r w:rsidR="006540D0" w:rsidRPr="00A96044">
              <w:rPr>
                <w:vertAlign w:val="superscript"/>
              </w:rPr>
              <w:t>4</w:t>
            </w:r>
          </w:p>
        </w:tc>
        <w:tc>
          <w:tcPr>
            <w:tcW w:w="555" w:type="pct"/>
            <w:shd w:val="clear" w:color="auto" w:fill="auto"/>
            <w:vAlign w:val="center"/>
          </w:tcPr>
          <w:p w14:paraId="4FE991C7" w14:textId="1978D3CA" w:rsidR="00571FCA" w:rsidRPr="008D2AC7" w:rsidRDefault="00683384" w:rsidP="00F845EA">
            <w:pPr>
              <w:pStyle w:val="TableText0"/>
              <w:keepNext w:val="0"/>
              <w:jc w:val="center"/>
              <w:rPr>
                <w:highlight w:val="lightGray"/>
              </w:rPr>
            </w:pPr>
            <w:r w:rsidRPr="00683384">
              <w:rPr>
                <w:rFonts w:hint="eastAsia"/>
                <w:color w:val="000000"/>
                <w:w w:val="15"/>
                <w:shd w:val="solid" w:color="000000" w:fill="000000"/>
                <w:fitText w:val="70" w:id="-892700926"/>
                <w14:textFill>
                  <w14:solidFill>
                    <w14:srgbClr w14:val="000000">
                      <w14:alpha w14:val="100000"/>
                    </w14:srgbClr>
                  </w14:solidFill>
                </w14:textFill>
              </w:rPr>
              <w:t xml:space="preserve">　</w:t>
            </w:r>
            <w:r w:rsidRPr="00683384">
              <w:rPr>
                <w:color w:val="000000"/>
                <w:w w:val="15"/>
                <w:shd w:val="solid" w:color="000000" w:fill="000000"/>
                <w:fitText w:val="70" w:id="-892700926"/>
                <w14:textFill>
                  <w14:solidFill>
                    <w14:srgbClr w14:val="000000">
                      <w14:alpha w14:val="100000"/>
                    </w14:srgbClr>
                  </w14:solidFill>
                </w14:textFill>
              </w:rPr>
              <w:t>|</w:t>
            </w:r>
            <w:r w:rsidRPr="00683384">
              <w:rPr>
                <w:rFonts w:hint="eastAsia"/>
                <w:color w:val="000000"/>
                <w:spacing w:val="4"/>
                <w:w w:val="15"/>
                <w:shd w:val="solid" w:color="000000" w:fill="000000"/>
                <w:fitText w:val="70" w:id="-892700926"/>
                <w14:textFill>
                  <w14:solidFill>
                    <w14:srgbClr w14:val="000000">
                      <w14:alpha w14:val="100000"/>
                    </w14:srgbClr>
                  </w14:solidFill>
                </w14:textFill>
              </w:rPr>
              <w:t xml:space="preserve">　</w:t>
            </w:r>
            <w:r w:rsidR="006540D0" w:rsidRPr="00A96044">
              <w:rPr>
                <w:vertAlign w:val="superscript"/>
              </w:rPr>
              <w:t>4</w:t>
            </w:r>
          </w:p>
        </w:tc>
        <w:tc>
          <w:tcPr>
            <w:tcW w:w="555" w:type="pct"/>
            <w:shd w:val="clear" w:color="auto" w:fill="auto"/>
            <w:vAlign w:val="center"/>
          </w:tcPr>
          <w:p w14:paraId="4E8A50D0" w14:textId="5F5B7AD8" w:rsidR="00571FCA" w:rsidRPr="008D2AC7" w:rsidRDefault="00683384" w:rsidP="00F845EA">
            <w:pPr>
              <w:pStyle w:val="TableText0"/>
              <w:keepNext w:val="0"/>
              <w:jc w:val="center"/>
              <w:rPr>
                <w:highlight w:val="lightGray"/>
              </w:rPr>
            </w:pPr>
            <w:r w:rsidRPr="00683384">
              <w:rPr>
                <w:rFonts w:hint="eastAsia"/>
                <w:color w:val="000000"/>
                <w:w w:val="15"/>
                <w:shd w:val="solid" w:color="000000" w:fill="000000"/>
                <w:fitText w:val="70" w:id="-892700925"/>
                <w14:textFill>
                  <w14:solidFill>
                    <w14:srgbClr w14:val="000000">
                      <w14:alpha w14:val="100000"/>
                    </w14:srgbClr>
                  </w14:solidFill>
                </w14:textFill>
              </w:rPr>
              <w:t xml:space="preserve">　</w:t>
            </w:r>
            <w:r w:rsidRPr="00683384">
              <w:rPr>
                <w:color w:val="000000"/>
                <w:w w:val="15"/>
                <w:shd w:val="solid" w:color="000000" w:fill="000000"/>
                <w:fitText w:val="70" w:id="-892700925"/>
                <w14:textFill>
                  <w14:solidFill>
                    <w14:srgbClr w14:val="000000">
                      <w14:alpha w14:val="100000"/>
                    </w14:srgbClr>
                  </w14:solidFill>
                </w14:textFill>
              </w:rPr>
              <w:t>|</w:t>
            </w:r>
            <w:r w:rsidRPr="00683384">
              <w:rPr>
                <w:rFonts w:hint="eastAsia"/>
                <w:color w:val="000000"/>
                <w:spacing w:val="4"/>
                <w:w w:val="15"/>
                <w:shd w:val="solid" w:color="000000" w:fill="000000"/>
                <w:fitText w:val="70" w:id="-892700925"/>
                <w14:textFill>
                  <w14:solidFill>
                    <w14:srgbClr w14:val="000000">
                      <w14:alpha w14:val="100000"/>
                    </w14:srgbClr>
                  </w14:solidFill>
                </w14:textFill>
              </w:rPr>
              <w:t xml:space="preserve">　</w:t>
            </w:r>
            <w:r w:rsidR="006540D0" w:rsidRPr="00A96044">
              <w:rPr>
                <w:vertAlign w:val="superscript"/>
              </w:rPr>
              <w:t>4</w:t>
            </w:r>
          </w:p>
        </w:tc>
        <w:tc>
          <w:tcPr>
            <w:tcW w:w="555" w:type="pct"/>
            <w:shd w:val="clear" w:color="auto" w:fill="auto"/>
            <w:vAlign w:val="center"/>
          </w:tcPr>
          <w:p w14:paraId="2B4B2D61" w14:textId="2F5178E2" w:rsidR="00571FCA" w:rsidRPr="008D2AC7" w:rsidRDefault="00683384" w:rsidP="00F845EA">
            <w:pPr>
              <w:pStyle w:val="TableText0"/>
              <w:keepNext w:val="0"/>
              <w:jc w:val="center"/>
              <w:rPr>
                <w:highlight w:val="lightGray"/>
              </w:rPr>
            </w:pPr>
            <w:r w:rsidRPr="00683384">
              <w:rPr>
                <w:rFonts w:hint="eastAsia"/>
                <w:color w:val="000000"/>
                <w:w w:val="15"/>
                <w:shd w:val="solid" w:color="000000" w:fill="000000"/>
                <w:fitText w:val="70" w:id="-892700924"/>
                <w14:textFill>
                  <w14:solidFill>
                    <w14:srgbClr w14:val="000000">
                      <w14:alpha w14:val="100000"/>
                    </w14:srgbClr>
                  </w14:solidFill>
                </w14:textFill>
              </w:rPr>
              <w:t xml:space="preserve">　</w:t>
            </w:r>
            <w:r w:rsidRPr="00683384">
              <w:rPr>
                <w:color w:val="000000"/>
                <w:w w:val="15"/>
                <w:shd w:val="solid" w:color="000000" w:fill="000000"/>
                <w:fitText w:val="70" w:id="-892700924"/>
                <w14:textFill>
                  <w14:solidFill>
                    <w14:srgbClr w14:val="000000">
                      <w14:alpha w14:val="100000"/>
                    </w14:srgbClr>
                  </w14:solidFill>
                </w14:textFill>
              </w:rPr>
              <w:t>|</w:t>
            </w:r>
            <w:r w:rsidRPr="00683384">
              <w:rPr>
                <w:rFonts w:hint="eastAsia"/>
                <w:color w:val="000000"/>
                <w:spacing w:val="4"/>
                <w:w w:val="15"/>
                <w:shd w:val="solid" w:color="000000" w:fill="000000"/>
                <w:fitText w:val="70" w:id="-892700924"/>
                <w14:textFill>
                  <w14:solidFill>
                    <w14:srgbClr w14:val="000000">
                      <w14:alpha w14:val="100000"/>
                    </w14:srgbClr>
                  </w14:solidFill>
                </w14:textFill>
              </w:rPr>
              <w:t xml:space="preserve">　</w:t>
            </w:r>
            <w:r w:rsidR="006540D0" w:rsidRPr="00A96044">
              <w:rPr>
                <w:vertAlign w:val="superscript"/>
              </w:rPr>
              <w:t>4</w:t>
            </w:r>
          </w:p>
        </w:tc>
        <w:tc>
          <w:tcPr>
            <w:tcW w:w="555" w:type="pct"/>
            <w:shd w:val="clear" w:color="auto" w:fill="auto"/>
            <w:vAlign w:val="center"/>
          </w:tcPr>
          <w:p w14:paraId="7E18B8B4" w14:textId="7F172E3F" w:rsidR="00571FCA" w:rsidRPr="008D2AC7" w:rsidRDefault="00683384" w:rsidP="00F845EA">
            <w:pPr>
              <w:pStyle w:val="TableText0"/>
              <w:keepNext w:val="0"/>
              <w:jc w:val="center"/>
              <w:rPr>
                <w:highlight w:val="lightGray"/>
              </w:rPr>
            </w:pPr>
            <w:r w:rsidRPr="00683384">
              <w:rPr>
                <w:rFonts w:hint="eastAsia"/>
                <w:color w:val="000000"/>
                <w:w w:val="15"/>
                <w:shd w:val="solid" w:color="000000" w:fill="000000"/>
                <w:fitText w:val="70" w:id="-892700923"/>
                <w14:textFill>
                  <w14:solidFill>
                    <w14:srgbClr w14:val="000000">
                      <w14:alpha w14:val="100000"/>
                    </w14:srgbClr>
                  </w14:solidFill>
                </w14:textFill>
              </w:rPr>
              <w:t xml:space="preserve">　</w:t>
            </w:r>
            <w:r w:rsidRPr="00683384">
              <w:rPr>
                <w:color w:val="000000"/>
                <w:w w:val="15"/>
                <w:shd w:val="solid" w:color="000000" w:fill="000000"/>
                <w:fitText w:val="70" w:id="-892700923"/>
                <w14:textFill>
                  <w14:solidFill>
                    <w14:srgbClr w14:val="000000">
                      <w14:alpha w14:val="100000"/>
                    </w14:srgbClr>
                  </w14:solidFill>
                </w14:textFill>
              </w:rPr>
              <w:t>|</w:t>
            </w:r>
            <w:r w:rsidRPr="00683384">
              <w:rPr>
                <w:rFonts w:hint="eastAsia"/>
                <w:color w:val="000000"/>
                <w:spacing w:val="4"/>
                <w:w w:val="15"/>
                <w:shd w:val="solid" w:color="000000" w:fill="000000"/>
                <w:fitText w:val="70" w:id="-892700923"/>
                <w14:textFill>
                  <w14:solidFill>
                    <w14:srgbClr w14:val="000000">
                      <w14:alpha w14:val="100000"/>
                    </w14:srgbClr>
                  </w14:solidFill>
                </w14:textFill>
              </w:rPr>
              <w:t xml:space="preserve">　</w:t>
            </w:r>
            <w:r w:rsidR="006540D0" w:rsidRPr="00A96044">
              <w:rPr>
                <w:vertAlign w:val="superscript"/>
              </w:rPr>
              <w:t>4</w:t>
            </w:r>
          </w:p>
        </w:tc>
        <w:tc>
          <w:tcPr>
            <w:tcW w:w="771" w:type="pct"/>
            <w:shd w:val="clear" w:color="auto" w:fill="auto"/>
            <w:vAlign w:val="center"/>
          </w:tcPr>
          <w:p w14:paraId="1572C2C3" w14:textId="0F14DA4F" w:rsidR="00571FCA" w:rsidRPr="008D2AC7" w:rsidRDefault="00683384" w:rsidP="00F845EA">
            <w:pPr>
              <w:pStyle w:val="TableText0"/>
              <w:keepNext w:val="0"/>
              <w:jc w:val="center"/>
              <w:rPr>
                <w:highlight w:val="lightGray"/>
              </w:rPr>
            </w:pPr>
            <w:r w:rsidRPr="00683384">
              <w:rPr>
                <w:color w:val="000000"/>
                <w:shd w:val="solid" w:color="000000" w:fill="000000"/>
                <w14:textFill>
                  <w14:solidFill>
                    <w14:srgbClr w14:val="000000">
                      <w14:alpha w14:val="100000"/>
                    </w14:srgbClr>
                  </w14:solidFill>
                </w14:textFill>
              </w:rPr>
              <w:t>|</w:t>
            </w:r>
            <w:r w:rsidR="006540D0" w:rsidRPr="00A96044">
              <w:rPr>
                <w:vertAlign w:val="superscript"/>
              </w:rPr>
              <w:t>4</w:t>
            </w:r>
          </w:p>
        </w:tc>
      </w:tr>
      <w:tr w:rsidR="00571FCA" w:rsidRPr="008217F1" w14:paraId="0C868522" w14:textId="77777777" w:rsidTr="259D127E">
        <w:tc>
          <w:tcPr>
            <w:tcW w:w="1456" w:type="pct"/>
            <w:shd w:val="clear" w:color="auto" w:fill="auto"/>
          </w:tcPr>
          <w:p w14:paraId="6DC354EE" w14:textId="77777777" w:rsidR="00571FCA" w:rsidRPr="008217F1" w:rsidRDefault="00571FCA" w:rsidP="00F845EA">
            <w:pPr>
              <w:pStyle w:val="Tabletext"/>
              <w:rPr>
                <w:b/>
                <w:bCs/>
              </w:rPr>
            </w:pPr>
            <w:r w:rsidRPr="008217F1">
              <w:rPr>
                <w:b/>
                <w:bCs/>
              </w:rPr>
              <w:t>Total esketamine treated patients</w:t>
            </w:r>
          </w:p>
        </w:tc>
        <w:tc>
          <w:tcPr>
            <w:tcW w:w="553" w:type="pct"/>
            <w:shd w:val="clear" w:color="auto" w:fill="auto"/>
          </w:tcPr>
          <w:p w14:paraId="799E1961" w14:textId="63D2E593" w:rsidR="00571FCA" w:rsidRPr="008217F1" w:rsidRDefault="00683384" w:rsidP="00F845EA">
            <w:pPr>
              <w:pStyle w:val="Tabletext"/>
              <w:jc w:val="center"/>
              <w:rPr>
                <w:b/>
                <w:bCs/>
                <w:vertAlign w:val="superscript"/>
              </w:rPr>
            </w:pPr>
            <w:r w:rsidRPr="00683384">
              <w:rPr>
                <w:b/>
                <w:bCs/>
                <w:color w:val="000000"/>
                <w:spacing w:val="98"/>
                <w:shd w:val="solid" w:color="000000" w:fill="000000"/>
                <w:fitText w:val="190" w:id="-892700922"/>
                <w14:textFill>
                  <w14:solidFill>
                    <w14:srgbClr w14:val="000000">
                      <w14:alpha w14:val="100000"/>
                    </w14:srgbClr>
                  </w14:solidFill>
                </w14:textFill>
              </w:rPr>
              <w:t>|</w:t>
            </w:r>
            <w:r w:rsidRPr="00683384">
              <w:rPr>
                <w:b/>
                <w:bCs/>
                <w:color w:val="000000"/>
                <w:spacing w:val="1"/>
                <w:shd w:val="solid" w:color="000000" w:fill="000000"/>
                <w:fitText w:val="190" w:id="-892700922"/>
                <w14:textFill>
                  <w14:solidFill>
                    <w14:srgbClr w14:val="000000">
                      <w14:alpha w14:val="100000"/>
                    </w14:srgbClr>
                  </w14:solidFill>
                </w14:textFill>
              </w:rPr>
              <w:t>|</w:t>
            </w:r>
            <w:r w:rsidR="006540D0" w:rsidRPr="00A96044">
              <w:rPr>
                <w:vertAlign w:val="superscript"/>
              </w:rPr>
              <w:t>4</w:t>
            </w:r>
            <w:r w:rsidR="00571FCA" w:rsidRPr="00C02288">
              <w:rPr>
                <w:b/>
                <w:bCs/>
                <w:vertAlign w:val="superscript"/>
              </w:rPr>
              <w:t xml:space="preserve"> </w:t>
            </w:r>
            <w:r w:rsidR="00C02288" w:rsidRPr="00C02288">
              <w:rPr>
                <w:b/>
                <w:bCs/>
                <w:vertAlign w:val="superscript"/>
              </w:rPr>
              <w:t>d</w:t>
            </w:r>
          </w:p>
        </w:tc>
        <w:tc>
          <w:tcPr>
            <w:tcW w:w="555" w:type="pct"/>
            <w:shd w:val="clear" w:color="auto" w:fill="auto"/>
          </w:tcPr>
          <w:p w14:paraId="4140A63C" w14:textId="2E6E6AE3" w:rsidR="00571FCA" w:rsidRPr="008D2AC7" w:rsidRDefault="00683384" w:rsidP="00F845EA">
            <w:pPr>
              <w:pStyle w:val="Tabletext"/>
              <w:jc w:val="center"/>
              <w:rPr>
                <w:b/>
                <w:bCs/>
                <w:highlight w:val="lightGray"/>
              </w:rPr>
            </w:pPr>
            <w:r w:rsidRPr="00683384">
              <w:rPr>
                <w:rFonts w:hint="eastAsia"/>
                <w:b/>
                <w:bCs/>
                <w:color w:val="000000"/>
                <w:w w:val="26"/>
                <w:shd w:val="solid" w:color="000000" w:fill="000000"/>
                <w:fitText w:val="120" w:id="-892700921"/>
                <w14:textFill>
                  <w14:solidFill>
                    <w14:srgbClr w14:val="000000">
                      <w14:alpha w14:val="100000"/>
                    </w14:srgbClr>
                  </w14:solidFill>
                </w14:textFill>
              </w:rPr>
              <w:t xml:space="preserve">　</w:t>
            </w:r>
            <w:r w:rsidRPr="00683384">
              <w:rPr>
                <w:b/>
                <w:bCs/>
                <w:color w:val="000000"/>
                <w:w w:val="26"/>
                <w:shd w:val="solid" w:color="000000" w:fill="000000"/>
                <w:fitText w:val="120" w:id="-892700921"/>
                <w14:textFill>
                  <w14:solidFill>
                    <w14:srgbClr w14:val="000000">
                      <w14:alpha w14:val="100000"/>
                    </w14:srgbClr>
                  </w14:solidFill>
                </w14:textFill>
              </w:rPr>
              <w:t>|</w:t>
            </w:r>
            <w:r w:rsidRPr="00683384">
              <w:rPr>
                <w:rFonts w:hint="eastAsia"/>
                <w:b/>
                <w:bCs/>
                <w:color w:val="000000"/>
                <w:spacing w:val="4"/>
                <w:w w:val="26"/>
                <w:shd w:val="solid" w:color="000000" w:fill="000000"/>
                <w:fitText w:val="120" w:id="-892700921"/>
                <w14:textFill>
                  <w14:solidFill>
                    <w14:srgbClr w14:val="000000">
                      <w14:alpha w14:val="100000"/>
                    </w14:srgbClr>
                  </w14:solidFill>
                </w14:textFill>
              </w:rPr>
              <w:t xml:space="preserve">　</w:t>
            </w:r>
            <w:r w:rsidR="006540D0" w:rsidRPr="00A96044">
              <w:rPr>
                <w:vertAlign w:val="superscript"/>
              </w:rPr>
              <w:t>5</w:t>
            </w:r>
          </w:p>
        </w:tc>
        <w:tc>
          <w:tcPr>
            <w:tcW w:w="555" w:type="pct"/>
            <w:shd w:val="clear" w:color="auto" w:fill="auto"/>
          </w:tcPr>
          <w:p w14:paraId="68361958" w14:textId="69C00F07" w:rsidR="00571FCA" w:rsidRPr="008D2AC7" w:rsidRDefault="00683384" w:rsidP="00F845EA">
            <w:pPr>
              <w:pStyle w:val="Tabletext"/>
              <w:jc w:val="center"/>
              <w:rPr>
                <w:b/>
                <w:bCs/>
                <w:highlight w:val="lightGray"/>
              </w:rPr>
            </w:pPr>
            <w:r w:rsidRPr="00683384">
              <w:rPr>
                <w:rFonts w:hint="eastAsia"/>
                <w:b/>
                <w:bCs/>
                <w:color w:val="000000"/>
                <w:w w:val="26"/>
                <w:shd w:val="solid" w:color="000000" w:fill="000000"/>
                <w:fitText w:val="120" w:id="-892700920"/>
                <w14:textFill>
                  <w14:solidFill>
                    <w14:srgbClr w14:val="000000">
                      <w14:alpha w14:val="100000"/>
                    </w14:srgbClr>
                  </w14:solidFill>
                </w14:textFill>
              </w:rPr>
              <w:t xml:space="preserve">　</w:t>
            </w:r>
            <w:r w:rsidRPr="00683384">
              <w:rPr>
                <w:b/>
                <w:bCs/>
                <w:color w:val="000000"/>
                <w:w w:val="26"/>
                <w:shd w:val="solid" w:color="000000" w:fill="000000"/>
                <w:fitText w:val="120" w:id="-892700920"/>
                <w14:textFill>
                  <w14:solidFill>
                    <w14:srgbClr w14:val="000000">
                      <w14:alpha w14:val="100000"/>
                    </w14:srgbClr>
                  </w14:solidFill>
                </w14:textFill>
              </w:rPr>
              <w:t>|</w:t>
            </w:r>
            <w:r w:rsidRPr="00683384">
              <w:rPr>
                <w:rFonts w:hint="eastAsia"/>
                <w:b/>
                <w:bCs/>
                <w:color w:val="000000"/>
                <w:spacing w:val="4"/>
                <w:w w:val="26"/>
                <w:shd w:val="solid" w:color="000000" w:fill="000000"/>
                <w:fitText w:val="120" w:id="-892700920"/>
                <w14:textFill>
                  <w14:solidFill>
                    <w14:srgbClr w14:val="000000">
                      <w14:alpha w14:val="100000"/>
                    </w14:srgbClr>
                  </w14:solidFill>
                </w14:textFill>
              </w:rPr>
              <w:t xml:space="preserve">　</w:t>
            </w:r>
            <w:r w:rsidR="006540D0" w:rsidRPr="00A96044">
              <w:rPr>
                <w:vertAlign w:val="superscript"/>
              </w:rPr>
              <w:t>5</w:t>
            </w:r>
          </w:p>
        </w:tc>
        <w:tc>
          <w:tcPr>
            <w:tcW w:w="555" w:type="pct"/>
            <w:shd w:val="clear" w:color="auto" w:fill="auto"/>
          </w:tcPr>
          <w:p w14:paraId="7E774518" w14:textId="24267DCE" w:rsidR="00571FCA" w:rsidRPr="008D2AC7" w:rsidRDefault="00683384" w:rsidP="00F845EA">
            <w:pPr>
              <w:pStyle w:val="Tabletext"/>
              <w:jc w:val="center"/>
              <w:rPr>
                <w:b/>
                <w:bCs/>
                <w:highlight w:val="lightGray"/>
              </w:rPr>
            </w:pPr>
            <w:r w:rsidRPr="00683384">
              <w:rPr>
                <w:rFonts w:hint="eastAsia"/>
                <w:b/>
                <w:bCs/>
                <w:color w:val="000000"/>
                <w:w w:val="26"/>
                <w:shd w:val="solid" w:color="000000" w:fill="000000"/>
                <w:fitText w:val="120" w:id="-892700919"/>
                <w14:textFill>
                  <w14:solidFill>
                    <w14:srgbClr w14:val="000000">
                      <w14:alpha w14:val="100000"/>
                    </w14:srgbClr>
                  </w14:solidFill>
                </w14:textFill>
              </w:rPr>
              <w:t xml:space="preserve">　</w:t>
            </w:r>
            <w:r w:rsidRPr="00683384">
              <w:rPr>
                <w:b/>
                <w:bCs/>
                <w:color w:val="000000"/>
                <w:w w:val="26"/>
                <w:shd w:val="solid" w:color="000000" w:fill="000000"/>
                <w:fitText w:val="120" w:id="-892700919"/>
                <w14:textFill>
                  <w14:solidFill>
                    <w14:srgbClr w14:val="000000">
                      <w14:alpha w14:val="100000"/>
                    </w14:srgbClr>
                  </w14:solidFill>
                </w14:textFill>
              </w:rPr>
              <w:t>|</w:t>
            </w:r>
            <w:r w:rsidRPr="00683384">
              <w:rPr>
                <w:rFonts w:hint="eastAsia"/>
                <w:b/>
                <w:bCs/>
                <w:color w:val="000000"/>
                <w:spacing w:val="4"/>
                <w:w w:val="26"/>
                <w:shd w:val="solid" w:color="000000" w:fill="000000"/>
                <w:fitText w:val="120" w:id="-892700919"/>
                <w14:textFill>
                  <w14:solidFill>
                    <w14:srgbClr w14:val="000000">
                      <w14:alpha w14:val="100000"/>
                    </w14:srgbClr>
                  </w14:solidFill>
                </w14:textFill>
              </w:rPr>
              <w:t xml:space="preserve">　</w:t>
            </w:r>
            <w:r w:rsidR="006540D0" w:rsidRPr="00A96044">
              <w:rPr>
                <w:vertAlign w:val="superscript"/>
              </w:rPr>
              <w:t>5</w:t>
            </w:r>
          </w:p>
        </w:tc>
        <w:tc>
          <w:tcPr>
            <w:tcW w:w="555" w:type="pct"/>
            <w:shd w:val="clear" w:color="auto" w:fill="auto"/>
          </w:tcPr>
          <w:p w14:paraId="40A29AC9" w14:textId="414ACE81" w:rsidR="00571FCA" w:rsidRPr="008D2AC7" w:rsidRDefault="00683384" w:rsidP="00F845EA">
            <w:pPr>
              <w:pStyle w:val="Tabletext"/>
              <w:jc w:val="center"/>
              <w:rPr>
                <w:b/>
                <w:bCs/>
                <w:highlight w:val="lightGray"/>
              </w:rPr>
            </w:pPr>
            <w:r w:rsidRPr="00683384">
              <w:rPr>
                <w:rFonts w:hint="eastAsia"/>
                <w:b/>
                <w:bCs/>
                <w:color w:val="000000"/>
                <w:w w:val="26"/>
                <w:shd w:val="solid" w:color="000000" w:fill="000000"/>
                <w:fitText w:val="120" w:id="-892700918"/>
                <w14:textFill>
                  <w14:solidFill>
                    <w14:srgbClr w14:val="000000">
                      <w14:alpha w14:val="100000"/>
                    </w14:srgbClr>
                  </w14:solidFill>
                </w14:textFill>
              </w:rPr>
              <w:t xml:space="preserve">　</w:t>
            </w:r>
            <w:r w:rsidRPr="00683384">
              <w:rPr>
                <w:b/>
                <w:bCs/>
                <w:color w:val="000000"/>
                <w:w w:val="26"/>
                <w:shd w:val="solid" w:color="000000" w:fill="000000"/>
                <w:fitText w:val="120" w:id="-892700918"/>
                <w14:textFill>
                  <w14:solidFill>
                    <w14:srgbClr w14:val="000000">
                      <w14:alpha w14:val="100000"/>
                    </w14:srgbClr>
                  </w14:solidFill>
                </w14:textFill>
              </w:rPr>
              <w:t>|</w:t>
            </w:r>
            <w:r w:rsidRPr="00683384">
              <w:rPr>
                <w:rFonts w:hint="eastAsia"/>
                <w:b/>
                <w:bCs/>
                <w:color w:val="000000"/>
                <w:spacing w:val="4"/>
                <w:w w:val="26"/>
                <w:shd w:val="solid" w:color="000000" w:fill="000000"/>
                <w:fitText w:val="120" w:id="-892700918"/>
                <w14:textFill>
                  <w14:solidFill>
                    <w14:srgbClr w14:val="000000">
                      <w14:alpha w14:val="100000"/>
                    </w14:srgbClr>
                  </w14:solidFill>
                </w14:textFill>
              </w:rPr>
              <w:t xml:space="preserve">　</w:t>
            </w:r>
            <w:r w:rsidR="006540D0" w:rsidRPr="00A96044">
              <w:rPr>
                <w:vertAlign w:val="superscript"/>
              </w:rPr>
              <w:t>5</w:t>
            </w:r>
          </w:p>
        </w:tc>
        <w:tc>
          <w:tcPr>
            <w:tcW w:w="771" w:type="pct"/>
            <w:shd w:val="clear" w:color="auto" w:fill="auto"/>
          </w:tcPr>
          <w:p w14:paraId="3918EE9B" w14:textId="32FCAD0E" w:rsidR="00571FCA" w:rsidRPr="008D2AC7" w:rsidRDefault="00683384" w:rsidP="00F845EA">
            <w:pPr>
              <w:pStyle w:val="Tabletext"/>
              <w:jc w:val="center"/>
              <w:rPr>
                <w:b/>
                <w:bCs/>
                <w:highlight w:val="lightGray"/>
              </w:rPr>
            </w:pPr>
            <w:r w:rsidRPr="00683384">
              <w:rPr>
                <w:b/>
                <w:bCs/>
                <w:color w:val="000000"/>
                <w:shd w:val="solid" w:color="000000" w:fill="000000"/>
                <w14:textFill>
                  <w14:solidFill>
                    <w14:srgbClr w14:val="000000">
                      <w14:alpha w14:val="100000"/>
                    </w14:srgbClr>
                  </w14:solidFill>
                </w14:textFill>
              </w:rPr>
              <w:t>|</w:t>
            </w:r>
            <w:r w:rsidR="006540D0" w:rsidRPr="00A96044">
              <w:rPr>
                <w:vertAlign w:val="superscript"/>
              </w:rPr>
              <w:t>3</w:t>
            </w:r>
          </w:p>
        </w:tc>
      </w:tr>
    </w:tbl>
    <w:p w14:paraId="2D754108" w14:textId="0DC30109" w:rsidR="00571FCA" w:rsidRPr="008217F1" w:rsidRDefault="00571FCA" w:rsidP="00571FCA">
      <w:pPr>
        <w:pStyle w:val="COMTablefooter"/>
      </w:pPr>
      <w:r w:rsidRPr="008217F1">
        <w:rPr>
          <w:rStyle w:val="normaltextrun"/>
        </w:rPr>
        <w:t>Source: Table 4-3 Table 4-4; of the resubmission</w:t>
      </w:r>
    </w:p>
    <w:p w14:paraId="16A4FA4C" w14:textId="60B823AA" w:rsidR="00A60C7B" w:rsidRPr="00A60C7B" w:rsidRDefault="00C02288" w:rsidP="00571FCA">
      <w:pPr>
        <w:pStyle w:val="COMTablefooter"/>
      </w:pPr>
      <w:r>
        <w:rPr>
          <w:rStyle w:val="normaltextrun"/>
          <w:vertAlign w:val="superscript"/>
        </w:rPr>
        <w:t>a</w:t>
      </w:r>
      <w:r w:rsidR="00571FCA" w:rsidRPr="008217F1">
        <w:rPr>
          <w:rStyle w:val="normaltextrun"/>
        </w:rPr>
        <w:t xml:space="preserve"> Based on the 100% PBS sample estimated to have TRD based on prior antidepressant scripts, with a logarithmic function applied to extrapolate growth rate per annum.</w:t>
      </w:r>
    </w:p>
    <w:p w14:paraId="7C8EFBE1" w14:textId="1728011A" w:rsidR="00571FCA" w:rsidRPr="008217F1" w:rsidRDefault="00C02288" w:rsidP="00571FCA">
      <w:pPr>
        <w:pStyle w:val="COMTablefooter"/>
        <w:rPr>
          <w:rStyle w:val="normaltextrun"/>
        </w:rPr>
      </w:pPr>
      <w:r>
        <w:rPr>
          <w:rStyle w:val="normaltextrun"/>
          <w:vertAlign w:val="superscript"/>
        </w:rPr>
        <w:t>b</w:t>
      </w:r>
      <w:r w:rsidR="00571FCA" w:rsidRPr="385B995D">
        <w:rPr>
          <w:rStyle w:val="normaltextrun"/>
        </w:rPr>
        <w:t xml:space="preserve"> Excluding </w:t>
      </w:r>
      <w:r>
        <w:rPr>
          <w:rStyle w:val="normaltextrun"/>
        </w:rPr>
        <w:t xml:space="preserve">&lt; 500 </w:t>
      </w:r>
      <w:r w:rsidR="00571FCA" w:rsidRPr="385B995D">
        <w:rPr>
          <w:rStyle w:val="normaltextrun"/>
        </w:rPr>
        <w:t>grandfathered patients in Year 1 of listing, for whom uptake was calculated separately and assumed to be 100%</w:t>
      </w:r>
    </w:p>
    <w:p w14:paraId="1461DEC7" w14:textId="1B3538DB" w:rsidR="00571FCA" w:rsidRPr="008217F1" w:rsidRDefault="00C02288" w:rsidP="00571FCA">
      <w:pPr>
        <w:pStyle w:val="COMTablefooter"/>
        <w:rPr>
          <w:rStyle w:val="normaltextrun"/>
        </w:rPr>
      </w:pPr>
      <w:r>
        <w:rPr>
          <w:rStyle w:val="normaltextrun"/>
          <w:vertAlign w:val="superscript"/>
        </w:rPr>
        <w:t>c</w:t>
      </w:r>
      <w:r w:rsidR="00571FCA" w:rsidRPr="008217F1">
        <w:rPr>
          <w:rStyle w:val="normaltextrun"/>
          <w:vertAlign w:val="superscript"/>
        </w:rPr>
        <w:t xml:space="preserve"> </w:t>
      </w:r>
      <w:r w:rsidR="00571FCA" w:rsidRPr="008217F1">
        <w:rPr>
          <w:rStyle w:val="normaltextrun"/>
        </w:rPr>
        <w:t xml:space="preserve">Patients who did not relapse in year 1 of treatment remain at risk of relapse in subsequent years (i.e. 50.56% of patients in Year 1 relapse, of the remaining 49.44% of patients, 50.56% relapse in their second year, and so on). </w:t>
      </w:r>
    </w:p>
    <w:p w14:paraId="048E6AFD" w14:textId="671BF881" w:rsidR="00571FCA" w:rsidRDefault="00C02288" w:rsidP="00C53C5A">
      <w:pPr>
        <w:pStyle w:val="COMTablefooter"/>
        <w:spacing w:after="0"/>
        <w:rPr>
          <w:rStyle w:val="normaltextrun"/>
        </w:rPr>
      </w:pPr>
      <w:r>
        <w:rPr>
          <w:rStyle w:val="normaltextrun"/>
          <w:vertAlign w:val="superscript"/>
        </w:rPr>
        <w:t>d</w:t>
      </w:r>
      <w:r w:rsidR="00571FCA" w:rsidRPr="385B995D">
        <w:rPr>
          <w:rStyle w:val="normaltextrun"/>
        </w:rPr>
        <w:t xml:space="preserve"> Including </w:t>
      </w:r>
      <w:r>
        <w:rPr>
          <w:rStyle w:val="normaltextrun"/>
        </w:rPr>
        <w:t>&lt; 500</w:t>
      </w:r>
      <w:r w:rsidR="00571FCA" w:rsidRPr="385B995D">
        <w:rPr>
          <w:rStyle w:val="normaltextrun"/>
        </w:rPr>
        <w:t xml:space="preserve"> grandfathered patients. </w:t>
      </w:r>
    </w:p>
    <w:p w14:paraId="78EC0211" w14:textId="77777777" w:rsidR="00445AA3" w:rsidRPr="00A96044" w:rsidRDefault="00445AA3" w:rsidP="00445AA3">
      <w:pPr>
        <w:pStyle w:val="TableFigureFooter"/>
        <w:rPr>
          <w:rStyle w:val="eop"/>
          <w:i/>
          <w:iCs/>
        </w:rPr>
      </w:pPr>
      <w:r w:rsidRPr="00A96044">
        <w:rPr>
          <w:rStyle w:val="eop"/>
          <w:i/>
          <w:iCs/>
        </w:rPr>
        <w:t>The redacted values correspond to the following ranges:</w:t>
      </w:r>
    </w:p>
    <w:p w14:paraId="1118433C" w14:textId="77777777" w:rsidR="00445AA3" w:rsidRPr="00A96044" w:rsidRDefault="00445AA3" w:rsidP="00445AA3">
      <w:pPr>
        <w:pStyle w:val="TableFigureFooter"/>
        <w:rPr>
          <w:rStyle w:val="eop"/>
          <w:i/>
          <w:iCs/>
        </w:rPr>
      </w:pPr>
      <w:r w:rsidRPr="00A96044">
        <w:rPr>
          <w:rStyle w:val="eop"/>
          <w:i/>
          <w:iCs/>
          <w:vertAlign w:val="superscript"/>
        </w:rPr>
        <w:t>1</w:t>
      </w:r>
      <w:r w:rsidRPr="00A96044">
        <w:rPr>
          <w:rStyle w:val="eop"/>
          <w:i/>
          <w:iCs/>
        </w:rPr>
        <w:t xml:space="preserve"> 50,000 to &lt; 60,000</w:t>
      </w:r>
    </w:p>
    <w:p w14:paraId="6AD80E6A" w14:textId="77777777" w:rsidR="00445AA3" w:rsidRPr="00A96044" w:rsidRDefault="00445AA3" w:rsidP="00445AA3">
      <w:pPr>
        <w:pStyle w:val="TableFigureFooter"/>
        <w:rPr>
          <w:rStyle w:val="eop"/>
          <w:i/>
          <w:iCs/>
        </w:rPr>
      </w:pPr>
      <w:r w:rsidRPr="00A96044">
        <w:rPr>
          <w:rStyle w:val="eop"/>
          <w:i/>
          <w:iCs/>
          <w:vertAlign w:val="superscript"/>
        </w:rPr>
        <w:t>2</w:t>
      </w:r>
      <w:r w:rsidRPr="00A96044">
        <w:rPr>
          <w:rStyle w:val="eop"/>
          <w:i/>
          <w:iCs/>
        </w:rPr>
        <w:t xml:space="preserve"> 60,000 to &lt; 70,000</w:t>
      </w:r>
    </w:p>
    <w:p w14:paraId="7DADEC7E" w14:textId="77777777" w:rsidR="00445AA3" w:rsidRPr="00A96044" w:rsidRDefault="00445AA3" w:rsidP="00445AA3">
      <w:pPr>
        <w:pStyle w:val="TableFigureFooter"/>
        <w:rPr>
          <w:rStyle w:val="eop"/>
          <w:i/>
          <w:iCs/>
        </w:rPr>
      </w:pPr>
      <w:r w:rsidRPr="00A96044">
        <w:rPr>
          <w:rStyle w:val="eop"/>
          <w:i/>
          <w:iCs/>
          <w:vertAlign w:val="superscript"/>
        </w:rPr>
        <w:t>3</w:t>
      </w:r>
      <w:r w:rsidRPr="00A96044">
        <w:rPr>
          <w:rStyle w:val="eop"/>
          <w:i/>
          <w:iCs/>
        </w:rPr>
        <w:t xml:space="preserve"> 10,000 to &lt; 20,000</w:t>
      </w:r>
    </w:p>
    <w:p w14:paraId="1456A4DF" w14:textId="77777777" w:rsidR="00445AA3" w:rsidRPr="00A96044" w:rsidRDefault="00445AA3" w:rsidP="00445AA3">
      <w:pPr>
        <w:pStyle w:val="TableFigureFooter"/>
        <w:rPr>
          <w:rStyle w:val="eop"/>
          <w:i/>
          <w:iCs/>
        </w:rPr>
      </w:pPr>
      <w:r w:rsidRPr="00A96044">
        <w:rPr>
          <w:rStyle w:val="eop"/>
          <w:i/>
          <w:iCs/>
          <w:vertAlign w:val="superscript"/>
        </w:rPr>
        <w:t>4</w:t>
      </w:r>
      <w:r w:rsidRPr="00A96044">
        <w:rPr>
          <w:rStyle w:val="eop"/>
          <w:i/>
          <w:iCs/>
        </w:rPr>
        <w:t xml:space="preserve"> 500 to &lt; 5,000</w:t>
      </w:r>
    </w:p>
    <w:p w14:paraId="5AFFC5AB" w14:textId="77777777" w:rsidR="00445AA3" w:rsidRPr="00A96044" w:rsidRDefault="00445AA3" w:rsidP="00445AA3">
      <w:pPr>
        <w:pStyle w:val="TableFigureFooter"/>
        <w:rPr>
          <w:rStyle w:val="eop"/>
          <w:i/>
          <w:iCs/>
        </w:rPr>
      </w:pPr>
      <w:r w:rsidRPr="00A96044">
        <w:rPr>
          <w:rStyle w:val="eop"/>
          <w:i/>
          <w:iCs/>
          <w:vertAlign w:val="superscript"/>
        </w:rPr>
        <w:t>5</w:t>
      </w:r>
      <w:r w:rsidRPr="00A96044">
        <w:rPr>
          <w:rStyle w:val="eop"/>
          <w:i/>
          <w:iCs/>
        </w:rPr>
        <w:t xml:space="preserve"> 5,000 to &lt; 10,000</w:t>
      </w:r>
    </w:p>
    <w:p w14:paraId="4420944B" w14:textId="3C66B83E" w:rsidR="006F5289" w:rsidRPr="00FB181C" w:rsidRDefault="006F5289" w:rsidP="00FB181C">
      <w:pPr>
        <w:pStyle w:val="ListParagraph"/>
        <w:numPr>
          <w:ilvl w:val="1"/>
          <w:numId w:val="1"/>
        </w:numPr>
        <w:spacing w:after="120"/>
        <w:ind w:hanging="720"/>
        <w:contextualSpacing w:val="0"/>
        <w:rPr>
          <w:rFonts w:cs="Calibri"/>
          <w:bCs/>
          <w:iCs/>
        </w:rPr>
      </w:pPr>
      <w:r w:rsidRPr="00FB181C">
        <w:rPr>
          <w:rFonts w:cs="Calibri"/>
          <w:bCs/>
          <w:iCs/>
        </w:rPr>
        <w:t xml:space="preserve">The estimated net cost of listing esketamine on the PBS/RPBS for TRD is summarised in </w:t>
      </w:r>
      <w:r w:rsidRPr="00FB181C">
        <w:rPr>
          <w:rFonts w:cs="Calibri"/>
          <w:bCs/>
          <w:iCs/>
        </w:rPr>
        <w:fldChar w:fldCharType="begin" w:fldLock="1"/>
      </w:r>
      <w:r w:rsidRPr="00FB181C">
        <w:rPr>
          <w:rFonts w:cs="Calibri"/>
          <w:bCs/>
          <w:iCs/>
        </w:rPr>
        <w:instrText xml:space="preserve"> REF _Ref104805295 \h </w:instrText>
      </w:r>
      <w:r w:rsidR="00D26534" w:rsidRPr="00FB181C">
        <w:rPr>
          <w:rFonts w:cs="Calibri"/>
          <w:bCs/>
          <w:iCs/>
        </w:rPr>
        <w:instrText xml:space="preserve"> \* MERGEFORMAT </w:instrText>
      </w:r>
      <w:r w:rsidRPr="00FB181C">
        <w:rPr>
          <w:rFonts w:cs="Calibri"/>
          <w:bCs/>
          <w:iCs/>
        </w:rPr>
      </w:r>
      <w:r w:rsidRPr="00FB181C">
        <w:rPr>
          <w:rFonts w:cs="Calibri"/>
          <w:bCs/>
          <w:iCs/>
        </w:rPr>
        <w:fldChar w:fldCharType="separate"/>
      </w:r>
      <w:r w:rsidR="002B3C60" w:rsidRPr="002B3C60">
        <w:rPr>
          <w:rFonts w:cs="Calibri"/>
          <w:bCs/>
          <w:iCs/>
        </w:rPr>
        <w:t>Table 19</w:t>
      </w:r>
      <w:r w:rsidRPr="00FB181C">
        <w:rPr>
          <w:rFonts w:cs="Calibri"/>
          <w:bCs/>
          <w:iCs/>
        </w:rPr>
        <w:fldChar w:fldCharType="end"/>
      </w:r>
      <w:r w:rsidRPr="00FB181C">
        <w:rPr>
          <w:rFonts w:cs="Calibri"/>
          <w:bCs/>
          <w:iCs/>
        </w:rPr>
        <w:t xml:space="preserve"> below. </w:t>
      </w:r>
    </w:p>
    <w:p w14:paraId="30E5D252" w14:textId="6D3B86E8" w:rsidR="006F5289" w:rsidRPr="00D26534" w:rsidRDefault="006F5289" w:rsidP="00C02288">
      <w:pPr>
        <w:pStyle w:val="COMtablefigcaption"/>
      </w:pPr>
      <w:bookmarkStart w:id="61" w:name="_Ref104805295"/>
      <w:r w:rsidRPr="00D26534">
        <w:lastRenderedPageBreak/>
        <w:t xml:space="preserve">Table </w:t>
      </w:r>
      <w:r w:rsidR="004E64B8">
        <w:fldChar w:fldCharType="begin" w:fldLock="1"/>
      </w:r>
      <w:r w:rsidR="004E64B8">
        <w:instrText xml:space="preserve"> SEQ Table \* ARABIC </w:instrText>
      </w:r>
      <w:r w:rsidR="004E64B8">
        <w:fldChar w:fldCharType="separate"/>
      </w:r>
      <w:r w:rsidR="002B3C60">
        <w:rPr>
          <w:noProof/>
        </w:rPr>
        <w:t>19</w:t>
      </w:r>
      <w:r w:rsidR="004E64B8">
        <w:rPr>
          <w:noProof/>
        </w:rPr>
        <w:fldChar w:fldCharType="end"/>
      </w:r>
      <w:bookmarkEnd w:id="61"/>
      <w:r w:rsidRPr="00D26534">
        <w:t>: Estimated use and financial implications</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9: Estimated use and financial implications"/>
      </w:tblPr>
      <w:tblGrid>
        <w:gridCol w:w="2861"/>
        <w:gridCol w:w="1019"/>
        <w:gridCol w:w="1020"/>
        <w:gridCol w:w="923"/>
        <w:gridCol w:w="1118"/>
        <w:gridCol w:w="1020"/>
        <w:gridCol w:w="1050"/>
      </w:tblGrid>
      <w:tr w:rsidR="00564933" w:rsidRPr="00D26534" w14:paraId="46842136" w14:textId="77777777" w:rsidTr="00A635F9">
        <w:trPr>
          <w:tblHeader/>
        </w:trPr>
        <w:tc>
          <w:tcPr>
            <w:tcW w:w="2861" w:type="dxa"/>
            <w:shd w:val="clear" w:color="auto" w:fill="auto"/>
            <w:hideMark/>
          </w:tcPr>
          <w:p w14:paraId="7BC25BCB" w14:textId="77777777" w:rsidR="006F5289" w:rsidRPr="00D26534" w:rsidRDefault="006F5289" w:rsidP="00C02288">
            <w:pPr>
              <w:keepNext/>
              <w:jc w:val="left"/>
              <w:textAlignment w:val="baseline"/>
              <w:rPr>
                <w:rFonts w:ascii="Times New Roman" w:hAnsi="Times New Roman" w:cs="Times New Roman"/>
              </w:rPr>
            </w:pPr>
            <w:r w:rsidRPr="00D26534">
              <w:rPr>
                <w:rFonts w:ascii="Arial Narrow" w:hAnsi="Arial Narrow" w:cs="Times New Roman"/>
                <w:sz w:val="20"/>
                <w:szCs w:val="20"/>
              </w:rPr>
              <w:t> </w:t>
            </w:r>
          </w:p>
        </w:tc>
        <w:tc>
          <w:tcPr>
            <w:tcW w:w="1019" w:type="dxa"/>
            <w:shd w:val="clear" w:color="auto" w:fill="auto"/>
            <w:vAlign w:val="center"/>
            <w:hideMark/>
          </w:tcPr>
          <w:p w14:paraId="6A4869F0" w14:textId="77777777" w:rsidR="006F5289" w:rsidRPr="00D26534" w:rsidRDefault="006F5289" w:rsidP="00C02288">
            <w:pPr>
              <w:keepNext/>
              <w:jc w:val="center"/>
              <w:textAlignment w:val="baseline"/>
              <w:rPr>
                <w:rFonts w:ascii="Times New Roman" w:hAnsi="Times New Roman" w:cs="Times New Roman"/>
              </w:rPr>
            </w:pPr>
            <w:r w:rsidRPr="00D26534">
              <w:rPr>
                <w:rFonts w:ascii="Arial Narrow" w:hAnsi="Arial Narrow" w:cs="Times New Roman"/>
                <w:b/>
                <w:bCs/>
                <w:sz w:val="20"/>
                <w:szCs w:val="20"/>
              </w:rPr>
              <w:t>Year 1</w:t>
            </w:r>
            <w:r w:rsidRPr="00D26534">
              <w:rPr>
                <w:rFonts w:ascii="Arial Narrow" w:hAnsi="Arial Narrow" w:cs="Times New Roman"/>
                <w:sz w:val="20"/>
                <w:szCs w:val="20"/>
              </w:rPr>
              <w:t> </w:t>
            </w:r>
          </w:p>
        </w:tc>
        <w:tc>
          <w:tcPr>
            <w:tcW w:w="1020" w:type="dxa"/>
            <w:shd w:val="clear" w:color="auto" w:fill="auto"/>
            <w:vAlign w:val="center"/>
            <w:hideMark/>
          </w:tcPr>
          <w:p w14:paraId="77150B4E" w14:textId="77777777" w:rsidR="006F5289" w:rsidRPr="00D26534" w:rsidRDefault="006F5289" w:rsidP="00C02288">
            <w:pPr>
              <w:keepNext/>
              <w:jc w:val="center"/>
              <w:textAlignment w:val="baseline"/>
              <w:rPr>
                <w:rFonts w:ascii="Times New Roman" w:hAnsi="Times New Roman" w:cs="Times New Roman"/>
              </w:rPr>
            </w:pPr>
            <w:r w:rsidRPr="00D26534">
              <w:rPr>
                <w:rFonts w:ascii="Arial Narrow" w:hAnsi="Arial Narrow" w:cs="Times New Roman"/>
                <w:b/>
                <w:bCs/>
                <w:sz w:val="20"/>
                <w:szCs w:val="20"/>
              </w:rPr>
              <w:t>Year 2</w:t>
            </w:r>
            <w:r w:rsidRPr="00D26534">
              <w:rPr>
                <w:rFonts w:ascii="Arial Narrow" w:hAnsi="Arial Narrow" w:cs="Times New Roman"/>
                <w:sz w:val="20"/>
                <w:szCs w:val="20"/>
              </w:rPr>
              <w:t> </w:t>
            </w:r>
          </w:p>
        </w:tc>
        <w:tc>
          <w:tcPr>
            <w:tcW w:w="923" w:type="dxa"/>
            <w:shd w:val="clear" w:color="auto" w:fill="auto"/>
            <w:vAlign w:val="center"/>
            <w:hideMark/>
          </w:tcPr>
          <w:p w14:paraId="7D5F977C" w14:textId="77777777" w:rsidR="006F5289" w:rsidRPr="00D26534" w:rsidRDefault="006F5289" w:rsidP="00C02288">
            <w:pPr>
              <w:keepNext/>
              <w:jc w:val="center"/>
              <w:textAlignment w:val="baseline"/>
              <w:rPr>
                <w:rFonts w:ascii="Times New Roman" w:hAnsi="Times New Roman" w:cs="Times New Roman"/>
              </w:rPr>
            </w:pPr>
            <w:r w:rsidRPr="00D26534">
              <w:rPr>
                <w:rFonts w:ascii="Arial Narrow" w:hAnsi="Arial Narrow" w:cs="Times New Roman"/>
                <w:b/>
                <w:bCs/>
                <w:sz w:val="20"/>
                <w:szCs w:val="20"/>
              </w:rPr>
              <w:t>Year 3</w:t>
            </w:r>
            <w:r w:rsidRPr="00D26534">
              <w:rPr>
                <w:rFonts w:ascii="Arial Narrow" w:hAnsi="Arial Narrow" w:cs="Times New Roman"/>
                <w:sz w:val="20"/>
                <w:szCs w:val="20"/>
              </w:rPr>
              <w:t> </w:t>
            </w:r>
          </w:p>
        </w:tc>
        <w:tc>
          <w:tcPr>
            <w:tcW w:w="1118" w:type="dxa"/>
            <w:shd w:val="clear" w:color="auto" w:fill="auto"/>
            <w:vAlign w:val="center"/>
            <w:hideMark/>
          </w:tcPr>
          <w:p w14:paraId="57435C78" w14:textId="77777777" w:rsidR="006F5289" w:rsidRPr="00D26534" w:rsidRDefault="006F5289" w:rsidP="00C02288">
            <w:pPr>
              <w:keepNext/>
              <w:jc w:val="center"/>
              <w:textAlignment w:val="baseline"/>
              <w:rPr>
                <w:rFonts w:ascii="Times New Roman" w:hAnsi="Times New Roman" w:cs="Times New Roman"/>
              </w:rPr>
            </w:pPr>
            <w:r w:rsidRPr="00D26534">
              <w:rPr>
                <w:rFonts w:ascii="Arial Narrow" w:hAnsi="Arial Narrow" w:cs="Times New Roman"/>
                <w:b/>
                <w:bCs/>
                <w:sz w:val="20"/>
                <w:szCs w:val="20"/>
              </w:rPr>
              <w:t>Year 4</w:t>
            </w:r>
            <w:r w:rsidRPr="00D26534">
              <w:rPr>
                <w:rFonts w:ascii="Arial Narrow" w:hAnsi="Arial Narrow" w:cs="Times New Roman"/>
                <w:sz w:val="20"/>
                <w:szCs w:val="20"/>
              </w:rPr>
              <w:t> </w:t>
            </w:r>
          </w:p>
        </w:tc>
        <w:tc>
          <w:tcPr>
            <w:tcW w:w="1020" w:type="dxa"/>
            <w:shd w:val="clear" w:color="auto" w:fill="auto"/>
            <w:vAlign w:val="center"/>
            <w:hideMark/>
          </w:tcPr>
          <w:p w14:paraId="4E3F3B23" w14:textId="77777777" w:rsidR="006F5289" w:rsidRPr="00D26534" w:rsidRDefault="006F5289" w:rsidP="00C02288">
            <w:pPr>
              <w:keepNext/>
              <w:jc w:val="center"/>
              <w:textAlignment w:val="baseline"/>
              <w:rPr>
                <w:rFonts w:ascii="Times New Roman" w:hAnsi="Times New Roman" w:cs="Times New Roman"/>
              </w:rPr>
            </w:pPr>
            <w:r w:rsidRPr="00D26534">
              <w:rPr>
                <w:rFonts w:ascii="Arial Narrow" w:hAnsi="Arial Narrow" w:cs="Times New Roman"/>
                <w:b/>
                <w:bCs/>
                <w:sz w:val="20"/>
                <w:szCs w:val="20"/>
              </w:rPr>
              <w:t>Year 5</w:t>
            </w:r>
            <w:r w:rsidRPr="00D26534">
              <w:rPr>
                <w:rFonts w:ascii="Arial Narrow" w:hAnsi="Arial Narrow" w:cs="Times New Roman"/>
                <w:sz w:val="20"/>
                <w:szCs w:val="20"/>
              </w:rPr>
              <w:t> </w:t>
            </w:r>
          </w:p>
        </w:tc>
        <w:tc>
          <w:tcPr>
            <w:tcW w:w="1050" w:type="dxa"/>
            <w:shd w:val="clear" w:color="auto" w:fill="auto"/>
            <w:vAlign w:val="center"/>
            <w:hideMark/>
          </w:tcPr>
          <w:p w14:paraId="6ACC9BDB" w14:textId="77777777" w:rsidR="006F5289" w:rsidRPr="00D26534" w:rsidRDefault="006F5289" w:rsidP="00C02288">
            <w:pPr>
              <w:keepNext/>
              <w:jc w:val="center"/>
              <w:textAlignment w:val="baseline"/>
              <w:rPr>
                <w:rFonts w:ascii="Times New Roman" w:hAnsi="Times New Roman" w:cs="Times New Roman"/>
              </w:rPr>
            </w:pPr>
            <w:r w:rsidRPr="00D26534">
              <w:rPr>
                <w:rFonts w:ascii="Arial Narrow" w:hAnsi="Arial Narrow" w:cs="Times New Roman"/>
                <w:b/>
                <w:bCs/>
                <w:sz w:val="20"/>
                <w:szCs w:val="20"/>
              </w:rPr>
              <w:t>Year 6</w:t>
            </w:r>
            <w:r w:rsidRPr="00D26534">
              <w:rPr>
                <w:rFonts w:ascii="Arial Narrow" w:hAnsi="Arial Narrow" w:cs="Times New Roman"/>
                <w:sz w:val="20"/>
                <w:szCs w:val="20"/>
              </w:rPr>
              <w:t> </w:t>
            </w:r>
          </w:p>
        </w:tc>
      </w:tr>
      <w:tr w:rsidR="00564933" w:rsidRPr="00D26534" w14:paraId="2D6D592F" w14:textId="77777777" w:rsidTr="00A635F9">
        <w:trPr>
          <w:tblHeader/>
        </w:trPr>
        <w:tc>
          <w:tcPr>
            <w:tcW w:w="2861" w:type="dxa"/>
            <w:shd w:val="clear" w:color="auto" w:fill="auto"/>
          </w:tcPr>
          <w:p w14:paraId="1005A94D" w14:textId="02B5F4B6" w:rsidR="004D617B" w:rsidRPr="00D26534" w:rsidRDefault="004D617B" w:rsidP="00C02288">
            <w:pPr>
              <w:keepNext/>
              <w:jc w:val="left"/>
              <w:textAlignment w:val="baseline"/>
              <w:rPr>
                <w:rFonts w:ascii="Arial Narrow" w:hAnsi="Arial Narrow" w:cs="Times New Roman"/>
                <w:sz w:val="20"/>
                <w:szCs w:val="20"/>
              </w:rPr>
            </w:pPr>
            <w:r w:rsidRPr="00D26534">
              <w:rPr>
                <w:rFonts w:ascii="Arial Narrow" w:hAnsi="Arial Narrow" w:cs="Times New Roman"/>
                <w:sz w:val="20"/>
                <w:szCs w:val="20"/>
              </w:rPr>
              <w:t>Initial treatment (including grandfathered patients)</w:t>
            </w:r>
          </w:p>
        </w:tc>
        <w:tc>
          <w:tcPr>
            <w:tcW w:w="1019" w:type="dxa"/>
            <w:shd w:val="clear" w:color="auto" w:fill="auto"/>
            <w:vAlign w:val="center"/>
          </w:tcPr>
          <w:p w14:paraId="443CA43F" w14:textId="3F868B74" w:rsidR="004D617B" w:rsidRPr="008D2AC7" w:rsidRDefault="00683384" w:rsidP="00C02288">
            <w:pPr>
              <w:pStyle w:val="COMTabletext"/>
              <w:jc w:val="center"/>
              <w:rPr>
                <w:rFonts w:cs="Times New Roman"/>
                <w:b/>
                <w:szCs w:val="20"/>
                <w:highlight w:val="lightGray"/>
              </w:rPr>
            </w:pPr>
            <w:r w:rsidRPr="00683384">
              <w:rPr>
                <w:rFonts w:hint="eastAsia"/>
                <w:color w:val="000000"/>
                <w:w w:val="15"/>
                <w:shd w:val="solid" w:color="000000" w:fill="000000"/>
                <w:fitText w:val="60" w:id="-892700917"/>
                <w14:textFill>
                  <w14:solidFill>
                    <w14:srgbClr w14:val="000000">
                      <w14:alpha w14:val="100000"/>
                    </w14:srgbClr>
                  </w14:solidFill>
                </w14:textFill>
              </w:rPr>
              <w:t xml:space="preserve">　</w:t>
            </w:r>
            <w:r w:rsidRPr="00683384">
              <w:rPr>
                <w:color w:val="000000"/>
                <w:w w:val="15"/>
                <w:shd w:val="solid" w:color="000000" w:fill="000000"/>
                <w:fitText w:val="60" w:id="-892700917"/>
                <w14:textFill>
                  <w14:solidFill>
                    <w14:srgbClr w14:val="000000">
                      <w14:alpha w14:val="100000"/>
                    </w14:srgbClr>
                  </w14:solidFill>
                </w14:textFill>
              </w:rPr>
              <w:t>|</w:t>
            </w:r>
            <w:r w:rsidRPr="00683384">
              <w:rPr>
                <w:rFonts w:hint="eastAsia"/>
                <w:color w:val="000000"/>
                <w:spacing w:val="-5"/>
                <w:w w:val="15"/>
                <w:shd w:val="solid" w:color="000000" w:fill="000000"/>
                <w:fitText w:val="60" w:id="-892700917"/>
                <w14:textFill>
                  <w14:solidFill>
                    <w14:srgbClr w14:val="000000">
                      <w14:alpha w14:val="100000"/>
                    </w14:srgbClr>
                  </w14:solidFill>
                </w14:textFill>
              </w:rPr>
              <w:t xml:space="preserve">　</w:t>
            </w:r>
            <w:r w:rsidR="00734BA6" w:rsidRPr="008D2AC7">
              <w:rPr>
                <w:vertAlign w:val="superscript"/>
              </w:rPr>
              <w:t>1</w:t>
            </w:r>
          </w:p>
        </w:tc>
        <w:tc>
          <w:tcPr>
            <w:tcW w:w="1020" w:type="dxa"/>
            <w:shd w:val="clear" w:color="auto" w:fill="auto"/>
            <w:vAlign w:val="center"/>
          </w:tcPr>
          <w:p w14:paraId="6575E458" w14:textId="32AEF61F" w:rsidR="004D617B" w:rsidRPr="008D2AC7" w:rsidRDefault="00683384" w:rsidP="00C02288">
            <w:pPr>
              <w:pStyle w:val="COMTabletext"/>
              <w:jc w:val="center"/>
              <w:rPr>
                <w:rFonts w:cs="Times New Roman"/>
                <w:b/>
                <w:szCs w:val="20"/>
                <w:highlight w:val="lightGray"/>
              </w:rPr>
            </w:pPr>
            <w:r w:rsidRPr="00683384">
              <w:rPr>
                <w:rFonts w:hint="eastAsia"/>
                <w:color w:val="000000"/>
                <w:w w:val="15"/>
                <w:shd w:val="solid" w:color="000000" w:fill="000000"/>
                <w:fitText w:val="60" w:id="-892700916"/>
                <w14:textFill>
                  <w14:solidFill>
                    <w14:srgbClr w14:val="000000">
                      <w14:alpha w14:val="100000"/>
                    </w14:srgbClr>
                  </w14:solidFill>
                </w14:textFill>
              </w:rPr>
              <w:t xml:space="preserve">　</w:t>
            </w:r>
            <w:r w:rsidRPr="00683384">
              <w:rPr>
                <w:color w:val="000000"/>
                <w:w w:val="15"/>
                <w:shd w:val="solid" w:color="000000" w:fill="000000"/>
                <w:fitText w:val="60" w:id="-892700916"/>
                <w14:textFill>
                  <w14:solidFill>
                    <w14:srgbClr w14:val="000000">
                      <w14:alpha w14:val="100000"/>
                    </w14:srgbClr>
                  </w14:solidFill>
                </w14:textFill>
              </w:rPr>
              <w:t>|</w:t>
            </w:r>
            <w:r w:rsidRPr="00683384">
              <w:rPr>
                <w:rFonts w:hint="eastAsia"/>
                <w:color w:val="000000"/>
                <w:spacing w:val="-5"/>
                <w:w w:val="15"/>
                <w:shd w:val="solid" w:color="000000" w:fill="000000"/>
                <w:fitText w:val="60" w:id="-892700916"/>
                <w14:textFill>
                  <w14:solidFill>
                    <w14:srgbClr w14:val="000000">
                      <w14:alpha w14:val="100000"/>
                    </w14:srgbClr>
                  </w14:solidFill>
                </w14:textFill>
              </w:rPr>
              <w:t xml:space="preserve">　</w:t>
            </w:r>
            <w:r w:rsidR="00734BA6" w:rsidRPr="00A96044">
              <w:rPr>
                <w:vertAlign w:val="superscript"/>
              </w:rPr>
              <w:t>1</w:t>
            </w:r>
          </w:p>
        </w:tc>
        <w:tc>
          <w:tcPr>
            <w:tcW w:w="923" w:type="dxa"/>
            <w:shd w:val="clear" w:color="auto" w:fill="auto"/>
            <w:vAlign w:val="center"/>
          </w:tcPr>
          <w:p w14:paraId="76C5ED8A" w14:textId="36BE8414" w:rsidR="004D617B" w:rsidRPr="008D2AC7" w:rsidRDefault="00683384" w:rsidP="00C02288">
            <w:pPr>
              <w:pStyle w:val="COMTabletext"/>
              <w:jc w:val="center"/>
              <w:rPr>
                <w:rFonts w:cs="Times New Roman"/>
                <w:b/>
                <w:szCs w:val="20"/>
                <w:highlight w:val="lightGray"/>
              </w:rPr>
            </w:pPr>
            <w:r w:rsidRPr="00683384">
              <w:rPr>
                <w:rFonts w:hint="eastAsia"/>
                <w:color w:val="000000"/>
                <w:w w:val="27"/>
                <w:shd w:val="solid" w:color="000000" w:fill="000000"/>
                <w:fitText w:val="120" w:id="-892700915"/>
                <w14:textFill>
                  <w14:solidFill>
                    <w14:srgbClr w14:val="000000">
                      <w14:alpha w14:val="100000"/>
                    </w14:srgbClr>
                  </w14:solidFill>
                </w14:textFill>
              </w:rPr>
              <w:t xml:space="preserve">　</w:t>
            </w:r>
            <w:r w:rsidRPr="00683384">
              <w:rPr>
                <w:color w:val="000000"/>
                <w:w w:val="27"/>
                <w:shd w:val="solid" w:color="000000" w:fill="000000"/>
                <w:fitText w:val="120" w:id="-892700915"/>
                <w14:textFill>
                  <w14:solidFill>
                    <w14:srgbClr w14:val="000000">
                      <w14:alpha w14:val="100000"/>
                    </w14:srgbClr>
                  </w14:solidFill>
                </w14:textFill>
              </w:rPr>
              <w:t>|</w:t>
            </w:r>
            <w:r w:rsidRPr="00683384">
              <w:rPr>
                <w:rFonts w:hint="eastAsia"/>
                <w:color w:val="000000"/>
                <w:spacing w:val="2"/>
                <w:w w:val="27"/>
                <w:shd w:val="solid" w:color="000000" w:fill="000000"/>
                <w:fitText w:val="120" w:id="-892700915"/>
                <w14:textFill>
                  <w14:solidFill>
                    <w14:srgbClr w14:val="000000">
                      <w14:alpha w14:val="100000"/>
                    </w14:srgbClr>
                  </w14:solidFill>
                </w14:textFill>
              </w:rPr>
              <w:t xml:space="preserve">　</w:t>
            </w:r>
            <w:r w:rsidR="00734BA6" w:rsidRPr="008D2AC7">
              <w:rPr>
                <w:vertAlign w:val="superscript"/>
              </w:rPr>
              <w:t>2</w:t>
            </w:r>
          </w:p>
        </w:tc>
        <w:tc>
          <w:tcPr>
            <w:tcW w:w="1118" w:type="dxa"/>
            <w:shd w:val="clear" w:color="auto" w:fill="auto"/>
            <w:vAlign w:val="center"/>
          </w:tcPr>
          <w:p w14:paraId="2236C4B7" w14:textId="48908AF3" w:rsidR="004D617B" w:rsidRPr="008D2AC7" w:rsidRDefault="00683384" w:rsidP="00C02288">
            <w:pPr>
              <w:pStyle w:val="COMTabletext"/>
              <w:jc w:val="center"/>
              <w:rPr>
                <w:rFonts w:cs="Times New Roman"/>
                <w:b/>
                <w:szCs w:val="20"/>
                <w:highlight w:val="lightGray"/>
              </w:rPr>
            </w:pPr>
            <w:r w:rsidRPr="00A34B18">
              <w:rPr>
                <w:rFonts w:hint="eastAsia"/>
                <w:color w:val="000000"/>
                <w:w w:val="15"/>
                <w:shd w:val="solid" w:color="000000" w:fill="000000"/>
                <w:fitText w:val="20" w:id="-892700914"/>
                <w14:textFill>
                  <w14:solidFill>
                    <w14:srgbClr w14:val="000000">
                      <w14:alpha w14:val="100000"/>
                    </w14:srgbClr>
                  </w14:solidFill>
                </w14:textFill>
              </w:rPr>
              <w:t xml:space="preserve">　</w:t>
            </w:r>
            <w:r w:rsidRPr="00A34B18">
              <w:rPr>
                <w:color w:val="000000"/>
                <w:w w:val="15"/>
                <w:shd w:val="solid" w:color="000000" w:fill="000000"/>
                <w:fitText w:val="20" w:id="-892700914"/>
                <w14:textFill>
                  <w14:solidFill>
                    <w14:srgbClr w14:val="000000">
                      <w14:alpha w14:val="100000"/>
                    </w14:srgbClr>
                  </w14:solidFill>
                </w14:textFill>
              </w:rPr>
              <w:t>|</w:t>
            </w:r>
            <w:r w:rsidRPr="00A34B18">
              <w:rPr>
                <w:rFonts w:hint="eastAsia"/>
                <w:color w:val="000000"/>
                <w:spacing w:val="-45"/>
                <w:w w:val="15"/>
                <w:shd w:val="solid" w:color="000000" w:fill="000000"/>
                <w:fitText w:val="20" w:id="-892700914"/>
                <w14:textFill>
                  <w14:solidFill>
                    <w14:srgbClr w14:val="000000">
                      <w14:alpha w14:val="100000"/>
                    </w14:srgbClr>
                  </w14:solidFill>
                </w14:textFill>
              </w:rPr>
              <w:t xml:space="preserve">　</w:t>
            </w:r>
            <w:r w:rsidR="00734BA6" w:rsidRPr="00A96044">
              <w:rPr>
                <w:vertAlign w:val="superscript"/>
              </w:rPr>
              <w:t>2</w:t>
            </w:r>
          </w:p>
        </w:tc>
        <w:tc>
          <w:tcPr>
            <w:tcW w:w="1020" w:type="dxa"/>
            <w:shd w:val="clear" w:color="auto" w:fill="auto"/>
            <w:vAlign w:val="center"/>
          </w:tcPr>
          <w:p w14:paraId="2A256471" w14:textId="013796E8" w:rsidR="004D617B" w:rsidRPr="008D2AC7" w:rsidRDefault="00683384" w:rsidP="00C02288">
            <w:pPr>
              <w:pStyle w:val="COMTabletext"/>
              <w:jc w:val="center"/>
              <w:rPr>
                <w:rFonts w:cs="Times New Roman"/>
                <w:b/>
                <w:szCs w:val="20"/>
                <w:highlight w:val="lightGray"/>
              </w:rPr>
            </w:pPr>
            <w:r w:rsidRPr="00683384">
              <w:rPr>
                <w:rFonts w:hint="eastAsia"/>
                <w:color w:val="000000"/>
                <w:w w:val="15"/>
                <w:shd w:val="solid" w:color="000000" w:fill="000000"/>
                <w:fitText w:val="60" w:id="-892700913"/>
                <w14:textFill>
                  <w14:solidFill>
                    <w14:srgbClr w14:val="000000">
                      <w14:alpha w14:val="100000"/>
                    </w14:srgbClr>
                  </w14:solidFill>
                </w14:textFill>
              </w:rPr>
              <w:t xml:space="preserve">　</w:t>
            </w:r>
            <w:r w:rsidRPr="00683384">
              <w:rPr>
                <w:color w:val="000000"/>
                <w:w w:val="15"/>
                <w:shd w:val="solid" w:color="000000" w:fill="000000"/>
                <w:fitText w:val="60" w:id="-892700913"/>
                <w14:textFill>
                  <w14:solidFill>
                    <w14:srgbClr w14:val="000000">
                      <w14:alpha w14:val="100000"/>
                    </w14:srgbClr>
                  </w14:solidFill>
                </w14:textFill>
              </w:rPr>
              <w:t>|</w:t>
            </w:r>
            <w:r w:rsidRPr="00683384">
              <w:rPr>
                <w:rFonts w:hint="eastAsia"/>
                <w:color w:val="000000"/>
                <w:spacing w:val="-5"/>
                <w:w w:val="15"/>
                <w:shd w:val="solid" w:color="000000" w:fill="000000"/>
                <w:fitText w:val="60" w:id="-892700913"/>
                <w14:textFill>
                  <w14:solidFill>
                    <w14:srgbClr w14:val="000000">
                      <w14:alpha w14:val="100000"/>
                    </w14:srgbClr>
                  </w14:solidFill>
                </w14:textFill>
              </w:rPr>
              <w:t xml:space="preserve">　</w:t>
            </w:r>
            <w:r w:rsidR="00734BA6" w:rsidRPr="00A96044">
              <w:rPr>
                <w:vertAlign w:val="superscript"/>
              </w:rPr>
              <w:t>2</w:t>
            </w:r>
          </w:p>
        </w:tc>
        <w:tc>
          <w:tcPr>
            <w:tcW w:w="1050" w:type="dxa"/>
            <w:shd w:val="clear" w:color="auto" w:fill="auto"/>
            <w:vAlign w:val="center"/>
          </w:tcPr>
          <w:p w14:paraId="778B1339" w14:textId="13C27CE2" w:rsidR="004D617B" w:rsidRPr="008D2AC7" w:rsidRDefault="00683384" w:rsidP="00C02288">
            <w:pPr>
              <w:pStyle w:val="COMTabletext"/>
              <w:jc w:val="center"/>
              <w:rPr>
                <w:rFonts w:cs="Times New Roman"/>
                <w:b/>
                <w:szCs w:val="20"/>
                <w:highlight w:val="lightGray"/>
              </w:rPr>
            </w:pPr>
            <w:r w:rsidRPr="00683384">
              <w:rPr>
                <w:rFonts w:hint="eastAsia"/>
                <w:color w:val="000000"/>
                <w:w w:val="15"/>
                <w:shd w:val="solid" w:color="000000" w:fill="000000"/>
                <w:fitText w:val="60" w:id="-892700912"/>
                <w14:textFill>
                  <w14:solidFill>
                    <w14:srgbClr w14:val="000000">
                      <w14:alpha w14:val="100000"/>
                    </w14:srgbClr>
                  </w14:solidFill>
                </w14:textFill>
              </w:rPr>
              <w:t xml:space="preserve">　</w:t>
            </w:r>
            <w:r w:rsidRPr="00683384">
              <w:rPr>
                <w:color w:val="000000"/>
                <w:w w:val="15"/>
                <w:shd w:val="solid" w:color="000000" w:fill="000000"/>
                <w:fitText w:val="60" w:id="-892700912"/>
                <w14:textFill>
                  <w14:solidFill>
                    <w14:srgbClr w14:val="000000">
                      <w14:alpha w14:val="100000"/>
                    </w14:srgbClr>
                  </w14:solidFill>
                </w14:textFill>
              </w:rPr>
              <w:t>|</w:t>
            </w:r>
            <w:r w:rsidRPr="00683384">
              <w:rPr>
                <w:rFonts w:hint="eastAsia"/>
                <w:color w:val="000000"/>
                <w:spacing w:val="-5"/>
                <w:w w:val="15"/>
                <w:shd w:val="solid" w:color="000000" w:fill="000000"/>
                <w:fitText w:val="60" w:id="-892700912"/>
                <w14:textFill>
                  <w14:solidFill>
                    <w14:srgbClr w14:val="000000">
                      <w14:alpha w14:val="100000"/>
                    </w14:srgbClr>
                  </w14:solidFill>
                </w14:textFill>
              </w:rPr>
              <w:t xml:space="preserve">　</w:t>
            </w:r>
            <w:r w:rsidR="00734BA6" w:rsidRPr="00A96044">
              <w:rPr>
                <w:vertAlign w:val="superscript"/>
              </w:rPr>
              <w:t>2</w:t>
            </w:r>
          </w:p>
        </w:tc>
      </w:tr>
      <w:tr w:rsidR="00564933" w:rsidRPr="00D26534" w14:paraId="49A7DE02" w14:textId="77777777" w:rsidTr="00A635F9">
        <w:trPr>
          <w:tblHeader/>
        </w:trPr>
        <w:tc>
          <w:tcPr>
            <w:tcW w:w="2861" w:type="dxa"/>
            <w:shd w:val="clear" w:color="auto" w:fill="auto"/>
          </w:tcPr>
          <w:p w14:paraId="193737E9" w14:textId="78C38975" w:rsidR="000461DA" w:rsidRPr="00D26534" w:rsidRDefault="000461DA" w:rsidP="00C02288">
            <w:pPr>
              <w:keepNext/>
              <w:jc w:val="left"/>
              <w:textAlignment w:val="baseline"/>
              <w:rPr>
                <w:rFonts w:ascii="Arial Narrow" w:hAnsi="Arial Narrow" w:cs="Times New Roman"/>
                <w:sz w:val="20"/>
                <w:szCs w:val="20"/>
              </w:rPr>
            </w:pPr>
            <w:r w:rsidRPr="00D26534">
              <w:rPr>
                <w:rFonts w:ascii="Arial Narrow" w:hAnsi="Arial Narrow" w:cs="Times New Roman"/>
                <w:sz w:val="20"/>
                <w:szCs w:val="20"/>
              </w:rPr>
              <w:t>Patients receiving retreatment</w:t>
            </w:r>
          </w:p>
        </w:tc>
        <w:tc>
          <w:tcPr>
            <w:tcW w:w="1019" w:type="dxa"/>
            <w:shd w:val="clear" w:color="auto" w:fill="auto"/>
            <w:vAlign w:val="center"/>
          </w:tcPr>
          <w:p w14:paraId="7668B13F" w14:textId="6C079B79" w:rsidR="000461DA" w:rsidRPr="008D2AC7" w:rsidRDefault="00683384" w:rsidP="00C02288">
            <w:pPr>
              <w:pStyle w:val="COMTabletext"/>
              <w:jc w:val="center"/>
              <w:rPr>
                <w:rFonts w:cs="Times New Roman"/>
                <w:b/>
                <w:szCs w:val="20"/>
                <w:highlight w:val="lightGray"/>
              </w:rPr>
            </w:pPr>
            <w:r w:rsidRPr="00683384">
              <w:rPr>
                <w:rFonts w:hint="eastAsia"/>
                <w:color w:val="000000"/>
                <w:w w:val="15"/>
                <w:shd w:val="solid" w:color="000000" w:fill="000000"/>
                <w:fitText w:val="60" w:id="-892700928"/>
                <w14:textFill>
                  <w14:solidFill>
                    <w14:srgbClr w14:val="000000">
                      <w14:alpha w14:val="100000"/>
                    </w14:srgbClr>
                  </w14:solidFill>
                </w14:textFill>
              </w:rPr>
              <w:t xml:space="preserve">　</w:t>
            </w:r>
            <w:r w:rsidRPr="00683384">
              <w:rPr>
                <w:color w:val="000000"/>
                <w:w w:val="15"/>
                <w:shd w:val="solid" w:color="000000" w:fill="000000"/>
                <w:fitText w:val="60" w:id="-892700928"/>
                <w14:textFill>
                  <w14:solidFill>
                    <w14:srgbClr w14:val="000000">
                      <w14:alpha w14:val="100000"/>
                    </w14:srgbClr>
                  </w14:solidFill>
                </w14:textFill>
              </w:rPr>
              <w:t>|</w:t>
            </w:r>
            <w:r w:rsidRPr="00683384">
              <w:rPr>
                <w:rFonts w:hint="eastAsia"/>
                <w:color w:val="000000"/>
                <w:spacing w:val="-5"/>
                <w:w w:val="15"/>
                <w:shd w:val="solid" w:color="000000" w:fill="000000"/>
                <w:fitText w:val="60" w:id="-892700928"/>
                <w14:textFill>
                  <w14:solidFill>
                    <w14:srgbClr w14:val="000000">
                      <w14:alpha w14:val="100000"/>
                    </w14:srgbClr>
                  </w14:solidFill>
                </w14:textFill>
              </w:rPr>
              <w:t xml:space="preserve">　</w:t>
            </w:r>
            <w:r w:rsidR="00734BA6" w:rsidRPr="00A96044">
              <w:rPr>
                <w:vertAlign w:val="superscript"/>
              </w:rPr>
              <w:t>1</w:t>
            </w:r>
          </w:p>
        </w:tc>
        <w:tc>
          <w:tcPr>
            <w:tcW w:w="1020" w:type="dxa"/>
            <w:shd w:val="clear" w:color="auto" w:fill="auto"/>
            <w:vAlign w:val="center"/>
          </w:tcPr>
          <w:p w14:paraId="2964A24B" w14:textId="68208383" w:rsidR="000461DA" w:rsidRPr="008D2AC7" w:rsidRDefault="00683384" w:rsidP="00C02288">
            <w:pPr>
              <w:pStyle w:val="COMTabletext"/>
              <w:jc w:val="center"/>
              <w:rPr>
                <w:rFonts w:cs="Times New Roman"/>
                <w:b/>
                <w:szCs w:val="20"/>
                <w:highlight w:val="lightGray"/>
              </w:rPr>
            </w:pPr>
            <w:r w:rsidRPr="00683384">
              <w:rPr>
                <w:rFonts w:hint="eastAsia"/>
                <w:color w:val="000000"/>
                <w:w w:val="15"/>
                <w:shd w:val="solid" w:color="000000" w:fill="000000"/>
                <w:fitText w:val="60" w:id="-892700927"/>
                <w14:textFill>
                  <w14:solidFill>
                    <w14:srgbClr w14:val="000000">
                      <w14:alpha w14:val="100000"/>
                    </w14:srgbClr>
                  </w14:solidFill>
                </w14:textFill>
              </w:rPr>
              <w:t xml:space="preserve">　</w:t>
            </w:r>
            <w:r w:rsidRPr="00683384">
              <w:rPr>
                <w:color w:val="000000"/>
                <w:w w:val="15"/>
                <w:shd w:val="solid" w:color="000000" w:fill="000000"/>
                <w:fitText w:val="60" w:id="-892700927"/>
                <w14:textFill>
                  <w14:solidFill>
                    <w14:srgbClr w14:val="000000">
                      <w14:alpha w14:val="100000"/>
                    </w14:srgbClr>
                  </w14:solidFill>
                </w14:textFill>
              </w:rPr>
              <w:t>|</w:t>
            </w:r>
            <w:r w:rsidRPr="00683384">
              <w:rPr>
                <w:rFonts w:hint="eastAsia"/>
                <w:color w:val="000000"/>
                <w:spacing w:val="-5"/>
                <w:w w:val="15"/>
                <w:shd w:val="solid" w:color="000000" w:fill="000000"/>
                <w:fitText w:val="60" w:id="-892700927"/>
                <w14:textFill>
                  <w14:solidFill>
                    <w14:srgbClr w14:val="000000">
                      <w14:alpha w14:val="100000"/>
                    </w14:srgbClr>
                  </w14:solidFill>
                </w14:textFill>
              </w:rPr>
              <w:t xml:space="preserve">　</w:t>
            </w:r>
            <w:r w:rsidR="00734BA6" w:rsidRPr="00A96044">
              <w:rPr>
                <w:vertAlign w:val="superscript"/>
              </w:rPr>
              <w:t>1</w:t>
            </w:r>
          </w:p>
        </w:tc>
        <w:tc>
          <w:tcPr>
            <w:tcW w:w="923" w:type="dxa"/>
            <w:shd w:val="clear" w:color="auto" w:fill="auto"/>
            <w:vAlign w:val="center"/>
          </w:tcPr>
          <w:p w14:paraId="14B2DA03" w14:textId="6AE05896" w:rsidR="000461DA" w:rsidRPr="008D2AC7" w:rsidRDefault="00683384" w:rsidP="00C02288">
            <w:pPr>
              <w:pStyle w:val="COMTabletext"/>
              <w:jc w:val="center"/>
              <w:rPr>
                <w:rFonts w:cs="Times New Roman"/>
                <w:b/>
                <w:szCs w:val="20"/>
                <w:highlight w:val="lightGray"/>
              </w:rPr>
            </w:pPr>
            <w:r w:rsidRPr="00683384">
              <w:rPr>
                <w:rFonts w:hint="eastAsia"/>
                <w:color w:val="000000"/>
                <w:w w:val="27"/>
                <w:shd w:val="solid" w:color="000000" w:fill="000000"/>
                <w:fitText w:val="120" w:id="-892700926"/>
                <w14:textFill>
                  <w14:solidFill>
                    <w14:srgbClr w14:val="000000">
                      <w14:alpha w14:val="100000"/>
                    </w14:srgbClr>
                  </w14:solidFill>
                </w14:textFill>
              </w:rPr>
              <w:t xml:space="preserve">　</w:t>
            </w:r>
            <w:r w:rsidRPr="00683384">
              <w:rPr>
                <w:color w:val="000000"/>
                <w:w w:val="27"/>
                <w:shd w:val="solid" w:color="000000" w:fill="000000"/>
                <w:fitText w:val="120" w:id="-892700926"/>
                <w14:textFill>
                  <w14:solidFill>
                    <w14:srgbClr w14:val="000000">
                      <w14:alpha w14:val="100000"/>
                    </w14:srgbClr>
                  </w14:solidFill>
                </w14:textFill>
              </w:rPr>
              <w:t>|</w:t>
            </w:r>
            <w:r w:rsidRPr="00683384">
              <w:rPr>
                <w:rFonts w:hint="eastAsia"/>
                <w:color w:val="000000"/>
                <w:spacing w:val="2"/>
                <w:w w:val="27"/>
                <w:shd w:val="solid" w:color="000000" w:fill="000000"/>
                <w:fitText w:val="120" w:id="-892700926"/>
                <w14:textFill>
                  <w14:solidFill>
                    <w14:srgbClr w14:val="000000">
                      <w14:alpha w14:val="100000"/>
                    </w14:srgbClr>
                  </w14:solidFill>
                </w14:textFill>
              </w:rPr>
              <w:t xml:space="preserve">　</w:t>
            </w:r>
            <w:r w:rsidR="00734BA6" w:rsidRPr="00A96044">
              <w:rPr>
                <w:vertAlign w:val="superscript"/>
              </w:rPr>
              <w:t>1</w:t>
            </w:r>
          </w:p>
        </w:tc>
        <w:tc>
          <w:tcPr>
            <w:tcW w:w="1118" w:type="dxa"/>
            <w:shd w:val="clear" w:color="auto" w:fill="auto"/>
            <w:vAlign w:val="center"/>
          </w:tcPr>
          <w:p w14:paraId="2C62527F" w14:textId="6B0ABCD5" w:rsidR="000461DA" w:rsidRPr="008D2AC7" w:rsidRDefault="00683384" w:rsidP="00C02288">
            <w:pPr>
              <w:pStyle w:val="COMTabletext"/>
              <w:jc w:val="center"/>
              <w:rPr>
                <w:rFonts w:cs="Times New Roman"/>
                <w:b/>
                <w:szCs w:val="20"/>
                <w:highlight w:val="lightGray"/>
              </w:rPr>
            </w:pPr>
            <w:r w:rsidRPr="00A34B18">
              <w:rPr>
                <w:rFonts w:hint="eastAsia"/>
                <w:color w:val="000000"/>
                <w:w w:val="15"/>
                <w:shd w:val="solid" w:color="000000" w:fill="000000"/>
                <w:fitText w:val="20" w:id="-892700925"/>
                <w14:textFill>
                  <w14:solidFill>
                    <w14:srgbClr w14:val="000000">
                      <w14:alpha w14:val="100000"/>
                    </w14:srgbClr>
                  </w14:solidFill>
                </w14:textFill>
              </w:rPr>
              <w:t xml:space="preserve">　</w:t>
            </w:r>
            <w:r w:rsidRPr="00A34B18">
              <w:rPr>
                <w:color w:val="000000"/>
                <w:w w:val="15"/>
                <w:shd w:val="solid" w:color="000000" w:fill="000000"/>
                <w:fitText w:val="20" w:id="-892700925"/>
                <w14:textFill>
                  <w14:solidFill>
                    <w14:srgbClr w14:val="000000">
                      <w14:alpha w14:val="100000"/>
                    </w14:srgbClr>
                  </w14:solidFill>
                </w14:textFill>
              </w:rPr>
              <w:t>|</w:t>
            </w:r>
            <w:r w:rsidRPr="00A34B18">
              <w:rPr>
                <w:rFonts w:hint="eastAsia"/>
                <w:color w:val="000000"/>
                <w:spacing w:val="-45"/>
                <w:w w:val="15"/>
                <w:shd w:val="solid" w:color="000000" w:fill="000000"/>
                <w:fitText w:val="20" w:id="-892700925"/>
                <w14:textFill>
                  <w14:solidFill>
                    <w14:srgbClr w14:val="000000">
                      <w14:alpha w14:val="100000"/>
                    </w14:srgbClr>
                  </w14:solidFill>
                </w14:textFill>
              </w:rPr>
              <w:t xml:space="preserve">　</w:t>
            </w:r>
            <w:r w:rsidR="00734BA6" w:rsidRPr="00A96044">
              <w:rPr>
                <w:vertAlign w:val="superscript"/>
              </w:rPr>
              <w:t>1</w:t>
            </w:r>
          </w:p>
        </w:tc>
        <w:tc>
          <w:tcPr>
            <w:tcW w:w="1020" w:type="dxa"/>
            <w:shd w:val="clear" w:color="auto" w:fill="auto"/>
            <w:vAlign w:val="center"/>
          </w:tcPr>
          <w:p w14:paraId="5303AED2" w14:textId="57C43376" w:rsidR="000461DA" w:rsidRPr="008D2AC7" w:rsidRDefault="00683384" w:rsidP="00C02288">
            <w:pPr>
              <w:pStyle w:val="COMTabletext"/>
              <w:jc w:val="center"/>
              <w:rPr>
                <w:rFonts w:cs="Times New Roman"/>
                <w:b/>
                <w:szCs w:val="20"/>
                <w:highlight w:val="lightGray"/>
              </w:rPr>
            </w:pPr>
            <w:r w:rsidRPr="00683384">
              <w:rPr>
                <w:rFonts w:hint="eastAsia"/>
                <w:color w:val="000000"/>
                <w:w w:val="15"/>
                <w:shd w:val="solid" w:color="000000" w:fill="000000"/>
                <w:fitText w:val="60" w:id="-892700924"/>
                <w14:textFill>
                  <w14:solidFill>
                    <w14:srgbClr w14:val="000000">
                      <w14:alpha w14:val="100000"/>
                    </w14:srgbClr>
                  </w14:solidFill>
                </w14:textFill>
              </w:rPr>
              <w:t xml:space="preserve">　</w:t>
            </w:r>
            <w:r w:rsidRPr="00683384">
              <w:rPr>
                <w:color w:val="000000"/>
                <w:w w:val="15"/>
                <w:shd w:val="solid" w:color="000000" w:fill="000000"/>
                <w:fitText w:val="60" w:id="-892700924"/>
                <w14:textFill>
                  <w14:solidFill>
                    <w14:srgbClr w14:val="000000">
                      <w14:alpha w14:val="100000"/>
                    </w14:srgbClr>
                  </w14:solidFill>
                </w14:textFill>
              </w:rPr>
              <w:t>|</w:t>
            </w:r>
            <w:r w:rsidRPr="00683384">
              <w:rPr>
                <w:rFonts w:hint="eastAsia"/>
                <w:color w:val="000000"/>
                <w:spacing w:val="-5"/>
                <w:w w:val="15"/>
                <w:shd w:val="solid" w:color="000000" w:fill="000000"/>
                <w:fitText w:val="60" w:id="-892700924"/>
                <w14:textFill>
                  <w14:solidFill>
                    <w14:srgbClr w14:val="000000">
                      <w14:alpha w14:val="100000"/>
                    </w14:srgbClr>
                  </w14:solidFill>
                </w14:textFill>
              </w:rPr>
              <w:t xml:space="preserve">　</w:t>
            </w:r>
            <w:r w:rsidR="00734BA6" w:rsidRPr="00A96044">
              <w:rPr>
                <w:vertAlign w:val="superscript"/>
              </w:rPr>
              <w:t>1</w:t>
            </w:r>
          </w:p>
        </w:tc>
        <w:tc>
          <w:tcPr>
            <w:tcW w:w="1050" w:type="dxa"/>
            <w:shd w:val="clear" w:color="auto" w:fill="auto"/>
            <w:vAlign w:val="center"/>
          </w:tcPr>
          <w:p w14:paraId="4F56A294" w14:textId="366D8591" w:rsidR="000461DA" w:rsidRPr="008D2AC7" w:rsidRDefault="00683384" w:rsidP="00C02288">
            <w:pPr>
              <w:pStyle w:val="COMTabletext"/>
              <w:jc w:val="center"/>
              <w:rPr>
                <w:rFonts w:cs="Times New Roman"/>
                <w:b/>
                <w:szCs w:val="20"/>
                <w:highlight w:val="lightGray"/>
              </w:rPr>
            </w:pPr>
            <w:r w:rsidRPr="00683384">
              <w:rPr>
                <w:rFonts w:hint="eastAsia"/>
                <w:color w:val="000000"/>
                <w:w w:val="15"/>
                <w:shd w:val="solid" w:color="000000" w:fill="000000"/>
                <w:fitText w:val="60" w:id="-892700923"/>
                <w14:textFill>
                  <w14:solidFill>
                    <w14:srgbClr w14:val="000000">
                      <w14:alpha w14:val="100000"/>
                    </w14:srgbClr>
                  </w14:solidFill>
                </w14:textFill>
              </w:rPr>
              <w:t xml:space="preserve">　</w:t>
            </w:r>
            <w:r w:rsidRPr="00683384">
              <w:rPr>
                <w:color w:val="000000"/>
                <w:w w:val="15"/>
                <w:shd w:val="solid" w:color="000000" w:fill="000000"/>
                <w:fitText w:val="60" w:id="-892700923"/>
                <w14:textFill>
                  <w14:solidFill>
                    <w14:srgbClr w14:val="000000">
                      <w14:alpha w14:val="100000"/>
                    </w14:srgbClr>
                  </w14:solidFill>
                </w14:textFill>
              </w:rPr>
              <w:t>|</w:t>
            </w:r>
            <w:r w:rsidRPr="00683384">
              <w:rPr>
                <w:rFonts w:hint="eastAsia"/>
                <w:color w:val="000000"/>
                <w:spacing w:val="-5"/>
                <w:w w:val="15"/>
                <w:shd w:val="solid" w:color="000000" w:fill="000000"/>
                <w:fitText w:val="60" w:id="-892700923"/>
                <w14:textFill>
                  <w14:solidFill>
                    <w14:srgbClr w14:val="000000">
                      <w14:alpha w14:val="100000"/>
                    </w14:srgbClr>
                  </w14:solidFill>
                </w14:textFill>
              </w:rPr>
              <w:t xml:space="preserve">　</w:t>
            </w:r>
            <w:r w:rsidR="00734BA6" w:rsidRPr="00A96044">
              <w:rPr>
                <w:vertAlign w:val="superscript"/>
              </w:rPr>
              <w:t>1</w:t>
            </w:r>
          </w:p>
        </w:tc>
      </w:tr>
      <w:tr w:rsidR="00564933" w:rsidRPr="00D26534" w14:paraId="20CFF6D9" w14:textId="77777777" w:rsidTr="00A635F9">
        <w:trPr>
          <w:tblHeader/>
        </w:trPr>
        <w:tc>
          <w:tcPr>
            <w:tcW w:w="2861" w:type="dxa"/>
            <w:tcBorders>
              <w:bottom w:val="single" w:sz="4" w:space="0" w:color="auto"/>
            </w:tcBorders>
            <w:shd w:val="clear" w:color="auto" w:fill="auto"/>
          </w:tcPr>
          <w:p w14:paraId="55FAE9CF" w14:textId="77777777" w:rsidR="001D3A26" w:rsidRPr="00D26534" w:rsidRDefault="001D3A26" w:rsidP="00C02288">
            <w:pPr>
              <w:pStyle w:val="Tabletext"/>
              <w:keepNext/>
            </w:pPr>
            <w:r w:rsidRPr="00D26534">
              <w:t>Total patients treated with esketamine (including grandfathered patients)</w:t>
            </w:r>
          </w:p>
        </w:tc>
        <w:tc>
          <w:tcPr>
            <w:tcW w:w="1019" w:type="dxa"/>
            <w:tcBorders>
              <w:bottom w:val="single" w:sz="4" w:space="0" w:color="auto"/>
            </w:tcBorders>
            <w:shd w:val="clear" w:color="auto" w:fill="auto"/>
            <w:vAlign w:val="center"/>
          </w:tcPr>
          <w:p w14:paraId="15E89832" w14:textId="3AA41050" w:rsidR="001D3A26" w:rsidRPr="008D2AC7" w:rsidRDefault="00683384" w:rsidP="00C02288">
            <w:pPr>
              <w:pStyle w:val="TableText0"/>
              <w:jc w:val="center"/>
              <w:rPr>
                <w:bCs w:val="0"/>
                <w:szCs w:val="20"/>
                <w:highlight w:val="lightGray"/>
              </w:rPr>
            </w:pPr>
            <w:r w:rsidRPr="00683384">
              <w:rPr>
                <w:rFonts w:hint="eastAsia"/>
                <w:color w:val="000000"/>
                <w:w w:val="15"/>
                <w:shd w:val="solid" w:color="000000" w:fill="000000"/>
                <w:fitText w:val="60" w:id="-892700922"/>
                <w14:textFill>
                  <w14:solidFill>
                    <w14:srgbClr w14:val="000000">
                      <w14:alpha w14:val="100000"/>
                    </w14:srgbClr>
                  </w14:solidFill>
                </w14:textFill>
              </w:rPr>
              <w:t xml:space="preserve">　</w:t>
            </w:r>
            <w:r w:rsidRPr="00683384">
              <w:rPr>
                <w:color w:val="000000"/>
                <w:w w:val="15"/>
                <w:shd w:val="solid" w:color="000000" w:fill="000000"/>
                <w:fitText w:val="60" w:id="-892700922"/>
                <w14:textFill>
                  <w14:solidFill>
                    <w14:srgbClr w14:val="000000">
                      <w14:alpha w14:val="100000"/>
                    </w14:srgbClr>
                  </w14:solidFill>
                </w14:textFill>
              </w:rPr>
              <w:t>|</w:t>
            </w:r>
            <w:r w:rsidRPr="00683384">
              <w:rPr>
                <w:rFonts w:hint="eastAsia"/>
                <w:color w:val="000000"/>
                <w:spacing w:val="-5"/>
                <w:w w:val="15"/>
                <w:shd w:val="solid" w:color="000000" w:fill="000000"/>
                <w:fitText w:val="60" w:id="-892700922"/>
                <w14:textFill>
                  <w14:solidFill>
                    <w14:srgbClr w14:val="000000">
                      <w14:alpha w14:val="100000"/>
                    </w14:srgbClr>
                  </w14:solidFill>
                </w14:textFill>
              </w:rPr>
              <w:t xml:space="preserve">　</w:t>
            </w:r>
            <w:r w:rsidR="00734BA6" w:rsidRPr="00A96044">
              <w:rPr>
                <w:vertAlign w:val="superscript"/>
              </w:rPr>
              <w:t>1</w:t>
            </w:r>
          </w:p>
        </w:tc>
        <w:tc>
          <w:tcPr>
            <w:tcW w:w="1020" w:type="dxa"/>
            <w:tcBorders>
              <w:bottom w:val="single" w:sz="4" w:space="0" w:color="auto"/>
            </w:tcBorders>
            <w:shd w:val="clear" w:color="auto" w:fill="auto"/>
            <w:vAlign w:val="center"/>
          </w:tcPr>
          <w:p w14:paraId="17238285" w14:textId="6E2F930A" w:rsidR="001D3A26" w:rsidRPr="008D2AC7" w:rsidRDefault="00683384" w:rsidP="00C02288">
            <w:pPr>
              <w:pStyle w:val="TableText0"/>
              <w:jc w:val="center"/>
              <w:rPr>
                <w:bCs w:val="0"/>
                <w:szCs w:val="20"/>
                <w:highlight w:val="lightGray"/>
              </w:rPr>
            </w:pPr>
            <w:r w:rsidRPr="00683384">
              <w:rPr>
                <w:rFonts w:hint="eastAsia"/>
                <w:color w:val="000000"/>
                <w:w w:val="15"/>
                <w:shd w:val="solid" w:color="000000" w:fill="000000"/>
                <w:fitText w:val="60" w:id="-892700921"/>
                <w14:textFill>
                  <w14:solidFill>
                    <w14:srgbClr w14:val="000000">
                      <w14:alpha w14:val="100000"/>
                    </w14:srgbClr>
                  </w14:solidFill>
                </w14:textFill>
              </w:rPr>
              <w:t xml:space="preserve">　</w:t>
            </w:r>
            <w:r w:rsidRPr="00683384">
              <w:rPr>
                <w:color w:val="000000"/>
                <w:w w:val="15"/>
                <w:shd w:val="solid" w:color="000000" w:fill="000000"/>
                <w:fitText w:val="60" w:id="-892700921"/>
                <w14:textFill>
                  <w14:solidFill>
                    <w14:srgbClr w14:val="000000">
                      <w14:alpha w14:val="100000"/>
                    </w14:srgbClr>
                  </w14:solidFill>
                </w14:textFill>
              </w:rPr>
              <w:t>|</w:t>
            </w:r>
            <w:r w:rsidRPr="00683384">
              <w:rPr>
                <w:rFonts w:hint="eastAsia"/>
                <w:color w:val="000000"/>
                <w:spacing w:val="-5"/>
                <w:w w:val="15"/>
                <w:shd w:val="solid" w:color="000000" w:fill="000000"/>
                <w:fitText w:val="60" w:id="-892700921"/>
                <w14:textFill>
                  <w14:solidFill>
                    <w14:srgbClr w14:val="000000">
                      <w14:alpha w14:val="100000"/>
                    </w14:srgbClr>
                  </w14:solidFill>
                </w14:textFill>
              </w:rPr>
              <w:t xml:space="preserve">　</w:t>
            </w:r>
            <w:r w:rsidR="00734BA6" w:rsidRPr="00A96044">
              <w:rPr>
                <w:vertAlign w:val="superscript"/>
              </w:rPr>
              <w:t>2</w:t>
            </w:r>
          </w:p>
        </w:tc>
        <w:tc>
          <w:tcPr>
            <w:tcW w:w="923" w:type="dxa"/>
            <w:tcBorders>
              <w:bottom w:val="single" w:sz="4" w:space="0" w:color="auto"/>
            </w:tcBorders>
            <w:shd w:val="clear" w:color="auto" w:fill="auto"/>
            <w:vAlign w:val="center"/>
          </w:tcPr>
          <w:p w14:paraId="4852DF50" w14:textId="57DA17E1" w:rsidR="001D3A26" w:rsidRPr="008D2AC7" w:rsidRDefault="00683384" w:rsidP="00C02288">
            <w:pPr>
              <w:pStyle w:val="TableText0"/>
              <w:jc w:val="center"/>
              <w:rPr>
                <w:bCs w:val="0"/>
                <w:szCs w:val="20"/>
                <w:highlight w:val="lightGray"/>
              </w:rPr>
            </w:pPr>
            <w:r w:rsidRPr="00683384">
              <w:rPr>
                <w:rFonts w:hint="eastAsia"/>
                <w:color w:val="000000"/>
                <w:w w:val="27"/>
                <w:shd w:val="solid" w:color="000000" w:fill="000000"/>
                <w:fitText w:val="120" w:id="-892700920"/>
                <w14:textFill>
                  <w14:solidFill>
                    <w14:srgbClr w14:val="000000">
                      <w14:alpha w14:val="100000"/>
                    </w14:srgbClr>
                  </w14:solidFill>
                </w14:textFill>
              </w:rPr>
              <w:t xml:space="preserve">　</w:t>
            </w:r>
            <w:r w:rsidRPr="00683384">
              <w:rPr>
                <w:color w:val="000000"/>
                <w:w w:val="27"/>
                <w:shd w:val="solid" w:color="000000" w:fill="000000"/>
                <w:fitText w:val="120" w:id="-892700920"/>
                <w14:textFill>
                  <w14:solidFill>
                    <w14:srgbClr w14:val="000000">
                      <w14:alpha w14:val="100000"/>
                    </w14:srgbClr>
                  </w14:solidFill>
                </w14:textFill>
              </w:rPr>
              <w:t>|</w:t>
            </w:r>
            <w:r w:rsidRPr="00683384">
              <w:rPr>
                <w:rFonts w:hint="eastAsia"/>
                <w:color w:val="000000"/>
                <w:spacing w:val="2"/>
                <w:w w:val="27"/>
                <w:shd w:val="solid" w:color="000000" w:fill="000000"/>
                <w:fitText w:val="120" w:id="-892700920"/>
                <w14:textFill>
                  <w14:solidFill>
                    <w14:srgbClr w14:val="000000">
                      <w14:alpha w14:val="100000"/>
                    </w14:srgbClr>
                  </w14:solidFill>
                </w14:textFill>
              </w:rPr>
              <w:t xml:space="preserve">　</w:t>
            </w:r>
            <w:r w:rsidR="00734BA6" w:rsidRPr="00A96044">
              <w:rPr>
                <w:vertAlign w:val="superscript"/>
              </w:rPr>
              <w:t>2</w:t>
            </w:r>
          </w:p>
        </w:tc>
        <w:tc>
          <w:tcPr>
            <w:tcW w:w="1118" w:type="dxa"/>
            <w:tcBorders>
              <w:bottom w:val="single" w:sz="4" w:space="0" w:color="auto"/>
            </w:tcBorders>
            <w:shd w:val="clear" w:color="auto" w:fill="auto"/>
            <w:vAlign w:val="center"/>
          </w:tcPr>
          <w:p w14:paraId="2E4DE657" w14:textId="6C67525E" w:rsidR="001D3A26" w:rsidRPr="008D2AC7" w:rsidRDefault="00683384" w:rsidP="00C02288">
            <w:pPr>
              <w:pStyle w:val="TableText0"/>
              <w:jc w:val="center"/>
              <w:rPr>
                <w:bCs w:val="0"/>
                <w:szCs w:val="20"/>
                <w:highlight w:val="lightGray"/>
              </w:rPr>
            </w:pPr>
            <w:r w:rsidRPr="00A34B18">
              <w:rPr>
                <w:rFonts w:hint="eastAsia"/>
                <w:color w:val="000000"/>
                <w:w w:val="15"/>
                <w:shd w:val="solid" w:color="000000" w:fill="000000"/>
                <w:fitText w:val="20" w:id="-892700672"/>
                <w14:textFill>
                  <w14:solidFill>
                    <w14:srgbClr w14:val="000000">
                      <w14:alpha w14:val="100000"/>
                    </w14:srgbClr>
                  </w14:solidFill>
                </w14:textFill>
              </w:rPr>
              <w:t xml:space="preserve">　</w:t>
            </w:r>
            <w:r w:rsidRPr="00A34B18">
              <w:rPr>
                <w:color w:val="000000"/>
                <w:w w:val="15"/>
                <w:shd w:val="solid" w:color="000000" w:fill="000000"/>
                <w:fitText w:val="20" w:id="-892700672"/>
                <w14:textFill>
                  <w14:solidFill>
                    <w14:srgbClr w14:val="000000">
                      <w14:alpha w14:val="100000"/>
                    </w14:srgbClr>
                  </w14:solidFill>
                </w14:textFill>
              </w:rPr>
              <w:t>|</w:t>
            </w:r>
            <w:r w:rsidRPr="00A34B18">
              <w:rPr>
                <w:rFonts w:hint="eastAsia"/>
                <w:color w:val="000000"/>
                <w:spacing w:val="-45"/>
                <w:w w:val="15"/>
                <w:shd w:val="solid" w:color="000000" w:fill="000000"/>
                <w:fitText w:val="20" w:id="-892700672"/>
                <w14:textFill>
                  <w14:solidFill>
                    <w14:srgbClr w14:val="000000">
                      <w14:alpha w14:val="100000"/>
                    </w14:srgbClr>
                  </w14:solidFill>
                </w14:textFill>
              </w:rPr>
              <w:t xml:space="preserve">　</w:t>
            </w:r>
            <w:r w:rsidR="00734BA6" w:rsidRPr="00A96044">
              <w:rPr>
                <w:vertAlign w:val="superscript"/>
              </w:rPr>
              <w:t>2</w:t>
            </w:r>
          </w:p>
        </w:tc>
        <w:tc>
          <w:tcPr>
            <w:tcW w:w="1020" w:type="dxa"/>
            <w:tcBorders>
              <w:bottom w:val="single" w:sz="4" w:space="0" w:color="auto"/>
            </w:tcBorders>
            <w:shd w:val="clear" w:color="auto" w:fill="auto"/>
            <w:vAlign w:val="center"/>
          </w:tcPr>
          <w:p w14:paraId="7D8A6F1E" w14:textId="2559A5A5" w:rsidR="001D3A26" w:rsidRPr="008D2AC7" w:rsidRDefault="00683384" w:rsidP="00C02288">
            <w:pPr>
              <w:pStyle w:val="TableText0"/>
              <w:jc w:val="center"/>
              <w:rPr>
                <w:bCs w:val="0"/>
                <w:szCs w:val="20"/>
                <w:highlight w:val="lightGray"/>
              </w:rPr>
            </w:pPr>
            <w:r w:rsidRPr="00683384">
              <w:rPr>
                <w:color w:val="000000"/>
                <w:spacing w:val="204"/>
                <w:shd w:val="solid" w:color="000000" w:fill="000000"/>
                <w:fitText w:val="290" w:id="-892700671"/>
                <w14:textFill>
                  <w14:solidFill>
                    <w14:srgbClr w14:val="000000">
                      <w14:alpha w14:val="100000"/>
                    </w14:srgbClr>
                  </w14:solidFill>
                </w14:textFill>
              </w:rPr>
              <w:t>|</w:t>
            </w:r>
            <w:r w:rsidRPr="00683384">
              <w:rPr>
                <w:color w:val="000000"/>
                <w:spacing w:val="1"/>
                <w:shd w:val="solid" w:color="000000" w:fill="000000"/>
                <w:fitText w:val="290" w:id="-892700671"/>
                <w14:textFill>
                  <w14:solidFill>
                    <w14:srgbClr w14:val="000000">
                      <w14:alpha w14:val="100000"/>
                    </w14:srgbClr>
                  </w14:solidFill>
                </w14:textFill>
              </w:rPr>
              <w:t>|</w:t>
            </w:r>
            <w:r w:rsidR="00734BA6" w:rsidRPr="00A96044">
              <w:rPr>
                <w:vertAlign w:val="superscript"/>
              </w:rPr>
              <w:t>2</w:t>
            </w:r>
          </w:p>
        </w:tc>
        <w:tc>
          <w:tcPr>
            <w:tcW w:w="1050" w:type="dxa"/>
            <w:tcBorders>
              <w:bottom w:val="single" w:sz="4" w:space="0" w:color="auto"/>
            </w:tcBorders>
            <w:shd w:val="clear" w:color="auto" w:fill="auto"/>
            <w:vAlign w:val="center"/>
          </w:tcPr>
          <w:p w14:paraId="42D5D818" w14:textId="44AC901F" w:rsidR="001D3A26" w:rsidRPr="008D2AC7" w:rsidRDefault="00683384" w:rsidP="00C02288">
            <w:pPr>
              <w:pStyle w:val="TableText0"/>
              <w:jc w:val="center"/>
              <w:rPr>
                <w:bCs w:val="0"/>
                <w:szCs w:val="20"/>
                <w:highlight w:val="lightGray"/>
              </w:rPr>
            </w:pPr>
            <w:r w:rsidRPr="00683384">
              <w:rPr>
                <w:rFonts w:hint="eastAsia"/>
                <w:color w:val="000000"/>
                <w:w w:val="15"/>
                <w:shd w:val="solid" w:color="000000" w:fill="000000"/>
                <w:fitText w:val="60" w:id="-892700669"/>
                <w14:textFill>
                  <w14:solidFill>
                    <w14:srgbClr w14:val="000000">
                      <w14:alpha w14:val="100000"/>
                    </w14:srgbClr>
                  </w14:solidFill>
                </w14:textFill>
              </w:rPr>
              <w:t xml:space="preserve">　</w:t>
            </w:r>
            <w:r w:rsidRPr="00683384">
              <w:rPr>
                <w:color w:val="000000"/>
                <w:w w:val="15"/>
                <w:shd w:val="solid" w:color="000000" w:fill="000000"/>
                <w:fitText w:val="60" w:id="-892700669"/>
                <w14:textFill>
                  <w14:solidFill>
                    <w14:srgbClr w14:val="000000">
                      <w14:alpha w14:val="100000"/>
                    </w14:srgbClr>
                  </w14:solidFill>
                </w14:textFill>
              </w:rPr>
              <w:t>|</w:t>
            </w:r>
            <w:r w:rsidRPr="00683384">
              <w:rPr>
                <w:rFonts w:hint="eastAsia"/>
                <w:color w:val="000000"/>
                <w:spacing w:val="-5"/>
                <w:w w:val="15"/>
                <w:shd w:val="solid" w:color="000000" w:fill="000000"/>
                <w:fitText w:val="60" w:id="-892700669"/>
                <w14:textFill>
                  <w14:solidFill>
                    <w14:srgbClr w14:val="000000">
                      <w14:alpha w14:val="100000"/>
                    </w14:srgbClr>
                  </w14:solidFill>
                </w14:textFill>
              </w:rPr>
              <w:t xml:space="preserve">　</w:t>
            </w:r>
            <w:r w:rsidR="00734BA6" w:rsidRPr="008D2AC7">
              <w:rPr>
                <w:vertAlign w:val="superscript"/>
              </w:rPr>
              <w:t>3</w:t>
            </w:r>
          </w:p>
        </w:tc>
      </w:tr>
      <w:tr w:rsidR="00C02C69" w:rsidRPr="00D26534" w14:paraId="76F02733" w14:textId="77777777" w:rsidTr="00A635F9">
        <w:trPr>
          <w:tblHeader/>
        </w:trPr>
        <w:tc>
          <w:tcPr>
            <w:tcW w:w="2861" w:type="dxa"/>
            <w:tcBorders>
              <w:bottom w:val="single" w:sz="4" w:space="0" w:color="auto"/>
            </w:tcBorders>
            <w:shd w:val="clear" w:color="auto" w:fill="C6D9F1" w:themeFill="text2" w:themeFillTint="33"/>
          </w:tcPr>
          <w:p w14:paraId="653DAC69" w14:textId="3647489A" w:rsidR="001D3A26" w:rsidRPr="00D26534" w:rsidRDefault="001D3A26" w:rsidP="00C02288">
            <w:pPr>
              <w:pStyle w:val="Tabletext"/>
              <w:keepNext/>
            </w:pPr>
            <w:r w:rsidRPr="00D26534">
              <w:t>Total patients treated with esketamine (July 2023)</w:t>
            </w:r>
          </w:p>
        </w:tc>
        <w:tc>
          <w:tcPr>
            <w:tcW w:w="101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A0C2039" w14:textId="6536F300" w:rsidR="001D3A26" w:rsidRPr="008D2AC7" w:rsidRDefault="00683384" w:rsidP="00C02288">
            <w:pPr>
              <w:pStyle w:val="TableText0"/>
              <w:jc w:val="center"/>
              <w:rPr>
                <w:rStyle w:val="normaltextrun"/>
                <w:rFonts w:cs="Segoe UI"/>
                <w:bCs w:val="0"/>
                <w:szCs w:val="20"/>
                <w:highlight w:val="lightGray"/>
              </w:rPr>
            </w:pPr>
            <w:r w:rsidRPr="00683384">
              <w:rPr>
                <w:rStyle w:val="normaltextrun"/>
                <w:rFonts w:cs="Segoe UI" w:hint="eastAsia"/>
                <w:bCs w:val="0"/>
                <w:color w:val="000000"/>
                <w:w w:val="18"/>
                <w:szCs w:val="20"/>
                <w:shd w:val="solid" w:color="000000" w:fill="000000"/>
                <w:fitText w:val="80" w:id="-892700668"/>
                <w14:textFill>
                  <w14:solidFill>
                    <w14:srgbClr w14:val="000000">
                      <w14:alpha w14:val="100000"/>
                    </w14:srgbClr>
                  </w14:solidFill>
                </w14:textFill>
              </w:rPr>
              <w:t xml:space="preserve">　</w:t>
            </w:r>
            <w:r w:rsidRPr="00683384">
              <w:rPr>
                <w:rStyle w:val="normaltextrun"/>
                <w:rFonts w:cs="Segoe UI"/>
                <w:bCs w:val="0"/>
                <w:color w:val="000000"/>
                <w:w w:val="18"/>
                <w:szCs w:val="20"/>
                <w:shd w:val="solid" w:color="000000" w:fill="000000"/>
                <w:fitText w:val="80" w:id="-892700668"/>
                <w14:textFill>
                  <w14:solidFill>
                    <w14:srgbClr w14:val="000000">
                      <w14:alpha w14:val="100000"/>
                    </w14:srgbClr>
                  </w14:solidFill>
                </w14:textFill>
              </w:rPr>
              <w:t>|</w:t>
            </w:r>
            <w:r w:rsidRPr="00683384">
              <w:rPr>
                <w:rStyle w:val="normaltextrun"/>
                <w:rFonts w:cs="Segoe UI" w:hint="eastAsia"/>
                <w:bCs w:val="0"/>
                <w:color w:val="000000"/>
                <w:w w:val="18"/>
                <w:szCs w:val="20"/>
                <w:shd w:val="solid" w:color="000000" w:fill="000000"/>
                <w:fitText w:val="80" w:id="-892700668"/>
                <w14:textFill>
                  <w14:solidFill>
                    <w14:srgbClr w14:val="000000">
                      <w14:alpha w14:val="100000"/>
                    </w14:srgbClr>
                  </w14:solidFill>
                </w14:textFill>
              </w:rPr>
              <w:t xml:space="preserve">　</w:t>
            </w:r>
            <w:r w:rsidR="00734BA6" w:rsidRPr="00A96044">
              <w:rPr>
                <w:vertAlign w:val="superscript"/>
              </w:rPr>
              <w:t>1</w:t>
            </w:r>
          </w:p>
        </w:tc>
        <w:tc>
          <w:tcPr>
            <w:tcW w:w="1020" w:type="dxa"/>
            <w:tcBorders>
              <w:top w:val="single" w:sz="6" w:space="0" w:color="auto"/>
              <w:left w:val="nil"/>
              <w:bottom w:val="single" w:sz="6" w:space="0" w:color="auto"/>
              <w:right w:val="single" w:sz="6" w:space="0" w:color="auto"/>
            </w:tcBorders>
            <w:shd w:val="clear" w:color="auto" w:fill="C6D9F1" w:themeFill="text2" w:themeFillTint="33"/>
            <w:vAlign w:val="center"/>
          </w:tcPr>
          <w:p w14:paraId="0E3CE9A6" w14:textId="5941F32D" w:rsidR="001D3A26" w:rsidRPr="008D2AC7" w:rsidRDefault="00683384" w:rsidP="00C02288">
            <w:pPr>
              <w:pStyle w:val="TableText0"/>
              <w:jc w:val="center"/>
              <w:rPr>
                <w:rStyle w:val="normaltextrun"/>
                <w:rFonts w:cs="Segoe UI"/>
                <w:bCs w:val="0"/>
                <w:szCs w:val="20"/>
                <w:highlight w:val="lightGray"/>
              </w:rPr>
            </w:pPr>
            <w:r w:rsidRPr="00683384">
              <w:rPr>
                <w:rStyle w:val="normaltextrun"/>
                <w:rFonts w:cs="Segoe UI" w:hint="eastAsia"/>
                <w:bCs w:val="0"/>
                <w:color w:val="000000"/>
                <w:w w:val="18"/>
                <w:szCs w:val="20"/>
                <w:shd w:val="solid" w:color="000000" w:fill="000000"/>
                <w:fitText w:val="80" w:id="-892700667"/>
                <w14:textFill>
                  <w14:solidFill>
                    <w14:srgbClr w14:val="000000">
                      <w14:alpha w14:val="100000"/>
                    </w14:srgbClr>
                  </w14:solidFill>
                </w14:textFill>
              </w:rPr>
              <w:t xml:space="preserve">　</w:t>
            </w:r>
            <w:r w:rsidRPr="00683384">
              <w:rPr>
                <w:rStyle w:val="normaltextrun"/>
                <w:rFonts w:cs="Segoe UI"/>
                <w:bCs w:val="0"/>
                <w:color w:val="000000"/>
                <w:w w:val="18"/>
                <w:szCs w:val="20"/>
                <w:shd w:val="solid" w:color="000000" w:fill="000000"/>
                <w:fitText w:val="80" w:id="-892700667"/>
                <w14:textFill>
                  <w14:solidFill>
                    <w14:srgbClr w14:val="000000">
                      <w14:alpha w14:val="100000"/>
                    </w14:srgbClr>
                  </w14:solidFill>
                </w14:textFill>
              </w:rPr>
              <w:t>|</w:t>
            </w:r>
            <w:r w:rsidRPr="00683384">
              <w:rPr>
                <w:rStyle w:val="normaltextrun"/>
                <w:rFonts w:cs="Segoe UI" w:hint="eastAsia"/>
                <w:bCs w:val="0"/>
                <w:color w:val="000000"/>
                <w:w w:val="18"/>
                <w:szCs w:val="20"/>
                <w:shd w:val="solid" w:color="000000" w:fill="000000"/>
                <w:fitText w:val="80" w:id="-892700667"/>
                <w14:textFill>
                  <w14:solidFill>
                    <w14:srgbClr w14:val="000000">
                      <w14:alpha w14:val="100000"/>
                    </w14:srgbClr>
                  </w14:solidFill>
                </w14:textFill>
              </w:rPr>
              <w:t xml:space="preserve">　</w:t>
            </w:r>
            <w:r w:rsidR="00734BA6" w:rsidRPr="00A96044">
              <w:rPr>
                <w:vertAlign w:val="superscript"/>
              </w:rPr>
              <w:t>1</w:t>
            </w:r>
          </w:p>
        </w:tc>
        <w:tc>
          <w:tcPr>
            <w:tcW w:w="923" w:type="dxa"/>
            <w:tcBorders>
              <w:top w:val="single" w:sz="6" w:space="0" w:color="auto"/>
              <w:left w:val="nil"/>
              <w:bottom w:val="single" w:sz="6" w:space="0" w:color="auto"/>
              <w:right w:val="single" w:sz="6" w:space="0" w:color="auto"/>
            </w:tcBorders>
            <w:shd w:val="clear" w:color="auto" w:fill="C6D9F1" w:themeFill="text2" w:themeFillTint="33"/>
            <w:vAlign w:val="center"/>
          </w:tcPr>
          <w:p w14:paraId="51DC4EF5" w14:textId="359CC6FA" w:rsidR="001D3A26" w:rsidRPr="008D2AC7" w:rsidRDefault="00683384" w:rsidP="00C02288">
            <w:pPr>
              <w:pStyle w:val="TableText0"/>
              <w:jc w:val="center"/>
              <w:rPr>
                <w:rStyle w:val="normaltextrun"/>
                <w:rFonts w:cs="Segoe UI"/>
                <w:bCs w:val="0"/>
                <w:szCs w:val="20"/>
                <w:highlight w:val="lightGray"/>
              </w:rPr>
            </w:pPr>
            <w:r w:rsidRPr="00683384">
              <w:rPr>
                <w:rStyle w:val="normaltextrun"/>
                <w:rFonts w:cs="Segoe UI" w:hint="eastAsia"/>
                <w:bCs w:val="0"/>
                <w:color w:val="000000"/>
                <w:w w:val="27"/>
                <w:szCs w:val="20"/>
                <w:shd w:val="solid" w:color="000000" w:fill="000000"/>
                <w:fitText w:val="120" w:id="-892700666"/>
                <w14:textFill>
                  <w14:solidFill>
                    <w14:srgbClr w14:val="000000">
                      <w14:alpha w14:val="100000"/>
                    </w14:srgbClr>
                  </w14:solidFill>
                </w14:textFill>
              </w:rPr>
              <w:t xml:space="preserve">　</w:t>
            </w:r>
            <w:r w:rsidRPr="00683384">
              <w:rPr>
                <w:rStyle w:val="normaltextrun"/>
                <w:rFonts w:cs="Segoe UI"/>
                <w:bCs w:val="0"/>
                <w:color w:val="000000"/>
                <w:w w:val="27"/>
                <w:szCs w:val="20"/>
                <w:shd w:val="solid" w:color="000000" w:fill="000000"/>
                <w:fitText w:val="120" w:id="-892700666"/>
                <w14:textFill>
                  <w14:solidFill>
                    <w14:srgbClr w14:val="000000">
                      <w14:alpha w14:val="100000"/>
                    </w14:srgbClr>
                  </w14:solidFill>
                </w14:textFill>
              </w:rPr>
              <w:t>|</w:t>
            </w:r>
            <w:r w:rsidRPr="00683384">
              <w:rPr>
                <w:rStyle w:val="normaltextrun"/>
                <w:rFonts w:cs="Segoe UI" w:hint="eastAsia"/>
                <w:bCs w:val="0"/>
                <w:color w:val="000000"/>
                <w:spacing w:val="2"/>
                <w:w w:val="27"/>
                <w:szCs w:val="20"/>
                <w:shd w:val="solid" w:color="000000" w:fill="000000"/>
                <w:fitText w:val="120" w:id="-892700666"/>
                <w14:textFill>
                  <w14:solidFill>
                    <w14:srgbClr w14:val="000000">
                      <w14:alpha w14:val="100000"/>
                    </w14:srgbClr>
                  </w14:solidFill>
                </w14:textFill>
              </w:rPr>
              <w:t xml:space="preserve">　</w:t>
            </w:r>
            <w:r w:rsidR="00734BA6" w:rsidRPr="00A96044">
              <w:rPr>
                <w:vertAlign w:val="superscript"/>
              </w:rPr>
              <w:t>2</w:t>
            </w:r>
          </w:p>
        </w:tc>
        <w:tc>
          <w:tcPr>
            <w:tcW w:w="1118" w:type="dxa"/>
            <w:tcBorders>
              <w:top w:val="single" w:sz="6" w:space="0" w:color="auto"/>
              <w:left w:val="nil"/>
              <w:bottom w:val="single" w:sz="6" w:space="0" w:color="auto"/>
              <w:right w:val="single" w:sz="6" w:space="0" w:color="auto"/>
            </w:tcBorders>
            <w:shd w:val="clear" w:color="auto" w:fill="C6D9F1" w:themeFill="text2" w:themeFillTint="33"/>
            <w:vAlign w:val="center"/>
          </w:tcPr>
          <w:p w14:paraId="0BCDFC0D" w14:textId="6451C980" w:rsidR="001D3A26" w:rsidRPr="008D2AC7" w:rsidRDefault="00683384" w:rsidP="00C02288">
            <w:pPr>
              <w:pStyle w:val="TableText0"/>
              <w:jc w:val="center"/>
              <w:rPr>
                <w:rStyle w:val="normaltextrun"/>
                <w:rFonts w:cs="Segoe UI"/>
                <w:bCs w:val="0"/>
                <w:szCs w:val="20"/>
                <w:highlight w:val="lightGray"/>
              </w:rPr>
            </w:pPr>
            <w:r w:rsidRPr="00683384">
              <w:rPr>
                <w:rStyle w:val="normaltextrun"/>
                <w:rFonts w:cs="Segoe UI" w:hint="eastAsia"/>
                <w:bCs w:val="0"/>
                <w:color w:val="000000"/>
                <w:w w:val="15"/>
                <w:szCs w:val="20"/>
                <w:shd w:val="solid" w:color="000000" w:fill="000000"/>
                <w:fitText w:val="30" w:id="-892700665"/>
                <w14:textFill>
                  <w14:solidFill>
                    <w14:srgbClr w14:val="000000">
                      <w14:alpha w14:val="100000"/>
                    </w14:srgbClr>
                  </w14:solidFill>
                </w14:textFill>
              </w:rPr>
              <w:t xml:space="preserve">　</w:t>
            </w:r>
            <w:r w:rsidRPr="00683384">
              <w:rPr>
                <w:rStyle w:val="normaltextrun"/>
                <w:rFonts w:cs="Segoe UI"/>
                <w:bCs w:val="0"/>
                <w:color w:val="000000"/>
                <w:w w:val="15"/>
                <w:szCs w:val="20"/>
                <w:shd w:val="solid" w:color="000000" w:fill="000000"/>
                <w:fitText w:val="30" w:id="-892700665"/>
                <w14:textFill>
                  <w14:solidFill>
                    <w14:srgbClr w14:val="000000">
                      <w14:alpha w14:val="100000"/>
                    </w14:srgbClr>
                  </w14:solidFill>
                </w14:textFill>
              </w:rPr>
              <w:t>|</w:t>
            </w:r>
            <w:r w:rsidRPr="00683384">
              <w:rPr>
                <w:rStyle w:val="normaltextrun"/>
                <w:rFonts w:cs="Segoe UI" w:hint="eastAsia"/>
                <w:bCs w:val="0"/>
                <w:color w:val="000000"/>
                <w:spacing w:val="-35"/>
                <w:w w:val="15"/>
                <w:szCs w:val="20"/>
                <w:shd w:val="solid" w:color="000000" w:fill="000000"/>
                <w:fitText w:val="30" w:id="-892700665"/>
                <w14:textFill>
                  <w14:solidFill>
                    <w14:srgbClr w14:val="000000">
                      <w14:alpha w14:val="100000"/>
                    </w14:srgbClr>
                  </w14:solidFill>
                </w14:textFill>
              </w:rPr>
              <w:t xml:space="preserve">　</w:t>
            </w:r>
            <w:r w:rsidR="00734BA6" w:rsidRPr="00A96044">
              <w:rPr>
                <w:vertAlign w:val="superscript"/>
              </w:rPr>
              <w:t>2</w:t>
            </w:r>
          </w:p>
        </w:tc>
        <w:tc>
          <w:tcPr>
            <w:tcW w:w="1020" w:type="dxa"/>
            <w:tcBorders>
              <w:top w:val="single" w:sz="6" w:space="0" w:color="auto"/>
              <w:left w:val="nil"/>
              <w:bottom w:val="single" w:sz="6" w:space="0" w:color="auto"/>
              <w:right w:val="single" w:sz="6" w:space="0" w:color="auto"/>
            </w:tcBorders>
            <w:shd w:val="clear" w:color="auto" w:fill="C6D9F1" w:themeFill="text2" w:themeFillTint="33"/>
            <w:vAlign w:val="center"/>
          </w:tcPr>
          <w:p w14:paraId="784B398A" w14:textId="35481250" w:rsidR="001D3A26" w:rsidRPr="008D2AC7" w:rsidRDefault="00683384" w:rsidP="00C02288">
            <w:pPr>
              <w:pStyle w:val="TableText0"/>
              <w:jc w:val="center"/>
              <w:rPr>
                <w:rStyle w:val="normaltextrun"/>
                <w:rFonts w:cs="Segoe UI"/>
                <w:bCs w:val="0"/>
                <w:szCs w:val="20"/>
                <w:highlight w:val="lightGray"/>
              </w:rPr>
            </w:pPr>
            <w:r w:rsidRPr="00683384">
              <w:rPr>
                <w:rStyle w:val="normaltextrun"/>
                <w:rFonts w:cs="Segoe UI" w:hint="eastAsia"/>
                <w:bCs w:val="0"/>
                <w:color w:val="000000"/>
                <w:w w:val="18"/>
                <w:szCs w:val="20"/>
                <w:shd w:val="solid" w:color="000000" w:fill="000000"/>
                <w:fitText w:val="80" w:id="-892700664"/>
                <w14:textFill>
                  <w14:solidFill>
                    <w14:srgbClr w14:val="000000">
                      <w14:alpha w14:val="100000"/>
                    </w14:srgbClr>
                  </w14:solidFill>
                </w14:textFill>
              </w:rPr>
              <w:t xml:space="preserve">　</w:t>
            </w:r>
            <w:r w:rsidRPr="00683384">
              <w:rPr>
                <w:rStyle w:val="normaltextrun"/>
                <w:rFonts w:cs="Segoe UI"/>
                <w:bCs w:val="0"/>
                <w:color w:val="000000"/>
                <w:w w:val="18"/>
                <w:szCs w:val="20"/>
                <w:shd w:val="solid" w:color="000000" w:fill="000000"/>
                <w:fitText w:val="80" w:id="-892700664"/>
                <w14:textFill>
                  <w14:solidFill>
                    <w14:srgbClr w14:val="000000">
                      <w14:alpha w14:val="100000"/>
                    </w14:srgbClr>
                  </w14:solidFill>
                </w14:textFill>
              </w:rPr>
              <w:t>|</w:t>
            </w:r>
            <w:r w:rsidRPr="00683384">
              <w:rPr>
                <w:rStyle w:val="normaltextrun"/>
                <w:rFonts w:cs="Segoe UI" w:hint="eastAsia"/>
                <w:bCs w:val="0"/>
                <w:color w:val="000000"/>
                <w:w w:val="18"/>
                <w:szCs w:val="20"/>
                <w:shd w:val="solid" w:color="000000" w:fill="000000"/>
                <w:fitText w:val="80" w:id="-892700664"/>
                <w14:textFill>
                  <w14:solidFill>
                    <w14:srgbClr w14:val="000000">
                      <w14:alpha w14:val="100000"/>
                    </w14:srgbClr>
                  </w14:solidFill>
                </w14:textFill>
              </w:rPr>
              <w:t xml:space="preserve">　</w:t>
            </w:r>
            <w:r w:rsidR="00734BA6" w:rsidRPr="00A96044">
              <w:rPr>
                <w:vertAlign w:val="superscript"/>
              </w:rPr>
              <w:t>2</w:t>
            </w:r>
          </w:p>
        </w:tc>
        <w:tc>
          <w:tcPr>
            <w:tcW w:w="1050" w:type="dxa"/>
            <w:tcBorders>
              <w:top w:val="single" w:sz="6" w:space="0" w:color="auto"/>
              <w:left w:val="nil"/>
              <w:bottom w:val="single" w:sz="6" w:space="0" w:color="auto"/>
              <w:right w:val="single" w:sz="6" w:space="0" w:color="auto"/>
            </w:tcBorders>
            <w:shd w:val="clear" w:color="auto" w:fill="C6D9F1" w:themeFill="text2" w:themeFillTint="33"/>
            <w:vAlign w:val="center"/>
          </w:tcPr>
          <w:p w14:paraId="78EB5386" w14:textId="3F58E50C" w:rsidR="001D3A26" w:rsidRPr="008D2AC7" w:rsidRDefault="00683384" w:rsidP="00C02288">
            <w:pPr>
              <w:pStyle w:val="TableText0"/>
              <w:jc w:val="center"/>
              <w:rPr>
                <w:rStyle w:val="normaltextrun"/>
                <w:rFonts w:cs="Segoe UI"/>
                <w:bCs w:val="0"/>
                <w:szCs w:val="20"/>
                <w:highlight w:val="lightGray"/>
              </w:rPr>
            </w:pPr>
            <w:r w:rsidRPr="00683384">
              <w:rPr>
                <w:rStyle w:val="normaltextrun"/>
                <w:rFonts w:cs="Segoe UI" w:hint="eastAsia"/>
                <w:bCs w:val="0"/>
                <w:color w:val="000000"/>
                <w:w w:val="15"/>
                <w:szCs w:val="20"/>
                <w:shd w:val="solid" w:color="000000" w:fill="000000"/>
                <w:fitText w:val="60" w:id="-892700663"/>
                <w14:textFill>
                  <w14:solidFill>
                    <w14:srgbClr w14:val="000000">
                      <w14:alpha w14:val="100000"/>
                    </w14:srgbClr>
                  </w14:solidFill>
                </w14:textFill>
              </w:rPr>
              <w:t xml:space="preserve">　</w:t>
            </w:r>
            <w:r w:rsidRPr="00683384">
              <w:rPr>
                <w:rStyle w:val="normaltextrun"/>
                <w:rFonts w:cs="Segoe UI"/>
                <w:bCs w:val="0"/>
                <w:color w:val="000000"/>
                <w:w w:val="15"/>
                <w:szCs w:val="20"/>
                <w:shd w:val="solid" w:color="000000" w:fill="000000"/>
                <w:fitText w:val="60" w:id="-892700663"/>
                <w14:textFill>
                  <w14:solidFill>
                    <w14:srgbClr w14:val="000000">
                      <w14:alpha w14:val="100000"/>
                    </w14:srgbClr>
                  </w14:solidFill>
                </w14:textFill>
              </w:rPr>
              <w:t>|</w:t>
            </w:r>
            <w:r w:rsidRPr="00683384">
              <w:rPr>
                <w:rStyle w:val="normaltextrun"/>
                <w:rFonts w:cs="Segoe UI" w:hint="eastAsia"/>
                <w:bCs w:val="0"/>
                <w:color w:val="000000"/>
                <w:spacing w:val="-5"/>
                <w:w w:val="15"/>
                <w:szCs w:val="20"/>
                <w:shd w:val="solid" w:color="000000" w:fill="000000"/>
                <w:fitText w:val="60" w:id="-892700663"/>
                <w14:textFill>
                  <w14:solidFill>
                    <w14:srgbClr w14:val="000000">
                      <w14:alpha w14:val="100000"/>
                    </w14:srgbClr>
                  </w14:solidFill>
                </w14:textFill>
              </w:rPr>
              <w:t xml:space="preserve">　</w:t>
            </w:r>
            <w:r w:rsidR="00734BA6" w:rsidRPr="00A96044">
              <w:rPr>
                <w:vertAlign w:val="superscript"/>
              </w:rPr>
              <w:t>2</w:t>
            </w:r>
          </w:p>
        </w:tc>
      </w:tr>
      <w:tr w:rsidR="00564933" w:rsidRPr="00D26534" w14:paraId="679C0D57" w14:textId="77777777" w:rsidTr="00A635F9">
        <w:trPr>
          <w:tblHeader/>
        </w:trPr>
        <w:tc>
          <w:tcPr>
            <w:tcW w:w="2861" w:type="dxa"/>
            <w:shd w:val="clear" w:color="auto" w:fill="auto"/>
          </w:tcPr>
          <w:p w14:paraId="761CC28A" w14:textId="77777777" w:rsidR="00B01054" w:rsidRPr="00D26534" w:rsidRDefault="00B01054" w:rsidP="00C02288">
            <w:pPr>
              <w:pStyle w:val="Tabletext"/>
              <w:keepNext/>
            </w:pPr>
            <w:r w:rsidRPr="00D26534">
              <w:t>Total scripts</w:t>
            </w:r>
          </w:p>
        </w:tc>
        <w:tc>
          <w:tcPr>
            <w:tcW w:w="1019" w:type="dxa"/>
            <w:tcBorders>
              <w:bottom w:val="single" w:sz="4" w:space="0" w:color="auto"/>
            </w:tcBorders>
            <w:shd w:val="clear" w:color="auto" w:fill="auto"/>
          </w:tcPr>
          <w:p w14:paraId="48602171" w14:textId="655E7C71" w:rsidR="00B01054" w:rsidRPr="008D2AC7" w:rsidRDefault="00683384" w:rsidP="00C02288">
            <w:pPr>
              <w:pStyle w:val="TableText0"/>
              <w:jc w:val="center"/>
              <w:rPr>
                <w:szCs w:val="20"/>
                <w:highlight w:val="lightGray"/>
              </w:rPr>
            </w:pPr>
            <w:r w:rsidRPr="007A7EF7">
              <w:rPr>
                <w:rFonts w:hint="eastAsia"/>
                <w:color w:val="000000"/>
                <w:w w:val="22"/>
                <w:shd w:val="solid" w:color="000000" w:fill="000000"/>
                <w:fitText w:val="100" w:id="-892700662"/>
                <w14:textFill>
                  <w14:solidFill>
                    <w14:srgbClr w14:val="000000">
                      <w14:alpha w14:val="100000"/>
                    </w14:srgbClr>
                  </w14:solidFill>
                </w14:textFill>
              </w:rPr>
              <w:t xml:space="preserve">　</w:t>
            </w:r>
            <w:r w:rsidRPr="007A7EF7">
              <w:rPr>
                <w:color w:val="000000"/>
                <w:w w:val="22"/>
                <w:shd w:val="solid" w:color="000000" w:fill="000000"/>
                <w:fitText w:val="100" w:id="-892700662"/>
                <w14:textFill>
                  <w14:solidFill>
                    <w14:srgbClr w14:val="000000">
                      <w14:alpha w14:val="100000"/>
                    </w14:srgbClr>
                  </w14:solidFill>
                </w14:textFill>
              </w:rPr>
              <w:t>|</w:t>
            </w:r>
            <w:r w:rsidRPr="007A7EF7">
              <w:rPr>
                <w:rFonts w:hint="eastAsia"/>
                <w:color w:val="000000"/>
                <w:spacing w:val="3"/>
                <w:w w:val="22"/>
                <w:shd w:val="solid" w:color="000000" w:fill="000000"/>
                <w:fitText w:val="100" w:id="-892700662"/>
                <w14:textFill>
                  <w14:solidFill>
                    <w14:srgbClr w14:val="000000">
                      <w14:alpha w14:val="100000"/>
                    </w14:srgbClr>
                  </w14:solidFill>
                </w14:textFill>
              </w:rPr>
              <w:t xml:space="preserve">　</w:t>
            </w:r>
            <w:r w:rsidR="00A60C7B" w:rsidRPr="00A60C7B">
              <w:t xml:space="preserve"> </w:t>
            </w:r>
            <w:r w:rsidR="00734BA6" w:rsidRPr="00A96044">
              <w:rPr>
                <w:vertAlign w:val="superscript"/>
              </w:rPr>
              <w:t>3</w:t>
            </w:r>
          </w:p>
        </w:tc>
        <w:tc>
          <w:tcPr>
            <w:tcW w:w="1020" w:type="dxa"/>
            <w:tcBorders>
              <w:bottom w:val="single" w:sz="4" w:space="0" w:color="auto"/>
            </w:tcBorders>
            <w:shd w:val="clear" w:color="auto" w:fill="auto"/>
          </w:tcPr>
          <w:p w14:paraId="2AEFC8E3" w14:textId="1D755667" w:rsidR="00B01054" w:rsidRPr="008D2AC7" w:rsidRDefault="00683384" w:rsidP="00C02288">
            <w:pPr>
              <w:pStyle w:val="TableText0"/>
              <w:jc w:val="center"/>
              <w:rPr>
                <w:szCs w:val="20"/>
                <w:highlight w:val="lightGray"/>
              </w:rPr>
            </w:pPr>
            <w:r w:rsidRPr="007A7EF7">
              <w:rPr>
                <w:rFonts w:hint="eastAsia"/>
                <w:color w:val="000000"/>
                <w:w w:val="22"/>
                <w:shd w:val="solid" w:color="000000" w:fill="000000"/>
                <w:fitText w:val="100" w:id="-892700661"/>
                <w14:textFill>
                  <w14:solidFill>
                    <w14:srgbClr w14:val="000000">
                      <w14:alpha w14:val="100000"/>
                    </w14:srgbClr>
                  </w14:solidFill>
                </w14:textFill>
              </w:rPr>
              <w:t xml:space="preserve">　</w:t>
            </w:r>
            <w:r w:rsidRPr="007A7EF7">
              <w:rPr>
                <w:color w:val="000000"/>
                <w:w w:val="22"/>
                <w:shd w:val="solid" w:color="000000" w:fill="000000"/>
                <w:fitText w:val="100" w:id="-892700661"/>
                <w14:textFill>
                  <w14:solidFill>
                    <w14:srgbClr w14:val="000000">
                      <w14:alpha w14:val="100000"/>
                    </w14:srgbClr>
                  </w14:solidFill>
                </w14:textFill>
              </w:rPr>
              <w:t>|</w:t>
            </w:r>
            <w:r w:rsidRPr="007A7EF7">
              <w:rPr>
                <w:rFonts w:hint="eastAsia"/>
                <w:color w:val="000000"/>
                <w:spacing w:val="3"/>
                <w:w w:val="22"/>
                <w:shd w:val="solid" w:color="000000" w:fill="000000"/>
                <w:fitText w:val="100" w:id="-892700661"/>
                <w14:textFill>
                  <w14:solidFill>
                    <w14:srgbClr w14:val="000000">
                      <w14:alpha w14:val="100000"/>
                    </w14:srgbClr>
                  </w14:solidFill>
                </w14:textFill>
              </w:rPr>
              <w:t xml:space="preserve">　</w:t>
            </w:r>
            <w:r w:rsidR="00A60C7B" w:rsidRPr="00A60C7B">
              <w:t xml:space="preserve"> </w:t>
            </w:r>
            <w:r w:rsidR="00734BA6" w:rsidRPr="008D2AC7">
              <w:rPr>
                <w:vertAlign w:val="superscript"/>
              </w:rPr>
              <w:t>4</w:t>
            </w:r>
          </w:p>
        </w:tc>
        <w:tc>
          <w:tcPr>
            <w:tcW w:w="923" w:type="dxa"/>
            <w:tcBorders>
              <w:bottom w:val="single" w:sz="4" w:space="0" w:color="auto"/>
            </w:tcBorders>
            <w:shd w:val="clear" w:color="auto" w:fill="auto"/>
          </w:tcPr>
          <w:p w14:paraId="4BFA8854" w14:textId="5C37F332" w:rsidR="00B01054" w:rsidRPr="008D2AC7" w:rsidRDefault="00683384" w:rsidP="00C02288">
            <w:pPr>
              <w:pStyle w:val="TableText0"/>
              <w:jc w:val="center"/>
              <w:rPr>
                <w:szCs w:val="20"/>
                <w:highlight w:val="lightGray"/>
              </w:rPr>
            </w:pPr>
            <w:r w:rsidRPr="00683384">
              <w:rPr>
                <w:rFonts w:hint="eastAsia"/>
                <w:color w:val="000000"/>
                <w:w w:val="27"/>
                <w:shd w:val="solid" w:color="000000" w:fill="000000"/>
                <w:fitText w:val="120" w:id="-892700660"/>
                <w14:textFill>
                  <w14:solidFill>
                    <w14:srgbClr w14:val="000000">
                      <w14:alpha w14:val="100000"/>
                    </w14:srgbClr>
                  </w14:solidFill>
                </w14:textFill>
              </w:rPr>
              <w:t xml:space="preserve">　</w:t>
            </w:r>
            <w:r w:rsidRPr="00683384">
              <w:rPr>
                <w:color w:val="000000"/>
                <w:w w:val="27"/>
                <w:shd w:val="solid" w:color="000000" w:fill="000000"/>
                <w:fitText w:val="120" w:id="-892700660"/>
                <w14:textFill>
                  <w14:solidFill>
                    <w14:srgbClr w14:val="000000">
                      <w14:alpha w14:val="100000"/>
                    </w14:srgbClr>
                  </w14:solidFill>
                </w14:textFill>
              </w:rPr>
              <w:t>|</w:t>
            </w:r>
            <w:r w:rsidRPr="00683384">
              <w:rPr>
                <w:rFonts w:hint="eastAsia"/>
                <w:color w:val="000000"/>
                <w:spacing w:val="2"/>
                <w:w w:val="27"/>
                <w:shd w:val="solid" w:color="000000" w:fill="000000"/>
                <w:fitText w:val="120" w:id="-892700660"/>
                <w14:textFill>
                  <w14:solidFill>
                    <w14:srgbClr w14:val="000000">
                      <w14:alpha w14:val="100000"/>
                    </w14:srgbClr>
                  </w14:solidFill>
                </w14:textFill>
              </w:rPr>
              <w:t xml:space="preserve">　</w:t>
            </w:r>
            <w:r w:rsidR="00734BA6" w:rsidRPr="008D2AC7">
              <w:rPr>
                <w:vertAlign w:val="superscript"/>
              </w:rPr>
              <w:t>5</w:t>
            </w:r>
            <w:r w:rsidR="00A60C7B" w:rsidRPr="00A60C7B">
              <w:t xml:space="preserve"> </w:t>
            </w:r>
          </w:p>
        </w:tc>
        <w:tc>
          <w:tcPr>
            <w:tcW w:w="1118" w:type="dxa"/>
            <w:tcBorders>
              <w:bottom w:val="single" w:sz="4" w:space="0" w:color="auto"/>
            </w:tcBorders>
            <w:shd w:val="clear" w:color="auto" w:fill="auto"/>
          </w:tcPr>
          <w:p w14:paraId="654CCC84" w14:textId="3BC7B1EB" w:rsidR="00B01054" w:rsidRPr="008D2AC7" w:rsidRDefault="00683384" w:rsidP="00C02288">
            <w:pPr>
              <w:pStyle w:val="TableText0"/>
              <w:jc w:val="center"/>
              <w:rPr>
                <w:szCs w:val="20"/>
                <w:highlight w:val="lightGray"/>
              </w:rPr>
            </w:pPr>
            <w:r w:rsidRPr="007A7EF7">
              <w:rPr>
                <w:rFonts w:hint="eastAsia"/>
                <w:color w:val="000000"/>
                <w:w w:val="15"/>
                <w:shd w:val="solid" w:color="000000" w:fill="000000"/>
                <w:fitText w:val="50" w:id="-892700659"/>
                <w14:textFill>
                  <w14:solidFill>
                    <w14:srgbClr w14:val="000000">
                      <w14:alpha w14:val="100000"/>
                    </w14:srgbClr>
                  </w14:solidFill>
                </w14:textFill>
              </w:rPr>
              <w:t xml:space="preserve">　</w:t>
            </w:r>
            <w:r w:rsidRPr="007A7EF7">
              <w:rPr>
                <w:color w:val="000000"/>
                <w:w w:val="15"/>
                <w:shd w:val="solid" w:color="000000" w:fill="000000"/>
                <w:fitText w:val="50" w:id="-892700659"/>
                <w14:textFill>
                  <w14:solidFill>
                    <w14:srgbClr w14:val="000000">
                      <w14:alpha w14:val="100000"/>
                    </w14:srgbClr>
                  </w14:solidFill>
                </w14:textFill>
              </w:rPr>
              <w:t>|</w:t>
            </w:r>
            <w:r w:rsidRPr="007A7EF7">
              <w:rPr>
                <w:rFonts w:hint="eastAsia"/>
                <w:color w:val="000000"/>
                <w:spacing w:val="-15"/>
                <w:w w:val="15"/>
                <w:shd w:val="solid" w:color="000000" w:fill="000000"/>
                <w:fitText w:val="50" w:id="-892700659"/>
                <w14:textFill>
                  <w14:solidFill>
                    <w14:srgbClr w14:val="000000">
                      <w14:alpha w14:val="100000"/>
                    </w14:srgbClr>
                  </w14:solidFill>
                </w14:textFill>
              </w:rPr>
              <w:t xml:space="preserve">　</w:t>
            </w:r>
            <w:r w:rsidR="00A60C7B" w:rsidRPr="00A60C7B">
              <w:t xml:space="preserve"> </w:t>
            </w:r>
            <w:r w:rsidR="00734BA6" w:rsidRPr="008D2AC7">
              <w:rPr>
                <w:vertAlign w:val="superscript"/>
              </w:rPr>
              <w:t>6</w:t>
            </w:r>
          </w:p>
        </w:tc>
        <w:tc>
          <w:tcPr>
            <w:tcW w:w="1020" w:type="dxa"/>
            <w:tcBorders>
              <w:bottom w:val="single" w:sz="4" w:space="0" w:color="auto"/>
            </w:tcBorders>
            <w:shd w:val="clear" w:color="auto" w:fill="auto"/>
          </w:tcPr>
          <w:p w14:paraId="4E4EC12A" w14:textId="56E14F40" w:rsidR="00B01054" w:rsidRPr="008D2AC7" w:rsidRDefault="00683384" w:rsidP="00C02288">
            <w:pPr>
              <w:pStyle w:val="TableText0"/>
              <w:jc w:val="center"/>
              <w:rPr>
                <w:szCs w:val="20"/>
                <w:highlight w:val="lightGray"/>
              </w:rPr>
            </w:pPr>
            <w:r w:rsidRPr="00683384">
              <w:rPr>
                <w:rFonts w:hint="eastAsia"/>
                <w:color w:val="000000"/>
                <w:w w:val="22"/>
                <w:shd w:val="solid" w:color="000000" w:fill="000000"/>
                <w:fitText w:val="100" w:id="-892700658"/>
                <w14:textFill>
                  <w14:solidFill>
                    <w14:srgbClr w14:val="000000">
                      <w14:alpha w14:val="100000"/>
                    </w14:srgbClr>
                  </w14:solidFill>
                </w14:textFill>
              </w:rPr>
              <w:t xml:space="preserve">　</w:t>
            </w:r>
            <w:r w:rsidRPr="00683384">
              <w:rPr>
                <w:color w:val="000000"/>
                <w:w w:val="22"/>
                <w:shd w:val="solid" w:color="000000" w:fill="000000"/>
                <w:fitText w:val="100" w:id="-892700658"/>
                <w14:textFill>
                  <w14:solidFill>
                    <w14:srgbClr w14:val="000000">
                      <w14:alpha w14:val="100000"/>
                    </w14:srgbClr>
                  </w14:solidFill>
                </w14:textFill>
              </w:rPr>
              <w:t>|</w:t>
            </w:r>
            <w:r w:rsidRPr="00683384">
              <w:rPr>
                <w:rFonts w:hint="eastAsia"/>
                <w:color w:val="000000"/>
                <w:spacing w:val="3"/>
                <w:w w:val="22"/>
                <w:shd w:val="solid" w:color="000000" w:fill="000000"/>
                <w:fitText w:val="100" w:id="-892700658"/>
                <w14:textFill>
                  <w14:solidFill>
                    <w14:srgbClr w14:val="000000">
                      <w14:alpha w14:val="100000"/>
                    </w14:srgbClr>
                  </w14:solidFill>
                </w14:textFill>
              </w:rPr>
              <w:t xml:space="preserve">　</w:t>
            </w:r>
            <w:r w:rsidR="00A60C7B" w:rsidRPr="00A60C7B">
              <w:t xml:space="preserve"> </w:t>
            </w:r>
            <w:r w:rsidR="00EB1072" w:rsidRPr="00A96044">
              <w:rPr>
                <w:vertAlign w:val="superscript"/>
              </w:rPr>
              <w:t>6</w:t>
            </w:r>
          </w:p>
        </w:tc>
        <w:tc>
          <w:tcPr>
            <w:tcW w:w="1050" w:type="dxa"/>
            <w:tcBorders>
              <w:bottom w:val="single" w:sz="4" w:space="0" w:color="auto"/>
            </w:tcBorders>
            <w:shd w:val="clear" w:color="auto" w:fill="auto"/>
          </w:tcPr>
          <w:p w14:paraId="3E554099" w14:textId="44101F5F" w:rsidR="00B01054" w:rsidRPr="008D2AC7" w:rsidRDefault="00683384" w:rsidP="00C02288">
            <w:pPr>
              <w:pStyle w:val="TableText0"/>
              <w:jc w:val="center"/>
              <w:rPr>
                <w:szCs w:val="20"/>
                <w:highlight w:val="lightGray"/>
              </w:rPr>
            </w:pPr>
            <w:r w:rsidRPr="00683384">
              <w:rPr>
                <w:rFonts w:hint="eastAsia"/>
                <w:color w:val="000000"/>
                <w:w w:val="18"/>
                <w:shd w:val="solid" w:color="000000" w:fill="000000"/>
                <w:fitText w:val="80" w:id="-892700657"/>
                <w14:textFill>
                  <w14:solidFill>
                    <w14:srgbClr w14:val="000000">
                      <w14:alpha w14:val="100000"/>
                    </w14:srgbClr>
                  </w14:solidFill>
                </w14:textFill>
              </w:rPr>
              <w:t xml:space="preserve">　</w:t>
            </w:r>
            <w:r w:rsidRPr="00683384">
              <w:rPr>
                <w:color w:val="000000"/>
                <w:w w:val="18"/>
                <w:shd w:val="solid" w:color="000000" w:fill="000000"/>
                <w:fitText w:val="80" w:id="-892700657"/>
                <w14:textFill>
                  <w14:solidFill>
                    <w14:srgbClr w14:val="000000">
                      <w14:alpha w14:val="100000"/>
                    </w14:srgbClr>
                  </w14:solidFill>
                </w14:textFill>
              </w:rPr>
              <w:t>|</w:t>
            </w:r>
            <w:r w:rsidRPr="00683384">
              <w:rPr>
                <w:rFonts w:hint="eastAsia"/>
                <w:color w:val="000000"/>
                <w:w w:val="18"/>
                <w:shd w:val="solid" w:color="000000" w:fill="000000"/>
                <w:fitText w:val="80" w:id="-892700657"/>
                <w14:textFill>
                  <w14:solidFill>
                    <w14:srgbClr w14:val="000000">
                      <w14:alpha w14:val="100000"/>
                    </w14:srgbClr>
                  </w14:solidFill>
                </w14:textFill>
              </w:rPr>
              <w:t xml:space="preserve">　</w:t>
            </w:r>
            <w:r w:rsidR="00A60C7B" w:rsidRPr="00A60C7B">
              <w:t xml:space="preserve"> </w:t>
            </w:r>
            <w:r w:rsidR="00EB1072" w:rsidRPr="00A96044">
              <w:rPr>
                <w:vertAlign w:val="superscript"/>
              </w:rPr>
              <w:t>6</w:t>
            </w:r>
          </w:p>
        </w:tc>
      </w:tr>
      <w:tr w:rsidR="00C02C69" w:rsidRPr="00D26534" w14:paraId="713E19DA" w14:textId="77777777" w:rsidTr="00A635F9">
        <w:trPr>
          <w:tblHeader/>
        </w:trPr>
        <w:tc>
          <w:tcPr>
            <w:tcW w:w="2861" w:type="dxa"/>
            <w:shd w:val="clear" w:color="auto" w:fill="C6D9F1" w:themeFill="text2" w:themeFillTint="33"/>
          </w:tcPr>
          <w:p w14:paraId="68B8A1B0" w14:textId="77AB0E33" w:rsidR="00B01054" w:rsidRPr="00D26534" w:rsidRDefault="00B01054" w:rsidP="00C02288">
            <w:pPr>
              <w:pStyle w:val="Tabletext"/>
              <w:keepNext/>
            </w:pPr>
            <w:r w:rsidRPr="00D26534">
              <w:t>Total scripts (July 2023)</w:t>
            </w:r>
          </w:p>
        </w:tc>
        <w:tc>
          <w:tcPr>
            <w:tcW w:w="101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E1FCA09" w14:textId="62620112" w:rsidR="00B01054" w:rsidRPr="008D2AC7" w:rsidRDefault="00683384" w:rsidP="00C02288">
            <w:pPr>
              <w:pStyle w:val="TableText0"/>
              <w:jc w:val="center"/>
              <w:rPr>
                <w:rStyle w:val="normaltextrun"/>
                <w:bCs w:val="0"/>
                <w:highlight w:val="lightGray"/>
              </w:rPr>
            </w:pPr>
            <w:r w:rsidRPr="00683384">
              <w:rPr>
                <w:rStyle w:val="normaltextrun"/>
                <w:rFonts w:cs="Segoe UI" w:hint="eastAsia"/>
                <w:bCs w:val="0"/>
                <w:color w:val="000000"/>
                <w:w w:val="15"/>
                <w:szCs w:val="20"/>
                <w:shd w:val="solid" w:color="000000" w:fill="000000"/>
                <w:fitText w:val="60" w:id="-892700656"/>
                <w14:textFill>
                  <w14:solidFill>
                    <w14:srgbClr w14:val="000000">
                      <w14:alpha w14:val="100000"/>
                    </w14:srgbClr>
                  </w14:solidFill>
                </w14:textFill>
              </w:rPr>
              <w:t xml:space="preserve">　</w:t>
            </w:r>
            <w:r w:rsidRPr="00683384">
              <w:rPr>
                <w:rStyle w:val="normaltextrun"/>
                <w:rFonts w:cs="Segoe UI"/>
                <w:bCs w:val="0"/>
                <w:color w:val="000000"/>
                <w:w w:val="15"/>
                <w:szCs w:val="20"/>
                <w:shd w:val="solid" w:color="000000" w:fill="000000"/>
                <w:fitText w:val="60" w:id="-892700656"/>
                <w14:textFill>
                  <w14:solidFill>
                    <w14:srgbClr w14:val="000000">
                      <w14:alpha w14:val="100000"/>
                    </w14:srgbClr>
                  </w14:solidFill>
                </w14:textFill>
              </w:rPr>
              <w:t>|</w:t>
            </w:r>
            <w:r w:rsidRPr="00683384">
              <w:rPr>
                <w:rStyle w:val="normaltextrun"/>
                <w:rFonts w:cs="Segoe UI" w:hint="eastAsia"/>
                <w:bCs w:val="0"/>
                <w:color w:val="000000"/>
                <w:spacing w:val="-5"/>
                <w:w w:val="15"/>
                <w:szCs w:val="20"/>
                <w:shd w:val="solid" w:color="000000" w:fill="000000"/>
                <w:fitText w:val="60" w:id="-892700656"/>
                <w14:textFill>
                  <w14:solidFill>
                    <w14:srgbClr w14:val="000000">
                      <w14:alpha w14:val="100000"/>
                    </w14:srgbClr>
                  </w14:solidFill>
                </w14:textFill>
              </w:rPr>
              <w:t xml:space="preserve">　</w:t>
            </w:r>
            <w:r w:rsidR="00734BA6" w:rsidRPr="00A96044">
              <w:rPr>
                <w:vertAlign w:val="superscript"/>
              </w:rPr>
              <w:t>4</w:t>
            </w:r>
          </w:p>
        </w:tc>
        <w:tc>
          <w:tcPr>
            <w:tcW w:w="10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9680BA" w14:textId="2CC086CA" w:rsidR="00B01054" w:rsidRPr="008D2AC7" w:rsidRDefault="00683384" w:rsidP="00C02288">
            <w:pPr>
              <w:pStyle w:val="TableText0"/>
              <w:jc w:val="center"/>
              <w:rPr>
                <w:rStyle w:val="normaltextrun"/>
                <w:bCs w:val="0"/>
                <w:highlight w:val="lightGray"/>
              </w:rPr>
            </w:pPr>
            <w:r w:rsidRPr="00683384">
              <w:rPr>
                <w:rStyle w:val="normaltextrun"/>
                <w:rFonts w:cs="Segoe UI" w:hint="eastAsia"/>
                <w:bCs w:val="0"/>
                <w:color w:val="000000"/>
                <w:w w:val="15"/>
                <w:szCs w:val="20"/>
                <w:shd w:val="solid" w:color="000000" w:fill="000000"/>
                <w:fitText w:val="60" w:id="-892700672"/>
                <w14:textFill>
                  <w14:solidFill>
                    <w14:srgbClr w14:val="000000">
                      <w14:alpha w14:val="100000"/>
                    </w14:srgbClr>
                  </w14:solidFill>
                </w14:textFill>
              </w:rPr>
              <w:t xml:space="preserve">　</w:t>
            </w:r>
            <w:r w:rsidRPr="00683384">
              <w:rPr>
                <w:rStyle w:val="normaltextrun"/>
                <w:rFonts w:cs="Segoe UI"/>
                <w:bCs w:val="0"/>
                <w:color w:val="000000"/>
                <w:w w:val="15"/>
                <w:szCs w:val="20"/>
                <w:shd w:val="solid" w:color="000000" w:fill="000000"/>
                <w:fitText w:val="60" w:id="-892700672"/>
                <w14:textFill>
                  <w14:solidFill>
                    <w14:srgbClr w14:val="000000">
                      <w14:alpha w14:val="100000"/>
                    </w14:srgbClr>
                  </w14:solidFill>
                </w14:textFill>
              </w:rPr>
              <w:t>|</w:t>
            </w:r>
            <w:r w:rsidRPr="00683384">
              <w:rPr>
                <w:rStyle w:val="normaltextrun"/>
                <w:rFonts w:cs="Segoe UI" w:hint="eastAsia"/>
                <w:bCs w:val="0"/>
                <w:color w:val="000000"/>
                <w:spacing w:val="-5"/>
                <w:w w:val="15"/>
                <w:szCs w:val="20"/>
                <w:shd w:val="solid" w:color="000000" w:fill="000000"/>
                <w:fitText w:val="60" w:id="-892700672"/>
                <w14:textFill>
                  <w14:solidFill>
                    <w14:srgbClr w14:val="000000">
                      <w14:alpha w14:val="100000"/>
                    </w14:srgbClr>
                  </w14:solidFill>
                </w14:textFill>
              </w:rPr>
              <w:t xml:space="preserve">　</w:t>
            </w:r>
            <w:r w:rsidR="00734BA6" w:rsidRPr="00A96044">
              <w:rPr>
                <w:vertAlign w:val="superscript"/>
              </w:rPr>
              <w:t>4</w:t>
            </w:r>
          </w:p>
        </w:tc>
        <w:tc>
          <w:tcPr>
            <w:tcW w:w="9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D54805" w14:textId="5BA393BF" w:rsidR="00B01054" w:rsidRPr="008D2AC7" w:rsidRDefault="00683384" w:rsidP="00C02288">
            <w:pPr>
              <w:pStyle w:val="TableText0"/>
              <w:jc w:val="center"/>
              <w:rPr>
                <w:rStyle w:val="normaltextrun"/>
                <w:bCs w:val="0"/>
                <w:highlight w:val="lightGray"/>
              </w:rPr>
            </w:pPr>
            <w:r w:rsidRPr="00683384">
              <w:rPr>
                <w:rStyle w:val="normaltextrun"/>
                <w:rFonts w:cs="Segoe UI" w:hint="eastAsia"/>
                <w:bCs w:val="0"/>
                <w:color w:val="000000"/>
                <w:w w:val="27"/>
                <w:szCs w:val="20"/>
                <w:shd w:val="solid" w:color="000000" w:fill="000000"/>
                <w:fitText w:val="120" w:id="-892700671"/>
                <w14:textFill>
                  <w14:solidFill>
                    <w14:srgbClr w14:val="000000">
                      <w14:alpha w14:val="100000"/>
                    </w14:srgbClr>
                  </w14:solidFill>
                </w14:textFill>
              </w:rPr>
              <w:t xml:space="preserve">　</w:t>
            </w:r>
            <w:r w:rsidRPr="00683384">
              <w:rPr>
                <w:rStyle w:val="normaltextrun"/>
                <w:rFonts w:cs="Segoe UI"/>
                <w:bCs w:val="0"/>
                <w:color w:val="000000"/>
                <w:w w:val="27"/>
                <w:szCs w:val="20"/>
                <w:shd w:val="solid" w:color="000000" w:fill="000000"/>
                <w:fitText w:val="120" w:id="-892700671"/>
                <w14:textFill>
                  <w14:solidFill>
                    <w14:srgbClr w14:val="000000">
                      <w14:alpha w14:val="100000"/>
                    </w14:srgbClr>
                  </w14:solidFill>
                </w14:textFill>
              </w:rPr>
              <w:t>|</w:t>
            </w:r>
            <w:r w:rsidRPr="00683384">
              <w:rPr>
                <w:rStyle w:val="normaltextrun"/>
                <w:rFonts w:cs="Segoe UI" w:hint="eastAsia"/>
                <w:bCs w:val="0"/>
                <w:color w:val="000000"/>
                <w:spacing w:val="2"/>
                <w:w w:val="27"/>
                <w:szCs w:val="20"/>
                <w:shd w:val="solid" w:color="000000" w:fill="000000"/>
                <w:fitText w:val="120" w:id="-892700671"/>
                <w14:textFill>
                  <w14:solidFill>
                    <w14:srgbClr w14:val="000000">
                      <w14:alpha w14:val="100000"/>
                    </w14:srgbClr>
                  </w14:solidFill>
                </w14:textFill>
              </w:rPr>
              <w:t xml:space="preserve">　</w:t>
            </w:r>
            <w:r w:rsidR="00734BA6" w:rsidRPr="00A96044">
              <w:rPr>
                <w:vertAlign w:val="superscript"/>
              </w:rPr>
              <w:t>5</w:t>
            </w:r>
          </w:p>
        </w:tc>
        <w:tc>
          <w:tcPr>
            <w:tcW w:w="11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38C9C0" w14:textId="41642AA2" w:rsidR="00B01054" w:rsidRPr="008D2AC7" w:rsidRDefault="00683384" w:rsidP="00C02288">
            <w:pPr>
              <w:pStyle w:val="TableText0"/>
              <w:jc w:val="center"/>
              <w:rPr>
                <w:rStyle w:val="normaltextrun"/>
                <w:bCs w:val="0"/>
                <w:highlight w:val="lightGray"/>
              </w:rPr>
            </w:pPr>
            <w:r w:rsidRPr="00A34B18">
              <w:rPr>
                <w:rStyle w:val="normaltextrun"/>
                <w:rFonts w:cs="Segoe UI" w:hint="eastAsia"/>
                <w:bCs w:val="0"/>
                <w:color w:val="000000"/>
                <w:w w:val="15"/>
                <w:szCs w:val="20"/>
                <w:shd w:val="solid" w:color="000000" w:fill="000000"/>
                <w:fitText w:val="20" w:id="-892700670"/>
                <w14:textFill>
                  <w14:solidFill>
                    <w14:srgbClr w14:val="000000">
                      <w14:alpha w14:val="100000"/>
                    </w14:srgbClr>
                  </w14:solidFill>
                </w14:textFill>
              </w:rPr>
              <w:t xml:space="preserve">　</w:t>
            </w:r>
            <w:r w:rsidRPr="00A34B18">
              <w:rPr>
                <w:rStyle w:val="normaltextrun"/>
                <w:rFonts w:cs="Segoe UI"/>
                <w:bCs w:val="0"/>
                <w:color w:val="000000"/>
                <w:w w:val="15"/>
                <w:szCs w:val="20"/>
                <w:shd w:val="solid" w:color="000000" w:fill="000000"/>
                <w:fitText w:val="20" w:id="-892700670"/>
                <w14:textFill>
                  <w14:solidFill>
                    <w14:srgbClr w14:val="000000">
                      <w14:alpha w14:val="100000"/>
                    </w14:srgbClr>
                  </w14:solidFill>
                </w14:textFill>
              </w:rPr>
              <w:t>|</w:t>
            </w:r>
            <w:r w:rsidRPr="00A34B18">
              <w:rPr>
                <w:rStyle w:val="normaltextrun"/>
                <w:rFonts w:cs="Segoe UI" w:hint="eastAsia"/>
                <w:bCs w:val="0"/>
                <w:color w:val="000000"/>
                <w:spacing w:val="-45"/>
                <w:w w:val="15"/>
                <w:szCs w:val="20"/>
                <w:shd w:val="solid" w:color="000000" w:fill="000000"/>
                <w:fitText w:val="20" w:id="-892700670"/>
                <w14:textFill>
                  <w14:solidFill>
                    <w14:srgbClr w14:val="000000">
                      <w14:alpha w14:val="100000"/>
                    </w14:srgbClr>
                  </w14:solidFill>
                </w14:textFill>
              </w:rPr>
              <w:t xml:space="preserve">　</w:t>
            </w:r>
            <w:r w:rsidR="00EB1072" w:rsidRPr="00A96044">
              <w:rPr>
                <w:vertAlign w:val="superscript"/>
              </w:rPr>
              <w:t>6</w:t>
            </w:r>
          </w:p>
        </w:tc>
        <w:tc>
          <w:tcPr>
            <w:tcW w:w="10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A08DBC" w14:textId="798E1276" w:rsidR="00B01054" w:rsidRPr="008D2AC7" w:rsidRDefault="00683384" w:rsidP="00C02288">
            <w:pPr>
              <w:pStyle w:val="TableText0"/>
              <w:jc w:val="center"/>
              <w:rPr>
                <w:rStyle w:val="normaltextrun"/>
                <w:bCs w:val="0"/>
                <w:highlight w:val="lightGray"/>
              </w:rPr>
            </w:pPr>
            <w:r w:rsidRPr="00683384">
              <w:rPr>
                <w:rStyle w:val="normaltextrun"/>
                <w:rFonts w:cs="Segoe UI" w:hint="eastAsia"/>
                <w:bCs w:val="0"/>
                <w:color w:val="000000"/>
                <w:w w:val="15"/>
                <w:szCs w:val="20"/>
                <w:shd w:val="solid" w:color="000000" w:fill="000000"/>
                <w:fitText w:val="60" w:id="-892700669"/>
                <w14:textFill>
                  <w14:solidFill>
                    <w14:srgbClr w14:val="000000">
                      <w14:alpha w14:val="100000"/>
                    </w14:srgbClr>
                  </w14:solidFill>
                </w14:textFill>
              </w:rPr>
              <w:t xml:space="preserve">　</w:t>
            </w:r>
            <w:r w:rsidRPr="00683384">
              <w:rPr>
                <w:rStyle w:val="normaltextrun"/>
                <w:rFonts w:cs="Segoe UI"/>
                <w:bCs w:val="0"/>
                <w:color w:val="000000"/>
                <w:w w:val="15"/>
                <w:szCs w:val="20"/>
                <w:shd w:val="solid" w:color="000000" w:fill="000000"/>
                <w:fitText w:val="60" w:id="-892700669"/>
                <w14:textFill>
                  <w14:solidFill>
                    <w14:srgbClr w14:val="000000">
                      <w14:alpha w14:val="100000"/>
                    </w14:srgbClr>
                  </w14:solidFill>
                </w14:textFill>
              </w:rPr>
              <w:t>|</w:t>
            </w:r>
            <w:r w:rsidRPr="00683384">
              <w:rPr>
                <w:rStyle w:val="normaltextrun"/>
                <w:rFonts w:cs="Segoe UI" w:hint="eastAsia"/>
                <w:bCs w:val="0"/>
                <w:color w:val="000000"/>
                <w:spacing w:val="-5"/>
                <w:w w:val="15"/>
                <w:szCs w:val="20"/>
                <w:shd w:val="solid" w:color="000000" w:fill="000000"/>
                <w:fitText w:val="60" w:id="-892700669"/>
                <w14:textFill>
                  <w14:solidFill>
                    <w14:srgbClr w14:val="000000">
                      <w14:alpha w14:val="100000"/>
                    </w14:srgbClr>
                  </w14:solidFill>
                </w14:textFill>
              </w:rPr>
              <w:t xml:space="preserve">　</w:t>
            </w:r>
            <w:r w:rsidR="00EB1072" w:rsidRPr="00A96044">
              <w:rPr>
                <w:vertAlign w:val="superscript"/>
              </w:rPr>
              <w:t>6</w:t>
            </w:r>
          </w:p>
        </w:tc>
        <w:tc>
          <w:tcPr>
            <w:tcW w:w="10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6A4DFA" w14:textId="5F23BEF6" w:rsidR="00B01054" w:rsidRPr="008D2AC7" w:rsidRDefault="00683384" w:rsidP="00C02288">
            <w:pPr>
              <w:pStyle w:val="TableText0"/>
              <w:jc w:val="center"/>
              <w:rPr>
                <w:rStyle w:val="normaltextrun"/>
                <w:bCs w:val="0"/>
                <w:highlight w:val="lightGray"/>
              </w:rPr>
            </w:pPr>
            <w:r w:rsidRPr="00683384">
              <w:rPr>
                <w:rStyle w:val="normaltextrun"/>
                <w:rFonts w:cs="Segoe UI" w:hint="eastAsia"/>
                <w:bCs w:val="0"/>
                <w:color w:val="000000"/>
                <w:w w:val="15"/>
                <w:szCs w:val="20"/>
                <w:shd w:val="solid" w:color="000000" w:fill="000000"/>
                <w:fitText w:val="60" w:id="-892700668"/>
                <w14:textFill>
                  <w14:solidFill>
                    <w14:srgbClr w14:val="000000">
                      <w14:alpha w14:val="100000"/>
                    </w14:srgbClr>
                  </w14:solidFill>
                </w14:textFill>
              </w:rPr>
              <w:t xml:space="preserve">　</w:t>
            </w:r>
            <w:r w:rsidRPr="00683384">
              <w:rPr>
                <w:rStyle w:val="normaltextrun"/>
                <w:rFonts w:cs="Segoe UI"/>
                <w:bCs w:val="0"/>
                <w:color w:val="000000"/>
                <w:w w:val="15"/>
                <w:szCs w:val="20"/>
                <w:shd w:val="solid" w:color="000000" w:fill="000000"/>
                <w:fitText w:val="60" w:id="-892700668"/>
                <w14:textFill>
                  <w14:solidFill>
                    <w14:srgbClr w14:val="000000">
                      <w14:alpha w14:val="100000"/>
                    </w14:srgbClr>
                  </w14:solidFill>
                </w14:textFill>
              </w:rPr>
              <w:t>|</w:t>
            </w:r>
            <w:r w:rsidRPr="00683384">
              <w:rPr>
                <w:rStyle w:val="normaltextrun"/>
                <w:rFonts w:cs="Segoe UI" w:hint="eastAsia"/>
                <w:bCs w:val="0"/>
                <w:color w:val="000000"/>
                <w:spacing w:val="-5"/>
                <w:w w:val="15"/>
                <w:szCs w:val="20"/>
                <w:shd w:val="solid" w:color="000000" w:fill="000000"/>
                <w:fitText w:val="60" w:id="-892700668"/>
                <w14:textFill>
                  <w14:solidFill>
                    <w14:srgbClr w14:val="000000">
                      <w14:alpha w14:val="100000"/>
                    </w14:srgbClr>
                  </w14:solidFill>
                </w14:textFill>
              </w:rPr>
              <w:t xml:space="preserve">　</w:t>
            </w:r>
            <w:r w:rsidR="00EB1072" w:rsidRPr="008D2AC7">
              <w:rPr>
                <w:rStyle w:val="normaltextrun"/>
                <w:rFonts w:cs="Segoe UI"/>
                <w:bCs w:val="0"/>
                <w:szCs w:val="20"/>
                <w:vertAlign w:val="superscript"/>
              </w:rPr>
              <w:t>7</w:t>
            </w:r>
          </w:p>
        </w:tc>
      </w:tr>
      <w:tr w:rsidR="00564933" w:rsidRPr="00D26534" w14:paraId="59BAEBAF" w14:textId="77777777" w:rsidTr="00A635F9">
        <w:trPr>
          <w:tblHeader/>
        </w:trPr>
        <w:tc>
          <w:tcPr>
            <w:tcW w:w="2861" w:type="dxa"/>
            <w:shd w:val="clear" w:color="auto" w:fill="auto"/>
          </w:tcPr>
          <w:p w14:paraId="7672BC93" w14:textId="77777777" w:rsidR="00833C09" w:rsidRPr="00D26534" w:rsidRDefault="00833C09" w:rsidP="00C02288">
            <w:pPr>
              <w:pStyle w:val="Tabletext"/>
              <w:keepNext/>
              <w:rPr>
                <w:b/>
                <w:bCs/>
              </w:rPr>
            </w:pPr>
            <w:r w:rsidRPr="00D26534">
              <w:rPr>
                <w:b/>
                <w:bCs/>
              </w:rPr>
              <w:t>Net cost to the PBS/RPBS</w:t>
            </w:r>
          </w:p>
        </w:tc>
        <w:tc>
          <w:tcPr>
            <w:tcW w:w="1019" w:type="dxa"/>
            <w:shd w:val="clear" w:color="auto" w:fill="auto"/>
          </w:tcPr>
          <w:p w14:paraId="2AB94153" w14:textId="330F7C6E" w:rsidR="00833C09" w:rsidRPr="008D2AC7" w:rsidRDefault="00683384" w:rsidP="00C02288">
            <w:pPr>
              <w:pStyle w:val="TableText0"/>
              <w:jc w:val="center"/>
              <w:rPr>
                <w:szCs w:val="20"/>
                <w:highlight w:val="lightGray"/>
              </w:rPr>
            </w:pPr>
            <w:r w:rsidRPr="00683384">
              <w:rPr>
                <w:rFonts w:hint="eastAsia"/>
                <w:b/>
                <w:bCs w:val="0"/>
                <w:color w:val="000000"/>
                <w:w w:val="24"/>
                <w:shd w:val="solid" w:color="000000" w:fill="000000"/>
                <w:fitText w:val="110" w:id="-892700667"/>
                <w14:textFill>
                  <w14:solidFill>
                    <w14:srgbClr w14:val="000000">
                      <w14:alpha w14:val="100000"/>
                    </w14:srgbClr>
                  </w14:solidFill>
                </w14:textFill>
              </w:rPr>
              <w:t xml:space="preserve">　</w:t>
            </w:r>
            <w:r w:rsidRPr="00683384">
              <w:rPr>
                <w:b/>
                <w:bCs w:val="0"/>
                <w:color w:val="000000"/>
                <w:w w:val="24"/>
                <w:shd w:val="solid" w:color="000000" w:fill="000000"/>
                <w:fitText w:val="110" w:id="-892700667"/>
                <w14:textFill>
                  <w14:solidFill>
                    <w14:srgbClr w14:val="000000">
                      <w14:alpha w14:val="100000"/>
                    </w14:srgbClr>
                  </w14:solidFill>
                </w14:textFill>
              </w:rPr>
              <w:t>|</w:t>
            </w:r>
            <w:r w:rsidRPr="00683384">
              <w:rPr>
                <w:rFonts w:hint="eastAsia"/>
                <w:b/>
                <w:bCs w:val="0"/>
                <w:color w:val="000000"/>
                <w:spacing w:val="5"/>
                <w:w w:val="24"/>
                <w:shd w:val="solid" w:color="000000" w:fill="000000"/>
                <w:fitText w:val="110" w:id="-892700667"/>
                <w14:textFill>
                  <w14:solidFill>
                    <w14:srgbClr w14:val="000000">
                      <w14:alpha w14:val="100000"/>
                    </w14:srgbClr>
                  </w14:solidFill>
                </w14:textFill>
              </w:rPr>
              <w:t xml:space="preserve">　</w:t>
            </w:r>
            <w:r w:rsidR="00A635F9" w:rsidRPr="008D2AC7">
              <w:rPr>
                <w:b/>
                <w:bCs w:val="0"/>
                <w:vertAlign w:val="superscript"/>
              </w:rPr>
              <w:t>8</w:t>
            </w:r>
          </w:p>
        </w:tc>
        <w:tc>
          <w:tcPr>
            <w:tcW w:w="1020" w:type="dxa"/>
            <w:shd w:val="clear" w:color="auto" w:fill="auto"/>
          </w:tcPr>
          <w:p w14:paraId="200BD29D" w14:textId="7B2D1C3F" w:rsidR="00833C09" w:rsidRPr="008D2AC7" w:rsidRDefault="00683384" w:rsidP="00C02288">
            <w:pPr>
              <w:pStyle w:val="TableText0"/>
              <w:jc w:val="center"/>
              <w:rPr>
                <w:szCs w:val="20"/>
                <w:highlight w:val="lightGray"/>
              </w:rPr>
            </w:pPr>
            <w:r w:rsidRPr="00683384">
              <w:rPr>
                <w:rFonts w:hint="eastAsia"/>
                <w:b/>
                <w:bCs w:val="0"/>
                <w:color w:val="000000"/>
                <w:w w:val="24"/>
                <w:shd w:val="solid" w:color="000000" w:fill="000000"/>
                <w:fitText w:val="110" w:id="-892700666"/>
                <w14:textFill>
                  <w14:solidFill>
                    <w14:srgbClr w14:val="000000">
                      <w14:alpha w14:val="100000"/>
                    </w14:srgbClr>
                  </w14:solidFill>
                </w14:textFill>
              </w:rPr>
              <w:t xml:space="preserve">　</w:t>
            </w:r>
            <w:r w:rsidRPr="00683384">
              <w:rPr>
                <w:b/>
                <w:bCs w:val="0"/>
                <w:color w:val="000000"/>
                <w:w w:val="24"/>
                <w:shd w:val="solid" w:color="000000" w:fill="000000"/>
                <w:fitText w:val="110" w:id="-892700666"/>
                <w14:textFill>
                  <w14:solidFill>
                    <w14:srgbClr w14:val="000000">
                      <w14:alpha w14:val="100000"/>
                    </w14:srgbClr>
                  </w14:solidFill>
                </w14:textFill>
              </w:rPr>
              <w:t>|</w:t>
            </w:r>
            <w:r w:rsidRPr="00683384">
              <w:rPr>
                <w:rFonts w:hint="eastAsia"/>
                <w:b/>
                <w:bCs w:val="0"/>
                <w:color w:val="000000"/>
                <w:spacing w:val="5"/>
                <w:w w:val="24"/>
                <w:shd w:val="solid" w:color="000000" w:fill="000000"/>
                <w:fitText w:val="110" w:id="-892700666"/>
                <w14:textFill>
                  <w14:solidFill>
                    <w14:srgbClr w14:val="000000">
                      <w14:alpha w14:val="100000"/>
                    </w14:srgbClr>
                  </w14:solidFill>
                </w14:textFill>
              </w:rPr>
              <w:t xml:space="preserve">　</w:t>
            </w:r>
            <w:r w:rsidR="0032405F" w:rsidRPr="008D2AC7">
              <w:rPr>
                <w:b/>
                <w:bCs w:val="0"/>
                <w:vertAlign w:val="superscript"/>
              </w:rPr>
              <w:t>9</w:t>
            </w:r>
          </w:p>
        </w:tc>
        <w:tc>
          <w:tcPr>
            <w:tcW w:w="923" w:type="dxa"/>
            <w:shd w:val="clear" w:color="auto" w:fill="auto"/>
          </w:tcPr>
          <w:p w14:paraId="009B9320" w14:textId="416DBEC1" w:rsidR="00833C09" w:rsidRPr="008D2AC7" w:rsidRDefault="00683384" w:rsidP="00C02288">
            <w:pPr>
              <w:pStyle w:val="TableText0"/>
              <w:jc w:val="center"/>
              <w:rPr>
                <w:szCs w:val="20"/>
                <w:highlight w:val="lightGray"/>
              </w:rPr>
            </w:pPr>
            <w:r w:rsidRPr="00683384">
              <w:rPr>
                <w:b/>
                <w:bCs w:val="0"/>
                <w:color w:val="000000"/>
                <w:spacing w:val="98"/>
                <w:shd w:val="solid" w:color="000000" w:fill="000000"/>
                <w:fitText w:val="190" w:id="-892700665"/>
                <w14:textFill>
                  <w14:solidFill>
                    <w14:srgbClr w14:val="000000">
                      <w14:alpha w14:val="100000"/>
                    </w14:srgbClr>
                  </w14:solidFill>
                </w14:textFill>
              </w:rPr>
              <w:t>|</w:t>
            </w:r>
            <w:r w:rsidRPr="00683384">
              <w:rPr>
                <w:b/>
                <w:bCs w:val="0"/>
                <w:color w:val="000000"/>
                <w:spacing w:val="1"/>
                <w:shd w:val="solid" w:color="000000" w:fill="000000"/>
                <w:fitText w:val="190" w:id="-892700665"/>
                <w14:textFill>
                  <w14:solidFill>
                    <w14:srgbClr w14:val="000000">
                      <w14:alpha w14:val="100000"/>
                    </w14:srgbClr>
                  </w14:solidFill>
                </w14:textFill>
              </w:rPr>
              <w:t>|</w:t>
            </w:r>
            <w:r w:rsidR="00F61110" w:rsidRPr="008D2AC7">
              <w:rPr>
                <w:b/>
                <w:bCs w:val="0"/>
                <w:vertAlign w:val="superscript"/>
              </w:rPr>
              <w:t>10</w:t>
            </w:r>
          </w:p>
        </w:tc>
        <w:tc>
          <w:tcPr>
            <w:tcW w:w="1118" w:type="dxa"/>
            <w:shd w:val="clear" w:color="auto" w:fill="auto"/>
          </w:tcPr>
          <w:p w14:paraId="6B67EE0A" w14:textId="5B079F80" w:rsidR="00833C09" w:rsidRPr="008D2AC7" w:rsidRDefault="00683384" w:rsidP="00C02288">
            <w:pPr>
              <w:pStyle w:val="TableText0"/>
              <w:jc w:val="center"/>
              <w:rPr>
                <w:szCs w:val="20"/>
                <w:highlight w:val="lightGray"/>
              </w:rPr>
            </w:pPr>
            <w:r w:rsidRPr="00683384">
              <w:rPr>
                <w:rFonts w:hint="eastAsia"/>
                <w:b/>
                <w:bCs w:val="0"/>
                <w:color w:val="000000"/>
                <w:w w:val="20"/>
                <w:shd w:val="solid" w:color="000000" w:fill="000000"/>
                <w:fitText w:val="90" w:id="-892700664"/>
                <w14:textFill>
                  <w14:solidFill>
                    <w14:srgbClr w14:val="000000">
                      <w14:alpha w14:val="100000"/>
                    </w14:srgbClr>
                  </w14:solidFill>
                </w14:textFill>
              </w:rPr>
              <w:t xml:space="preserve">　</w:t>
            </w:r>
            <w:r w:rsidRPr="00683384">
              <w:rPr>
                <w:b/>
                <w:bCs w:val="0"/>
                <w:color w:val="000000"/>
                <w:w w:val="20"/>
                <w:shd w:val="solid" w:color="000000" w:fill="000000"/>
                <w:fitText w:val="90" w:id="-892700664"/>
                <w14:textFill>
                  <w14:solidFill>
                    <w14:srgbClr w14:val="000000">
                      <w14:alpha w14:val="100000"/>
                    </w14:srgbClr>
                  </w14:solidFill>
                </w14:textFill>
              </w:rPr>
              <w:t>|</w:t>
            </w:r>
            <w:r w:rsidRPr="00683384">
              <w:rPr>
                <w:rFonts w:hint="eastAsia"/>
                <w:b/>
                <w:bCs w:val="0"/>
                <w:color w:val="000000"/>
                <w:spacing w:val="2"/>
                <w:w w:val="20"/>
                <w:shd w:val="solid" w:color="000000" w:fill="000000"/>
                <w:fitText w:val="90" w:id="-892700664"/>
                <w14:textFill>
                  <w14:solidFill>
                    <w14:srgbClr w14:val="000000">
                      <w14:alpha w14:val="100000"/>
                    </w14:srgbClr>
                  </w14:solidFill>
                </w14:textFill>
              </w:rPr>
              <w:t xml:space="preserve">　</w:t>
            </w:r>
            <w:r w:rsidR="00C02C69" w:rsidRPr="008D2AC7">
              <w:rPr>
                <w:b/>
                <w:bCs w:val="0"/>
                <w:vertAlign w:val="superscript"/>
              </w:rPr>
              <w:t>11</w:t>
            </w:r>
          </w:p>
        </w:tc>
        <w:tc>
          <w:tcPr>
            <w:tcW w:w="1020" w:type="dxa"/>
            <w:shd w:val="clear" w:color="auto" w:fill="auto"/>
          </w:tcPr>
          <w:p w14:paraId="0D23F76A" w14:textId="4E8106FE" w:rsidR="00833C09" w:rsidRPr="008D2AC7" w:rsidRDefault="00683384" w:rsidP="00C02288">
            <w:pPr>
              <w:pStyle w:val="TableText0"/>
              <w:jc w:val="center"/>
              <w:rPr>
                <w:szCs w:val="20"/>
                <w:highlight w:val="lightGray"/>
              </w:rPr>
            </w:pPr>
            <w:r w:rsidRPr="00683384">
              <w:rPr>
                <w:rFonts w:hint="eastAsia"/>
                <w:b/>
                <w:bCs w:val="0"/>
                <w:color w:val="000000"/>
                <w:w w:val="31"/>
                <w:shd w:val="solid" w:color="000000" w:fill="000000"/>
                <w:fitText w:val="140" w:id="-892700663"/>
                <w14:textFill>
                  <w14:solidFill>
                    <w14:srgbClr w14:val="000000">
                      <w14:alpha w14:val="100000"/>
                    </w14:srgbClr>
                  </w14:solidFill>
                </w14:textFill>
              </w:rPr>
              <w:t xml:space="preserve">　</w:t>
            </w:r>
            <w:r w:rsidRPr="00683384">
              <w:rPr>
                <w:b/>
                <w:bCs w:val="0"/>
                <w:color w:val="000000"/>
                <w:w w:val="31"/>
                <w:shd w:val="solid" w:color="000000" w:fill="000000"/>
                <w:fitText w:val="140" w:id="-892700663"/>
                <w14:textFill>
                  <w14:solidFill>
                    <w14:srgbClr w14:val="000000">
                      <w14:alpha w14:val="100000"/>
                    </w14:srgbClr>
                  </w14:solidFill>
                </w14:textFill>
              </w:rPr>
              <w:t>|</w:t>
            </w:r>
            <w:r w:rsidRPr="00683384">
              <w:rPr>
                <w:rFonts w:hint="eastAsia"/>
                <w:b/>
                <w:bCs w:val="0"/>
                <w:color w:val="000000"/>
                <w:spacing w:val="3"/>
                <w:w w:val="31"/>
                <w:shd w:val="solid" w:color="000000" w:fill="000000"/>
                <w:fitText w:val="140" w:id="-892700663"/>
                <w14:textFill>
                  <w14:solidFill>
                    <w14:srgbClr w14:val="000000">
                      <w14:alpha w14:val="100000"/>
                    </w14:srgbClr>
                  </w14:solidFill>
                </w14:textFill>
              </w:rPr>
              <w:t xml:space="preserve">　</w:t>
            </w:r>
            <w:r w:rsidR="00564933" w:rsidRPr="008D2AC7">
              <w:rPr>
                <w:b/>
                <w:bCs w:val="0"/>
                <w:vertAlign w:val="superscript"/>
              </w:rPr>
              <w:t>12</w:t>
            </w:r>
          </w:p>
        </w:tc>
        <w:tc>
          <w:tcPr>
            <w:tcW w:w="1050" w:type="dxa"/>
            <w:shd w:val="clear" w:color="auto" w:fill="auto"/>
          </w:tcPr>
          <w:p w14:paraId="37D74D3D" w14:textId="23049B60" w:rsidR="00833C09" w:rsidRPr="008D2AC7" w:rsidRDefault="00683384" w:rsidP="00C02288">
            <w:pPr>
              <w:pStyle w:val="TableText0"/>
              <w:jc w:val="center"/>
              <w:rPr>
                <w:szCs w:val="20"/>
                <w:highlight w:val="lightGray"/>
              </w:rPr>
            </w:pPr>
            <w:r w:rsidRPr="00683384">
              <w:rPr>
                <w:rFonts w:hint="eastAsia"/>
                <w:b/>
                <w:bCs w:val="0"/>
                <w:color w:val="000000"/>
                <w:w w:val="31"/>
                <w:shd w:val="solid" w:color="000000" w:fill="000000"/>
                <w:fitText w:val="140" w:id="-892700662"/>
                <w14:textFill>
                  <w14:solidFill>
                    <w14:srgbClr w14:val="000000">
                      <w14:alpha w14:val="100000"/>
                    </w14:srgbClr>
                  </w14:solidFill>
                </w14:textFill>
              </w:rPr>
              <w:t xml:space="preserve">　</w:t>
            </w:r>
            <w:r w:rsidRPr="00683384">
              <w:rPr>
                <w:b/>
                <w:bCs w:val="0"/>
                <w:color w:val="000000"/>
                <w:w w:val="31"/>
                <w:shd w:val="solid" w:color="000000" w:fill="000000"/>
                <w:fitText w:val="140" w:id="-892700662"/>
                <w14:textFill>
                  <w14:solidFill>
                    <w14:srgbClr w14:val="000000">
                      <w14:alpha w14:val="100000"/>
                    </w14:srgbClr>
                  </w14:solidFill>
                </w14:textFill>
              </w:rPr>
              <w:t>|</w:t>
            </w:r>
            <w:r w:rsidRPr="00683384">
              <w:rPr>
                <w:rFonts w:hint="eastAsia"/>
                <w:b/>
                <w:bCs w:val="0"/>
                <w:color w:val="000000"/>
                <w:spacing w:val="3"/>
                <w:w w:val="31"/>
                <w:shd w:val="solid" w:color="000000" w:fill="000000"/>
                <w:fitText w:val="140" w:id="-892700662"/>
                <w14:textFill>
                  <w14:solidFill>
                    <w14:srgbClr w14:val="000000">
                      <w14:alpha w14:val="100000"/>
                    </w14:srgbClr>
                  </w14:solidFill>
                </w14:textFill>
              </w:rPr>
              <w:t xml:space="preserve">　</w:t>
            </w:r>
            <w:r w:rsidR="00564933" w:rsidRPr="00A96044">
              <w:rPr>
                <w:b/>
                <w:bCs w:val="0"/>
                <w:vertAlign w:val="superscript"/>
              </w:rPr>
              <w:t>12</w:t>
            </w:r>
          </w:p>
        </w:tc>
      </w:tr>
      <w:tr w:rsidR="00C02C69" w:rsidRPr="00D26534" w14:paraId="2E0915C4" w14:textId="77777777" w:rsidTr="00A635F9">
        <w:trPr>
          <w:tblHeader/>
        </w:trPr>
        <w:tc>
          <w:tcPr>
            <w:tcW w:w="2861" w:type="dxa"/>
            <w:shd w:val="clear" w:color="auto" w:fill="C6D9F1" w:themeFill="text2" w:themeFillTint="33"/>
          </w:tcPr>
          <w:p w14:paraId="72F08032" w14:textId="54512CF8" w:rsidR="00833C09" w:rsidRPr="00D26534" w:rsidRDefault="00833C09" w:rsidP="00C02288">
            <w:pPr>
              <w:pStyle w:val="Tabletext"/>
              <w:keepNext/>
              <w:rPr>
                <w:b/>
                <w:bCs/>
              </w:rPr>
            </w:pPr>
            <w:r w:rsidRPr="00D26534">
              <w:rPr>
                <w:b/>
                <w:bCs/>
              </w:rPr>
              <w:t>Net PBS/RPBS costs (July 2023)</w:t>
            </w:r>
          </w:p>
        </w:tc>
        <w:tc>
          <w:tcPr>
            <w:tcW w:w="1019" w:type="dxa"/>
            <w:shd w:val="clear" w:color="auto" w:fill="C6D9F1" w:themeFill="text2" w:themeFillTint="33"/>
            <w:vAlign w:val="center"/>
          </w:tcPr>
          <w:p w14:paraId="0F730663" w14:textId="54836E9D" w:rsidR="00833C09" w:rsidRPr="008D2AC7" w:rsidRDefault="00683384" w:rsidP="00C02288">
            <w:pPr>
              <w:pStyle w:val="TableText0"/>
              <w:jc w:val="center"/>
              <w:rPr>
                <w:b/>
                <w:szCs w:val="20"/>
                <w:highlight w:val="lightGray"/>
              </w:rPr>
            </w:pPr>
            <w:r w:rsidRPr="00683384">
              <w:rPr>
                <w:rStyle w:val="normaltextrun"/>
                <w:rFonts w:cs="Segoe UI" w:hint="eastAsia"/>
                <w:b/>
                <w:color w:val="000000"/>
                <w:w w:val="24"/>
                <w:szCs w:val="20"/>
                <w:shd w:val="solid" w:color="000000" w:fill="000000"/>
                <w:fitText w:val="110" w:id="-892700661"/>
                <w14:textFill>
                  <w14:solidFill>
                    <w14:srgbClr w14:val="000000">
                      <w14:alpha w14:val="100000"/>
                    </w14:srgbClr>
                  </w14:solidFill>
                </w14:textFill>
              </w:rPr>
              <w:t xml:space="preserve">　</w:t>
            </w:r>
            <w:r w:rsidRPr="00683384">
              <w:rPr>
                <w:rStyle w:val="normaltextrun"/>
                <w:rFonts w:cs="Segoe UI"/>
                <w:b/>
                <w:color w:val="000000"/>
                <w:w w:val="24"/>
                <w:szCs w:val="20"/>
                <w:shd w:val="solid" w:color="000000" w:fill="000000"/>
                <w:fitText w:val="110" w:id="-892700661"/>
                <w14:textFill>
                  <w14:solidFill>
                    <w14:srgbClr w14:val="000000">
                      <w14:alpha w14:val="100000"/>
                    </w14:srgbClr>
                  </w14:solidFill>
                </w14:textFill>
              </w:rPr>
              <w:t>|</w:t>
            </w:r>
            <w:r w:rsidRPr="00683384">
              <w:rPr>
                <w:rStyle w:val="normaltextrun"/>
                <w:rFonts w:cs="Segoe UI" w:hint="eastAsia"/>
                <w:b/>
                <w:color w:val="000000"/>
                <w:spacing w:val="5"/>
                <w:w w:val="24"/>
                <w:szCs w:val="20"/>
                <w:shd w:val="solid" w:color="000000" w:fill="000000"/>
                <w:fitText w:val="110" w:id="-892700661"/>
                <w14:textFill>
                  <w14:solidFill>
                    <w14:srgbClr w14:val="000000">
                      <w14:alpha w14:val="100000"/>
                    </w14:srgbClr>
                  </w14:solidFill>
                </w14:textFill>
              </w:rPr>
              <w:t xml:space="preserve">　</w:t>
            </w:r>
            <w:r w:rsidR="00F61110" w:rsidRPr="00A96044">
              <w:rPr>
                <w:b/>
                <w:bCs w:val="0"/>
                <w:vertAlign w:val="superscript"/>
              </w:rPr>
              <w:t>9</w:t>
            </w:r>
          </w:p>
        </w:tc>
        <w:tc>
          <w:tcPr>
            <w:tcW w:w="1020" w:type="dxa"/>
            <w:shd w:val="clear" w:color="auto" w:fill="C6D9F1" w:themeFill="text2" w:themeFillTint="33"/>
            <w:vAlign w:val="center"/>
          </w:tcPr>
          <w:p w14:paraId="4AC8C022" w14:textId="719CCD29" w:rsidR="00833C09" w:rsidRPr="008D2AC7" w:rsidRDefault="00683384" w:rsidP="00C02288">
            <w:pPr>
              <w:pStyle w:val="TableText0"/>
              <w:jc w:val="center"/>
              <w:rPr>
                <w:b/>
                <w:szCs w:val="20"/>
                <w:highlight w:val="lightGray"/>
              </w:rPr>
            </w:pPr>
            <w:r w:rsidRPr="00683384">
              <w:rPr>
                <w:rStyle w:val="normaltextrun"/>
                <w:rFonts w:cs="Segoe UI" w:hint="eastAsia"/>
                <w:b/>
                <w:color w:val="000000"/>
                <w:w w:val="31"/>
                <w:szCs w:val="20"/>
                <w:shd w:val="solid" w:color="000000" w:fill="000000"/>
                <w:fitText w:val="140" w:id="-892700660"/>
                <w14:textFill>
                  <w14:solidFill>
                    <w14:srgbClr w14:val="000000">
                      <w14:alpha w14:val="100000"/>
                    </w14:srgbClr>
                  </w14:solidFill>
                </w14:textFill>
              </w:rPr>
              <w:t xml:space="preserve">　</w:t>
            </w:r>
            <w:r w:rsidRPr="00683384">
              <w:rPr>
                <w:rStyle w:val="normaltextrun"/>
                <w:rFonts w:cs="Segoe UI"/>
                <w:b/>
                <w:color w:val="000000"/>
                <w:w w:val="31"/>
                <w:szCs w:val="20"/>
                <w:shd w:val="solid" w:color="000000" w:fill="000000"/>
                <w:fitText w:val="140" w:id="-892700660"/>
                <w14:textFill>
                  <w14:solidFill>
                    <w14:srgbClr w14:val="000000">
                      <w14:alpha w14:val="100000"/>
                    </w14:srgbClr>
                  </w14:solidFill>
                </w14:textFill>
              </w:rPr>
              <w:t>|</w:t>
            </w:r>
            <w:r w:rsidRPr="00683384">
              <w:rPr>
                <w:rStyle w:val="normaltextrun"/>
                <w:rFonts w:cs="Segoe UI" w:hint="eastAsia"/>
                <w:b/>
                <w:color w:val="000000"/>
                <w:spacing w:val="3"/>
                <w:w w:val="31"/>
                <w:szCs w:val="20"/>
                <w:shd w:val="solid" w:color="000000" w:fill="000000"/>
                <w:fitText w:val="140" w:id="-892700660"/>
                <w14:textFill>
                  <w14:solidFill>
                    <w14:srgbClr w14:val="000000">
                      <w14:alpha w14:val="100000"/>
                    </w14:srgbClr>
                  </w14:solidFill>
                </w14:textFill>
              </w:rPr>
              <w:t xml:space="preserve">　</w:t>
            </w:r>
            <w:r w:rsidR="00C02C69" w:rsidRPr="00A96044">
              <w:rPr>
                <w:b/>
                <w:bCs w:val="0"/>
                <w:vertAlign w:val="superscript"/>
              </w:rPr>
              <w:t>10</w:t>
            </w:r>
          </w:p>
        </w:tc>
        <w:tc>
          <w:tcPr>
            <w:tcW w:w="923" w:type="dxa"/>
            <w:shd w:val="clear" w:color="auto" w:fill="C6D9F1" w:themeFill="text2" w:themeFillTint="33"/>
            <w:vAlign w:val="center"/>
          </w:tcPr>
          <w:p w14:paraId="127FACB9" w14:textId="63C1E051" w:rsidR="00833C09" w:rsidRPr="008D2AC7" w:rsidRDefault="00683384" w:rsidP="00C02288">
            <w:pPr>
              <w:pStyle w:val="TableText0"/>
              <w:jc w:val="center"/>
              <w:rPr>
                <w:b/>
                <w:szCs w:val="20"/>
                <w:highlight w:val="lightGray"/>
              </w:rPr>
            </w:pPr>
            <w:r w:rsidRPr="00683384">
              <w:rPr>
                <w:rStyle w:val="normaltextrun"/>
                <w:rFonts w:cs="Segoe UI"/>
                <w:b/>
                <w:color w:val="000000"/>
                <w:spacing w:val="98"/>
                <w:szCs w:val="20"/>
                <w:shd w:val="solid" w:color="000000" w:fill="000000"/>
                <w:fitText w:val="190" w:id="-892700659"/>
                <w14:textFill>
                  <w14:solidFill>
                    <w14:srgbClr w14:val="000000">
                      <w14:alpha w14:val="100000"/>
                    </w14:srgbClr>
                  </w14:solidFill>
                </w14:textFill>
              </w:rPr>
              <w:t>|</w:t>
            </w:r>
            <w:r w:rsidRPr="00683384">
              <w:rPr>
                <w:rStyle w:val="normaltextrun"/>
                <w:rFonts w:cs="Segoe UI"/>
                <w:b/>
                <w:color w:val="000000"/>
                <w:spacing w:val="1"/>
                <w:szCs w:val="20"/>
                <w:shd w:val="solid" w:color="000000" w:fill="000000"/>
                <w:fitText w:val="190" w:id="-892700659"/>
                <w14:textFill>
                  <w14:solidFill>
                    <w14:srgbClr w14:val="000000">
                      <w14:alpha w14:val="100000"/>
                    </w14:srgbClr>
                  </w14:solidFill>
                </w14:textFill>
              </w:rPr>
              <w:t>|</w:t>
            </w:r>
            <w:r w:rsidR="00564933" w:rsidRPr="00A96044">
              <w:rPr>
                <w:b/>
                <w:bCs w:val="0"/>
                <w:vertAlign w:val="superscript"/>
              </w:rPr>
              <w:t>12</w:t>
            </w:r>
          </w:p>
        </w:tc>
        <w:tc>
          <w:tcPr>
            <w:tcW w:w="1118" w:type="dxa"/>
            <w:shd w:val="clear" w:color="auto" w:fill="C6D9F1" w:themeFill="text2" w:themeFillTint="33"/>
            <w:vAlign w:val="center"/>
          </w:tcPr>
          <w:p w14:paraId="4711FCEA" w14:textId="4F487B2E" w:rsidR="00833C09" w:rsidRPr="008D2AC7" w:rsidRDefault="00683384" w:rsidP="00C02288">
            <w:pPr>
              <w:pStyle w:val="TableText0"/>
              <w:jc w:val="center"/>
              <w:rPr>
                <w:b/>
                <w:szCs w:val="20"/>
                <w:highlight w:val="lightGray"/>
              </w:rPr>
            </w:pPr>
            <w:r w:rsidRPr="00683384">
              <w:rPr>
                <w:rStyle w:val="normaltextrun"/>
                <w:rFonts w:cs="Segoe UI" w:hint="eastAsia"/>
                <w:b/>
                <w:color w:val="000000"/>
                <w:w w:val="20"/>
                <w:szCs w:val="20"/>
                <w:shd w:val="solid" w:color="000000" w:fill="000000"/>
                <w:fitText w:val="90" w:id="-892700658"/>
                <w14:textFill>
                  <w14:solidFill>
                    <w14:srgbClr w14:val="000000">
                      <w14:alpha w14:val="100000"/>
                    </w14:srgbClr>
                  </w14:solidFill>
                </w14:textFill>
              </w:rPr>
              <w:t xml:space="preserve">　</w:t>
            </w:r>
            <w:r w:rsidRPr="00683384">
              <w:rPr>
                <w:rStyle w:val="normaltextrun"/>
                <w:rFonts w:cs="Segoe UI"/>
                <w:b/>
                <w:color w:val="000000"/>
                <w:w w:val="20"/>
                <w:szCs w:val="20"/>
                <w:shd w:val="solid" w:color="000000" w:fill="000000"/>
                <w:fitText w:val="90" w:id="-892700658"/>
                <w14:textFill>
                  <w14:solidFill>
                    <w14:srgbClr w14:val="000000">
                      <w14:alpha w14:val="100000"/>
                    </w14:srgbClr>
                  </w14:solidFill>
                </w14:textFill>
              </w:rPr>
              <w:t>|</w:t>
            </w:r>
            <w:r w:rsidRPr="00683384">
              <w:rPr>
                <w:rStyle w:val="normaltextrun"/>
                <w:rFonts w:cs="Segoe UI" w:hint="eastAsia"/>
                <w:b/>
                <w:color w:val="000000"/>
                <w:spacing w:val="2"/>
                <w:w w:val="20"/>
                <w:szCs w:val="20"/>
                <w:shd w:val="solid" w:color="000000" w:fill="000000"/>
                <w:fitText w:val="90" w:id="-892700658"/>
                <w14:textFill>
                  <w14:solidFill>
                    <w14:srgbClr w14:val="000000">
                      <w14:alpha w14:val="100000"/>
                    </w14:srgbClr>
                  </w14:solidFill>
                </w14:textFill>
              </w:rPr>
              <w:t xml:space="preserve">　</w:t>
            </w:r>
            <w:r w:rsidR="00564933" w:rsidRPr="008D2AC7">
              <w:rPr>
                <w:rStyle w:val="normaltextrun"/>
                <w:rFonts w:cs="Segoe UI"/>
                <w:b/>
                <w:szCs w:val="20"/>
                <w:vertAlign w:val="superscript"/>
              </w:rPr>
              <w:t>1</w:t>
            </w:r>
            <w:r w:rsidR="00564933" w:rsidRPr="008D2AC7">
              <w:rPr>
                <w:rStyle w:val="normaltextrun"/>
                <w:rFonts w:cs="Segoe UI"/>
                <w:b/>
                <w:vertAlign w:val="superscript"/>
              </w:rPr>
              <w:t>3</w:t>
            </w:r>
          </w:p>
        </w:tc>
        <w:tc>
          <w:tcPr>
            <w:tcW w:w="1020" w:type="dxa"/>
            <w:shd w:val="clear" w:color="auto" w:fill="C6D9F1" w:themeFill="text2" w:themeFillTint="33"/>
            <w:vAlign w:val="center"/>
          </w:tcPr>
          <w:p w14:paraId="18207055" w14:textId="0C68CD0D" w:rsidR="00833C09" w:rsidRPr="008D2AC7" w:rsidRDefault="00683384" w:rsidP="00C02288">
            <w:pPr>
              <w:pStyle w:val="TableText0"/>
              <w:jc w:val="center"/>
              <w:rPr>
                <w:b/>
                <w:szCs w:val="20"/>
                <w:highlight w:val="lightGray"/>
              </w:rPr>
            </w:pPr>
            <w:r w:rsidRPr="00683384">
              <w:rPr>
                <w:rStyle w:val="normaltextrun"/>
                <w:rFonts w:cs="Segoe UI" w:hint="eastAsia"/>
                <w:b/>
                <w:color w:val="000000"/>
                <w:w w:val="31"/>
                <w:szCs w:val="20"/>
                <w:shd w:val="solid" w:color="000000" w:fill="000000"/>
                <w:fitText w:val="140" w:id="-892700657"/>
                <w14:textFill>
                  <w14:solidFill>
                    <w14:srgbClr w14:val="000000">
                      <w14:alpha w14:val="100000"/>
                    </w14:srgbClr>
                  </w14:solidFill>
                </w14:textFill>
              </w:rPr>
              <w:t xml:space="preserve">　</w:t>
            </w:r>
            <w:r w:rsidRPr="00683384">
              <w:rPr>
                <w:rStyle w:val="normaltextrun"/>
                <w:rFonts w:cs="Segoe UI"/>
                <w:b/>
                <w:color w:val="000000"/>
                <w:w w:val="31"/>
                <w:szCs w:val="20"/>
                <w:shd w:val="solid" w:color="000000" w:fill="000000"/>
                <w:fitText w:val="140" w:id="-892700657"/>
                <w14:textFill>
                  <w14:solidFill>
                    <w14:srgbClr w14:val="000000">
                      <w14:alpha w14:val="100000"/>
                    </w14:srgbClr>
                  </w14:solidFill>
                </w14:textFill>
              </w:rPr>
              <w:t>|</w:t>
            </w:r>
            <w:r w:rsidRPr="00683384">
              <w:rPr>
                <w:rStyle w:val="normaltextrun"/>
                <w:rFonts w:cs="Segoe UI" w:hint="eastAsia"/>
                <w:b/>
                <w:color w:val="000000"/>
                <w:spacing w:val="3"/>
                <w:w w:val="31"/>
                <w:szCs w:val="20"/>
                <w:shd w:val="solid" w:color="000000" w:fill="000000"/>
                <w:fitText w:val="140" w:id="-892700657"/>
                <w14:textFill>
                  <w14:solidFill>
                    <w14:srgbClr w14:val="000000">
                      <w14:alpha w14:val="100000"/>
                    </w14:srgbClr>
                  </w14:solidFill>
                </w14:textFill>
              </w:rPr>
              <w:t xml:space="preserve">　</w:t>
            </w:r>
            <w:r w:rsidR="00EF4097" w:rsidRPr="00A96044">
              <w:rPr>
                <w:rStyle w:val="normaltextrun"/>
                <w:rFonts w:cs="Segoe UI"/>
                <w:b/>
                <w:szCs w:val="20"/>
                <w:vertAlign w:val="superscript"/>
              </w:rPr>
              <w:t>1</w:t>
            </w:r>
            <w:r w:rsidR="00EF4097" w:rsidRPr="00A96044">
              <w:rPr>
                <w:rStyle w:val="normaltextrun"/>
                <w:rFonts w:cs="Segoe UI"/>
                <w:b/>
                <w:vertAlign w:val="superscript"/>
              </w:rPr>
              <w:t>3</w:t>
            </w:r>
          </w:p>
        </w:tc>
        <w:tc>
          <w:tcPr>
            <w:tcW w:w="1050" w:type="dxa"/>
            <w:shd w:val="clear" w:color="auto" w:fill="C6D9F1" w:themeFill="text2" w:themeFillTint="33"/>
            <w:vAlign w:val="center"/>
          </w:tcPr>
          <w:p w14:paraId="2F821FC2" w14:textId="7F645E1A" w:rsidR="00833C09" w:rsidRPr="008D2AC7" w:rsidRDefault="00683384" w:rsidP="00C02288">
            <w:pPr>
              <w:pStyle w:val="TableText0"/>
              <w:jc w:val="center"/>
              <w:rPr>
                <w:b/>
                <w:szCs w:val="20"/>
                <w:highlight w:val="lightGray"/>
              </w:rPr>
            </w:pPr>
            <w:r w:rsidRPr="00683384">
              <w:rPr>
                <w:rStyle w:val="normaltextrun"/>
                <w:rFonts w:cs="Segoe UI" w:hint="eastAsia"/>
                <w:b/>
                <w:color w:val="000000"/>
                <w:w w:val="31"/>
                <w:szCs w:val="20"/>
                <w:shd w:val="solid" w:color="000000" w:fill="000000"/>
                <w:fitText w:val="140" w:id="-892700656"/>
                <w14:textFill>
                  <w14:solidFill>
                    <w14:srgbClr w14:val="000000">
                      <w14:alpha w14:val="100000"/>
                    </w14:srgbClr>
                  </w14:solidFill>
                </w14:textFill>
              </w:rPr>
              <w:t xml:space="preserve">　</w:t>
            </w:r>
            <w:r w:rsidRPr="00683384">
              <w:rPr>
                <w:rStyle w:val="normaltextrun"/>
                <w:rFonts w:cs="Segoe UI"/>
                <w:b/>
                <w:color w:val="000000"/>
                <w:w w:val="31"/>
                <w:szCs w:val="20"/>
                <w:shd w:val="solid" w:color="000000" w:fill="000000"/>
                <w:fitText w:val="140" w:id="-892700656"/>
                <w14:textFill>
                  <w14:solidFill>
                    <w14:srgbClr w14:val="000000">
                      <w14:alpha w14:val="100000"/>
                    </w14:srgbClr>
                  </w14:solidFill>
                </w14:textFill>
              </w:rPr>
              <w:t>|</w:t>
            </w:r>
            <w:r w:rsidRPr="00683384">
              <w:rPr>
                <w:rStyle w:val="normaltextrun"/>
                <w:rFonts w:cs="Segoe UI" w:hint="eastAsia"/>
                <w:b/>
                <w:color w:val="000000"/>
                <w:spacing w:val="3"/>
                <w:w w:val="31"/>
                <w:szCs w:val="20"/>
                <w:shd w:val="solid" w:color="000000" w:fill="000000"/>
                <w:fitText w:val="140" w:id="-892700656"/>
                <w14:textFill>
                  <w14:solidFill>
                    <w14:srgbClr w14:val="000000">
                      <w14:alpha w14:val="100000"/>
                    </w14:srgbClr>
                  </w14:solidFill>
                </w14:textFill>
              </w:rPr>
              <w:t xml:space="preserve">　</w:t>
            </w:r>
            <w:r w:rsidR="00EF4097" w:rsidRPr="008D2AC7">
              <w:rPr>
                <w:rStyle w:val="normaltextrun"/>
                <w:rFonts w:cs="Segoe UI"/>
                <w:b/>
                <w:szCs w:val="20"/>
                <w:vertAlign w:val="superscript"/>
              </w:rPr>
              <w:t>1</w:t>
            </w:r>
            <w:r w:rsidR="00EF4097" w:rsidRPr="008D2AC7">
              <w:rPr>
                <w:rStyle w:val="normaltextrun"/>
                <w:rFonts w:cs="Segoe UI"/>
                <w:b/>
                <w:vertAlign w:val="superscript"/>
              </w:rPr>
              <w:t>4</w:t>
            </w:r>
          </w:p>
        </w:tc>
      </w:tr>
    </w:tbl>
    <w:p w14:paraId="1DC41198" w14:textId="29759B86" w:rsidR="006F5289" w:rsidRPr="00D26534" w:rsidRDefault="006F5289" w:rsidP="00C02288">
      <w:pPr>
        <w:pStyle w:val="COMTablefooter"/>
        <w:keepNext/>
        <w:rPr>
          <w:rStyle w:val="eop"/>
        </w:rPr>
      </w:pPr>
      <w:r w:rsidRPr="00D26534">
        <w:rPr>
          <w:rStyle w:val="normaltextrun"/>
        </w:rPr>
        <w:t xml:space="preserve">Source: </w:t>
      </w:r>
      <w:r w:rsidR="00833C09" w:rsidRPr="00D26534">
        <w:rPr>
          <w:rStyle w:val="normaltextrun"/>
        </w:rPr>
        <w:t>Table 4-3 Table 4-4, p139; Table 4-8, Table 4-11, of the resubmission</w:t>
      </w:r>
      <w:r w:rsidR="00833C09" w:rsidRPr="00D26534">
        <w:rPr>
          <w:rStyle w:val="eop"/>
        </w:rPr>
        <w:t>; ‘Attachment 4.1 Esketamine UCM March 2024’ spreadsheet.</w:t>
      </w:r>
    </w:p>
    <w:p w14:paraId="4E559371" w14:textId="614B90D1" w:rsidR="00764C04" w:rsidRDefault="00764C04" w:rsidP="00C02288">
      <w:pPr>
        <w:pStyle w:val="COMTablefooter"/>
        <w:keepNext/>
        <w:spacing w:after="0"/>
      </w:pPr>
      <w:r w:rsidRPr="00D26534">
        <w:t xml:space="preserve">Note: </w:t>
      </w:r>
      <w:r w:rsidR="006F62CE" w:rsidRPr="00D26534">
        <w:t>The private hospital/community access DPMQs in the resubmission were incorrectly calculated and were not corrected in the financial implications.</w:t>
      </w:r>
    </w:p>
    <w:p w14:paraId="1549E9F6" w14:textId="77777777" w:rsidR="00445AA3" w:rsidRPr="00A96044" w:rsidRDefault="00445AA3" w:rsidP="00C02288">
      <w:pPr>
        <w:pStyle w:val="TableFigureFooter"/>
        <w:keepNext/>
        <w:rPr>
          <w:rStyle w:val="eop"/>
          <w:i/>
          <w:iCs/>
        </w:rPr>
      </w:pPr>
      <w:r w:rsidRPr="00A96044">
        <w:rPr>
          <w:rStyle w:val="eop"/>
          <w:i/>
          <w:iCs/>
        </w:rPr>
        <w:t>The redacted values correspond to the following ranges:</w:t>
      </w:r>
    </w:p>
    <w:p w14:paraId="4FA14AD2" w14:textId="77777777" w:rsidR="00445AA3" w:rsidRPr="00A96044" w:rsidRDefault="00445AA3" w:rsidP="00C02288">
      <w:pPr>
        <w:pStyle w:val="TableFigureFooter"/>
        <w:keepNext/>
        <w:rPr>
          <w:rStyle w:val="eop"/>
          <w:i/>
          <w:iCs/>
        </w:rPr>
      </w:pPr>
      <w:bookmarkStart w:id="62" w:name="_Hlk176342791"/>
      <w:r w:rsidRPr="00A96044">
        <w:rPr>
          <w:rStyle w:val="eop"/>
          <w:i/>
          <w:iCs/>
          <w:vertAlign w:val="superscript"/>
        </w:rPr>
        <w:t>1</w:t>
      </w:r>
      <w:r w:rsidRPr="00A96044">
        <w:rPr>
          <w:rStyle w:val="eop"/>
          <w:i/>
          <w:iCs/>
        </w:rPr>
        <w:t xml:space="preserve"> 50,000 to &lt; 60,000</w:t>
      </w:r>
    </w:p>
    <w:bookmarkEnd w:id="62"/>
    <w:p w14:paraId="79C04CED" w14:textId="77777777" w:rsidR="00445AA3" w:rsidRPr="00A96044" w:rsidRDefault="00445AA3" w:rsidP="00C02288">
      <w:pPr>
        <w:pStyle w:val="TableFigureFooter"/>
        <w:keepNext/>
        <w:rPr>
          <w:rStyle w:val="eop"/>
          <w:i/>
          <w:iCs/>
        </w:rPr>
      </w:pPr>
      <w:r w:rsidRPr="00A96044">
        <w:rPr>
          <w:rStyle w:val="eop"/>
          <w:i/>
          <w:iCs/>
          <w:vertAlign w:val="superscript"/>
        </w:rPr>
        <w:t>2</w:t>
      </w:r>
      <w:r w:rsidRPr="00A96044">
        <w:rPr>
          <w:rStyle w:val="eop"/>
          <w:i/>
          <w:iCs/>
        </w:rPr>
        <w:t xml:space="preserve"> 60,000 to &lt; 70,000</w:t>
      </w:r>
    </w:p>
    <w:p w14:paraId="61541CDA" w14:textId="77777777" w:rsidR="00445AA3" w:rsidRPr="00A96044" w:rsidRDefault="00445AA3" w:rsidP="00C02288">
      <w:pPr>
        <w:pStyle w:val="TableFigureFooter"/>
        <w:keepNext/>
        <w:rPr>
          <w:rStyle w:val="eop"/>
          <w:i/>
          <w:iCs/>
        </w:rPr>
      </w:pPr>
      <w:r w:rsidRPr="00A96044">
        <w:rPr>
          <w:rStyle w:val="eop"/>
          <w:i/>
          <w:iCs/>
          <w:vertAlign w:val="superscript"/>
        </w:rPr>
        <w:t>3</w:t>
      </w:r>
      <w:r w:rsidRPr="00A96044">
        <w:rPr>
          <w:rStyle w:val="eop"/>
          <w:i/>
          <w:iCs/>
        </w:rPr>
        <w:t xml:space="preserve"> 10,000 to &lt; 20,000</w:t>
      </w:r>
    </w:p>
    <w:p w14:paraId="72E3C1AA" w14:textId="4BB0C1ED" w:rsidR="00445AA3" w:rsidRPr="00A96044" w:rsidRDefault="006E4BD0" w:rsidP="00C02288">
      <w:pPr>
        <w:pStyle w:val="TableFigureFooter"/>
        <w:keepNext/>
        <w:rPr>
          <w:rStyle w:val="eop"/>
          <w:i/>
          <w:iCs/>
        </w:rPr>
      </w:pPr>
      <w:r>
        <w:rPr>
          <w:rStyle w:val="eop"/>
          <w:i/>
          <w:iCs/>
          <w:vertAlign w:val="superscript"/>
        </w:rPr>
        <w:t>1</w:t>
      </w:r>
      <w:r w:rsidR="00445AA3" w:rsidRPr="00A96044">
        <w:rPr>
          <w:rStyle w:val="eop"/>
          <w:i/>
          <w:iCs/>
        </w:rPr>
        <w:t xml:space="preserve"> 500 to &lt; 5,000</w:t>
      </w:r>
    </w:p>
    <w:p w14:paraId="26899B3C" w14:textId="0067AC5B" w:rsidR="00445AA3" w:rsidRDefault="00EF494D" w:rsidP="00C02288">
      <w:pPr>
        <w:pStyle w:val="TableFigureFooter"/>
        <w:keepNext/>
        <w:rPr>
          <w:rStyle w:val="eop"/>
          <w:i/>
          <w:iCs/>
        </w:rPr>
      </w:pPr>
      <w:r>
        <w:rPr>
          <w:rStyle w:val="eop"/>
          <w:i/>
          <w:iCs/>
          <w:vertAlign w:val="superscript"/>
        </w:rPr>
        <w:t>2</w:t>
      </w:r>
      <w:r w:rsidR="00445AA3" w:rsidRPr="00A96044">
        <w:rPr>
          <w:rStyle w:val="eop"/>
          <w:i/>
          <w:iCs/>
        </w:rPr>
        <w:t xml:space="preserve"> 5,000 to &lt; 10,000</w:t>
      </w:r>
    </w:p>
    <w:p w14:paraId="47DFBE4D" w14:textId="1394B1E4" w:rsidR="00A635F9" w:rsidRPr="00A635F9" w:rsidRDefault="00445AA3" w:rsidP="00C02288">
      <w:pPr>
        <w:pStyle w:val="TableFigureFooter"/>
        <w:keepNext/>
        <w:rPr>
          <w:i/>
          <w:iCs/>
        </w:rPr>
      </w:pPr>
      <w:r w:rsidRPr="00A96044">
        <w:rPr>
          <w:rStyle w:val="eop"/>
          <w:i/>
          <w:iCs/>
        </w:rPr>
        <w:t xml:space="preserve"> </w:t>
      </w:r>
      <w:r w:rsidR="00A635F9" w:rsidRPr="00A635F9">
        <w:rPr>
          <w:i/>
          <w:iCs/>
          <w:vertAlign w:val="superscript"/>
        </w:rPr>
        <w:t>3</w:t>
      </w:r>
      <w:r w:rsidR="00A635F9" w:rsidRPr="00A635F9">
        <w:rPr>
          <w:i/>
          <w:iCs/>
        </w:rPr>
        <w:t xml:space="preserve"> 20,000 to &lt; 30,000</w:t>
      </w:r>
    </w:p>
    <w:p w14:paraId="081505AC" w14:textId="55042C04" w:rsidR="00445AA3" w:rsidRPr="00A96044" w:rsidRDefault="007A7EF7" w:rsidP="00C02288">
      <w:pPr>
        <w:pStyle w:val="TableFigureFooter"/>
        <w:keepNext/>
        <w:rPr>
          <w:rStyle w:val="eop"/>
          <w:i/>
          <w:iCs/>
        </w:rPr>
      </w:pPr>
      <w:r w:rsidRPr="00A635F9">
        <w:rPr>
          <w:i/>
          <w:iCs/>
          <w:vertAlign w:val="superscript"/>
        </w:rPr>
        <w:t>4</w:t>
      </w:r>
      <w:r w:rsidRPr="00A635F9">
        <w:rPr>
          <w:i/>
          <w:iCs/>
        </w:rPr>
        <w:t xml:space="preserve"> </w:t>
      </w:r>
      <w:r>
        <w:rPr>
          <w:rStyle w:val="eop"/>
          <w:i/>
          <w:iCs/>
        </w:rPr>
        <w:t>20,000</w:t>
      </w:r>
      <w:r w:rsidR="00445AA3" w:rsidRPr="00A96044">
        <w:rPr>
          <w:rStyle w:val="eop"/>
          <w:i/>
          <w:iCs/>
        </w:rPr>
        <w:t xml:space="preserve"> to &lt; 30,000</w:t>
      </w:r>
    </w:p>
    <w:p w14:paraId="298745CB" w14:textId="7148D7A5" w:rsidR="00445AA3" w:rsidRPr="00A96044" w:rsidRDefault="00A635F9" w:rsidP="00C02288">
      <w:pPr>
        <w:pStyle w:val="TableFigureFooter"/>
        <w:keepNext/>
        <w:rPr>
          <w:rStyle w:val="eop"/>
          <w:i/>
          <w:iCs/>
        </w:rPr>
      </w:pPr>
      <w:r>
        <w:rPr>
          <w:rStyle w:val="eop"/>
          <w:i/>
          <w:iCs/>
          <w:vertAlign w:val="superscript"/>
        </w:rPr>
        <w:t>5</w:t>
      </w:r>
      <w:r w:rsidR="00445AA3" w:rsidRPr="00A96044">
        <w:rPr>
          <w:rStyle w:val="eop"/>
          <w:i/>
          <w:iCs/>
        </w:rPr>
        <w:t xml:space="preserve"> 30,000 to &lt; 40,000</w:t>
      </w:r>
    </w:p>
    <w:p w14:paraId="458D39F6" w14:textId="09A34283" w:rsidR="00445AA3" w:rsidRDefault="00A635F9" w:rsidP="00C02288">
      <w:pPr>
        <w:pStyle w:val="TableFigureFooter"/>
        <w:keepNext/>
        <w:rPr>
          <w:rStyle w:val="eop"/>
          <w:i/>
          <w:iCs/>
        </w:rPr>
      </w:pPr>
      <w:r>
        <w:rPr>
          <w:rStyle w:val="eop"/>
          <w:i/>
          <w:iCs/>
          <w:vertAlign w:val="superscript"/>
        </w:rPr>
        <w:t>6</w:t>
      </w:r>
      <w:r w:rsidR="00445AA3" w:rsidRPr="00A96044">
        <w:rPr>
          <w:rStyle w:val="eop"/>
          <w:i/>
          <w:iCs/>
        </w:rPr>
        <w:t xml:space="preserve"> 40,000 to &lt; 50,000</w:t>
      </w:r>
    </w:p>
    <w:p w14:paraId="67B94F1B" w14:textId="2A303F51" w:rsidR="00EF494D" w:rsidRPr="00EF494D" w:rsidRDefault="00A635F9" w:rsidP="00C02288">
      <w:pPr>
        <w:pStyle w:val="TableFigureFooter"/>
        <w:keepNext/>
        <w:rPr>
          <w:i/>
          <w:iCs/>
        </w:rPr>
      </w:pPr>
      <w:r>
        <w:rPr>
          <w:i/>
          <w:iCs/>
          <w:vertAlign w:val="superscript"/>
        </w:rPr>
        <w:t>7</w:t>
      </w:r>
      <w:r w:rsidR="00EF494D" w:rsidRPr="00EF494D">
        <w:rPr>
          <w:i/>
          <w:iCs/>
        </w:rPr>
        <w:t xml:space="preserve"> 50,000 to &lt; 60,000</w:t>
      </w:r>
    </w:p>
    <w:p w14:paraId="60B5BA2C" w14:textId="1CE92899" w:rsidR="0032405F" w:rsidRPr="0032405F" w:rsidRDefault="0032405F" w:rsidP="00C02288">
      <w:pPr>
        <w:pStyle w:val="TableFigureFooter"/>
        <w:keepNext/>
        <w:rPr>
          <w:i/>
          <w:iCs/>
        </w:rPr>
      </w:pPr>
      <w:r w:rsidRPr="008D2AC7">
        <w:rPr>
          <w:i/>
          <w:iCs/>
          <w:vertAlign w:val="superscript"/>
        </w:rPr>
        <w:t>8</w:t>
      </w:r>
      <w:r>
        <w:rPr>
          <w:i/>
          <w:iCs/>
        </w:rPr>
        <w:t xml:space="preserve"> </w:t>
      </w:r>
      <w:r w:rsidRPr="0032405F">
        <w:rPr>
          <w:i/>
          <w:iCs/>
        </w:rPr>
        <w:t>$20 million to &lt; $30 million</w:t>
      </w:r>
    </w:p>
    <w:p w14:paraId="55F57B91" w14:textId="77777777" w:rsidR="00445AA3" w:rsidRPr="00A96044" w:rsidRDefault="00445AA3" w:rsidP="00C02288">
      <w:pPr>
        <w:pStyle w:val="TableFigureFooter"/>
        <w:keepNext/>
        <w:rPr>
          <w:rStyle w:val="eop"/>
          <w:i/>
          <w:iCs/>
        </w:rPr>
      </w:pPr>
      <w:r w:rsidRPr="00A96044">
        <w:rPr>
          <w:rStyle w:val="eop"/>
          <w:i/>
          <w:iCs/>
          <w:vertAlign w:val="superscript"/>
        </w:rPr>
        <w:t>9</w:t>
      </w:r>
      <w:r w:rsidRPr="00A96044">
        <w:rPr>
          <w:rStyle w:val="eop"/>
          <w:i/>
          <w:iCs/>
        </w:rPr>
        <w:t xml:space="preserve"> $30 million to &lt; $40 million</w:t>
      </w:r>
    </w:p>
    <w:p w14:paraId="4592446A" w14:textId="77777777" w:rsidR="00445AA3" w:rsidRDefault="00445AA3" w:rsidP="00C02288">
      <w:pPr>
        <w:pStyle w:val="TableFigureFooter"/>
        <w:keepNext/>
        <w:rPr>
          <w:rStyle w:val="eop"/>
          <w:i/>
          <w:iCs/>
        </w:rPr>
      </w:pPr>
      <w:r w:rsidRPr="00A96044">
        <w:rPr>
          <w:rStyle w:val="eop"/>
          <w:i/>
          <w:iCs/>
          <w:vertAlign w:val="superscript"/>
        </w:rPr>
        <w:t>10</w:t>
      </w:r>
      <w:r w:rsidRPr="00A96044">
        <w:rPr>
          <w:rStyle w:val="eop"/>
          <w:i/>
          <w:iCs/>
        </w:rPr>
        <w:t xml:space="preserve"> $40 million to &lt; $50 million</w:t>
      </w:r>
    </w:p>
    <w:p w14:paraId="575C9468" w14:textId="0ECE896C" w:rsidR="00DE1F06" w:rsidRPr="00DE1F06" w:rsidRDefault="00DE1F06" w:rsidP="00C02288">
      <w:pPr>
        <w:pStyle w:val="TableFigureFooter"/>
        <w:keepNext/>
        <w:rPr>
          <w:i/>
          <w:iCs/>
        </w:rPr>
      </w:pPr>
      <w:r w:rsidRPr="00DE1F06">
        <w:rPr>
          <w:i/>
          <w:iCs/>
          <w:vertAlign w:val="superscript"/>
        </w:rPr>
        <w:t>11</w:t>
      </w:r>
      <w:r w:rsidRPr="00DE1F06">
        <w:rPr>
          <w:i/>
          <w:iCs/>
        </w:rPr>
        <w:t xml:space="preserve"> $</w:t>
      </w:r>
      <w:r>
        <w:rPr>
          <w:i/>
          <w:iCs/>
        </w:rPr>
        <w:t>5</w:t>
      </w:r>
      <w:r w:rsidRPr="00DE1F06">
        <w:rPr>
          <w:i/>
          <w:iCs/>
        </w:rPr>
        <w:t>0 million to &lt; $</w:t>
      </w:r>
      <w:r>
        <w:rPr>
          <w:i/>
          <w:iCs/>
        </w:rPr>
        <w:t>6</w:t>
      </w:r>
      <w:r w:rsidRPr="00DE1F06">
        <w:rPr>
          <w:i/>
          <w:iCs/>
        </w:rPr>
        <w:t>0 million</w:t>
      </w:r>
    </w:p>
    <w:p w14:paraId="17576F13" w14:textId="056927BA" w:rsidR="00445AA3" w:rsidRPr="00A96044" w:rsidRDefault="00DE1F06" w:rsidP="00C02288">
      <w:pPr>
        <w:pStyle w:val="TableFigureFooter"/>
        <w:keepNext/>
        <w:rPr>
          <w:rStyle w:val="eop"/>
          <w:i/>
          <w:iCs/>
        </w:rPr>
      </w:pPr>
      <w:bookmarkStart w:id="63" w:name="_Hlk176343247"/>
      <w:r>
        <w:rPr>
          <w:rStyle w:val="eop"/>
          <w:i/>
          <w:iCs/>
          <w:vertAlign w:val="superscript"/>
        </w:rPr>
        <w:t>12</w:t>
      </w:r>
      <w:r w:rsidR="00445AA3" w:rsidRPr="00A96044">
        <w:rPr>
          <w:rStyle w:val="eop"/>
          <w:i/>
          <w:iCs/>
        </w:rPr>
        <w:t xml:space="preserve"> $60 million to &lt; $70 million</w:t>
      </w:r>
    </w:p>
    <w:bookmarkEnd w:id="63"/>
    <w:p w14:paraId="74276F9C" w14:textId="77777777" w:rsidR="00445AA3" w:rsidRPr="00A96044" w:rsidRDefault="00445AA3" w:rsidP="00C02288">
      <w:pPr>
        <w:pStyle w:val="TableFigureFooter"/>
        <w:keepNext/>
        <w:rPr>
          <w:rStyle w:val="eop"/>
          <w:i/>
          <w:iCs/>
        </w:rPr>
      </w:pPr>
      <w:r w:rsidRPr="00A96044">
        <w:rPr>
          <w:rStyle w:val="eop"/>
          <w:i/>
          <w:iCs/>
          <w:vertAlign w:val="superscript"/>
        </w:rPr>
        <w:t>13</w:t>
      </w:r>
      <w:r w:rsidRPr="00A96044">
        <w:rPr>
          <w:rStyle w:val="eop"/>
          <w:i/>
          <w:iCs/>
        </w:rPr>
        <w:t xml:space="preserve"> $70 million to &lt; $80 million</w:t>
      </w:r>
    </w:p>
    <w:p w14:paraId="27F1A1E5" w14:textId="77777777" w:rsidR="00445AA3" w:rsidRPr="00A96044" w:rsidRDefault="00445AA3" w:rsidP="00445AA3">
      <w:pPr>
        <w:pStyle w:val="TableFigureFooter"/>
        <w:rPr>
          <w:rStyle w:val="eop"/>
          <w:i/>
          <w:iCs/>
        </w:rPr>
      </w:pPr>
      <w:r w:rsidRPr="00A96044">
        <w:rPr>
          <w:rStyle w:val="eop"/>
          <w:i/>
          <w:iCs/>
          <w:vertAlign w:val="superscript"/>
        </w:rPr>
        <w:t>14</w:t>
      </w:r>
      <w:r w:rsidRPr="00A96044">
        <w:rPr>
          <w:rStyle w:val="eop"/>
          <w:i/>
          <w:iCs/>
        </w:rPr>
        <w:t xml:space="preserve"> $80 million to &lt; $90 million</w:t>
      </w:r>
    </w:p>
    <w:p w14:paraId="0DE01172" w14:textId="2D60A278" w:rsidR="004E64B8" w:rsidRDefault="000902D9" w:rsidP="00FB181C">
      <w:pPr>
        <w:pStyle w:val="ListParagraph"/>
        <w:numPr>
          <w:ilvl w:val="1"/>
          <w:numId w:val="1"/>
        </w:numPr>
        <w:spacing w:after="120"/>
        <w:ind w:hanging="720"/>
        <w:contextualSpacing w:val="0"/>
        <w:rPr>
          <w:rFonts w:cs="Calibri"/>
          <w:bCs/>
          <w:iCs/>
        </w:rPr>
      </w:pPr>
      <w:r w:rsidRPr="00FB181C">
        <w:rPr>
          <w:rFonts w:cs="Calibri"/>
          <w:bCs/>
          <w:iCs/>
        </w:rPr>
        <w:t xml:space="preserve">The </w:t>
      </w:r>
      <w:r w:rsidR="00833C09" w:rsidRPr="00FB181C">
        <w:rPr>
          <w:rFonts w:cs="Calibri"/>
          <w:bCs/>
          <w:iCs/>
        </w:rPr>
        <w:t xml:space="preserve">estimated net </w:t>
      </w:r>
      <w:r w:rsidRPr="00FB181C">
        <w:rPr>
          <w:rFonts w:cs="Calibri"/>
          <w:bCs/>
          <w:iCs/>
        </w:rPr>
        <w:t xml:space="preserve">cost to the PBS/RPBS </w:t>
      </w:r>
      <w:r w:rsidR="00833C09" w:rsidRPr="00FB181C">
        <w:rPr>
          <w:rFonts w:cs="Calibri"/>
          <w:bCs/>
          <w:iCs/>
        </w:rPr>
        <w:t>of listing esketamine based on the proposed effective price was $</w:t>
      </w:r>
      <w:r w:rsidR="00841E6D" w:rsidRPr="00841E6D">
        <w:rPr>
          <w:rFonts w:cs="Calibri"/>
          <w:bCs/>
          <w:iCs/>
        </w:rPr>
        <w:t>20 million to &lt; $30 million</w:t>
      </w:r>
      <w:r w:rsidR="00841E6D" w:rsidRPr="00841E6D" w:rsidDel="00841E6D">
        <w:rPr>
          <w:rFonts w:cs="Calibri"/>
          <w:bCs/>
          <w:iCs/>
        </w:rPr>
        <w:t xml:space="preserve"> </w:t>
      </w:r>
      <w:r w:rsidR="00833C09" w:rsidRPr="00FB181C">
        <w:rPr>
          <w:rFonts w:cs="Calibri"/>
          <w:bCs/>
          <w:iCs/>
        </w:rPr>
        <w:t>in Year 1 of listing, increasing to $</w:t>
      </w:r>
      <w:r w:rsidR="00013B04" w:rsidRPr="00013B04">
        <w:rPr>
          <w:rFonts w:cs="Calibri"/>
          <w:bCs/>
          <w:iCs/>
        </w:rPr>
        <w:t>60 million to &lt; $70 million</w:t>
      </w:r>
      <w:r w:rsidR="00013B04" w:rsidRPr="00013B04" w:rsidDel="00013B04">
        <w:rPr>
          <w:rFonts w:cs="Calibri"/>
          <w:bCs/>
          <w:iCs/>
        </w:rPr>
        <w:t xml:space="preserve"> </w:t>
      </w:r>
      <w:r w:rsidR="00833C09" w:rsidRPr="00FB181C">
        <w:rPr>
          <w:rFonts w:cs="Calibri"/>
          <w:bCs/>
          <w:iCs/>
        </w:rPr>
        <w:t xml:space="preserve">in Year 6, an estimated net cost of </w:t>
      </w:r>
      <w:r w:rsidRPr="00FB181C">
        <w:rPr>
          <w:rFonts w:cs="Calibri"/>
          <w:bCs/>
          <w:iCs/>
        </w:rPr>
        <w:t>$</w:t>
      </w:r>
      <w:r w:rsidR="00C22E64" w:rsidRPr="00C22E64">
        <w:rPr>
          <w:rFonts w:cs="Calibri"/>
          <w:bCs/>
          <w:iCs/>
        </w:rPr>
        <w:t>200 million to &lt; $300 million</w:t>
      </w:r>
      <w:r w:rsidR="00C22E64" w:rsidRPr="00C22E64" w:rsidDel="00C22E64">
        <w:rPr>
          <w:rFonts w:cs="Calibri"/>
          <w:bCs/>
          <w:iCs/>
        </w:rPr>
        <w:t xml:space="preserve"> </w:t>
      </w:r>
      <w:r w:rsidRPr="00FB181C">
        <w:rPr>
          <w:rFonts w:cs="Calibri"/>
          <w:bCs/>
          <w:iCs/>
        </w:rPr>
        <w:t>in the first 6 years of listing.</w:t>
      </w:r>
      <w:r w:rsidR="009A3BD6" w:rsidRPr="00FB181C">
        <w:rPr>
          <w:rFonts w:cs="Calibri"/>
          <w:bCs/>
          <w:iCs/>
        </w:rPr>
        <w:t xml:space="preserve"> In the July 2023 </w:t>
      </w:r>
      <w:r w:rsidR="004470EE" w:rsidRPr="00FB181C">
        <w:rPr>
          <w:rFonts w:cs="Calibri"/>
          <w:bCs/>
          <w:iCs/>
        </w:rPr>
        <w:t>resubmission</w:t>
      </w:r>
      <w:r w:rsidR="009A3BD6" w:rsidRPr="00FB181C">
        <w:rPr>
          <w:rFonts w:cs="Calibri"/>
          <w:bCs/>
          <w:iCs/>
        </w:rPr>
        <w:t>, the estimated net cost to the PBS/RPBS based on the proposed effective price was $</w:t>
      </w:r>
      <w:r w:rsidR="00C87933" w:rsidRPr="00C87933">
        <w:rPr>
          <w:rFonts w:cs="Calibri"/>
          <w:bCs/>
          <w:iCs/>
        </w:rPr>
        <w:t>30 million to &lt; $40 million</w:t>
      </w:r>
      <w:r w:rsidR="00C87933" w:rsidRPr="00C87933" w:rsidDel="00C87933">
        <w:rPr>
          <w:rFonts w:cs="Calibri"/>
          <w:bCs/>
          <w:iCs/>
        </w:rPr>
        <w:t xml:space="preserve"> </w:t>
      </w:r>
      <w:r w:rsidR="004470EE" w:rsidRPr="00FB181C">
        <w:rPr>
          <w:rFonts w:cs="Calibri"/>
          <w:bCs/>
          <w:iCs/>
        </w:rPr>
        <w:t>in Year 1 of listing, increasing to $</w:t>
      </w:r>
      <w:r w:rsidR="00B20C61" w:rsidRPr="00B20C61">
        <w:rPr>
          <w:rFonts w:cs="Calibri"/>
          <w:bCs/>
          <w:iCs/>
        </w:rPr>
        <w:t>80 million to &lt; $90 million</w:t>
      </w:r>
      <w:r w:rsidR="00B20C61" w:rsidRPr="00B20C61" w:rsidDel="00B20C61">
        <w:rPr>
          <w:rFonts w:cs="Calibri"/>
          <w:bCs/>
          <w:iCs/>
        </w:rPr>
        <w:t xml:space="preserve"> </w:t>
      </w:r>
      <w:r w:rsidR="004470EE" w:rsidRPr="00FB181C">
        <w:rPr>
          <w:rFonts w:cs="Calibri"/>
          <w:bCs/>
          <w:iCs/>
        </w:rPr>
        <w:t>in Year 6, an estimated net cost of $</w:t>
      </w:r>
      <w:r w:rsidR="00870E87" w:rsidRPr="00870E87">
        <w:rPr>
          <w:rFonts w:cs="Calibri"/>
          <w:bCs/>
          <w:iCs/>
        </w:rPr>
        <w:t>300 million to &lt; $400 million</w:t>
      </w:r>
      <w:r w:rsidR="004470EE" w:rsidRPr="00FB181C">
        <w:rPr>
          <w:rFonts w:cs="Calibri"/>
          <w:bCs/>
          <w:iCs/>
        </w:rPr>
        <w:t xml:space="preserve"> over the first 6 years of listing.</w:t>
      </w:r>
      <w:r w:rsidR="00AE2DED" w:rsidRPr="00FB181C">
        <w:rPr>
          <w:rFonts w:cs="Calibri"/>
          <w:bCs/>
          <w:iCs/>
        </w:rPr>
        <w:t xml:space="preserve"> </w:t>
      </w:r>
      <w:r w:rsidR="001B17F8" w:rsidRPr="00FB181C">
        <w:rPr>
          <w:rFonts w:cs="Calibri"/>
          <w:bCs/>
          <w:iCs/>
        </w:rPr>
        <w:t>The current resubmission incorporated more initial and retreated patients compared to the July 2023 resubmission, as well as a proportion of patients with treatment duration beyond 12 months. However the reduced effective price for esketamine, and a reduction in the average treatment duration for most patients, resulted in a lo</w:t>
      </w:r>
      <w:r w:rsidR="00286759" w:rsidRPr="00FB181C">
        <w:rPr>
          <w:rFonts w:cs="Calibri"/>
          <w:bCs/>
          <w:iCs/>
        </w:rPr>
        <w:t>w</w:t>
      </w:r>
      <w:r w:rsidR="001B17F8" w:rsidRPr="00FB181C">
        <w:rPr>
          <w:rFonts w:cs="Calibri"/>
          <w:bCs/>
          <w:iCs/>
        </w:rPr>
        <w:t>er overall net cost to the PBS/RPBS in the current submission.</w:t>
      </w:r>
      <w:r w:rsidR="004E64B8">
        <w:rPr>
          <w:rFonts w:cs="Calibri"/>
          <w:bCs/>
          <w:iCs/>
        </w:rPr>
        <w:t xml:space="preserve"> </w:t>
      </w:r>
    </w:p>
    <w:p w14:paraId="42935144" w14:textId="4191CE83" w:rsidR="00AE2DED" w:rsidRPr="00FB181C" w:rsidRDefault="004E64B8" w:rsidP="00FB181C">
      <w:pPr>
        <w:pStyle w:val="ListParagraph"/>
        <w:numPr>
          <w:ilvl w:val="1"/>
          <w:numId w:val="1"/>
        </w:numPr>
        <w:spacing w:after="120"/>
        <w:ind w:hanging="720"/>
        <w:contextualSpacing w:val="0"/>
        <w:rPr>
          <w:rFonts w:cs="Calibri"/>
          <w:bCs/>
          <w:iCs/>
        </w:rPr>
      </w:pPr>
      <w:bookmarkStart w:id="64" w:name="_Ref173924674"/>
      <w:r w:rsidRPr="004E64B8">
        <w:rPr>
          <w:rFonts w:cs="Calibri"/>
          <w:bCs/>
          <w:iCs/>
        </w:rPr>
        <w:t xml:space="preserve">The ESC noted the script ‘duration (periods)’ (Column L) on the 3a.Scripts – proposed  worksheet was incorrectly completed for a number of rows. The ESC considered that because the 2.d Patients – DTG worksheet had been used to calculate the patient years of treatment from Week 5, the ‘duration (periods)’ column should reflect a total </w:t>
      </w:r>
      <w:r w:rsidRPr="004E64B8">
        <w:rPr>
          <w:rFonts w:cs="Calibri"/>
          <w:bCs/>
          <w:iCs/>
        </w:rPr>
        <w:lastRenderedPageBreak/>
        <w:t xml:space="preserve">of 52 weeks of treatment across the Week 5 - 8 and Week 9+ rows. </w:t>
      </w:r>
      <w:r>
        <w:rPr>
          <w:rFonts w:cs="Calibri"/>
          <w:bCs/>
          <w:iCs/>
        </w:rPr>
        <w:t xml:space="preserve">The pre-PBAC response noted that correcting this error reduced the net cost to the PBS/ RPBS by 0.6%. </w:t>
      </w:r>
      <w:r w:rsidR="00094784">
        <w:rPr>
          <w:rFonts w:cs="Calibri"/>
          <w:bCs/>
          <w:iCs/>
        </w:rPr>
        <w:t>The PBAC noted the model appropriately assumed 4.02 scripts would be required for fortnightly dosing (i.e., half the scripts required for weekly dosing); however, the number of packs per script should remain as 4 (rather than 2 as used in the model).</w:t>
      </w:r>
      <w:bookmarkEnd w:id="64"/>
      <w:r w:rsidR="00094784">
        <w:rPr>
          <w:rFonts w:cs="Calibri"/>
          <w:bCs/>
          <w:iCs/>
        </w:rPr>
        <w:t xml:space="preserve">  </w:t>
      </w:r>
    </w:p>
    <w:p w14:paraId="41F02D90" w14:textId="03BF6243" w:rsidR="001671A0" w:rsidRPr="009431A3" w:rsidRDefault="009315E4" w:rsidP="00FB181C">
      <w:pPr>
        <w:pStyle w:val="ListParagraph"/>
        <w:numPr>
          <w:ilvl w:val="1"/>
          <w:numId w:val="1"/>
        </w:numPr>
        <w:spacing w:after="120"/>
        <w:ind w:hanging="720"/>
        <w:contextualSpacing w:val="0"/>
        <w:rPr>
          <w:rFonts w:cs="Calibri"/>
          <w:bCs/>
          <w:iCs/>
        </w:rPr>
      </w:pPr>
      <w:r w:rsidRPr="009431A3">
        <w:rPr>
          <w:bCs/>
          <w:iCs/>
        </w:rPr>
        <w:t>The</w:t>
      </w:r>
      <w:r w:rsidR="008602A6" w:rsidRPr="009431A3">
        <w:rPr>
          <w:bCs/>
          <w:iCs/>
        </w:rPr>
        <w:t xml:space="preserve"> ESC considered there</w:t>
      </w:r>
      <w:r w:rsidRPr="009431A3">
        <w:rPr>
          <w:bCs/>
          <w:iCs/>
        </w:rPr>
        <w:t xml:space="preserve"> were a number of potential issues associated with the estimation of use and financial impact of PBS listing esketamine nasal spray: </w:t>
      </w:r>
    </w:p>
    <w:p w14:paraId="546D5657" w14:textId="3D4F3851" w:rsidR="00976859" w:rsidRPr="009431A3" w:rsidRDefault="00976859" w:rsidP="00C02288">
      <w:pPr>
        <w:pStyle w:val="COMexecsummbulletlist"/>
        <w:ind w:left="1077" w:hanging="357"/>
        <w:rPr>
          <w:iCs/>
        </w:rPr>
      </w:pPr>
      <w:r w:rsidRPr="009431A3">
        <w:rPr>
          <w:iCs/>
        </w:rPr>
        <w:t>The PBAC previously considered the uptake of esketamine in new patients was likely overestimated (</w:t>
      </w:r>
      <w:r w:rsidRPr="009422E0">
        <w:rPr>
          <w:iCs/>
        </w:rPr>
        <w:t xml:space="preserve">26% in Year 1 to 45% in Year 6; para 7.15, </w:t>
      </w:r>
      <w:r w:rsidR="00E71C49" w:rsidRPr="009422E0">
        <w:rPr>
          <w:iCs/>
        </w:rPr>
        <w:t>esketamine PSD</w:t>
      </w:r>
      <w:r w:rsidRPr="009422E0">
        <w:rPr>
          <w:iCs/>
        </w:rPr>
        <w:t>, July 2023 PBAC meeting). The current resubmission reduced uptake estimates by an average of 3% over the first 6 years of listing</w:t>
      </w:r>
      <w:r w:rsidR="0039513B" w:rsidRPr="009422E0">
        <w:rPr>
          <w:iCs/>
        </w:rPr>
        <w:t xml:space="preserve"> </w:t>
      </w:r>
      <w:r w:rsidRPr="009422E0">
        <w:rPr>
          <w:iCs/>
        </w:rPr>
        <w:t xml:space="preserve">(31% in Year 1 to 39% in Year 6), </w:t>
      </w:r>
      <w:r w:rsidR="006063E5" w:rsidRPr="009422E0">
        <w:rPr>
          <w:iCs/>
        </w:rPr>
        <w:t>with a small increase in uptake in the first two years</w:t>
      </w:r>
      <w:r w:rsidRPr="009422E0">
        <w:rPr>
          <w:iCs/>
        </w:rPr>
        <w:t xml:space="preserve">. </w:t>
      </w:r>
      <w:r w:rsidR="00761993" w:rsidRPr="009422E0">
        <w:rPr>
          <w:iCs/>
        </w:rPr>
        <w:t>The pre-PBAC response</w:t>
      </w:r>
      <w:r w:rsidR="00761993">
        <w:rPr>
          <w:iCs/>
        </w:rPr>
        <w:t xml:space="preserve"> revised uptake to 29% in Year 1 to 37% in Year 6.</w:t>
      </w:r>
    </w:p>
    <w:p w14:paraId="01963694" w14:textId="401C24E5" w:rsidR="00976859" w:rsidRPr="009431A3" w:rsidRDefault="00976859" w:rsidP="00C02288">
      <w:pPr>
        <w:pStyle w:val="COMexecsummbulletlist"/>
        <w:ind w:left="1077" w:hanging="357"/>
        <w:rPr>
          <w:iCs/>
        </w:rPr>
      </w:pPr>
      <w:r w:rsidRPr="009431A3">
        <w:rPr>
          <w:iCs/>
        </w:rPr>
        <w:t xml:space="preserve">The approach to retreatment was an updated approach compared to July 2023 resubmission. </w:t>
      </w:r>
      <w:r w:rsidR="00094784">
        <w:rPr>
          <w:iCs/>
        </w:rPr>
        <w:t xml:space="preserve">Retreated patients as a </w:t>
      </w:r>
      <w:r w:rsidRPr="009431A3">
        <w:rPr>
          <w:iCs/>
        </w:rPr>
        <w:t xml:space="preserve">proportion of all </w:t>
      </w:r>
      <w:r w:rsidR="00094784">
        <w:rPr>
          <w:iCs/>
        </w:rPr>
        <w:t xml:space="preserve">treated </w:t>
      </w:r>
      <w:r w:rsidRPr="009431A3">
        <w:rPr>
          <w:iCs/>
        </w:rPr>
        <w:t xml:space="preserve">patients increases from </w:t>
      </w:r>
      <w:r w:rsidRPr="00094784">
        <w:rPr>
          <w:iCs/>
        </w:rPr>
        <w:t>31% in Year 1 to 57% in Year 6</w:t>
      </w:r>
      <w:r w:rsidRPr="009431A3">
        <w:rPr>
          <w:iCs/>
        </w:rPr>
        <w:t xml:space="preserve"> because the risk of relapse is also applied to patients in years subsequent to treatment initiation (</w:t>
      </w:r>
      <w:r w:rsidR="00890A20">
        <w:rPr>
          <w:iCs/>
        </w:rPr>
        <w:t>i</w:t>
      </w:r>
      <w:r w:rsidRPr="009431A3">
        <w:rPr>
          <w:iCs/>
        </w:rPr>
        <w:t xml:space="preserve">.e. Year 1 patients who have not relapsed in Year 1, may relapse in </w:t>
      </w:r>
      <w:r w:rsidR="00C170E7" w:rsidRPr="009431A3">
        <w:rPr>
          <w:iCs/>
        </w:rPr>
        <w:t>Y</w:t>
      </w:r>
      <w:r w:rsidRPr="009431A3">
        <w:rPr>
          <w:iCs/>
        </w:rPr>
        <w:t>ear 2, and so on). Relapse rates may not reflect treatment status – the risk of relapse is applied to patients over 6 years, while the majority of patients are treated for less than 12 months. The assumption that all patients eligible for retreatment would receive it was uncertain</w:t>
      </w:r>
      <w:r w:rsidR="00094784">
        <w:rPr>
          <w:iCs/>
        </w:rPr>
        <w:t xml:space="preserve">. </w:t>
      </w:r>
    </w:p>
    <w:p w14:paraId="3D5B9F20" w14:textId="0F4CAE80" w:rsidR="00B232D4" w:rsidRPr="00B232D4" w:rsidRDefault="00976859" w:rsidP="00C02288">
      <w:pPr>
        <w:pStyle w:val="COMexecsummbulletlist"/>
        <w:ind w:left="1077" w:hanging="357"/>
      </w:pPr>
      <w:r>
        <w:t>The proportion of patients continuing treatment beyond 12 months, based on data from the sponsor’s early access program, was uncertain. The analysis included a number of patients with limited follow-up (entered the EAP within 12 months of the analysis) who could not meet the ≥12 month criterion, potentially underestimating the proportion of patients continuing treatment beyond 12</w:t>
      </w:r>
      <w:r w:rsidR="00C02288">
        <w:t> </w:t>
      </w:r>
      <w:r>
        <w:t>months in clinical practice</w:t>
      </w:r>
      <w:r w:rsidR="00825AD8">
        <w:t>.</w:t>
      </w:r>
      <w:r w:rsidR="00B232D4">
        <w:t xml:space="preserve"> The PSCR argued that the proportion continuing treatment beyond 12 months </w:t>
      </w:r>
      <w:r w:rsidR="00B232D4" w:rsidRPr="00A53E7C">
        <w:t>(</w:t>
      </w:r>
      <w:r w:rsidR="00683384" w:rsidRPr="00A34B18">
        <w:rPr>
          <w:color w:val="000000"/>
          <w:w w:val="15"/>
          <w:shd w:val="solid" w:color="000000" w:fill="000000"/>
          <w:fitText w:val="-20" w:id="-892700672"/>
          <w14:textFill>
            <w14:solidFill>
              <w14:srgbClr w14:val="000000">
                <w14:alpha w14:val="100000"/>
              </w14:srgbClr>
            </w14:solidFill>
          </w14:textFill>
        </w:rPr>
        <w:t xml:space="preserve">|  </w:t>
      </w:r>
      <w:r w:rsidR="00683384" w:rsidRPr="00A34B18">
        <w:rPr>
          <w:color w:val="000000"/>
          <w:spacing w:val="-69"/>
          <w:w w:val="15"/>
          <w:shd w:val="solid" w:color="000000" w:fill="000000"/>
          <w:fitText w:val="-20" w:id="-892700672"/>
          <w14:textFill>
            <w14:solidFill>
              <w14:srgbClr w14:val="000000">
                <w14:alpha w14:val="100000"/>
              </w14:srgbClr>
            </w14:solidFill>
          </w14:textFill>
        </w:rPr>
        <w:t>|</w:t>
      </w:r>
      <w:r w:rsidR="00B232D4">
        <w:t xml:space="preserve">%) was the best available estimate. </w:t>
      </w:r>
    </w:p>
    <w:p w14:paraId="398544C8" w14:textId="2425147E" w:rsidR="00976859" w:rsidRPr="009431A3" w:rsidRDefault="00976859" w:rsidP="00C02288">
      <w:pPr>
        <w:pStyle w:val="COMexecsummbulletlist"/>
        <w:ind w:left="1077" w:hanging="357"/>
        <w:rPr>
          <w:iCs/>
        </w:rPr>
      </w:pPr>
      <w:r w:rsidRPr="009431A3">
        <w:rPr>
          <w:iCs/>
        </w:rPr>
        <w:t xml:space="preserve">The average duration of esketamine treatment, used to estimate the number of scripts per patient, was based on inputs and assumptions in the resubmission’s economic model, which </w:t>
      </w:r>
      <w:r w:rsidR="008602A6" w:rsidRPr="009431A3">
        <w:rPr>
          <w:iCs/>
        </w:rPr>
        <w:t xml:space="preserve">may have been </w:t>
      </w:r>
      <w:r w:rsidRPr="009431A3">
        <w:rPr>
          <w:iCs/>
        </w:rPr>
        <w:t>incorrectly calculated</w:t>
      </w:r>
      <w:r w:rsidR="008602A6" w:rsidRPr="009431A3">
        <w:rPr>
          <w:iCs/>
        </w:rPr>
        <w:t xml:space="preserve"> (for example, the estimated duration of treatment for patients receiving treatment for up to 12</w:t>
      </w:r>
      <w:r w:rsidR="00C02288">
        <w:rPr>
          <w:iCs/>
        </w:rPr>
        <w:t> </w:t>
      </w:r>
      <w:r w:rsidR="008602A6" w:rsidRPr="009431A3">
        <w:rPr>
          <w:iCs/>
        </w:rPr>
        <w:t>months included the patients who received treatment beyond 12 months duration of treatment</w:t>
      </w:r>
      <w:r w:rsidR="00FD04EB" w:rsidRPr="009431A3">
        <w:rPr>
          <w:iCs/>
        </w:rPr>
        <w:t xml:space="preserve"> which is likely to overestimate treatment duration</w:t>
      </w:r>
      <w:r w:rsidR="008602A6" w:rsidRPr="009431A3">
        <w:rPr>
          <w:iCs/>
        </w:rPr>
        <w:t xml:space="preserve">). </w:t>
      </w:r>
      <w:bookmarkStart w:id="65" w:name="_Hlk173995995"/>
      <w:r w:rsidR="0039513B">
        <w:rPr>
          <w:bCs/>
        </w:rPr>
        <w:t>The PBAC considered the approach used in the resubmission to calculate duration of treatment was reasonable; however, the duration of treatment in clinical practi</w:t>
      </w:r>
      <w:r w:rsidR="009C588A">
        <w:rPr>
          <w:bCs/>
        </w:rPr>
        <w:t>c</w:t>
      </w:r>
      <w:r w:rsidR="0039513B">
        <w:rPr>
          <w:bCs/>
        </w:rPr>
        <w:t>e remain</w:t>
      </w:r>
      <w:r w:rsidR="00505CC3">
        <w:rPr>
          <w:bCs/>
        </w:rPr>
        <w:t xml:space="preserve">ed </w:t>
      </w:r>
      <w:r w:rsidR="0039513B">
        <w:rPr>
          <w:bCs/>
        </w:rPr>
        <w:t>highly uncertain.</w:t>
      </w:r>
      <w:bookmarkEnd w:id="65"/>
    </w:p>
    <w:p w14:paraId="1F386B02" w14:textId="7E3C9182" w:rsidR="009315E4" w:rsidRPr="009431A3" w:rsidRDefault="00976859" w:rsidP="00C02288">
      <w:pPr>
        <w:pStyle w:val="COMexecsummbulletlist"/>
        <w:ind w:left="1077" w:hanging="357"/>
      </w:pPr>
      <w:r w:rsidRPr="009431A3">
        <w:t xml:space="preserve">DUSC previously considered the applicability of trial-based estimates of adherence, persistence and dose distribution to Australian clinical practice is </w:t>
      </w:r>
      <w:r w:rsidRPr="009431A3">
        <w:lastRenderedPageBreak/>
        <w:t xml:space="preserve">unclear; that difficulty in accessing supervised administration, the burden of appointments for administration and the inability to drive for the rest of the day following treatment may impact adherence; and that there is significant risk of use outside the proposed restriction in patients with conditions other than TRD (para 6.68, </w:t>
      </w:r>
      <w:r w:rsidR="00E71C49" w:rsidRPr="009431A3">
        <w:t>esketamine PSD</w:t>
      </w:r>
      <w:r w:rsidRPr="009431A3">
        <w:t xml:space="preserve">, July 2022 PBAC meeting). </w:t>
      </w:r>
    </w:p>
    <w:p w14:paraId="03436AAD" w14:textId="55965B01" w:rsidR="006E4F8F" w:rsidRPr="00B232D4" w:rsidRDefault="006E4F8F" w:rsidP="00B232D4">
      <w:pPr>
        <w:pStyle w:val="ListParagraph"/>
        <w:numPr>
          <w:ilvl w:val="1"/>
          <w:numId w:val="1"/>
        </w:numPr>
        <w:spacing w:after="120"/>
        <w:ind w:hanging="720"/>
        <w:contextualSpacing w:val="0"/>
        <w:rPr>
          <w:bCs/>
        </w:rPr>
      </w:pPr>
      <w:r w:rsidRPr="00B232D4">
        <w:rPr>
          <w:bCs/>
        </w:rPr>
        <w:t xml:space="preserve">The </w:t>
      </w:r>
      <w:r w:rsidR="004E64B8" w:rsidRPr="00B232D4">
        <w:rPr>
          <w:bCs/>
        </w:rPr>
        <w:t>PSCR</w:t>
      </w:r>
      <w:r w:rsidR="0039513B" w:rsidRPr="00B232D4">
        <w:rPr>
          <w:bCs/>
        </w:rPr>
        <w:t xml:space="preserve"> </w:t>
      </w:r>
      <w:r w:rsidRPr="00B232D4">
        <w:rPr>
          <w:bCs/>
        </w:rPr>
        <w:t xml:space="preserve">(pp. 3-4) noted that in comparing the proportion of patients retreated across the economic and financial models, the evaluation stated that 61.2% of patients are retreated in the financial model. The PSCR considered that the retreatment rate in the financial model is 41% across 5 years, based on </w:t>
      </w:r>
      <w:r w:rsidR="006C1B2D" w:rsidRPr="006C1B2D">
        <w:rPr>
          <w:bCs/>
        </w:rPr>
        <w:t>10,000 to &lt; 20,000</w:t>
      </w:r>
      <w:r w:rsidR="00C02288">
        <w:rPr>
          <w:bCs/>
        </w:rPr>
        <w:t xml:space="preserve"> </w:t>
      </w:r>
      <w:r w:rsidRPr="00B232D4">
        <w:rPr>
          <w:bCs/>
        </w:rPr>
        <w:t xml:space="preserve">patients retreated with esketamine divided by </w:t>
      </w:r>
      <w:r w:rsidR="00731BD5" w:rsidRPr="00731BD5">
        <w:rPr>
          <w:bCs/>
        </w:rPr>
        <w:t>20,000 to &lt; 30,000</w:t>
      </w:r>
      <w:r w:rsidR="00C02288">
        <w:rPr>
          <w:bCs/>
        </w:rPr>
        <w:t xml:space="preserve"> </w:t>
      </w:r>
      <w:r w:rsidRPr="00B232D4">
        <w:rPr>
          <w:bCs/>
        </w:rPr>
        <w:t>patients initially treated with esketamine (compared to 22% over 5 years in the economic model).</w:t>
      </w:r>
      <w:r w:rsidRPr="009431A3">
        <w:t xml:space="preserve"> The PSCR stated </w:t>
      </w:r>
      <w:r w:rsidRPr="00B232D4">
        <w:rPr>
          <w:bCs/>
        </w:rPr>
        <w:t>the economic model retreatment assumptions are more conservative, and likely an underestimate and that, given higher retreatment rates result in lower ICERs, it is not unreasonable for the financial model to assume a higher retreatment rate than the economic model. The PSCR stated any uncertainty would be addressed through the proposed RSA. The ESC noted 61.2% was not presented as the total proportion of retreated patients; it was the proportion of patients (</w:t>
      </w:r>
      <w:r w:rsidR="00032720" w:rsidRPr="00032720">
        <w:rPr>
          <w:bCs/>
        </w:rPr>
        <w:t>500 to &lt; 5,000</w:t>
      </w:r>
      <w:r w:rsidRPr="00C00509">
        <w:rPr>
          <w:bCs/>
        </w:rPr>
        <w:t>/</w:t>
      </w:r>
      <w:r w:rsidR="00032720" w:rsidRPr="00032720">
        <w:rPr>
          <w:bCs/>
        </w:rPr>
        <w:t>500 to &lt; 5,000</w:t>
      </w:r>
      <w:r w:rsidRPr="00B232D4">
        <w:rPr>
          <w:bCs/>
        </w:rPr>
        <w:t xml:space="preserve">) who initiate treatment in Year 1 and are retreated once over the 6 year time horizon of the financial model. This estimate was included in the evaluation to compare with the cohort in the economic model, in which 22% of the initial cohort receive retreatment over the 5 year model time horizon. </w:t>
      </w:r>
    </w:p>
    <w:p w14:paraId="2D4D7859" w14:textId="362A1AB2" w:rsidR="00E21FD1" w:rsidRPr="009431A3" w:rsidRDefault="005638BC" w:rsidP="00B232D4">
      <w:pPr>
        <w:pStyle w:val="ListParagraph"/>
        <w:numPr>
          <w:ilvl w:val="1"/>
          <w:numId w:val="1"/>
        </w:numPr>
        <w:spacing w:after="120"/>
        <w:ind w:hanging="720"/>
        <w:contextualSpacing w:val="0"/>
      </w:pPr>
      <w:r w:rsidRPr="009431A3">
        <w:t>The ESC advised there remained substantial uncertainties with the utilisation and financial estimates due to the uptake of esketamine, the extent of use for more than 12 months and re-treatment rates being uncertain.</w:t>
      </w:r>
      <w:r w:rsidR="00E21FD1" w:rsidRPr="009431A3">
        <w:t xml:space="preserve"> The ESC noted</w:t>
      </w:r>
      <w:r w:rsidR="00E21FD1" w:rsidRPr="00B232D4">
        <w:rPr>
          <w:bCs/>
        </w:rPr>
        <w:t xml:space="preserve"> the PSCR stated that while there were uncertainties with the financial estimates, the proposed RSA mitigates the financial risks to the PBS.  </w:t>
      </w:r>
      <w:r w:rsidR="00E21FD1" w:rsidRPr="009431A3">
        <w:t xml:space="preserve">The ESC noted the risks (such as extent of use beyond 12 months) can only be managed through an RSA if the utilisation estimates have not been overestimated. </w:t>
      </w:r>
    </w:p>
    <w:p w14:paraId="2238DEE9" w14:textId="3E6A228B" w:rsidR="00576972" w:rsidRPr="00043790" w:rsidRDefault="00576972" w:rsidP="00606FBA">
      <w:pPr>
        <w:pStyle w:val="COMH2-non-numbered"/>
      </w:pPr>
      <w:bookmarkStart w:id="66" w:name="_Toc22897648"/>
      <w:bookmarkStart w:id="67" w:name="_Toc167274380"/>
      <w:r w:rsidRPr="00043790">
        <w:t>Quality Use of Medicines</w:t>
      </w:r>
      <w:bookmarkEnd w:id="66"/>
      <w:bookmarkEnd w:id="67"/>
    </w:p>
    <w:p w14:paraId="38BD0AEF" w14:textId="77D0F33D" w:rsidR="00576972" w:rsidRPr="00FB181C" w:rsidRDefault="00C73542" w:rsidP="00FB181C">
      <w:pPr>
        <w:pStyle w:val="ListParagraph"/>
        <w:numPr>
          <w:ilvl w:val="1"/>
          <w:numId w:val="1"/>
        </w:numPr>
        <w:spacing w:after="120"/>
        <w:ind w:hanging="720"/>
        <w:contextualSpacing w:val="0"/>
        <w:rPr>
          <w:rFonts w:cs="Calibri"/>
          <w:bCs/>
          <w:iCs/>
        </w:rPr>
      </w:pPr>
      <w:r w:rsidRPr="00FB181C">
        <w:rPr>
          <w:rFonts w:cs="Calibri"/>
          <w:bCs/>
          <w:iCs/>
        </w:rPr>
        <w:t xml:space="preserve">The resubmission did not present an updated </w:t>
      </w:r>
      <w:r w:rsidR="00CF0D3A" w:rsidRPr="00FB181C">
        <w:rPr>
          <w:rFonts w:cs="Calibri"/>
          <w:bCs/>
          <w:iCs/>
        </w:rPr>
        <w:t>q</w:t>
      </w:r>
      <w:r w:rsidRPr="00FB181C">
        <w:rPr>
          <w:rFonts w:cs="Calibri"/>
          <w:bCs/>
          <w:iCs/>
        </w:rPr>
        <w:t xml:space="preserve">uality </w:t>
      </w:r>
      <w:r w:rsidR="00CF0D3A" w:rsidRPr="00FB181C">
        <w:rPr>
          <w:rFonts w:cs="Calibri"/>
          <w:bCs/>
          <w:iCs/>
        </w:rPr>
        <w:t>u</w:t>
      </w:r>
      <w:r w:rsidRPr="00FB181C">
        <w:rPr>
          <w:rFonts w:cs="Calibri"/>
          <w:bCs/>
          <w:iCs/>
        </w:rPr>
        <w:t xml:space="preserve">se of </w:t>
      </w:r>
      <w:r w:rsidR="00CF0D3A" w:rsidRPr="00FB181C">
        <w:rPr>
          <w:rFonts w:cs="Calibri"/>
          <w:bCs/>
          <w:iCs/>
        </w:rPr>
        <w:t>m</w:t>
      </w:r>
      <w:r w:rsidRPr="00FB181C">
        <w:rPr>
          <w:rFonts w:cs="Calibri"/>
          <w:bCs/>
          <w:iCs/>
        </w:rPr>
        <w:t>edicines strategy, stating that the July 2023 resubmission outlined the strategy in detail that is currently in place for patients accessing esketamine through the EAP, the D</w:t>
      </w:r>
      <w:r w:rsidR="00CF0D3A" w:rsidRPr="00FB181C">
        <w:rPr>
          <w:rFonts w:cs="Calibri"/>
          <w:bCs/>
          <w:iCs/>
        </w:rPr>
        <w:t xml:space="preserve">epartment of </w:t>
      </w:r>
      <w:r w:rsidRPr="00FB181C">
        <w:rPr>
          <w:rFonts w:cs="Calibri"/>
          <w:bCs/>
          <w:iCs/>
        </w:rPr>
        <w:t>V</w:t>
      </w:r>
      <w:r w:rsidR="00CF0D3A" w:rsidRPr="00FB181C">
        <w:rPr>
          <w:rFonts w:cs="Calibri"/>
          <w:bCs/>
          <w:iCs/>
        </w:rPr>
        <w:t xml:space="preserve">eterans’ </w:t>
      </w:r>
      <w:r w:rsidRPr="00FB181C">
        <w:rPr>
          <w:rFonts w:cs="Calibri"/>
          <w:bCs/>
          <w:iCs/>
        </w:rPr>
        <w:t>A</w:t>
      </w:r>
      <w:r w:rsidR="00CF0D3A" w:rsidRPr="00FB181C">
        <w:rPr>
          <w:rFonts w:cs="Calibri"/>
          <w:bCs/>
          <w:iCs/>
        </w:rPr>
        <w:t>ffairs</w:t>
      </w:r>
      <w:r w:rsidRPr="00FB181C">
        <w:rPr>
          <w:rFonts w:cs="Calibri"/>
          <w:bCs/>
          <w:iCs/>
        </w:rPr>
        <w:t xml:space="preserve"> and through state-based workers compensation schemes. The PBAC has previously considered that the sponsor ‘has developed an appropriate QUM strategy and accompanying activities for esketamine’ (para 6.76, </w:t>
      </w:r>
      <w:r w:rsidR="00E71C49" w:rsidRPr="00FB181C">
        <w:rPr>
          <w:rFonts w:cs="Calibri"/>
          <w:bCs/>
          <w:iCs/>
        </w:rPr>
        <w:t>esketamine PSD</w:t>
      </w:r>
      <w:r w:rsidRPr="00FB181C">
        <w:rPr>
          <w:rFonts w:cs="Calibri"/>
          <w:bCs/>
          <w:iCs/>
        </w:rPr>
        <w:t>, July 2023 PBAC meeting).</w:t>
      </w:r>
    </w:p>
    <w:p w14:paraId="5E9FDB56" w14:textId="77777777" w:rsidR="005638BC" w:rsidRDefault="004E7F45" w:rsidP="005638BC">
      <w:pPr>
        <w:pStyle w:val="ListParagraph"/>
        <w:numPr>
          <w:ilvl w:val="1"/>
          <w:numId w:val="1"/>
        </w:numPr>
        <w:spacing w:after="120"/>
        <w:ind w:hanging="720"/>
        <w:contextualSpacing w:val="0"/>
        <w:rPr>
          <w:rFonts w:cs="Calibri"/>
          <w:bCs/>
          <w:iCs/>
        </w:rPr>
      </w:pPr>
      <w:r w:rsidRPr="00FB181C">
        <w:rPr>
          <w:rFonts w:cs="Calibri"/>
          <w:bCs/>
          <w:iCs/>
        </w:rPr>
        <w:t xml:space="preserve">There is no funding mechanism to cover the administration and monitoring required for esketamine. The submission stated that this may be absorbed by public hospitals or private clinics making special funding arrangements or may be, in part or in whole, passed on to patients. The </w:t>
      </w:r>
      <w:r w:rsidR="00277B34" w:rsidRPr="00FB181C">
        <w:rPr>
          <w:rFonts w:cs="Calibri"/>
          <w:bCs/>
          <w:iCs/>
        </w:rPr>
        <w:t xml:space="preserve">submission stated that the </w:t>
      </w:r>
      <w:r w:rsidRPr="00FB181C">
        <w:rPr>
          <w:rFonts w:cs="Calibri"/>
          <w:bCs/>
          <w:iCs/>
        </w:rPr>
        <w:t xml:space="preserve">sponsor recognises that this may </w:t>
      </w:r>
      <w:r w:rsidRPr="00FB181C">
        <w:rPr>
          <w:rFonts w:cs="Calibri"/>
          <w:bCs/>
          <w:iCs/>
        </w:rPr>
        <w:lastRenderedPageBreak/>
        <w:t>result in inequities in treatment access as some patients will be required to pay out-of-pocket, which they may not be able to afford.</w:t>
      </w:r>
      <w:r w:rsidR="00825AD8">
        <w:rPr>
          <w:rFonts w:cs="Calibri"/>
          <w:bCs/>
          <w:iCs/>
        </w:rPr>
        <w:t xml:space="preserve"> </w:t>
      </w:r>
    </w:p>
    <w:p w14:paraId="3BC1DA72" w14:textId="7ECB76F7" w:rsidR="005638BC" w:rsidRPr="009431A3" w:rsidRDefault="005638BC" w:rsidP="005638BC">
      <w:pPr>
        <w:pStyle w:val="ListParagraph"/>
        <w:numPr>
          <w:ilvl w:val="1"/>
          <w:numId w:val="1"/>
        </w:numPr>
        <w:spacing w:after="120"/>
        <w:ind w:hanging="720"/>
        <w:contextualSpacing w:val="0"/>
        <w:rPr>
          <w:rFonts w:cs="Calibri"/>
          <w:bCs/>
        </w:rPr>
      </w:pPr>
      <w:r w:rsidRPr="009431A3">
        <w:rPr>
          <w:bCs/>
        </w:rPr>
        <w:t>The ESC noted likely access issues with esketamine relating to the lack of funding (and hence patient out of pocket costs) for administration and post-administration monitoring, and health system constraints in terms of access to psychiatrists, particularly in rural and remote areas.</w:t>
      </w:r>
    </w:p>
    <w:p w14:paraId="6015A395" w14:textId="2EDB6A4E" w:rsidR="00576972" w:rsidRPr="00043790" w:rsidRDefault="00576972" w:rsidP="00606FBA">
      <w:pPr>
        <w:pStyle w:val="COMH2-non-numbered"/>
      </w:pPr>
      <w:bookmarkStart w:id="68" w:name="_Toc22897649"/>
      <w:bookmarkStart w:id="69" w:name="_Toc167274381"/>
      <w:r w:rsidRPr="00043790">
        <w:t>Financial Management – Risk Sharing Arrangements</w:t>
      </w:r>
      <w:bookmarkEnd w:id="68"/>
      <w:bookmarkEnd w:id="69"/>
    </w:p>
    <w:p w14:paraId="052A06BF" w14:textId="3B806890" w:rsidR="00585885" w:rsidRPr="00FB181C" w:rsidRDefault="00585885" w:rsidP="00FB181C">
      <w:pPr>
        <w:pStyle w:val="ListParagraph"/>
        <w:numPr>
          <w:ilvl w:val="1"/>
          <w:numId w:val="1"/>
        </w:numPr>
        <w:spacing w:after="120"/>
        <w:ind w:hanging="720"/>
        <w:contextualSpacing w:val="0"/>
        <w:rPr>
          <w:rFonts w:cs="Calibri"/>
          <w:bCs/>
          <w:iCs/>
        </w:rPr>
      </w:pPr>
      <w:r w:rsidRPr="00FB181C">
        <w:rPr>
          <w:rFonts w:cs="Calibri"/>
          <w:bCs/>
          <w:iCs/>
        </w:rPr>
        <w:t xml:space="preserve">To address concerns of uncertainty in the utilisation of esketamine, including the number of patients eligible for and expected to receive initial therapy and retreatment, the resubmission proposed a risk-sharing arrangement consisting of annual subsidisation caps set at the estimated annual Commonwealth Payment (net cost) of esketamine nasal spray at the requested effective prices. </w:t>
      </w:r>
    </w:p>
    <w:p w14:paraId="2C4A731E" w14:textId="042E0E9B" w:rsidR="00585885" w:rsidRPr="00FB181C" w:rsidRDefault="00585885" w:rsidP="385B995D">
      <w:pPr>
        <w:pStyle w:val="ListParagraph"/>
        <w:numPr>
          <w:ilvl w:val="1"/>
          <w:numId w:val="1"/>
        </w:numPr>
        <w:spacing w:after="120"/>
        <w:ind w:hanging="720"/>
        <w:contextualSpacing w:val="0"/>
        <w:rPr>
          <w:rFonts w:cs="Calibri"/>
        </w:rPr>
      </w:pPr>
      <w:r w:rsidRPr="385B995D">
        <w:rPr>
          <w:rFonts w:cs="Calibri"/>
        </w:rPr>
        <w:t xml:space="preserve">The total value of the subsidisation cap over the 5-year period represents a </w:t>
      </w:r>
      <w:r w:rsidR="00683384" w:rsidRPr="007A7EF7">
        <w:rPr>
          <w:rFonts w:cs="Calibri"/>
          <w:color w:val="000000"/>
          <w:w w:val="62"/>
          <w:shd w:val="solid" w:color="000000" w:fill="000000"/>
          <w:fitText w:val="480" w:id="-892700671"/>
          <w14:textFill>
            <w14:solidFill>
              <w14:srgbClr w14:val="000000">
                <w14:alpha w14:val="100000"/>
              </w14:srgbClr>
            </w14:solidFill>
          </w14:textFill>
        </w:rPr>
        <w:t>|||  ||</w:t>
      </w:r>
      <w:r w:rsidR="00683384" w:rsidRPr="007A7EF7">
        <w:rPr>
          <w:rFonts w:cs="Calibri"/>
          <w:color w:val="000000"/>
          <w:spacing w:val="2"/>
          <w:w w:val="62"/>
          <w:shd w:val="solid" w:color="000000" w:fill="000000"/>
          <w:fitText w:val="480" w:id="-892700671"/>
          <w14:textFill>
            <w14:solidFill>
              <w14:srgbClr w14:val="000000">
                <w14:alpha w14:val="100000"/>
              </w14:srgbClr>
            </w14:solidFill>
          </w14:textFill>
        </w:rPr>
        <w:t>|</w:t>
      </w:r>
      <w:r w:rsidRPr="385B995D">
        <w:rPr>
          <w:rFonts w:cs="Calibri"/>
        </w:rPr>
        <w:t xml:space="preserve">% reduction from that proposed in the July 2023 resubmission. In addition, the resubmission proposed a reimbursement of </w:t>
      </w:r>
      <w:r w:rsidR="00683384" w:rsidRPr="00A34B18">
        <w:rPr>
          <w:rFonts w:cs="Calibri"/>
          <w:color w:val="000000"/>
          <w:w w:val="15"/>
          <w:shd w:val="solid" w:color="000000" w:fill="000000"/>
          <w:fitText w:val="-20" w:id="-892700670"/>
          <w14:textFill>
            <w14:solidFill>
              <w14:srgbClr w14:val="000000">
                <w14:alpha w14:val="100000"/>
              </w14:srgbClr>
            </w14:solidFill>
          </w14:textFill>
        </w:rPr>
        <w:t xml:space="preserve">|  </w:t>
      </w:r>
      <w:r w:rsidR="00683384" w:rsidRPr="00A34B18">
        <w:rPr>
          <w:rFonts w:cs="Calibri"/>
          <w:color w:val="000000"/>
          <w:spacing w:val="-69"/>
          <w:w w:val="15"/>
          <w:shd w:val="solid" w:color="000000" w:fill="000000"/>
          <w:fitText w:val="-20" w:id="-892700670"/>
          <w14:textFill>
            <w14:solidFill>
              <w14:srgbClr w14:val="000000">
                <w14:alpha w14:val="100000"/>
              </w14:srgbClr>
            </w14:solidFill>
          </w14:textFill>
        </w:rPr>
        <w:t>|</w:t>
      </w:r>
      <w:r w:rsidRPr="385B995D">
        <w:rPr>
          <w:rFonts w:cs="Calibri"/>
        </w:rPr>
        <w:t xml:space="preserve">% for any potential use above specified subsidisation caps (increased from </w:t>
      </w:r>
      <w:r w:rsidR="00683384" w:rsidRPr="00A34B18">
        <w:rPr>
          <w:rFonts w:cs="Calibri"/>
          <w:color w:val="000000"/>
          <w:w w:val="15"/>
          <w:shd w:val="solid" w:color="000000" w:fill="000000"/>
          <w:fitText w:val="-20" w:id="-892700669"/>
          <w14:textFill>
            <w14:solidFill>
              <w14:srgbClr w14:val="000000">
                <w14:alpha w14:val="100000"/>
              </w14:srgbClr>
            </w14:solidFill>
          </w14:textFill>
        </w:rPr>
        <w:t xml:space="preserve">|  </w:t>
      </w:r>
      <w:r w:rsidR="00683384" w:rsidRPr="00A34B18">
        <w:rPr>
          <w:rFonts w:cs="Calibri"/>
          <w:color w:val="000000"/>
          <w:spacing w:val="-69"/>
          <w:w w:val="15"/>
          <w:shd w:val="solid" w:color="000000" w:fill="000000"/>
          <w:fitText w:val="-20" w:id="-892700669"/>
          <w14:textFill>
            <w14:solidFill>
              <w14:srgbClr w14:val="000000">
                <w14:alpha w14:val="100000"/>
              </w14:srgbClr>
            </w14:solidFill>
          </w14:textFill>
        </w:rPr>
        <w:t>|</w:t>
      </w:r>
      <w:r w:rsidRPr="385B995D">
        <w:rPr>
          <w:rFonts w:cs="Calibri"/>
        </w:rPr>
        <w:t xml:space="preserve">% in the July 2023 resubmission and </w:t>
      </w:r>
      <w:r w:rsidR="00683384" w:rsidRPr="00A34B18">
        <w:rPr>
          <w:rFonts w:cs="Calibri"/>
          <w:color w:val="000000"/>
          <w:w w:val="15"/>
          <w:shd w:val="solid" w:color="000000" w:fill="000000"/>
          <w:fitText w:val="-20" w:id="-892700668"/>
          <w14:textFill>
            <w14:solidFill>
              <w14:srgbClr w14:val="000000">
                <w14:alpha w14:val="100000"/>
              </w14:srgbClr>
            </w14:solidFill>
          </w14:textFill>
        </w:rPr>
        <w:t xml:space="preserve">|  </w:t>
      </w:r>
      <w:r w:rsidR="00683384" w:rsidRPr="00A34B18">
        <w:rPr>
          <w:rFonts w:cs="Calibri"/>
          <w:color w:val="000000"/>
          <w:spacing w:val="-69"/>
          <w:w w:val="15"/>
          <w:shd w:val="solid" w:color="000000" w:fill="000000"/>
          <w:fitText w:val="-20" w:id="-892700668"/>
          <w14:textFill>
            <w14:solidFill>
              <w14:srgbClr w14:val="000000">
                <w14:alpha w14:val="100000"/>
              </w14:srgbClr>
            </w14:solidFill>
          </w14:textFill>
        </w:rPr>
        <w:t>|</w:t>
      </w:r>
      <w:r w:rsidRPr="385B995D">
        <w:rPr>
          <w:rFonts w:cs="Calibri"/>
        </w:rPr>
        <w:t>% in the July 2022 resubmission). The proposed subsidisation caps were set according to the estimated financial impacts over the first five years of listing.</w:t>
      </w:r>
    </w:p>
    <w:p w14:paraId="0E124523" w14:textId="135AD3D9" w:rsidR="00585885" w:rsidRPr="00FB181C" w:rsidRDefault="00585885" w:rsidP="00FB181C">
      <w:pPr>
        <w:pStyle w:val="ListParagraph"/>
        <w:numPr>
          <w:ilvl w:val="1"/>
          <w:numId w:val="1"/>
        </w:numPr>
        <w:spacing w:after="120"/>
        <w:ind w:hanging="720"/>
        <w:contextualSpacing w:val="0"/>
        <w:rPr>
          <w:rFonts w:cs="Calibri"/>
          <w:bCs/>
          <w:iCs/>
        </w:rPr>
      </w:pPr>
      <w:r w:rsidRPr="00FB181C">
        <w:rPr>
          <w:rFonts w:cs="Calibri"/>
          <w:bCs/>
          <w:iCs/>
        </w:rPr>
        <w:t xml:space="preserve">The resubmission acknowledged the consideration by the PBAC at the July 2022 meeting that a </w:t>
      </w:r>
      <w:r w:rsidR="00683384" w:rsidRPr="00A34B18">
        <w:rPr>
          <w:rFonts w:cs="Calibri"/>
          <w:bCs/>
          <w:iCs/>
          <w:color w:val="000000"/>
          <w:w w:val="15"/>
          <w:shd w:val="solid" w:color="000000" w:fill="000000"/>
          <w:fitText w:val="-20" w:id="-892700667"/>
          <w14:textFill>
            <w14:solidFill>
              <w14:srgbClr w14:val="000000">
                <w14:alpha w14:val="100000"/>
              </w14:srgbClr>
            </w14:solidFill>
          </w14:textFill>
        </w:rPr>
        <w:t xml:space="preserve">|  </w:t>
      </w:r>
      <w:r w:rsidR="00683384" w:rsidRPr="00A34B18">
        <w:rPr>
          <w:rFonts w:cs="Calibri"/>
          <w:bCs/>
          <w:iCs/>
          <w:color w:val="000000"/>
          <w:spacing w:val="-69"/>
          <w:w w:val="15"/>
          <w:shd w:val="solid" w:color="000000" w:fill="000000"/>
          <w:fitText w:val="-20" w:id="-892700667"/>
          <w14:textFill>
            <w14:solidFill>
              <w14:srgbClr w14:val="000000">
                <w14:alpha w14:val="100000"/>
              </w14:srgbClr>
            </w14:solidFill>
          </w14:textFill>
        </w:rPr>
        <w:t>|</w:t>
      </w:r>
      <w:r w:rsidRPr="00FB181C">
        <w:rPr>
          <w:rFonts w:cs="Calibri"/>
          <w:bCs/>
          <w:iCs/>
        </w:rPr>
        <w:t>% rebate for any potential use over subsidisation caps would provide greater certainty around the high proposed cost to government</w:t>
      </w:r>
      <w:r w:rsidR="00A67F74" w:rsidRPr="00FB181C">
        <w:rPr>
          <w:rFonts w:cs="Calibri"/>
          <w:bCs/>
          <w:iCs/>
        </w:rPr>
        <w:t xml:space="preserve"> (para 7.14, esketamine </w:t>
      </w:r>
      <w:r w:rsidR="00312065">
        <w:rPr>
          <w:rFonts w:cs="Calibri"/>
          <w:bCs/>
          <w:iCs/>
        </w:rPr>
        <w:t>PSD</w:t>
      </w:r>
      <w:r w:rsidR="00A67F74" w:rsidRPr="00FB181C">
        <w:rPr>
          <w:rFonts w:cs="Calibri"/>
          <w:bCs/>
          <w:iCs/>
        </w:rPr>
        <w:t>; July 2022 PBAC meeting)</w:t>
      </w:r>
      <w:r w:rsidRPr="00FB181C">
        <w:rPr>
          <w:rFonts w:cs="Calibri"/>
          <w:bCs/>
          <w:iCs/>
        </w:rPr>
        <w:t xml:space="preserve">. The current resubmission reiterated </w:t>
      </w:r>
      <w:r w:rsidRPr="00D76CC7">
        <w:rPr>
          <w:rFonts w:cs="Calibri"/>
          <w:bCs/>
          <w:iCs/>
        </w:rPr>
        <w:t xml:space="preserve">an inability to offer </w:t>
      </w:r>
      <w:r w:rsidR="00312065" w:rsidRPr="00A34B18">
        <w:rPr>
          <w:rFonts w:cs="Calibri"/>
          <w:color w:val="000000"/>
          <w:w w:val="15"/>
          <w:shd w:val="solid" w:color="000000" w:fill="000000"/>
          <w:fitText w:val="-20" w:id="-892700667"/>
          <w14:textFill>
            <w14:solidFill>
              <w14:srgbClr w14:val="000000">
                <w14:alpha w14:val="100000"/>
              </w14:srgbClr>
            </w14:solidFill>
          </w14:textFill>
        </w:rPr>
        <w:t>||</w:t>
      </w:r>
      <w:r w:rsidR="00312065" w:rsidRPr="00A34B18">
        <w:rPr>
          <w:rFonts w:cs="Calibri"/>
          <w:bCs/>
          <w:iCs/>
          <w:color w:val="000000"/>
          <w:spacing w:val="-69"/>
          <w:w w:val="15"/>
          <w:shd w:val="solid" w:color="000000" w:fill="000000"/>
          <w:fitText w:val="-20" w:id="-892700667"/>
          <w14:textFill>
            <w14:solidFill>
              <w14:srgbClr w14:val="000000">
                <w14:alpha w14:val="100000"/>
              </w14:srgbClr>
            </w14:solidFill>
          </w14:textFill>
        </w:rPr>
        <w:t>|</w:t>
      </w:r>
      <w:r w:rsidRPr="00D76CC7">
        <w:rPr>
          <w:rFonts w:cs="Calibri"/>
          <w:bCs/>
          <w:iCs/>
        </w:rPr>
        <w:t>% rebates,</w:t>
      </w:r>
      <w:r w:rsidRPr="00FB181C">
        <w:rPr>
          <w:rFonts w:cs="Calibri"/>
          <w:bCs/>
          <w:iCs/>
        </w:rPr>
        <w:t xml:space="preserve"> arguing that: the proposed financial impact is more certain than in previous resubmissions due to use of the 100% PBS sample to identify eligible patients; </w:t>
      </w:r>
      <w:r w:rsidR="00897C29" w:rsidRPr="00FB181C">
        <w:rPr>
          <w:rFonts w:cs="Calibri"/>
          <w:bCs/>
          <w:iCs/>
        </w:rPr>
        <w:t xml:space="preserve">there has been </w:t>
      </w:r>
      <w:r w:rsidRPr="00FB181C">
        <w:rPr>
          <w:rFonts w:cs="Calibri"/>
          <w:bCs/>
          <w:iCs/>
        </w:rPr>
        <w:t>a reduction in the proposed costs to government; a revised approach</w:t>
      </w:r>
      <w:r w:rsidR="00897C29" w:rsidRPr="00FB181C">
        <w:rPr>
          <w:rFonts w:cs="Calibri"/>
          <w:bCs/>
          <w:iCs/>
        </w:rPr>
        <w:t xml:space="preserve"> was taken</w:t>
      </w:r>
      <w:r w:rsidRPr="00FB181C">
        <w:rPr>
          <w:rFonts w:cs="Calibri"/>
          <w:bCs/>
          <w:iCs/>
        </w:rPr>
        <w:t xml:space="preserve"> to estimating retreated patients; tight controls</w:t>
      </w:r>
      <w:r w:rsidR="00D94844" w:rsidRPr="00FB181C">
        <w:rPr>
          <w:rFonts w:cs="Calibri"/>
          <w:bCs/>
          <w:iCs/>
        </w:rPr>
        <w:t xml:space="preserve"> exist</w:t>
      </w:r>
      <w:r w:rsidRPr="00FB181C">
        <w:rPr>
          <w:rFonts w:cs="Calibri"/>
          <w:bCs/>
          <w:iCs/>
        </w:rPr>
        <w:t xml:space="preserve"> around the use of esketamine (Schedule 8) requiring the ability to monitor and provide correct model of care; and a robust QUM program</w:t>
      </w:r>
      <w:r w:rsidR="00D94844" w:rsidRPr="00FB181C">
        <w:rPr>
          <w:rFonts w:cs="Calibri"/>
          <w:bCs/>
          <w:iCs/>
        </w:rPr>
        <w:t xml:space="preserve"> is in place</w:t>
      </w:r>
      <w:r w:rsidRPr="00FB181C">
        <w:rPr>
          <w:rFonts w:cs="Calibri"/>
          <w:bCs/>
          <w:iCs/>
        </w:rPr>
        <w:t xml:space="preserve"> which ensures that only those patients appropriate for esketamine will receive it.</w:t>
      </w:r>
    </w:p>
    <w:p w14:paraId="1FBCD5BE" w14:textId="2C3E7C50" w:rsidR="00585885" w:rsidRPr="00FB181C" w:rsidRDefault="00401DFE" w:rsidP="00FB181C">
      <w:pPr>
        <w:pStyle w:val="ListParagraph"/>
        <w:numPr>
          <w:ilvl w:val="1"/>
          <w:numId w:val="1"/>
        </w:numPr>
        <w:spacing w:after="120"/>
        <w:ind w:hanging="720"/>
        <w:contextualSpacing w:val="0"/>
        <w:rPr>
          <w:rFonts w:cs="Calibri"/>
          <w:bCs/>
          <w:iCs/>
        </w:rPr>
      </w:pPr>
      <w:r w:rsidRPr="00FB181C">
        <w:rPr>
          <w:rFonts w:cs="Calibri"/>
          <w:bCs/>
          <w:iCs/>
        </w:rPr>
        <w:fldChar w:fldCharType="begin" w:fldLock="1"/>
      </w:r>
      <w:r w:rsidRPr="00FB181C">
        <w:rPr>
          <w:rFonts w:cs="Calibri"/>
          <w:bCs/>
          <w:iCs/>
        </w:rPr>
        <w:instrText xml:space="preserve"> REF _Ref164616419 \h  \* MERGEFORMAT </w:instrText>
      </w:r>
      <w:r w:rsidRPr="00FB181C">
        <w:rPr>
          <w:rFonts w:cs="Calibri"/>
          <w:bCs/>
          <w:iCs/>
        </w:rPr>
      </w:r>
      <w:r w:rsidRPr="00FB181C">
        <w:rPr>
          <w:rFonts w:cs="Calibri"/>
          <w:bCs/>
          <w:iCs/>
        </w:rPr>
        <w:fldChar w:fldCharType="separate"/>
      </w:r>
      <w:r w:rsidR="002B3C60" w:rsidRPr="002B3C60">
        <w:rPr>
          <w:rFonts w:cs="Calibri"/>
          <w:bCs/>
          <w:iCs/>
        </w:rPr>
        <w:t>Table 20</w:t>
      </w:r>
      <w:r w:rsidRPr="00FB181C">
        <w:rPr>
          <w:rFonts w:cs="Calibri"/>
          <w:bCs/>
          <w:iCs/>
        </w:rPr>
        <w:fldChar w:fldCharType="end"/>
      </w:r>
      <w:r w:rsidRPr="00FB181C">
        <w:rPr>
          <w:rFonts w:cs="Calibri"/>
          <w:bCs/>
          <w:iCs/>
        </w:rPr>
        <w:t xml:space="preserve"> </w:t>
      </w:r>
      <w:r w:rsidR="00585885" w:rsidRPr="00FB181C">
        <w:rPr>
          <w:rFonts w:cs="Calibri"/>
          <w:bCs/>
          <w:iCs/>
        </w:rPr>
        <w:t>presents the subsidisation caps proposed in the resubmission. </w:t>
      </w:r>
    </w:p>
    <w:p w14:paraId="2A609059" w14:textId="5EDC4454" w:rsidR="00585885" w:rsidRPr="00D26534" w:rsidRDefault="00585885" w:rsidP="00C02288">
      <w:pPr>
        <w:pStyle w:val="COMtablefigcaption"/>
        <w:rPr>
          <w:rFonts w:ascii="Segoe UI" w:hAnsi="Segoe UI"/>
          <w:sz w:val="18"/>
          <w:szCs w:val="18"/>
        </w:rPr>
      </w:pPr>
      <w:bookmarkStart w:id="70" w:name="_Ref164616419"/>
      <w:r w:rsidRPr="00D26534">
        <w:lastRenderedPageBreak/>
        <w:t>Table</w:t>
      </w:r>
      <w:r w:rsidR="00401DFE" w:rsidRPr="00D26534">
        <w:t xml:space="preserve"> </w:t>
      </w:r>
      <w:r w:rsidR="004E64B8">
        <w:fldChar w:fldCharType="begin" w:fldLock="1"/>
      </w:r>
      <w:r w:rsidR="004E64B8">
        <w:instrText xml:space="preserve"> SEQ Table \* ARABIC </w:instrText>
      </w:r>
      <w:r w:rsidR="004E64B8">
        <w:fldChar w:fldCharType="separate"/>
      </w:r>
      <w:r w:rsidR="002B3C60">
        <w:rPr>
          <w:noProof/>
        </w:rPr>
        <w:t>20</w:t>
      </w:r>
      <w:r w:rsidR="004E64B8">
        <w:rPr>
          <w:noProof/>
        </w:rPr>
        <w:fldChar w:fldCharType="end"/>
      </w:r>
      <w:bookmarkEnd w:id="70"/>
      <w:r w:rsidRPr="00D26534">
        <w:t>: Proposed risk-sharing arrangement subsidisation caps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20: Proposed risk-sharing arrangement subsidisation caps "/>
      </w:tblPr>
      <w:tblGrid>
        <w:gridCol w:w="3095"/>
        <w:gridCol w:w="1028"/>
        <w:gridCol w:w="1222"/>
        <w:gridCol w:w="1222"/>
        <w:gridCol w:w="1080"/>
        <w:gridCol w:w="1364"/>
      </w:tblGrid>
      <w:tr w:rsidR="00585885" w:rsidRPr="00D26534" w14:paraId="03D9F410" w14:textId="77777777" w:rsidTr="008D2AC7">
        <w:tc>
          <w:tcPr>
            <w:tcW w:w="3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E7442" w14:textId="77777777" w:rsidR="00585885" w:rsidRPr="00D26534" w:rsidRDefault="00585885" w:rsidP="00C02288">
            <w:pPr>
              <w:keepNext/>
              <w:jc w:val="left"/>
              <w:textAlignment w:val="baseline"/>
              <w:rPr>
                <w:rFonts w:ascii="Times New Roman" w:hAnsi="Times New Roman" w:cs="Times New Roman"/>
                <w:b/>
                <w:bCs/>
              </w:rPr>
            </w:pPr>
            <w:r w:rsidRPr="00D26534">
              <w:rPr>
                <w:rFonts w:ascii="Arial Narrow" w:hAnsi="Arial Narrow" w:cs="Times New Roman"/>
                <w:b/>
                <w:bCs/>
                <w:sz w:val="20"/>
                <w:szCs w:val="20"/>
              </w:rPr>
              <w:t> </w:t>
            </w:r>
          </w:p>
        </w:tc>
        <w:tc>
          <w:tcPr>
            <w:tcW w:w="10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EDE38" w14:textId="77777777" w:rsidR="00585885" w:rsidRPr="00D26534" w:rsidRDefault="00585885" w:rsidP="00C02288">
            <w:pPr>
              <w:keepNext/>
              <w:jc w:val="center"/>
              <w:textAlignment w:val="baseline"/>
              <w:rPr>
                <w:rFonts w:ascii="Times New Roman" w:hAnsi="Times New Roman" w:cs="Times New Roman"/>
                <w:b/>
                <w:bCs/>
              </w:rPr>
            </w:pPr>
            <w:r w:rsidRPr="00D26534">
              <w:rPr>
                <w:rFonts w:ascii="Arial Narrow" w:hAnsi="Arial Narrow" w:cs="Times New Roman"/>
                <w:b/>
                <w:bCs/>
                <w:sz w:val="20"/>
                <w:szCs w:val="20"/>
              </w:rPr>
              <w:t>Year 1  </w:t>
            </w:r>
          </w:p>
        </w:tc>
        <w:tc>
          <w:tcPr>
            <w:tcW w:w="1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FE6CE" w14:textId="77777777" w:rsidR="00585885" w:rsidRPr="00D26534" w:rsidRDefault="00585885" w:rsidP="00C02288">
            <w:pPr>
              <w:keepNext/>
              <w:jc w:val="center"/>
              <w:textAlignment w:val="baseline"/>
              <w:rPr>
                <w:rFonts w:ascii="Times New Roman" w:hAnsi="Times New Roman" w:cs="Times New Roman"/>
                <w:b/>
                <w:bCs/>
              </w:rPr>
            </w:pPr>
            <w:r w:rsidRPr="00D26534">
              <w:rPr>
                <w:rFonts w:ascii="Arial Narrow" w:hAnsi="Arial Narrow" w:cs="Times New Roman"/>
                <w:b/>
                <w:bCs/>
                <w:sz w:val="20"/>
                <w:szCs w:val="20"/>
              </w:rPr>
              <w:t>Year 2  </w:t>
            </w:r>
          </w:p>
        </w:tc>
        <w:tc>
          <w:tcPr>
            <w:tcW w:w="1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F64C37" w14:textId="77777777" w:rsidR="00585885" w:rsidRPr="00D26534" w:rsidRDefault="00585885" w:rsidP="00C02288">
            <w:pPr>
              <w:keepNext/>
              <w:jc w:val="center"/>
              <w:textAlignment w:val="baseline"/>
              <w:rPr>
                <w:rFonts w:ascii="Times New Roman" w:hAnsi="Times New Roman" w:cs="Times New Roman"/>
                <w:b/>
                <w:bCs/>
              </w:rPr>
            </w:pPr>
            <w:r w:rsidRPr="00D26534">
              <w:rPr>
                <w:rFonts w:ascii="Arial Narrow" w:hAnsi="Arial Narrow" w:cs="Times New Roman"/>
                <w:b/>
                <w:bCs/>
                <w:sz w:val="20"/>
                <w:szCs w:val="20"/>
              </w:rPr>
              <w:t>Year 3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D6E2F2" w14:textId="77777777" w:rsidR="00585885" w:rsidRPr="00D26534" w:rsidRDefault="00585885" w:rsidP="00C02288">
            <w:pPr>
              <w:keepNext/>
              <w:jc w:val="center"/>
              <w:textAlignment w:val="baseline"/>
              <w:rPr>
                <w:rFonts w:ascii="Times New Roman" w:hAnsi="Times New Roman" w:cs="Times New Roman"/>
                <w:b/>
                <w:bCs/>
              </w:rPr>
            </w:pPr>
            <w:r w:rsidRPr="00D26534">
              <w:rPr>
                <w:rFonts w:ascii="Arial Narrow" w:hAnsi="Arial Narrow" w:cs="Times New Roman"/>
                <w:b/>
                <w:bCs/>
                <w:sz w:val="20"/>
                <w:szCs w:val="20"/>
              </w:rPr>
              <w:t>Year 4  </w:t>
            </w:r>
          </w:p>
        </w:tc>
        <w:tc>
          <w:tcPr>
            <w:tcW w:w="13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CD5F9E" w14:textId="77777777" w:rsidR="00585885" w:rsidRPr="00D26534" w:rsidRDefault="00585885" w:rsidP="00C02288">
            <w:pPr>
              <w:keepNext/>
              <w:jc w:val="center"/>
              <w:textAlignment w:val="baseline"/>
              <w:rPr>
                <w:rFonts w:ascii="Times New Roman" w:hAnsi="Times New Roman" w:cs="Times New Roman"/>
                <w:b/>
                <w:bCs/>
              </w:rPr>
            </w:pPr>
            <w:r w:rsidRPr="00D26534">
              <w:rPr>
                <w:rFonts w:ascii="Arial Narrow" w:hAnsi="Arial Narrow" w:cs="Times New Roman"/>
                <w:b/>
                <w:bCs/>
                <w:sz w:val="20"/>
                <w:szCs w:val="20"/>
              </w:rPr>
              <w:t>Year 5  </w:t>
            </w:r>
          </w:p>
        </w:tc>
      </w:tr>
      <w:tr w:rsidR="00585885" w:rsidRPr="00D26534" w14:paraId="0D61A5EA" w14:textId="77777777" w:rsidTr="008D2AC7">
        <w:tc>
          <w:tcPr>
            <w:tcW w:w="3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4BE1C" w14:textId="77777777" w:rsidR="00585885" w:rsidRPr="00D26534" w:rsidRDefault="00585885" w:rsidP="00C02288">
            <w:pPr>
              <w:keepNext/>
              <w:jc w:val="left"/>
              <w:textAlignment w:val="baseline"/>
              <w:rPr>
                <w:rFonts w:ascii="Times New Roman" w:hAnsi="Times New Roman" w:cs="Times New Roman"/>
              </w:rPr>
            </w:pPr>
            <w:r w:rsidRPr="00D26534">
              <w:rPr>
                <w:rFonts w:ascii="Arial Narrow" w:hAnsi="Arial Narrow" w:cs="Times New Roman"/>
                <w:sz w:val="20"/>
                <w:szCs w:val="20"/>
              </w:rPr>
              <w:t>Value of subsidisation caps </w:t>
            </w:r>
          </w:p>
        </w:tc>
        <w:tc>
          <w:tcPr>
            <w:tcW w:w="1028" w:type="dxa"/>
            <w:tcBorders>
              <w:top w:val="single" w:sz="6" w:space="0" w:color="auto"/>
              <w:left w:val="nil"/>
              <w:bottom w:val="single" w:sz="6" w:space="0" w:color="auto"/>
              <w:right w:val="single" w:sz="6" w:space="0" w:color="auto"/>
            </w:tcBorders>
            <w:shd w:val="clear" w:color="auto" w:fill="auto"/>
          </w:tcPr>
          <w:p w14:paraId="28AE3022" w14:textId="2E68BD2E" w:rsidR="00585885" w:rsidRPr="008D2AC7" w:rsidRDefault="00683384" w:rsidP="00C02288">
            <w:pPr>
              <w:pStyle w:val="COMTabletext"/>
              <w:jc w:val="center"/>
              <w:rPr>
                <w:rFonts w:ascii="Times New Roman" w:hAnsi="Times New Roman" w:cs="Times New Roman"/>
                <w:highlight w:val="lightGray"/>
              </w:rPr>
            </w:pPr>
            <w:r w:rsidRPr="00683384">
              <w:rPr>
                <w:rFonts w:hint="eastAsia"/>
                <w:color w:val="000000"/>
                <w:w w:val="20"/>
                <w:shd w:val="solid" w:color="000000" w:fill="000000"/>
                <w:fitText w:val="90" w:id="-892700666"/>
                <w14:textFill>
                  <w14:solidFill>
                    <w14:srgbClr w14:val="000000">
                      <w14:alpha w14:val="100000"/>
                    </w14:srgbClr>
                  </w14:solidFill>
                </w14:textFill>
              </w:rPr>
              <w:t xml:space="preserve">　</w:t>
            </w:r>
            <w:r w:rsidRPr="00683384">
              <w:rPr>
                <w:color w:val="000000"/>
                <w:w w:val="20"/>
                <w:shd w:val="solid" w:color="000000" w:fill="000000"/>
                <w:fitText w:val="90" w:id="-892700666"/>
                <w14:textFill>
                  <w14:solidFill>
                    <w14:srgbClr w14:val="000000">
                      <w14:alpha w14:val="100000"/>
                    </w14:srgbClr>
                  </w14:solidFill>
                </w14:textFill>
              </w:rPr>
              <w:t>|</w:t>
            </w:r>
            <w:r w:rsidRPr="00683384">
              <w:rPr>
                <w:rFonts w:hint="eastAsia"/>
                <w:color w:val="000000"/>
                <w:spacing w:val="3"/>
                <w:w w:val="20"/>
                <w:shd w:val="solid" w:color="000000" w:fill="000000"/>
                <w:fitText w:val="90" w:id="-892700666"/>
                <w14:textFill>
                  <w14:solidFill>
                    <w14:srgbClr w14:val="000000">
                      <w14:alpha w14:val="100000"/>
                    </w14:srgbClr>
                  </w14:solidFill>
                </w14:textFill>
              </w:rPr>
              <w:t xml:space="preserve">　</w:t>
            </w:r>
            <w:r w:rsidR="00AD63AD" w:rsidRPr="008D2AC7">
              <w:rPr>
                <w:vertAlign w:val="superscript"/>
              </w:rPr>
              <w:t>1</w:t>
            </w:r>
          </w:p>
        </w:tc>
        <w:tc>
          <w:tcPr>
            <w:tcW w:w="1222" w:type="dxa"/>
            <w:tcBorders>
              <w:top w:val="single" w:sz="6" w:space="0" w:color="auto"/>
              <w:left w:val="nil"/>
              <w:bottom w:val="single" w:sz="6" w:space="0" w:color="auto"/>
              <w:right w:val="single" w:sz="6" w:space="0" w:color="auto"/>
            </w:tcBorders>
            <w:shd w:val="clear" w:color="auto" w:fill="auto"/>
          </w:tcPr>
          <w:p w14:paraId="3D795AC6" w14:textId="3973A6A8" w:rsidR="00585885" w:rsidRPr="008D2AC7" w:rsidRDefault="00683384" w:rsidP="00C02288">
            <w:pPr>
              <w:pStyle w:val="COMTabletext"/>
              <w:jc w:val="center"/>
              <w:rPr>
                <w:rFonts w:ascii="Times New Roman" w:hAnsi="Times New Roman" w:cs="Times New Roman"/>
                <w:highlight w:val="lightGray"/>
              </w:rPr>
            </w:pPr>
            <w:r w:rsidRPr="00683384">
              <w:rPr>
                <w:color w:val="000000"/>
                <w:shd w:val="solid" w:color="000000" w:fill="000000"/>
                <w14:textFill>
                  <w14:solidFill>
                    <w14:srgbClr w14:val="000000">
                      <w14:alpha w14:val="100000"/>
                    </w14:srgbClr>
                  </w14:solidFill>
                </w14:textFill>
              </w:rPr>
              <w:t>|</w:t>
            </w:r>
            <w:r w:rsidR="00AD63AD" w:rsidRPr="008D2AC7">
              <w:rPr>
                <w:vertAlign w:val="superscript"/>
              </w:rPr>
              <w:t>2</w:t>
            </w:r>
          </w:p>
        </w:tc>
        <w:tc>
          <w:tcPr>
            <w:tcW w:w="1222" w:type="dxa"/>
            <w:tcBorders>
              <w:top w:val="single" w:sz="6" w:space="0" w:color="auto"/>
              <w:left w:val="nil"/>
              <w:bottom w:val="single" w:sz="6" w:space="0" w:color="auto"/>
              <w:right w:val="single" w:sz="6" w:space="0" w:color="auto"/>
            </w:tcBorders>
            <w:shd w:val="clear" w:color="auto" w:fill="auto"/>
          </w:tcPr>
          <w:p w14:paraId="739C3046" w14:textId="5E43CDF3" w:rsidR="00585885" w:rsidRPr="008D2AC7" w:rsidRDefault="00683384" w:rsidP="00C02288">
            <w:pPr>
              <w:pStyle w:val="COMTabletext"/>
              <w:jc w:val="center"/>
              <w:rPr>
                <w:rFonts w:ascii="Times New Roman" w:hAnsi="Times New Roman" w:cs="Times New Roman"/>
                <w:highlight w:val="lightGray"/>
              </w:rPr>
            </w:pPr>
            <w:r w:rsidRPr="00683384">
              <w:rPr>
                <w:color w:val="000000"/>
                <w:shd w:val="solid" w:color="000000" w:fill="000000"/>
                <w14:textFill>
                  <w14:solidFill>
                    <w14:srgbClr w14:val="000000">
                      <w14:alpha w14:val="100000"/>
                    </w14:srgbClr>
                  </w14:solidFill>
                </w14:textFill>
              </w:rPr>
              <w:t>|</w:t>
            </w:r>
            <w:r w:rsidR="00D436A8" w:rsidRPr="008D2AC7">
              <w:rPr>
                <w:vertAlign w:val="superscript"/>
              </w:rPr>
              <w:t>3</w:t>
            </w:r>
          </w:p>
        </w:tc>
        <w:tc>
          <w:tcPr>
            <w:tcW w:w="1080" w:type="dxa"/>
            <w:tcBorders>
              <w:top w:val="single" w:sz="6" w:space="0" w:color="auto"/>
              <w:left w:val="nil"/>
              <w:bottom w:val="single" w:sz="6" w:space="0" w:color="auto"/>
              <w:right w:val="single" w:sz="6" w:space="0" w:color="auto"/>
            </w:tcBorders>
            <w:shd w:val="clear" w:color="auto" w:fill="auto"/>
          </w:tcPr>
          <w:p w14:paraId="49F4DF2C" w14:textId="4B2F0243" w:rsidR="00585885" w:rsidRPr="008D2AC7" w:rsidRDefault="00683384" w:rsidP="00C02288">
            <w:pPr>
              <w:pStyle w:val="COMTabletext"/>
              <w:jc w:val="center"/>
              <w:rPr>
                <w:rFonts w:ascii="Times New Roman" w:hAnsi="Times New Roman" w:cs="Times New Roman"/>
                <w:highlight w:val="lightGray"/>
              </w:rPr>
            </w:pPr>
            <w:r w:rsidRPr="00683384">
              <w:rPr>
                <w:rFonts w:hint="eastAsia"/>
                <w:color w:val="000000"/>
                <w:w w:val="15"/>
                <w:shd w:val="solid" w:color="000000" w:fill="000000"/>
                <w:fitText w:val="70" w:id="-892700665"/>
                <w14:textFill>
                  <w14:solidFill>
                    <w14:srgbClr w14:val="000000">
                      <w14:alpha w14:val="100000"/>
                    </w14:srgbClr>
                  </w14:solidFill>
                </w14:textFill>
              </w:rPr>
              <w:t xml:space="preserve">　</w:t>
            </w:r>
            <w:r w:rsidRPr="00683384">
              <w:rPr>
                <w:color w:val="000000"/>
                <w:w w:val="15"/>
                <w:shd w:val="solid" w:color="000000" w:fill="000000"/>
                <w:fitText w:val="70" w:id="-892700665"/>
                <w14:textFill>
                  <w14:solidFill>
                    <w14:srgbClr w14:val="000000">
                      <w14:alpha w14:val="100000"/>
                    </w14:srgbClr>
                  </w14:solidFill>
                </w14:textFill>
              </w:rPr>
              <w:t>|</w:t>
            </w:r>
            <w:r w:rsidRPr="00683384">
              <w:rPr>
                <w:rFonts w:hint="eastAsia"/>
                <w:color w:val="000000"/>
                <w:spacing w:val="4"/>
                <w:w w:val="15"/>
                <w:shd w:val="solid" w:color="000000" w:fill="000000"/>
                <w:fitText w:val="70" w:id="-892700665"/>
                <w14:textFill>
                  <w14:solidFill>
                    <w14:srgbClr w14:val="000000">
                      <w14:alpha w14:val="100000"/>
                    </w14:srgbClr>
                  </w14:solidFill>
                </w14:textFill>
              </w:rPr>
              <w:t xml:space="preserve">　</w:t>
            </w:r>
            <w:r w:rsidR="00D436A8" w:rsidRPr="008D2AC7">
              <w:rPr>
                <w:vertAlign w:val="superscript"/>
              </w:rPr>
              <w:t>4</w:t>
            </w:r>
          </w:p>
        </w:tc>
        <w:tc>
          <w:tcPr>
            <w:tcW w:w="1364" w:type="dxa"/>
            <w:tcBorders>
              <w:top w:val="single" w:sz="6" w:space="0" w:color="auto"/>
              <w:left w:val="nil"/>
              <w:bottom w:val="single" w:sz="6" w:space="0" w:color="auto"/>
              <w:right w:val="single" w:sz="6" w:space="0" w:color="auto"/>
            </w:tcBorders>
            <w:shd w:val="clear" w:color="auto" w:fill="auto"/>
          </w:tcPr>
          <w:p w14:paraId="52226AA2" w14:textId="186A2ABF" w:rsidR="00585885" w:rsidRPr="008D2AC7" w:rsidRDefault="00683384" w:rsidP="00C02288">
            <w:pPr>
              <w:pStyle w:val="COMTabletext"/>
              <w:jc w:val="center"/>
              <w:rPr>
                <w:rFonts w:ascii="Times New Roman" w:hAnsi="Times New Roman" w:cs="Times New Roman"/>
                <w:highlight w:val="lightGray"/>
              </w:rPr>
            </w:pPr>
            <w:r w:rsidRPr="00683384">
              <w:rPr>
                <w:color w:val="000000"/>
                <w:shd w:val="solid" w:color="000000" w:fill="000000"/>
                <w14:textFill>
                  <w14:solidFill>
                    <w14:srgbClr w14:val="000000">
                      <w14:alpha w14:val="100000"/>
                    </w14:srgbClr>
                  </w14:solidFill>
                </w14:textFill>
              </w:rPr>
              <w:t>|</w:t>
            </w:r>
            <w:r w:rsidR="00D436A8" w:rsidRPr="008D2AC7">
              <w:rPr>
                <w:vertAlign w:val="superscript"/>
              </w:rPr>
              <w:t>5</w:t>
            </w:r>
          </w:p>
        </w:tc>
      </w:tr>
      <w:tr w:rsidR="00585885" w:rsidRPr="00D26534" w14:paraId="6149309E" w14:textId="77777777" w:rsidTr="008D2AC7">
        <w:tc>
          <w:tcPr>
            <w:tcW w:w="3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6CC69" w14:textId="77777777" w:rsidR="00585885" w:rsidRPr="00D26534" w:rsidRDefault="00585885" w:rsidP="00C02288">
            <w:pPr>
              <w:keepNext/>
              <w:jc w:val="left"/>
              <w:textAlignment w:val="baseline"/>
              <w:rPr>
                <w:rFonts w:ascii="Times New Roman" w:hAnsi="Times New Roman" w:cs="Times New Roman"/>
              </w:rPr>
            </w:pPr>
            <w:r w:rsidRPr="00D26534">
              <w:rPr>
                <w:rFonts w:ascii="Arial Narrow" w:hAnsi="Arial Narrow" w:cs="Times New Roman"/>
                <w:sz w:val="20"/>
                <w:szCs w:val="20"/>
              </w:rPr>
              <w:t>Number of scripts in subsidisation caps </w:t>
            </w:r>
          </w:p>
        </w:tc>
        <w:tc>
          <w:tcPr>
            <w:tcW w:w="1028" w:type="dxa"/>
            <w:tcBorders>
              <w:top w:val="single" w:sz="6" w:space="0" w:color="auto"/>
              <w:left w:val="nil"/>
              <w:bottom w:val="single" w:sz="6" w:space="0" w:color="auto"/>
              <w:right w:val="single" w:sz="6" w:space="0" w:color="auto"/>
            </w:tcBorders>
            <w:shd w:val="clear" w:color="auto" w:fill="auto"/>
          </w:tcPr>
          <w:p w14:paraId="497CC025" w14:textId="47808727" w:rsidR="00585885" w:rsidRPr="008D2AC7" w:rsidRDefault="00683384" w:rsidP="00C02288">
            <w:pPr>
              <w:pStyle w:val="COMTabletext"/>
              <w:jc w:val="center"/>
              <w:rPr>
                <w:rFonts w:ascii="Times New Roman" w:hAnsi="Times New Roman" w:cs="Times New Roman"/>
                <w:highlight w:val="lightGray"/>
              </w:rPr>
            </w:pPr>
            <w:r w:rsidRPr="00683384">
              <w:rPr>
                <w:rFonts w:hint="eastAsia"/>
                <w:color w:val="000000"/>
                <w:w w:val="20"/>
                <w:shd w:val="solid" w:color="000000" w:fill="000000"/>
                <w:fitText w:val="90" w:id="-892700664"/>
                <w14:textFill>
                  <w14:solidFill>
                    <w14:srgbClr w14:val="000000">
                      <w14:alpha w14:val="100000"/>
                    </w14:srgbClr>
                  </w14:solidFill>
                </w14:textFill>
              </w:rPr>
              <w:t xml:space="preserve">　</w:t>
            </w:r>
            <w:r w:rsidRPr="00683384">
              <w:rPr>
                <w:color w:val="000000"/>
                <w:w w:val="20"/>
                <w:shd w:val="solid" w:color="000000" w:fill="000000"/>
                <w:fitText w:val="90" w:id="-892700664"/>
                <w14:textFill>
                  <w14:solidFill>
                    <w14:srgbClr w14:val="000000">
                      <w14:alpha w14:val="100000"/>
                    </w14:srgbClr>
                  </w14:solidFill>
                </w14:textFill>
              </w:rPr>
              <w:t>|</w:t>
            </w:r>
            <w:r w:rsidRPr="00683384">
              <w:rPr>
                <w:rFonts w:hint="eastAsia"/>
                <w:color w:val="000000"/>
                <w:spacing w:val="3"/>
                <w:w w:val="20"/>
                <w:shd w:val="solid" w:color="000000" w:fill="000000"/>
                <w:fitText w:val="90" w:id="-892700664"/>
                <w14:textFill>
                  <w14:solidFill>
                    <w14:srgbClr w14:val="000000">
                      <w14:alpha w14:val="100000"/>
                    </w14:srgbClr>
                  </w14:solidFill>
                </w14:textFill>
              </w:rPr>
              <w:t xml:space="preserve">　</w:t>
            </w:r>
            <w:r w:rsidR="00D436A8" w:rsidRPr="008D2AC7">
              <w:rPr>
                <w:vertAlign w:val="superscript"/>
              </w:rPr>
              <w:t>6</w:t>
            </w:r>
          </w:p>
        </w:tc>
        <w:tc>
          <w:tcPr>
            <w:tcW w:w="1222" w:type="dxa"/>
            <w:tcBorders>
              <w:top w:val="single" w:sz="6" w:space="0" w:color="auto"/>
              <w:left w:val="nil"/>
              <w:bottom w:val="single" w:sz="6" w:space="0" w:color="auto"/>
              <w:right w:val="single" w:sz="6" w:space="0" w:color="auto"/>
            </w:tcBorders>
            <w:shd w:val="clear" w:color="auto" w:fill="auto"/>
          </w:tcPr>
          <w:p w14:paraId="51E429C6" w14:textId="62170E2A" w:rsidR="00585885" w:rsidRPr="008D2AC7" w:rsidRDefault="00683384" w:rsidP="00C02288">
            <w:pPr>
              <w:pStyle w:val="COMTabletext"/>
              <w:jc w:val="center"/>
              <w:rPr>
                <w:rFonts w:ascii="Times New Roman" w:hAnsi="Times New Roman" w:cs="Times New Roman"/>
                <w:highlight w:val="lightGray"/>
              </w:rPr>
            </w:pPr>
            <w:r w:rsidRPr="00683384">
              <w:rPr>
                <w:color w:val="000000"/>
                <w:shd w:val="solid" w:color="000000" w:fill="000000"/>
                <w14:textFill>
                  <w14:solidFill>
                    <w14:srgbClr w14:val="000000">
                      <w14:alpha w14:val="100000"/>
                    </w14:srgbClr>
                  </w14:solidFill>
                </w14:textFill>
              </w:rPr>
              <w:t>|</w:t>
            </w:r>
            <w:r w:rsidR="00D436A8" w:rsidRPr="008D2AC7">
              <w:rPr>
                <w:vertAlign w:val="superscript"/>
              </w:rPr>
              <w:t>7</w:t>
            </w:r>
          </w:p>
        </w:tc>
        <w:tc>
          <w:tcPr>
            <w:tcW w:w="1222" w:type="dxa"/>
            <w:tcBorders>
              <w:top w:val="single" w:sz="6" w:space="0" w:color="auto"/>
              <w:left w:val="nil"/>
              <w:bottom w:val="single" w:sz="6" w:space="0" w:color="auto"/>
              <w:right w:val="single" w:sz="6" w:space="0" w:color="auto"/>
            </w:tcBorders>
            <w:shd w:val="clear" w:color="auto" w:fill="auto"/>
          </w:tcPr>
          <w:p w14:paraId="39238512" w14:textId="69B426F1" w:rsidR="00585885" w:rsidRPr="008D2AC7" w:rsidRDefault="00683384" w:rsidP="00C02288">
            <w:pPr>
              <w:pStyle w:val="COMTabletext"/>
              <w:jc w:val="center"/>
              <w:rPr>
                <w:rFonts w:ascii="Times New Roman" w:hAnsi="Times New Roman" w:cs="Times New Roman"/>
                <w:highlight w:val="lightGray"/>
              </w:rPr>
            </w:pPr>
            <w:r w:rsidRPr="00683384">
              <w:rPr>
                <w:color w:val="000000"/>
                <w:shd w:val="solid" w:color="000000" w:fill="000000"/>
                <w14:textFill>
                  <w14:solidFill>
                    <w14:srgbClr w14:val="000000">
                      <w14:alpha w14:val="100000"/>
                    </w14:srgbClr>
                  </w14:solidFill>
                </w14:textFill>
              </w:rPr>
              <w:t>|</w:t>
            </w:r>
            <w:r w:rsidR="00D436A8" w:rsidRPr="008D2AC7">
              <w:rPr>
                <w:vertAlign w:val="superscript"/>
              </w:rPr>
              <w:t>8</w:t>
            </w:r>
          </w:p>
        </w:tc>
        <w:tc>
          <w:tcPr>
            <w:tcW w:w="1080" w:type="dxa"/>
            <w:tcBorders>
              <w:top w:val="single" w:sz="6" w:space="0" w:color="auto"/>
              <w:left w:val="nil"/>
              <w:bottom w:val="single" w:sz="6" w:space="0" w:color="auto"/>
              <w:right w:val="single" w:sz="6" w:space="0" w:color="auto"/>
            </w:tcBorders>
            <w:shd w:val="clear" w:color="auto" w:fill="auto"/>
          </w:tcPr>
          <w:p w14:paraId="22B4CBD9" w14:textId="12C86741" w:rsidR="00585885" w:rsidRPr="008D2AC7" w:rsidRDefault="00683384" w:rsidP="00C02288">
            <w:pPr>
              <w:pStyle w:val="COMTabletext"/>
              <w:jc w:val="center"/>
              <w:rPr>
                <w:rFonts w:ascii="Times New Roman" w:hAnsi="Times New Roman" w:cs="Times New Roman"/>
                <w:highlight w:val="lightGray"/>
              </w:rPr>
            </w:pPr>
            <w:r w:rsidRPr="00683384">
              <w:rPr>
                <w:rFonts w:hint="eastAsia"/>
                <w:color w:val="000000"/>
                <w:w w:val="15"/>
                <w:shd w:val="solid" w:color="000000" w:fill="000000"/>
                <w:fitText w:val="70" w:id="-892700663"/>
                <w14:textFill>
                  <w14:solidFill>
                    <w14:srgbClr w14:val="000000">
                      <w14:alpha w14:val="100000"/>
                    </w14:srgbClr>
                  </w14:solidFill>
                </w14:textFill>
              </w:rPr>
              <w:t xml:space="preserve">　</w:t>
            </w:r>
            <w:r w:rsidRPr="00683384">
              <w:rPr>
                <w:color w:val="000000"/>
                <w:w w:val="15"/>
                <w:shd w:val="solid" w:color="000000" w:fill="000000"/>
                <w:fitText w:val="70" w:id="-892700663"/>
                <w14:textFill>
                  <w14:solidFill>
                    <w14:srgbClr w14:val="000000">
                      <w14:alpha w14:val="100000"/>
                    </w14:srgbClr>
                  </w14:solidFill>
                </w14:textFill>
              </w:rPr>
              <w:t>|</w:t>
            </w:r>
            <w:r w:rsidRPr="00683384">
              <w:rPr>
                <w:rFonts w:hint="eastAsia"/>
                <w:color w:val="000000"/>
                <w:spacing w:val="4"/>
                <w:w w:val="15"/>
                <w:shd w:val="solid" w:color="000000" w:fill="000000"/>
                <w:fitText w:val="70" w:id="-892700663"/>
                <w14:textFill>
                  <w14:solidFill>
                    <w14:srgbClr w14:val="000000">
                      <w14:alpha w14:val="100000"/>
                    </w14:srgbClr>
                  </w14:solidFill>
                </w14:textFill>
              </w:rPr>
              <w:t xml:space="preserve">　</w:t>
            </w:r>
            <w:r w:rsidR="00D436A8" w:rsidRPr="008D2AC7">
              <w:rPr>
                <w:vertAlign w:val="superscript"/>
              </w:rPr>
              <w:t>9</w:t>
            </w:r>
          </w:p>
        </w:tc>
        <w:tc>
          <w:tcPr>
            <w:tcW w:w="1364" w:type="dxa"/>
            <w:tcBorders>
              <w:top w:val="single" w:sz="6" w:space="0" w:color="auto"/>
              <w:left w:val="nil"/>
              <w:bottom w:val="single" w:sz="6" w:space="0" w:color="auto"/>
              <w:right w:val="single" w:sz="6" w:space="0" w:color="auto"/>
            </w:tcBorders>
            <w:shd w:val="clear" w:color="auto" w:fill="auto"/>
          </w:tcPr>
          <w:p w14:paraId="0CFD022D" w14:textId="1E85D3BB" w:rsidR="00585885" w:rsidRPr="008D2AC7" w:rsidRDefault="00683384" w:rsidP="00C02288">
            <w:pPr>
              <w:pStyle w:val="COMTabletext"/>
              <w:jc w:val="center"/>
              <w:rPr>
                <w:rFonts w:ascii="Times New Roman" w:hAnsi="Times New Roman" w:cs="Times New Roman"/>
                <w:highlight w:val="lightGray"/>
              </w:rPr>
            </w:pPr>
            <w:r w:rsidRPr="00683384">
              <w:rPr>
                <w:color w:val="000000"/>
                <w:shd w:val="solid" w:color="000000" w:fill="000000"/>
                <w14:textFill>
                  <w14:solidFill>
                    <w14:srgbClr w14:val="000000">
                      <w14:alpha w14:val="100000"/>
                    </w14:srgbClr>
                  </w14:solidFill>
                </w14:textFill>
              </w:rPr>
              <w:t>|</w:t>
            </w:r>
            <w:r w:rsidR="00D436A8" w:rsidRPr="008D2AC7">
              <w:rPr>
                <w:vertAlign w:val="superscript"/>
              </w:rPr>
              <w:t>9</w:t>
            </w:r>
          </w:p>
        </w:tc>
      </w:tr>
      <w:tr w:rsidR="00585885" w:rsidRPr="00D26534" w14:paraId="61E21DCB" w14:textId="77777777" w:rsidTr="008D2AC7">
        <w:tc>
          <w:tcPr>
            <w:tcW w:w="3095" w:type="dxa"/>
            <w:tcBorders>
              <w:top w:val="single" w:sz="6" w:space="0" w:color="auto"/>
              <w:left w:val="single" w:sz="6" w:space="0" w:color="auto"/>
              <w:bottom w:val="single" w:sz="6" w:space="0" w:color="auto"/>
              <w:right w:val="single" w:sz="6" w:space="0" w:color="auto"/>
            </w:tcBorders>
            <w:shd w:val="clear" w:color="auto" w:fill="auto"/>
            <w:vAlign w:val="center"/>
          </w:tcPr>
          <w:p w14:paraId="4FDB070C" w14:textId="77777777" w:rsidR="00585885" w:rsidRPr="00D26534" w:rsidRDefault="00585885" w:rsidP="00C02288">
            <w:pPr>
              <w:keepNext/>
              <w:jc w:val="left"/>
              <w:textAlignment w:val="baseline"/>
              <w:rPr>
                <w:rFonts w:ascii="Arial Narrow" w:hAnsi="Arial Narrow" w:cs="Times New Roman"/>
                <w:sz w:val="20"/>
                <w:szCs w:val="20"/>
              </w:rPr>
            </w:pPr>
            <w:r w:rsidRPr="00D26534">
              <w:rPr>
                <w:rFonts w:ascii="Arial Narrow" w:hAnsi="Arial Narrow" w:cs="Times New Roman"/>
                <w:sz w:val="20"/>
                <w:szCs w:val="20"/>
              </w:rPr>
              <w:t>Number of devices in subsidisation caps</w:t>
            </w:r>
          </w:p>
        </w:tc>
        <w:tc>
          <w:tcPr>
            <w:tcW w:w="1028" w:type="dxa"/>
            <w:tcBorders>
              <w:top w:val="nil"/>
              <w:left w:val="nil"/>
              <w:bottom w:val="single" w:sz="6" w:space="0" w:color="auto"/>
              <w:right w:val="single" w:sz="6" w:space="0" w:color="auto"/>
            </w:tcBorders>
            <w:shd w:val="clear" w:color="auto" w:fill="auto"/>
          </w:tcPr>
          <w:p w14:paraId="20AA358C" w14:textId="41C80D05" w:rsidR="00585885" w:rsidRPr="008D2AC7" w:rsidRDefault="00683384" w:rsidP="00C02288">
            <w:pPr>
              <w:pStyle w:val="COMTabletext"/>
              <w:jc w:val="center"/>
              <w:rPr>
                <w:rFonts w:cs="Times New Roman"/>
                <w:szCs w:val="20"/>
                <w:highlight w:val="lightGray"/>
              </w:rPr>
            </w:pPr>
            <w:r w:rsidRPr="00683384">
              <w:rPr>
                <w:rFonts w:hint="eastAsia"/>
                <w:color w:val="000000"/>
                <w:w w:val="27"/>
                <w:shd w:val="solid" w:color="000000" w:fill="000000"/>
                <w:fitText w:val="120" w:id="-892700662"/>
                <w14:textFill>
                  <w14:solidFill>
                    <w14:srgbClr w14:val="000000">
                      <w14:alpha w14:val="100000"/>
                    </w14:srgbClr>
                  </w14:solidFill>
                </w14:textFill>
              </w:rPr>
              <w:t xml:space="preserve">　</w:t>
            </w:r>
            <w:r w:rsidRPr="00683384">
              <w:rPr>
                <w:color w:val="000000"/>
                <w:w w:val="27"/>
                <w:shd w:val="solid" w:color="000000" w:fill="000000"/>
                <w:fitText w:val="120" w:id="-892700662"/>
                <w14:textFill>
                  <w14:solidFill>
                    <w14:srgbClr w14:val="000000">
                      <w14:alpha w14:val="100000"/>
                    </w14:srgbClr>
                  </w14:solidFill>
                </w14:textFill>
              </w:rPr>
              <w:t>|</w:t>
            </w:r>
            <w:r w:rsidRPr="00683384">
              <w:rPr>
                <w:rFonts w:hint="eastAsia"/>
                <w:color w:val="000000"/>
                <w:spacing w:val="2"/>
                <w:w w:val="27"/>
                <w:shd w:val="solid" w:color="000000" w:fill="000000"/>
                <w:fitText w:val="120" w:id="-892700662"/>
                <w14:textFill>
                  <w14:solidFill>
                    <w14:srgbClr w14:val="000000">
                      <w14:alpha w14:val="100000"/>
                    </w14:srgbClr>
                  </w14:solidFill>
                </w14:textFill>
              </w:rPr>
              <w:t xml:space="preserve">　</w:t>
            </w:r>
            <w:r w:rsidR="00D436A8" w:rsidRPr="008D2AC7">
              <w:rPr>
                <w:vertAlign w:val="superscript"/>
              </w:rPr>
              <w:t>10</w:t>
            </w:r>
          </w:p>
        </w:tc>
        <w:tc>
          <w:tcPr>
            <w:tcW w:w="1222" w:type="dxa"/>
            <w:tcBorders>
              <w:top w:val="nil"/>
              <w:left w:val="nil"/>
              <w:bottom w:val="single" w:sz="6" w:space="0" w:color="auto"/>
              <w:right w:val="single" w:sz="6" w:space="0" w:color="auto"/>
            </w:tcBorders>
            <w:shd w:val="clear" w:color="auto" w:fill="auto"/>
          </w:tcPr>
          <w:p w14:paraId="3CD4FBB3" w14:textId="3148ABE3" w:rsidR="00585885" w:rsidRPr="008D2AC7" w:rsidRDefault="00683384" w:rsidP="00C02288">
            <w:pPr>
              <w:pStyle w:val="COMTabletext"/>
              <w:jc w:val="center"/>
              <w:rPr>
                <w:rFonts w:cs="Times New Roman"/>
                <w:szCs w:val="20"/>
                <w:highlight w:val="lightGray"/>
              </w:rPr>
            </w:pPr>
            <w:r w:rsidRPr="00683384">
              <w:rPr>
                <w:rFonts w:hint="eastAsia"/>
                <w:color w:val="000000"/>
                <w:w w:val="15"/>
                <w:shd w:val="solid" w:color="000000" w:fill="000000"/>
                <w:fitText w:val="30" w:id="-892700661"/>
                <w14:textFill>
                  <w14:solidFill>
                    <w14:srgbClr w14:val="000000">
                      <w14:alpha w14:val="100000"/>
                    </w14:srgbClr>
                  </w14:solidFill>
                </w14:textFill>
              </w:rPr>
              <w:t xml:space="preserve">　</w:t>
            </w:r>
            <w:r w:rsidRPr="00683384">
              <w:rPr>
                <w:color w:val="000000"/>
                <w:w w:val="15"/>
                <w:shd w:val="solid" w:color="000000" w:fill="000000"/>
                <w:fitText w:val="30" w:id="-892700661"/>
                <w14:textFill>
                  <w14:solidFill>
                    <w14:srgbClr w14:val="000000">
                      <w14:alpha w14:val="100000"/>
                    </w14:srgbClr>
                  </w14:solidFill>
                </w14:textFill>
              </w:rPr>
              <w:t>|</w:t>
            </w:r>
            <w:r w:rsidRPr="00683384">
              <w:rPr>
                <w:rFonts w:hint="eastAsia"/>
                <w:color w:val="000000"/>
                <w:spacing w:val="-35"/>
                <w:w w:val="15"/>
                <w:shd w:val="solid" w:color="000000" w:fill="000000"/>
                <w:fitText w:val="30" w:id="-892700661"/>
                <w14:textFill>
                  <w14:solidFill>
                    <w14:srgbClr w14:val="000000">
                      <w14:alpha w14:val="100000"/>
                    </w14:srgbClr>
                  </w14:solidFill>
                </w14:textFill>
              </w:rPr>
              <w:t xml:space="preserve">　</w:t>
            </w:r>
            <w:r w:rsidR="00EE6323" w:rsidRPr="008D2AC7">
              <w:rPr>
                <w:vertAlign w:val="superscript"/>
              </w:rPr>
              <w:t>11</w:t>
            </w:r>
          </w:p>
        </w:tc>
        <w:tc>
          <w:tcPr>
            <w:tcW w:w="1222" w:type="dxa"/>
            <w:tcBorders>
              <w:top w:val="nil"/>
              <w:left w:val="nil"/>
              <w:bottom w:val="single" w:sz="6" w:space="0" w:color="auto"/>
              <w:right w:val="single" w:sz="6" w:space="0" w:color="auto"/>
            </w:tcBorders>
            <w:shd w:val="clear" w:color="auto" w:fill="auto"/>
          </w:tcPr>
          <w:p w14:paraId="51C8D293" w14:textId="3E48DCF4" w:rsidR="00585885" w:rsidRPr="008D2AC7" w:rsidRDefault="00683384" w:rsidP="00C02288">
            <w:pPr>
              <w:pStyle w:val="COMTabletext"/>
              <w:jc w:val="center"/>
              <w:rPr>
                <w:rFonts w:cs="Times New Roman"/>
                <w:szCs w:val="20"/>
                <w:highlight w:val="lightGray"/>
              </w:rPr>
            </w:pPr>
            <w:r w:rsidRPr="00683384">
              <w:rPr>
                <w:rFonts w:hint="eastAsia"/>
                <w:color w:val="000000"/>
                <w:w w:val="15"/>
                <w:shd w:val="solid" w:color="000000" w:fill="000000"/>
                <w:fitText w:val="30" w:id="-892700660"/>
                <w14:textFill>
                  <w14:solidFill>
                    <w14:srgbClr w14:val="000000">
                      <w14:alpha w14:val="100000"/>
                    </w14:srgbClr>
                  </w14:solidFill>
                </w14:textFill>
              </w:rPr>
              <w:t xml:space="preserve">　</w:t>
            </w:r>
            <w:r w:rsidRPr="00683384">
              <w:rPr>
                <w:color w:val="000000"/>
                <w:w w:val="15"/>
                <w:shd w:val="solid" w:color="000000" w:fill="000000"/>
                <w:fitText w:val="30" w:id="-892700660"/>
                <w14:textFill>
                  <w14:solidFill>
                    <w14:srgbClr w14:val="000000">
                      <w14:alpha w14:val="100000"/>
                    </w14:srgbClr>
                  </w14:solidFill>
                </w14:textFill>
              </w:rPr>
              <w:t>|</w:t>
            </w:r>
            <w:r w:rsidRPr="00683384">
              <w:rPr>
                <w:rFonts w:hint="eastAsia"/>
                <w:color w:val="000000"/>
                <w:spacing w:val="-35"/>
                <w:w w:val="15"/>
                <w:shd w:val="solid" w:color="000000" w:fill="000000"/>
                <w:fitText w:val="30" w:id="-892700660"/>
                <w14:textFill>
                  <w14:solidFill>
                    <w14:srgbClr w14:val="000000">
                      <w14:alpha w14:val="100000"/>
                    </w14:srgbClr>
                  </w14:solidFill>
                </w14:textFill>
              </w:rPr>
              <w:t xml:space="preserve">　</w:t>
            </w:r>
            <w:r w:rsidR="00EE6323" w:rsidRPr="008D2AC7">
              <w:rPr>
                <w:vertAlign w:val="superscript"/>
              </w:rPr>
              <w:t>12</w:t>
            </w:r>
          </w:p>
        </w:tc>
        <w:tc>
          <w:tcPr>
            <w:tcW w:w="1080" w:type="dxa"/>
            <w:tcBorders>
              <w:top w:val="nil"/>
              <w:left w:val="nil"/>
              <w:bottom w:val="single" w:sz="6" w:space="0" w:color="auto"/>
              <w:right w:val="single" w:sz="6" w:space="0" w:color="auto"/>
            </w:tcBorders>
            <w:shd w:val="clear" w:color="auto" w:fill="auto"/>
          </w:tcPr>
          <w:p w14:paraId="2043355C" w14:textId="5ECC9F7F" w:rsidR="00585885" w:rsidRPr="008D2AC7" w:rsidRDefault="00683384" w:rsidP="00C02288">
            <w:pPr>
              <w:pStyle w:val="COMTabletext"/>
              <w:jc w:val="center"/>
              <w:rPr>
                <w:rFonts w:cs="Times New Roman"/>
                <w:szCs w:val="20"/>
                <w:highlight w:val="lightGray"/>
              </w:rPr>
            </w:pPr>
            <w:r w:rsidRPr="00683384">
              <w:rPr>
                <w:rFonts w:hint="eastAsia"/>
                <w:color w:val="000000"/>
                <w:w w:val="22"/>
                <w:shd w:val="solid" w:color="000000" w:fill="000000"/>
                <w:fitText w:val="100" w:id="-892700659"/>
                <w14:textFill>
                  <w14:solidFill>
                    <w14:srgbClr w14:val="000000">
                      <w14:alpha w14:val="100000"/>
                    </w14:srgbClr>
                  </w14:solidFill>
                </w14:textFill>
              </w:rPr>
              <w:t xml:space="preserve">　</w:t>
            </w:r>
            <w:r w:rsidRPr="00683384">
              <w:rPr>
                <w:color w:val="000000"/>
                <w:w w:val="22"/>
                <w:shd w:val="solid" w:color="000000" w:fill="000000"/>
                <w:fitText w:val="100" w:id="-892700659"/>
                <w14:textFill>
                  <w14:solidFill>
                    <w14:srgbClr w14:val="000000">
                      <w14:alpha w14:val="100000"/>
                    </w14:srgbClr>
                  </w14:solidFill>
                </w14:textFill>
              </w:rPr>
              <w:t>|</w:t>
            </w:r>
            <w:r w:rsidRPr="00683384">
              <w:rPr>
                <w:rFonts w:hint="eastAsia"/>
                <w:color w:val="000000"/>
                <w:spacing w:val="3"/>
                <w:w w:val="22"/>
                <w:shd w:val="solid" w:color="000000" w:fill="000000"/>
                <w:fitText w:val="100" w:id="-892700659"/>
                <w14:textFill>
                  <w14:solidFill>
                    <w14:srgbClr w14:val="000000">
                      <w14:alpha w14:val="100000"/>
                    </w14:srgbClr>
                  </w14:solidFill>
                </w14:textFill>
              </w:rPr>
              <w:t xml:space="preserve">　</w:t>
            </w:r>
            <w:r w:rsidR="00EE6323" w:rsidRPr="008D2AC7">
              <w:rPr>
                <w:vertAlign w:val="superscript"/>
              </w:rPr>
              <w:t>13</w:t>
            </w:r>
          </w:p>
        </w:tc>
        <w:tc>
          <w:tcPr>
            <w:tcW w:w="1364" w:type="dxa"/>
            <w:tcBorders>
              <w:top w:val="nil"/>
              <w:left w:val="nil"/>
              <w:bottom w:val="single" w:sz="6" w:space="0" w:color="auto"/>
              <w:right w:val="single" w:sz="6" w:space="0" w:color="auto"/>
            </w:tcBorders>
            <w:shd w:val="clear" w:color="auto" w:fill="auto"/>
          </w:tcPr>
          <w:p w14:paraId="4D62C9BC" w14:textId="2F71B1B2" w:rsidR="00585885" w:rsidRPr="008D2AC7" w:rsidRDefault="00683384" w:rsidP="00C02288">
            <w:pPr>
              <w:pStyle w:val="COMTabletext"/>
              <w:jc w:val="center"/>
              <w:rPr>
                <w:rFonts w:cs="Times New Roman"/>
                <w:szCs w:val="20"/>
                <w:highlight w:val="lightGray"/>
              </w:rPr>
            </w:pPr>
            <w:r w:rsidRPr="00683384">
              <w:rPr>
                <w:color w:val="000000"/>
                <w:shd w:val="solid" w:color="000000" w:fill="000000"/>
                <w14:textFill>
                  <w14:solidFill>
                    <w14:srgbClr w14:val="000000">
                      <w14:alpha w14:val="100000"/>
                    </w14:srgbClr>
                  </w14:solidFill>
                </w14:textFill>
              </w:rPr>
              <w:t>|</w:t>
            </w:r>
            <w:r w:rsidR="00EE6323" w:rsidRPr="008D2AC7">
              <w:rPr>
                <w:vertAlign w:val="superscript"/>
              </w:rPr>
              <w:t>13</w:t>
            </w:r>
          </w:p>
        </w:tc>
      </w:tr>
      <w:tr w:rsidR="00585885" w:rsidRPr="00D26534" w14:paraId="51AA1621" w14:textId="77777777" w:rsidTr="008D2AC7">
        <w:tc>
          <w:tcPr>
            <w:tcW w:w="309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3A9DCF2F" w14:textId="1B6EBF83" w:rsidR="00585885" w:rsidRPr="00D26534" w:rsidRDefault="00585885" w:rsidP="00C02288">
            <w:pPr>
              <w:keepNext/>
              <w:jc w:val="left"/>
              <w:textAlignment w:val="baseline"/>
              <w:rPr>
                <w:rFonts w:ascii="Times New Roman" w:hAnsi="Times New Roman" w:cs="Times New Roman"/>
              </w:rPr>
            </w:pPr>
            <w:r w:rsidRPr="00D26534">
              <w:rPr>
                <w:rFonts w:ascii="Arial Narrow" w:hAnsi="Arial Narrow" w:cs="Times New Roman"/>
                <w:sz w:val="20"/>
                <w:szCs w:val="20"/>
              </w:rPr>
              <w:t>July 2023 subsidisation caps </w:t>
            </w:r>
            <w:r w:rsidR="00C02288" w:rsidRPr="00C02288">
              <w:rPr>
                <w:rFonts w:ascii="Arial Narrow" w:hAnsi="Arial Narrow" w:cs="Times New Roman"/>
                <w:sz w:val="20"/>
                <w:szCs w:val="20"/>
                <w:vertAlign w:val="superscript"/>
              </w:rPr>
              <w:t>a</w:t>
            </w:r>
          </w:p>
        </w:tc>
        <w:tc>
          <w:tcPr>
            <w:tcW w:w="102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3222121" w14:textId="4B78E592" w:rsidR="00585885" w:rsidRPr="008D2AC7" w:rsidRDefault="00683384" w:rsidP="00C02288">
            <w:pPr>
              <w:pStyle w:val="COMTabletext"/>
              <w:jc w:val="center"/>
              <w:rPr>
                <w:rFonts w:ascii="Times New Roman" w:hAnsi="Times New Roman" w:cs="Times New Roman"/>
                <w:highlight w:val="lightGray"/>
              </w:rPr>
            </w:pPr>
            <w:r w:rsidRPr="00683384">
              <w:rPr>
                <w:rFonts w:hint="eastAsia"/>
                <w:color w:val="000000"/>
                <w:w w:val="20"/>
                <w:shd w:val="solid" w:color="000000" w:fill="000000"/>
                <w:fitText w:val="90" w:id="-892700658"/>
                <w14:textFill>
                  <w14:solidFill>
                    <w14:srgbClr w14:val="000000">
                      <w14:alpha w14:val="100000"/>
                    </w14:srgbClr>
                  </w14:solidFill>
                </w14:textFill>
              </w:rPr>
              <w:t xml:space="preserve">　</w:t>
            </w:r>
            <w:r w:rsidRPr="00683384">
              <w:rPr>
                <w:color w:val="000000"/>
                <w:w w:val="20"/>
                <w:shd w:val="solid" w:color="000000" w:fill="000000"/>
                <w:fitText w:val="90" w:id="-892700658"/>
                <w14:textFill>
                  <w14:solidFill>
                    <w14:srgbClr w14:val="000000">
                      <w14:alpha w14:val="100000"/>
                    </w14:srgbClr>
                  </w14:solidFill>
                </w14:textFill>
              </w:rPr>
              <w:t>|</w:t>
            </w:r>
            <w:r w:rsidRPr="00683384">
              <w:rPr>
                <w:rFonts w:hint="eastAsia"/>
                <w:color w:val="000000"/>
                <w:spacing w:val="3"/>
                <w:w w:val="20"/>
                <w:shd w:val="solid" w:color="000000" w:fill="000000"/>
                <w:fitText w:val="90" w:id="-892700658"/>
                <w14:textFill>
                  <w14:solidFill>
                    <w14:srgbClr w14:val="000000">
                      <w14:alpha w14:val="100000"/>
                    </w14:srgbClr>
                  </w14:solidFill>
                </w14:textFill>
              </w:rPr>
              <w:t xml:space="preserve">　</w:t>
            </w:r>
            <w:r w:rsidR="00D436A8" w:rsidRPr="00A96044">
              <w:rPr>
                <w:vertAlign w:val="superscript"/>
              </w:rPr>
              <w:t>2</w:t>
            </w:r>
          </w:p>
        </w:tc>
        <w:tc>
          <w:tcPr>
            <w:tcW w:w="122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F5DCDC5" w14:textId="0D929A5F" w:rsidR="00585885" w:rsidRPr="008D2AC7" w:rsidRDefault="00683384" w:rsidP="00C02288">
            <w:pPr>
              <w:pStyle w:val="COMTabletext"/>
              <w:jc w:val="center"/>
              <w:rPr>
                <w:rFonts w:ascii="Times New Roman" w:hAnsi="Times New Roman" w:cs="Times New Roman"/>
                <w:highlight w:val="lightGray"/>
              </w:rPr>
            </w:pPr>
            <w:r w:rsidRPr="00683384">
              <w:rPr>
                <w:color w:val="000000"/>
                <w:shd w:val="solid" w:color="000000" w:fill="000000"/>
                <w14:textFill>
                  <w14:solidFill>
                    <w14:srgbClr w14:val="000000">
                      <w14:alpha w14:val="100000"/>
                    </w14:srgbClr>
                  </w14:solidFill>
                </w14:textFill>
              </w:rPr>
              <w:t>|</w:t>
            </w:r>
            <w:r w:rsidR="00D436A8" w:rsidRPr="008D2AC7">
              <w:rPr>
                <w:vertAlign w:val="superscript"/>
              </w:rPr>
              <w:t>3</w:t>
            </w:r>
          </w:p>
        </w:tc>
        <w:tc>
          <w:tcPr>
            <w:tcW w:w="1222"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CABF627" w14:textId="71A80089" w:rsidR="00585885" w:rsidRPr="008D2AC7" w:rsidRDefault="00683384" w:rsidP="00C02288">
            <w:pPr>
              <w:pStyle w:val="COMTabletext"/>
              <w:jc w:val="center"/>
              <w:rPr>
                <w:rFonts w:ascii="Times New Roman" w:hAnsi="Times New Roman" w:cs="Times New Roman"/>
                <w:highlight w:val="lightGray"/>
              </w:rPr>
            </w:pPr>
            <w:r w:rsidRPr="00683384">
              <w:rPr>
                <w:color w:val="000000"/>
                <w:shd w:val="solid" w:color="000000" w:fill="000000"/>
                <w14:textFill>
                  <w14:solidFill>
                    <w14:srgbClr w14:val="000000">
                      <w14:alpha w14:val="100000"/>
                    </w14:srgbClr>
                  </w14:solidFill>
                </w14:textFill>
              </w:rPr>
              <w:t>|</w:t>
            </w:r>
            <w:r w:rsidR="00D436A8" w:rsidRPr="00A96044">
              <w:rPr>
                <w:vertAlign w:val="superscript"/>
              </w:rPr>
              <w:t>5</w:t>
            </w:r>
          </w:p>
        </w:tc>
        <w:tc>
          <w:tcPr>
            <w:tcW w:w="108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C0F0C1C" w14:textId="067A9738" w:rsidR="00585885" w:rsidRPr="008D2AC7" w:rsidRDefault="00683384" w:rsidP="00C02288">
            <w:pPr>
              <w:pStyle w:val="COMTabletext"/>
              <w:jc w:val="center"/>
              <w:rPr>
                <w:rFonts w:ascii="Times New Roman" w:hAnsi="Times New Roman" w:cs="Times New Roman"/>
                <w:highlight w:val="lightGray"/>
              </w:rPr>
            </w:pPr>
            <w:r w:rsidRPr="00683384">
              <w:rPr>
                <w:rFonts w:hint="eastAsia"/>
                <w:color w:val="000000"/>
                <w:w w:val="22"/>
                <w:shd w:val="solid" w:color="000000" w:fill="000000"/>
                <w:fitText w:val="100" w:id="-892700657"/>
                <w14:textFill>
                  <w14:solidFill>
                    <w14:srgbClr w14:val="000000">
                      <w14:alpha w14:val="100000"/>
                    </w14:srgbClr>
                  </w14:solidFill>
                </w14:textFill>
              </w:rPr>
              <w:t xml:space="preserve">　</w:t>
            </w:r>
            <w:r w:rsidRPr="00683384">
              <w:rPr>
                <w:color w:val="000000"/>
                <w:w w:val="22"/>
                <w:shd w:val="solid" w:color="000000" w:fill="000000"/>
                <w:fitText w:val="100" w:id="-892700657"/>
                <w14:textFill>
                  <w14:solidFill>
                    <w14:srgbClr w14:val="000000">
                      <w14:alpha w14:val="100000"/>
                    </w14:srgbClr>
                  </w14:solidFill>
                </w14:textFill>
              </w:rPr>
              <w:t>|</w:t>
            </w:r>
            <w:r w:rsidRPr="00683384">
              <w:rPr>
                <w:rFonts w:hint="eastAsia"/>
                <w:color w:val="000000"/>
                <w:spacing w:val="3"/>
                <w:w w:val="22"/>
                <w:shd w:val="solid" w:color="000000" w:fill="000000"/>
                <w:fitText w:val="100" w:id="-892700657"/>
                <w14:textFill>
                  <w14:solidFill>
                    <w14:srgbClr w14:val="000000">
                      <w14:alpha w14:val="100000"/>
                    </w14:srgbClr>
                  </w14:solidFill>
                </w14:textFill>
              </w:rPr>
              <w:t xml:space="preserve">　</w:t>
            </w:r>
            <w:r w:rsidR="00E47EA7" w:rsidRPr="008D2AC7">
              <w:rPr>
                <w:vertAlign w:val="superscript"/>
              </w:rPr>
              <w:t>14</w:t>
            </w:r>
          </w:p>
        </w:tc>
        <w:tc>
          <w:tcPr>
            <w:tcW w:w="1364"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48507520" w14:textId="6B74828B" w:rsidR="00585885" w:rsidRPr="008D2AC7" w:rsidRDefault="00683384" w:rsidP="00C02288">
            <w:pPr>
              <w:pStyle w:val="COMTabletext"/>
              <w:jc w:val="center"/>
              <w:rPr>
                <w:rFonts w:ascii="Times New Roman" w:hAnsi="Times New Roman" w:cs="Times New Roman"/>
                <w:highlight w:val="lightGray"/>
              </w:rPr>
            </w:pPr>
            <w:r w:rsidRPr="00683384">
              <w:rPr>
                <w:color w:val="000000"/>
                <w:shd w:val="solid" w:color="000000" w:fill="000000"/>
                <w14:textFill>
                  <w14:solidFill>
                    <w14:srgbClr w14:val="000000">
                      <w14:alpha w14:val="100000"/>
                    </w14:srgbClr>
                  </w14:solidFill>
                </w14:textFill>
              </w:rPr>
              <w:t>|</w:t>
            </w:r>
            <w:r w:rsidR="00FB4AD3" w:rsidRPr="008D2AC7">
              <w:rPr>
                <w:vertAlign w:val="superscript"/>
              </w:rPr>
              <w:t>14</w:t>
            </w:r>
          </w:p>
        </w:tc>
      </w:tr>
    </w:tbl>
    <w:p w14:paraId="051FD119" w14:textId="084EEB3F" w:rsidR="00585885" w:rsidRPr="00D26534" w:rsidRDefault="00585885" w:rsidP="00C02288">
      <w:pPr>
        <w:pStyle w:val="COMTablefooter"/>
        <w:keepNext/>
      </w:pPr>
      <w:r w:rsidRPr="00D26534">
        <w:t>Source: Table 4-20 of the resubmission.</w:t>
      </w:r>
    </w:p>
    <w:p w14:paraId="0EBC8B54" w14:textId="4FF59555" w:rsidR="00576972" w:rsidRDefault="00C02288" w:rsidP="00C02288">
      <w:pPr>
        <w:pStyle w:val="COMTablefooter"/>
        <w:keepNext/>
        <w:spacing w:after="0"/>
      </w:pPr>
      <w:r>
        <w:rPr>
          <w:vertAlign w:val="superscript"/>
        </w:rPr>
        <w:t>a</w:t>
      </w:r>
      <w:r w:rsidR="00585885" w:rsidRPr="00D26534">
        <w:t xml:space="preserve"> The July 2023 resubmission proposed a rebate of </w:t>
      </w:r>
      <w:r w:rsidR="00683384" w:rsidRPr="007A7EF7">
        <w:rPr>
          <w:color w:val="000000"/>
          <w:spacing w:val="37"/>
          <w:shd w:val="solid" w:color="000000" w:fill="000000"/>
          <w:fitText w:val="270" w:id="-892700656"/>
          <w14:textFill>
            <w14:solidFill>
              <w14:srgbClr w14:val="000000">
                <w14:alpha w14:val="100000"/>
              </w14:srgbClr>
            </w14:solidFill>
          </w14:textFill>
        </w:rPr>
        <w:t xml:space="preserve">|  </w:t>
      </w:r>
      <w:r w:rsidR="00683384" w:rsidRPr="007A7EF7">
        <w:rPr>
          <w:color w:val="000000"/>
          <w:spacing w:val="1"/>
          <w:shd w:val="solid" w:color="000000" w:fill="000000"/>
          <w:fitText w:val="270" w:id="-892700656"/>
          <w14:textFill>
            <w14:solidFill>
              <w14:srgbClr w14:val="000000">
                <w14:alpha w14:val="100000"/>
              </w14:srgbClr>
            </w14:solidFill>
          </w14:textFill>
        </w:rPr>
        <w:t>|</w:t>
      </w:r>
      <w:r w:rsidR="00585885" w:rsidRPr="00D26534">
        <w:t>% for any potential use above the subsidisation cap.</w:t>
      </w:r>
    </w:p>
    <w:p w14:paraId="5F9F262E" w14:textId="77777777" w:rsidR="00AD63AD" w:rsidRDefault="00AD63AD" w:rsidP="00C02288">
      <w:pPr>
        <w:keepNext/>
        <w:textAlignment w:val="baseline"/>
        <w:rPr>
          <w:rFonts w:ascii="Arial Narrow" w:hAnsi="Arial Narrow" w:cs="Segoe UI"/>
          <w:i/>
          <w:iCs/>
          <w:sz w:val="18"/>
          <w:szCs w:val="18"/>
        </w:rPr>
      </w:pPr>
      <w:r w:rsidRPr="00A96044">
        <w:rPr>
          <w:rFonts w:ascii="Arial Narrow" w:hAnsi="Arial Narrow" w:cs="Segoe UI"/>
          <w:i/>
          <w:iCs/>
          <w:sz w:val="18"/>
          <w:szCs w:val="18"/>
        </w:rPr>
        <w:t>The redacted values correspond to the following ranges:</w:t>
      </w:r>
    </w:p>
    <w:p w14:paraId="07D5586B" w14:textId="407854E2" w:rsidR="00AD63AD" w:rsidRPr="00AD63AD" w:rsidRDefault="00AD63AD" w:rsidP="00C02288">
      <w:pPr>
        <w:keepNext/>
        <w:textAlignment w:val="baseline"/>
        <w:rPr>
          <w:rFonts w:ascii="Arial Narrow" w:hAnsi="Arial Narrow" w:cs="Segoe UI"/>
          <w:i/>
          <w:iCs/>
          <w:sz w:val="18"/>
          <w:szCs w:val="18"/>
        </w:rPr>
      </w:pPr>
      <w:r w:rsidRPr="00AD63AD">
        <w:rPr>
          <w:rFonts w:ascii="Arial Narrow" w:hAnsi="Arial Narrow" w:cs="Segoe UI"/>
          <w:i/>
          <w:iCs/>
          <w:sz w:val="18"/>
          <w:szCs w:val="18"/>
          <w:vertAlign w:val="superscript"/>
        </w:rPr>
        <w:t>1</w:t>
      </w:r>
      <w:r w:rsidRPr="00AD63AD">
        <w:rPr>
          <w:rFonts w:ascii="Arial Narrow" w:hAnsi="Arial Narrow" w:cs="Segoe UI"/>
          <w:i/>
          <w:iCs/>
          <w:sz w:val="18"/>
          <w:szCs w:val="18"/>
        </w:rPr>
        <w:t xml:space="preserve"> $</w:t>
      </w:r>
      <w:r>
        <w:rPr>
          <w:rFonts w:ascii="Arial Narrow" w:hAnsi="Arial Narrow" w:cs="Segoe UI"/>
          <w:i/>
          <w:iCs/>
          <w:sz w:val="18"/>
          <w:szCs w:val="18"/>
        </w:rPr>
        <w:t>2</w:t>
      </w:r>
      <w:r w:rsidRPr="00AD63AD">
        <w:rPr>
          <w:rFonts w:ascii="Arial Narrow" w:hAnsi="Arial Narrow" w:cs="Segoe UI"/>
          <w:i/>
          <w:iCs/>
          <w:sz w:val="18"/>
          <w:szCs w:val="18"/>
        </w:rPr>
        <w:t>0 million to &lt; $</w:t>
      </w:r>
      <w:r>
        <w:rPr>
          <w:rFonts w:ascii="Arial Narrow" w:hAnsi="Arial Narrow" w:cs="Segoe UI"/>
          <w:i/>
          <w:iCs/>
          <w:sz w:val="18"/>
          <w:szCs w:val="18"/>
        </w:rPr>
        <w:t>3</w:t>
      </w:r>
      <w:r w:rsidRPr="00AD63AD">
        <w:rPr>
          <w:rFonts w:ascii="Arial Narrow" w:hAnsi="Arial Narrow" w:cs="Segoe UI"/>
          <w:i/>
          <w:iCs/>
          <w:sz w:val="18"/>
          <w:szCs w:val="18"/>
        </w:rPr>
        <w:t>0 million</w:t>
      </w:r>
    </w:p>
    <w:p w14:paraId="7788A041" w14:textId="0CFE24AF" w:rsidR="00AD63AD" w:rsidRPr="00A96044" w:rsidRDefault="00AD63AD" w:rsidP="00C02288">
      <w:pPr>
        <w:keepNext/>
        <w:textAlignment w:val="baseline"/>
        <w:rPr>
          <w:rFonts w:ascii="Arial Narrow" w:hAnsi="Arial Narrow" w:cs="Segoe UI"/>
          <w:i/>
          <w:iCs/>
          <w:sz w:val="18"/>
          <w:szCs w:val="18"/>
        </w:rPr>
      </w:pPr>
      <w:r>
        <w:rPr>
          <w:rFonts w:ascii="Arial Narrow" w:hAnsi="Arial Narrow" w:cs="Segoe UI"/>
          <w:i/>
          <w:iCs/>
          <w:sz w:val="18"/>
          <w:szCs w:val="18"/>
          <w:vertAlign w:val="superscript"/>
        </w:rPr>
        <w:t>2</w:t>
      </w:r>
      <w:r w:rsidRPr="00A96044">
        <w:rPr>
          <w:rFonts w:ascii="Arial Narrow" w:hAnsi="Arial Narrow" w:cs="Segoe UI"/>
          <w:i/>
          <w:iCs/>
          <w:sz w:val="18"/>
          <w:szCs w:val="18"/>
        </w:rPr>
        <w:t xml:space="preserve"> 30 million to &lt; $40 million</w:t>
      </w:r>
    </w:p>
    <w:p w14:paraId="4F78CCE2" w14:textId="0D6B98DE" w:rsidR="00AD63AD" w:rsidRDefault="00AD63AD" w:rsidP="00C02288">
      <w:pPr>
        <w:keepNext/>
        <w:textAlignment w:val="baseline"/>
        <w:rPr>
          <w:rFonts w:ascii="Arial Narrow" w:hAnsi="Arial Narrow" w:cs="Segoe UI"/>
          <w:i/>
          <w:iCs/>
          <w:sz w:val="18"/>
          <w:szCs w:val="18"/>
        </w:rPr>
      </w:pPr>
      <w:r>
        <w:rPr>
          <w:rFonts w:ascii="Arial Narrow" w:hAnsi="Arial Narrow" w:cs="Segoe UI"/>
          <w:i/>
          <w:iCs/>
          <w:sz w:val="18"/>
          <w:szCs w:val="18"/>
          <w:vertAlign w:val="superscript"/>
        </w:rPr>
        <w:t xml:space="preserve">3 </w:t>
      </w:r>
      <w:r w:rsidRPr="00A96044">
        <w:rPr>
          <w:rFonts w:ascii="Arial Narrow" w:hAnsi="Arial Narrow" w:cs="Segoe UI"/>
          <w:i/>
          <w:iCs/>
          <w:sz w:val="18"/>
          <w:szCs w:val="18"/>
        </w:rPr>
        <w:t>$40 million to &lt; $50 million</w:t>
      </w:r>
    </w:p>
    <w:p w14:paraId="43FD265A" w14:textId="69638C25" w:rsidR="00D436A8" w:rsidRPr="00D436A8" w:rsidRDefault="00D436A8" w:rsidP="00C02288">
      <w:pPr>
        <w:keepNext/>
        <w:textAlignment w:val="baseline"/>
        <w:rPr>
          <w:rFonts w:ascii="Arial Narrow" w:hAnsi="Arial Narrow" w:cs="Segoe UI"/>
          <w:i/>
          <w:iCs/>
          <w:sz w:val="18"/>
          <w:szCs w:val="18"/>
        </w:rPr>
      </w:pPr>
      <w:r>
        <w:rPr>
          <w:rFonts w:ascii="Arial Narrow" w:hAnsi="Arial Narrow" w:cs="Segoe UI"/>
          <w:i/>
          <w:iCs/>
          <w:sz w:val="18"/>
          <w:szCs w:val="18"/>
          <w:vertAlign w:val="superscript"/>
        </w:rPr>
        <w:t>4</w:t>
      </w:r>
      <w:r w:rsidRPr="00D436A8">
        <w:rPr>
          <w:rFonts w:ascii="Arial Narrow" w:hAnsi="Arial Narrow" w:cs="Segoe UI"/>
          <w:i/>
          <w:iCs/>
          <w:sz w:val="18"/>
          <w:szCs w:val="18"/>
        </w:rPr>
        <w:t>$</w:t>
      </w:r>
      <w:r>
        <w:rPr>
          <w:rFonts w:ascii="Arial Narrow" w:hAnsi="Arial Narrow" w:cs="Segoe UI"/>
          <w:i/>
          <w:iCs/>
          <w:sz w:val="18"/>
          <w:szCs w:val="18"/>
        </w:rPr>
        <w:t>5</w:t>
      </w:r>
      <w:r w:rsidRPr="00D436A8">
        <w:rPr>
          <w:rFonts w:ascii="Arial Narrow" w:hAnsi="Arial Narrow" w:cs="Segoe UI"/>
          <w:i/>
          <w:iCs/>
          <w:sz w:val="18"/>
          <w:szCs w:val="18"/>
        </w:rPr>
        <w:t>0 million to &lt; $</w:t>
      </w:r>
      <w:r>
        <w:rPr>
          <w:rFonts w:ascii="Arial Narrow" w:hAnsi="Arial Narrow" w:cs="Segoe UI"/>
          <w:i/>
          <w:iCs/>
          <w:sz w:val="18"/>
          <w:szCs w:val="18"/>
        </w:rPr>
        <w:t>6</w:t>
      </w:r>
      <w:r w:rsidRPr="00D436A8">
        <w:rPr>
          <w:rFonts w:ascii="Arial Narrow" w:hAnsi="Arial Narrow" w:cs="Segoe UI"/>
          <w:i/>
          <w:iCs/>
          <w:sz w:val="18"/>
          <w:szCs w:val="18"/>
        </w:rPr>
        <w:t>0 million</w:t>
      </w:r>
    </w:p>
    <w:p w14:paraId="6858C9E6" w14:textId="5F8758F4" w:rsidR="00AD63AD" w:rsidRDefault="00D436A8" w:rsidP="00C02288">
      <w:pPr>
        <w:keepNext/>
        <w:textAlignment w:val="baseline"/>
        <w:rPr>
          <w:rFonts w:ascii="Arial Narrow" w:hAnsi="Arial Narrow" w:cs="Segoe UI"/>
          <w:i/>
          <w:iCs/>
          <w:sz w:val="18"/>
          <w:szCs w:val="18"/>
        </w:rPr>
      </w:pPr>
      <w:bookmarkStart w:id="71" w:name="_Hlk176344048"/>
      <w:r>
        <w:rPr>
          <w:rFonts w:ascii="Arial Narrow" w:hAnsi="Arial Narrow" w:cs="Segoe UI"/>
          <w:i/>
          <w:iCs/>
          <w:sz w:val="18"/>
          <w:szCs w:val="18"/>
          <w:vertAlign w:val="superscript"/>
        </w:rPr>
        <w:t>5</w:t>
      </w:r>
      <w:r w:rsidR="00AD63AD" w:rsidRPr="00A96044">
        <w:rPr>
          <w:rFonts w:ascii="Arial Narrow" w:hAnsi="Arial Narrow" w:cs="Segoe UI"/>
          <w:i/>
          <w:iCs/>
          <w:sz w:val="18"/>
          <w:szCs w:val="18"/>
        </w:rPr>
        <w:t xml:space="preserve"> $60 million to &lt; $70 million</w:t>
      </w:r>
    </w:p>
    <w:p w14:paraId="0A28BF62" w14:textId="5E6E0064" w:rsidR="00D436A8" w:rsidRPr="00A96044" w:rsidRDefault="00D436A8" w:rsidP="00C02288">
      <w:pPr>
        <w:keepNext/>
        <w:textAlignment w:val="baseline"/>
        <w:rPr>
          <w:rFonts w:ascii="Arial Narrow" w:hAnsi="Arial Narrow" w:cs="Segoe UI"/>
          <w:i/>
          <w:iCs/>
          <w:sz w:val="18"/>
          <w:szCs w:val="18"/>
        </w:rPr>
      </w:pPr>
      <w:r>
        <w:rPr>
          <w:rFonts w:ascii="Arial Narrow" w:hAnsi="Arial Narrow" w:cs="Segoe UI"/>
          <w:i/>
          <w:iCs/>
          <w:sz w:val="18"/>
          <w:szCs w:val="18"/>
          <w:vertAlign w:val="superscript"/>
        </w:rPr>
        <w:t>6</w:t>
      </w:r>
      <w:r w:rsidRPr="00A96044">
        <w:rPr>
          <w:rFonts w:ascii="Arial Narrow" w:hAnsi="Arial Narrow" w:cs="Segoe UI"/>
          <w:i/>
          <w:iCs/>
          <w:sz w:val="18"/>
          <w:szCs w:val="18"/>
        </w:rPr>
        <w:t xml:space="preserve"> </w:t>
      </w:r>
      <w:r w:rsidR="0031782F">
        <w:rPr>
          <w:rFonts w:ascii="Arial Narrow" w:hAnsi="Arial Narrow" w:cs="Segoe UI"/>
          <w:i/>
          <w:iCs/>
          <w:sz w:val="18"/>
          <w:szCs w:val="18"/>
        </w:rPr>
        <w:t>1</w:t>
      </w:r>
      <w:r w:rsidRPr="00A96044">
        <w:rPr>
          <w:rFonts w:ascii="Arial Narrow" w:hAnsi="Arial Narrow" w:cs="Segoe UI"/>
          <w:i/>
          <w:iCs/>
          <w:sz w:val="18"/>
          <w:szCs w:val="18"/>
        </w:rPr>
        <w:t xml:space="preserve">0,000 to &lt; </w:t>
      </w:r>
      <w:r w:rsidR="0031782F">
        <w:rPr>
          <w:rFonts w:ascii="Arial Narrow" w:hAnsi="Arial Narrow" w:cs="Segoe UI"/>
          <w:i/>
          <w:iCs/>
          <w:sz w:val="18"/>
          <w:szCs w:val="18"/>
        </w:rPr>
        <w:t>2</w:t>
      </w:r>
      <w:r w:rsidRPr="00A96044">
        <w:rPr>
          <w:rFonts w:ascii="Arial Narrow" w:hAnsi="Arial Narrow" w:cs="Segoe UI"/>
          <w:i/>
          <w:iCs/>
          <w:sz w:val="18"/>
          <w:szCs w:val="18"/>
        </w:rPr>
        <w:t>0,000</w:t>
      </w:r>
    </w:p>
    <w:bookmarkEnd w:id="71"/>
    <w:p w14:paraId="2ACB2A5B" w14:textId="18015900" w:rsidR="00D436A8" w:rsidRDefault="00D436A8" w:rsidP="00C02288">
      <w:pPr>
        <w:keepNext/>
        <w:textAlignment w:val="baseline"/>
        <w:rPr>
          <w:rFonts w:ascii="Arial Narrow" w:hAnsi="Arial Narrow" w:cs="Segoe UI"/>
          <w:i/>
          <w:iCs/>
          <w:sz w:val="18"/>
          <w:szCs w:val="18"/>
        </w:rPr>
      </w:pPr>
      <w:r>
        <w:rPr>
          <w:rFonts w:ascii="Arial Narrow" w:hAnsi="Arial Narrow" w:cs="Segoe UI"/>
          <w:i/>
          <w:iCs/>
          <w:sz w:val="18"/>
          <w:szCs w:val="18"/>
          <w:vertAlign w:val="superscript"/>
        </w:rPr>
        <w:t>7</w:t>
      </w:r>
      <w:r w:rsidRPr="00A96044">
        <w:rPr>
          <w:rFonts w:ascii="Arial Narrow" w:hAnsi="Arial Narrow" w:cs="Segoe UI"/>
          <w:i/>
          <w:iCs/>
          <w:sz w:val="18"/>
          <w:szCs w:val="18"/>
        </w:rPr>
        <w:t xml:space="preserve"> 20,000 to &lt; 30,000</w:t>
      </w:r>
    </w:p>
    <w:p w14:paraId="3C72FC21" w14:textId="77777777" w:rsidR="00EE6323" w:rsidRPr="00EE6323" w:rsidRDefault="00EE6323" w:rsidP="00C02288">
      <w:pPr>
        <w:keepNext/>
        <w:textAlignment w:val="baseline"/>
        <w:rPr>
          <w:rFonts w:ascii="Arial Narrow" w:hAnsi="Arial Narrow" w:cs="Segoe UI"/>
          <w:i/>
          <w:iCs/>
          <w:sz w:val="18"/>
          <w:szCs w:val="18"/>
        </w:rPr>
      </w:pPr>
      <w:r w:rsidRPr="00EE6323">
        <w:rPr>
          <w:rFonts w:ascii="Arial Narrow" w:hAnsi="Arial Narrow" w:cs="Segoe UI"/>
          <w:i/>
          <w:iCs/>
          <w:sz w:val="18"/>
          <w:szCs w:val="18"/>
          <w:vertAlign w:val="superscript"/>
        </w:rPr>
        <w:t>8</w:t>
      </w:r>
      <w:r w:rsidRPr="00EE6323">
        <w:rPr>
          <w:rFonts w:ascii="Arial Narrow" w:hAnsi="Arial Narrow" w:cs="Segoe UI"/>
          <w:i/>
          <w:iCs/>
          <w:sz w:val="18"/>
          <w:szCs w:val="18"/>
        </w:rPr>
        <w:t xml:space="preserve"> 30,000 to &lt; 40,000</w:t>
      </w:r>
    </w:p>
    <w:p w14:paraId="223F4686" w14:textId="77777777" w:rsidR="00EE6323" w:rsidRPr="00EE6323" w:rsidRDefault="00EE6323" w:rsidP="00C02288">
      <w:pPr>
        <w:keepNext/>
        <w:textAlignment w:val="baseline"/>
        <w:rPr>
          <w:rFonts w:ascii="Arial Narrow" w:hAnsi="Arial Narrow" w:cs="Segoe UI"/>
          <w:i/>
          <w:iCs/>
          <w:sz w:val="18"/>
          <w:szCs w:val="18"/>
        </w:rPr>
      </w:pPr>
      <w:r w:rsidRPr="00EE6323">
        <w:rPr>
          <w:rFonts w:ascii="Arial Narrow" w:hAnsi="Arial Narrow" w:cs="Segoe UI"/>
          <w:i/>
          <w:iCs/>
          <w:sz w:val="18"/>
          <w:szCs w:val="18"/>
          <w:vertAlign w:val="superscript"/>
        </w:rPr>
        <w:t>9</w:t>
      </w:r>
      <w:r w:rsidRPr="00EE6323">
        <w:rPr>
          <w:rFonts w:ascii="Arial Narrow" w:hAnsi="Arial Narrow" w:cs="Segoe UI"/>
          <w:i/>
          <w:iCs/>
          <w:sz w:val="18"/>
          <w:szCs w:val="18"/>
        </w:rPr>
        <w:t xml:space="preserve"> 40,000 to &lt; 50,000</w:t>
      </w:r>
    </w:p>
    <w:p w14:paraId="1786DD6D" w14:textId="77777777" w:rsidR="00EE6323" w:rsidRPr="00EE6323" w:rsidRDefault="00EE6323" w:rsidP="00C02288">
      <w:pPr>
        <w:keepNext/>
        <w:textAlignment w:val="baseline"/>
        <w:rPr>
          <w:rFonts w:ascii="Arial Narrow" w:hAnsi="Arial Narrow" w:cs="Segoe UI"/>
          <w:i/>
          <w:iCs/>
          <w:sz w:val="18"/>
          <w:szCs w:val="18"/>
        </w:rPr>
      </w:pPr>
      <w:r w:rsidRPr="00EE6323">
        <w:rPr>
          <w:rFonts w:ascii="Arial Narrow" w:hAnsi="Arial Narrow" w:cs="Segoe UI"/>
          <w:i/>
          <w:iCs/>
          <w:sz w:val="18"/>
          <w:szCs w:val="18"/>
          <w:vertAlign w:val="superscript"/>
        </w:rPr>
        <w:t>10</w:t>
      </w:r>
      <w:r w:rsidRPr="00EE6323">
        <w:rPr>
          <w:rFonts w:ascii="Arial Narrow" w:hAnsi="Arial Narrow" w:cs="Segoe UI"/>
          <w:i/>
          <w:iCs/>
          <w:sz w:val="18"/>
          <w:szCs w:val="18"/>
        </w:rPr>
        <w:t xml:space="preserve"> 100,000 to &lt; 200,000</w:t>
      </w:r>
    </w:p>
    <w:p w14:paraId="2BE95F1D" w14:textId="77777777" w:rsidR="00EE6323" w:rsidRPr="00EE6323" w:rsidRDefault="00EE6323" w:rsidP="00C02288">
      <w:pPr>
        <w:keepNext/>
        <w:textAlignment w:val="baseline"/>
        <w:rPr>
          <w:rFonts w:ascii="Arial Narrow" w:hAnsi="Arial Narrow" w:cs="Segoe UI"/>
          <w:i/>
          <w:iCs/>
          <w:sz w:val="18"/>
          <w:szCs w:val="18"/>
        </w:rPr>
      </w:pPr>
      <w:r w:rsidRPr="00EE6323">
        <w:rPr>
          <w:rFonts w:ascii="Arial Narrow" w:hAnsi="Arial Narrow" w:cs="Segoe UI"/>
          <w:i/>
          <w:iCs/>
          <w:sz w:val="18"/>
          <w:szCs w:val="18"/>
          <w:vertAlign w:val="superscript"/>
        </w:rPr>
        <w:t>11</w:t>
      </w:r>
      <w:r w:rsidRPr="00EE6323">
        <w:rPr>
          <w:rFonts w:ascii="Arial Narrow" w:hAnsi="Arial Narrow" w:cs="Segoe UI"/>
          <w:i/>
          <w:iCs/>
          <w:sz w:val="18"/>
          <w:szCs w:val="18"/>
        </w:rPr>
        <w:t xml:space="preserve"> 200,000 to &lt; 300,000</w:t>
      </w:r>
    </w:p>
    <w:p w14:paraId="32F29E13" w14:textId="77777777" w:rsidR="00EE6323" w:rsidRPr="00EE6323" w:rsidRDefault="00EE6323" w:rsidP="00C02288">
      <w:pPr>
        <w:keepNext/>
        <w:textAlignment w:val="baseline"/>
        <w:rPr>
          <w:rFonts w:ascii="Arial Narrow" w:hAnsi="Arial Narrow" w:cs="Segoe UI"/>
          <w:i/>
          <w:iCs/>
          <w:sz w:val="18"/>
          <w:szCs w:val="18"/>
        </w:rPr>
      </w:pPr>
      <w:r w:rsidRPr="00EE6323">
        <w:rPr>
          <w:rFonts w:ascii="Arial Narrow" w:hAnsi="Arial Narrow" w:cs="Segoe UI"/>
          <w:i/>
          <w:iCs/>
          <w:sz w:val="18"/>
          <w:szCs w:val="18"/>
          <w:vertAlign w:val="superscript"/>
        </w:rPr>
        <w:t>12</w:t>
      </w:r>
      <w:r w:rsidRPr="00EE6323">
        <w:rPr>
          <w:rFonts w:ascii="Arial Narrow" w:hAnsi="Arial Narrow" w:cs="Segoe UI"/>
          <w:i/>
          <w:iCs/>
          <w:sz w:val="18"/>
          <w:szCs w:val="18"/>
        </w:rPr>
        <w:t xml:space="preserve"> 300,000 to &lt; 400,000</w:t>
      </w:r>
    </w:p>
    <w:p w14:paraId="20A6FDC5" w14:textId="77777777" w:rsidR="00EE6323" w:rsidRPr="00EE6323" w:rsidRDefault="00EE6323" w:rsidP="00C02288">
      <w:pPr>
        <w:keepNext/>
        <w:textAlignment w:val="baseline"/>
        <w:rPr>
          <w:rFonts w:ascii="Arial Narrow" w:hAnsi="Arial Narrow" w:cs="Segoe UI"/>
          <w:i/>
          <w:iCs/>
          <w:sz w:val="18"/>
          <w:szCs w:val="18"/>
        </w:rPr>
      </w:pPr>
      <w:r w:rsidRPr="00EE6323">
        <w:rPr>
          <w:rFonts w:ascii="Arial Narrow" w:hAnsi="Arial Narrow" w:cs="Segoe UI"/>
          <w:i/>
          <w:iCs/>
          <w:sz w:val="18"/>
          <w:szCs w:val="18"/>
          <w:vertAlign w:val="superscript"/>
        </w:rPr>
        <w:t>13</w:t>
      </w:r>
      <w:r w:rsidRPr="00EE6323">
        <w:rPr>
          <w:rFonts w:ascii="Arial Narrow" w:hAnsi="Arial Narrow" w:cs="Segoe UI"/>
          <w:i/>
          <w:iCs/>
          <w:sz w:val="18"/>
          <w:szCs w:val="18"/>
        </w:rPr>
        <w:t xml:space="preserve"> 400,000 to &lt; 500,000</w:t>
      </w:r>
    </w:p>
    <w:p w14:paraId="3146678E" w14:textId="0019CA74" w:rsidR="00AD63AD" w:rsidRPr="00A96044" w:rsidRDefault="00E47EA7" w:rsidP="00AD63AD">
      <w:pPr>
        <w:textAlignment w:val="baseline"/>
        <w:rPr>
          <w:rFonts w:ascii="Arial Narrow" w:hAnsi="Arial Narrow" w:cs="Segoe UI"/>
          <w:i/>
          <w:iCs/>
          <w:sz w:val="18"/>
          <w:szCs w:val="18"/>
        </w:rPr>
      </w:pPr>
      <w:r w:rsidRPr="008D2AC7">
        <w:rPr>
          <w:rFonts w:ascii="Arial Narrow" w:hAnsi="Arial Narrow" w:cs="Segoe UI"/>
          <w:i/>
          <w:iCs/>
          <w:sz w:val="18"/>
          <w:szCs w:val="18"/>
          <w:vertAlign w:val="superscript"/>
        </w:rPr>
        <w:t>14</w:t>
      </w:r>
      <w:r w:rsidR="00AD63AD" w:rsidRPr="00A96044">
        <w:rPr>
          <w:rFonts w:ascii="Arial Narrow" w:hAnsi="Arial Narrow" w:cs="Segoe UI"/>
          <w:i/>
          <w:iCs/>
          <w:sz w:val="18"/>
          <w:szCs w:val="18"/>
        </w:rPr>
        <w:t xml:space="preserve"> $70 million to &lt; $80 million</w:t>
      </w:r>
    </w:p>
    <w:p w14:paraId="74FF74BF" w14:textId="77777777" w:rsidR="00AD63AD" w:rsidRPr="00A96044" w:rsidRDefault="00AD63AD" w:rsidP="00C02288">
      <w:pPr>
        <w:spacing w:after="120"/>
        <w:textAlignment w:val="baseline"/>
        <w:rPr>
          <w:rFonts w:ascii="Arial Narrow" w:hAnsi="Arial Narrow" w:cs="Segoe UI"/>
          <w:i/>
          <w:iCs/>
          <w:sz w:val="18"/>
          <w:szCs w:val="18"/>
        </w:rPr>
      </w:pPr>
      <w:r w:rsidRPr="00A96044">
        <w:rPr>
          <w:rFonts w:ascii="Arial Narrow" w:hAnsi="Arial Narrow" w:cs="Segoe UI"/>
          <w:i/>
          <w:iCs/>
          <w:sz w:val="18"/>
          <w:szCs w:val="18"/>
          <w:vertAlign w:val="superscript"/>
        </w:rPr>
        <w:t>5</w:t>
      </w:r>
      <w:r w:rsidRPr="00A96044">
        <w:rPr>
          <w:rFonts w:ascii="Arial Narrow" w:hAnsi="Arial Narrow" w:cs="Segoe UI"/>
          <w:i/>
          <w:iCs/>
          <w:sz w:val="18"/>
          <w:szCs w:val="18"/>
        </w:rPr>
        <w:t xml:space="preserve"> $90 million to &lt; $100 million</w:t>
      </w:r>
    </w:p>
    <w:p w14:paraId="6A536A92" w14:textId="77777777" w:rsidR="009E6034" w:rsidRPr="00C33D30" w:rsidRDefault="009E6034" w:rsidP="009E6034">
      <w:pPr>
        <w:ind w:firstLine="709"/>
        <w:rPr>
          <w:rFonts w:asciiTheme="minorHAnsi" w:hAnsiTheme="minorHAnsi"/>
          <w:i/>
        </w:rPr>
      </w:pPr>
      <w:r w:rsidRPr="00C33D30">
        <w:rPr>
          <w:rFonts w:asciiTheme="minorHAnsi" w:hAnsiTheme="minorHAnsi"/>
          <w:i/>
        </w:rPr>
        <w:t>For more detail on PBAC’s view, see section 7 PBAC outcome.</w:t>
      </w:r>
    </w:p>
    <w:p w14:paraId="1854E64D" w14:textId="77777777" w:rsidR="009E6034" w:rsidRPr="0090150D" w:rsidRDefault="009E6034" w:rsidP="009E6034">
      <w:pPr>
        <w:pStyle w:val="2-SectionHeading"/>
        <w:numPr>
          <w:ilvl w:val="0"/>
          <w:numId w:val="1"/>
        </w:numPr>
        <w:outlineLvl w:val="0"/>
      </w:pPr>
      <w:bookmarkStart w:id="72" w:name="_Hlk76381249"/>
      <w:bookmarkStart w:id="73" w:name="_Hlk76377955"/>
      <w:bookmarkStart w:id="74" w:name="_Toc167274383"/>
      <w:r w:rsidRPr="0090150D">
        <w:t>PBAC Outcome</w:t>
      </w:r>
    </w:p>
    <w:p w14:paraId="625EB7C2" w14:textId="2484C4EE" w:rsidR="00621BEA" w:rsidRDefault="00403D7A" w:rsidP="00621BEA">
      <w:pPr>
        <w:widowControl w:val="0"/>
        <w:numPr>
          <w:ilvl w:val="1"/>
          <w:numId w:val="1"/>
        </w:numPr>
        <w:spacing w:after="120"/>
        <w:ind w:left="720" w:hanging="720"/>
        <w:rPr>
          <w:rFonts w:asciiTheme="minorHAnsi" w:hAnsiTheme="minorHAnsi"/>
          <w:snapToGrid w:val="0"/>
          <w:lang w:val="en-GB"/>
        </w:rPr>
      </w:pPr>
      <w:bookmarkStart w:id="75" w:name="_Hlk111543188"/>
      <w:r w:rsidRPr="00403D7A">
        <w:rPr>
          <w:rFonts w:asciiTheme="minorHAnsi" w:hAnsiTheme="minorHAnsi"/>
          <w:snapToGrid w:val="0"/>
          <w:lang w:val="en-GB"/>
        </w:rPr>
        <w:t>The PBAC deferred making a recommendation for the listing of esketamine for the treatment of treatment-resistant depression (TRD) in patients who have failed two or more prior oral anti-depressant drugs (OADs)</w:t>
      </w:r>
      <w:r w:rsidR="00621BEA">
        <w:rPr>
          <w:rFonts w:asciiTheme="minorHAnsi" w:hAnsiTheme="minorHAnsi"/>
          <w:snapToGrid w:val="0"/>
          <w:lang w:val="en-GB"/>
        </w:rPr>
        <w:t xml:space="preserve">. </w:t>
      </w:r>
      <w:r w:rsidR="00621BEA">
        <w:t xml:space="preserve">The PBAC reiterated its previous consideration that, based on the available clinical evidence, esketamine was likely to be effective for some patients. The PBAC noted the economic model in the resubmission included provision for treatment beyond 12 months and retreatment (as requested in July 2023), and while it considered there were substantial uncertainties with the effectiveness of esketamine and the extent of use in these settings, esketamine was overall likely to be cost-effective at the price proposed in the resubmission. </w:t>
      </w:r>
      <w:r w:rsidR="00621BEA">
        <w:rPr>
          <w:rFonts w:asciiTheme="minorHAnsi" w:hAnsiTheme="minorHAnsi"/>
          <w:snapToGrid w:val="0"/>
          <w:lang w:val="en-GB"/>
        </w:rPr>
        <w:t xml:space="preserve">The PBAC deferred the item </w:t>
      </w:r>
      <w:r w:rsidR="00854319">
        <w:rPr>
          <w:rFonts w:asciiTheme="minorHAnsi" w:hAnsiTheme="minorHAnsi"/>
          <w:snapToGrid w:val="0"/>
          <w:lang w:val="en-GB"/>
        </w:rPr>
        <w:t xml:space="preserve">to enable </w:t>
      </w:r>
      <w:r w:rsidR="00621BEA">
        <w:rPr>
          <w:rFonts w:asciiTheme="minorHAnsi" w:hAnsiTheme="minorHAnsi"/>
          <w:snapToGrid w:val="0"/>
          <w:lang w:val="en-GB"/>
        </w:rPr>
        <w:t xml:space="preserve">the restriction criteria </w:t>
      </w:r>
      <w:r w:rsidR="00854319">
        <w:rPr>
          <w:rFonts w:asciiTheme="minorHAnsi" w:hAnsiTheme="minorHAnsi"/>
          <w:snapToGrid w:val="0"/>
          <w:lang w:val="en-GB"/>
        </w:rPr>
        <w:t xml:space="preserve">to be refined </w:t>
      </w:r>
      <w:r w:rsidR="00621BEA">
        <w:rPr>
          <w:rFonts w:asciiTheme="minorHAnsi" w:hAnsiTheme="minorHAnsi"/>
          <w:snapToGrid w:val="0"/>
          <w:lang w:val="en-GB"/>
        </w:rPr>
        <w:t xml:space="preserve">and </w:t>
      </w:r>
      <w:r w:rsidR="0030564A">
        <w:rPr>
          <w:rFonts w:asciiTheme="minorHAnsi" w:hAnsiTheme="minorHAnsi"/>
          <w:snapToGrid w:val="0"/>
          <w:lang w:val="en-GB"/>
        </w:rPr>
        <w:t xml:space="preserve">the </w:t>
      </w:r>
      <w:r w:rsidR="00621BEA">
        <w:rPr>
          <w:rFonts w:asciiTheme="minorHAnsi" w:hAnsiTheme="minorHAnsi"/>
          <w:snapToGrid w:val="0"/>
          <w:lang w:val="en-GB"/>
        </w:rPr>
        <w:t>utilisation estimates</w:t>
      </w:r>
      <w:r w:rsidR="00DB276A">
        <w:rPr>
          <w:rFonts w:asciiTheme="minorHAnsi" w:hAnsiTheme="minorHAnsi"/>
          <w:snapToGrid w:val="0"/>
          <w:lang w:val="en-GB"/>
        </w:rPr>
        <w:t xml:space="preserve"> to be revised</w:t>
      </w:r>
      <w:r w:rsidR="00621BEA">
        <w:rPr>
          <w:rFonts w:asciiTheme="minorHAnsi" w:hAnsiTheme="minorHAnsi"/>
          <w:snapToGrid w:val="0"/>
          <w:lang w:val="en-GB"/>
        </w:rPr>
        <w:t xml:space="preserve">. </w:t>
      </w:r>
    </w:p>
    <w:p w14:paraId="35C44CBD" w14:textId="59E352CB" w:rsidR="00403D7A" w:rsidRDefault="00403D7A" w:rsidP="009E6034">
      <w:pPr>
        <w:widowControl w:val="0"/>
        <w:numPr>
          <w:ilvl w:val="1"/>
          <w:numId w:val="1"/>
        </w:numPr>
        <w:spacing w:after="120"/>
        <w:ind w:left="720" w:hanging="720"/>
        <w:rPr>
          <w:rFonts w:asciiTheme="minorHAnsi" w:hAnsiTheme="minorHAnsi"/>
          <w:snapToGrid w:val="0"/>
          <w:lang w:val="en-GB"/>
        </w:rPr>
      </w:pPr>
      <w:r w:rsidRPr="00403D7A">
        <w:rPr>
          <w:rFonts w:asciiTheme="minorHAnsi" w:hAnsiTheme="minorHAnsi"/>
          <w:snapToGrid w:val="0"/>
          <w:lang w:val="en-GB"/>
        </w:rPr>
        <w:t xml:space="preserve">The PBAC noted the input from healthcare professionals and individuals supported the listing of esketamine and described it as an effective and well-tolerated treatment, with patients who respond experiencing a rapid and life-changing impact on symptoms and quality of life. The Committee recalled the input from clinicians and individuals in previous considerations of esketamine described similar benefits from esketamine treatment. The PBAC also acknowledged the input from the RANZCP, which noted the College has a clinical memorandum on the use of </w:t>
      </w:r>
      <w:r w:rsidR="0074435C">
        <w:rPr>
          <w:rFonts w:asciiTheme="minorHAnsi" w:hAnsiTheme="minorHAnsi"/>
          <w:snapToGrid w:val="0"/>
          <w:lang w:val="en-GB"/>
        </w:rPr>
        <w:t xml:space="preserve">ketamine/ </w:t>
      </w:r>
      <w:r w:rsidRPr="00403D7A">
        <w:rPr>
          <w:rFonts w:asciiTheme="minorHAnsi" w:hAnsiTheme="minorHAnsi"/>
          <w:snapToGrid w:val="0"/>
          <w:lang w:val="en-GB"/>
        </w:rPr>
        <w:t>esketamine in practice and highlighted that affordability is a part of ensuring patients have access to evidence-based treatments.</w:t>
      </w:r>
    </w:p>
    <w:p w14:paraId="5FC8B659" w14:textId="78A15EF8" w:rsidR="00403D7A" w:rsidRDefault="00403D7A" w:rsidP="009E6034">
      <w:pPr>
        <w:widowControl w:val="0"/>
        <w:numPr>
          <w:ilvl w:val="1"/>
          <w:numId w:val="1"/>
        </w:numPr>
        <w:spacing w:after="120"/>
        <w:ind w:left="720" w:hanging="720"/>
        <w:rPr>
          <w:rFonts w:asciiTheme="minorHAnsi" w:hAnsiTheme="minorHAnsi"/>
          <w:snapToGrid w:val="0"/>
          <w:lang w:val="en-GB"/>
        </w:rPr>
      </w:pPr>
      <w:r w:rsidRPr="00403D7A">
        <w:rPr>
          <w:rFonts w:asciiTheme="minorHAnsi" w:hAnsiTheme="minorHAnsi"/>
          <w:snapToGrid w:val="0"/>
          <w:lang w:val="en-GB"/>
        </w:rPr>
        <w:t xml:space="preserve">The PBAC reaffirmed its </w:t>
      </w:r>
      <w:r w:rsidR="00357D5C" w:rsidRPr="00403D7A">
        <w:rPr>
          <w:rFonts w:asciiTheme="minorHAnsi" w:hAnsiTheme="minorHAnsi"/>
          <w:snapToGrid w:val="0"/>
          <w:lang w:val="en-GB"/>
        </w:rPr>
        <w:t>previously expressed</w:t>
      </w:r>
      <w:r w:rsidRPr="00403D7A">
        <w:rPr>
          <w:rFonts w:asciiTheme="minorHAnsi" w:hAnsiTheme="minorHAnsi"/>
          <w:snapToGrid w:val="0"/>
          <w:lang w:val="en-GB"/>
        </w:rPr>
        <w:t xml:space="preserve"> view that there is a moderate to high </w:t>
      </w:r>
      <w:r w:rsidRPr="00403D7A">
        <w:rPr>
          <w:rFonts w:asciiTheme="minorHAnsi" w:hAnsiTheme="minorHAnsi"/>
          <w:snapToGrid w:val="0"/>
          <w:lang w:val="en-GB"/>
        </w:rPr>
        <w:lastRenderedPageBreak/>
        <w:t>clinical need for additional treatment options for TRD.</w:t>
      </w:r>
      <w:r>
        <w:rPr>
          <w:rFonts w:asciiTheme="minorHAnsi" w:hAnsiTheme="minorHAnsi"/>
          <w:snapToGrid w:val="0"/>
          <w:lang w:val="en-GB"/>
        </w:rPr>
        <w:t xml:space="preserve"> </w:t>
      </w:r>
    </w:p>
    <w:p w14:paraId="0473D420" w14:textId="11E5249D" w:rsidR="00403D7A" w:rsidRDefault="00403D7A" w:rsidP="009E6034">
      <w:pPr>
        <w:widowControl w:val="0"/>
        <w:numPr>
          <w:ilvl w:val="1"/>
          <w:numId w:val="1"/>
        </w:numPr>
        <w:spacing w:after="120"/>
        <w:ind w:left="720" w:hanging="720"/>
        <w:rPr>
          <w:rFonts w:asciiTheme="minorHAnsi" w:hAnsiTheme="minorHAnsi"/>
          <w:snapToGrid w:val="0"/>
          <w:lang w:val="en-GB"/>
        </w:rPr>
      </w:pPr>
      <w:r w:rsidRPr="00403D7A">
        <w:rPr>
          <w:rFonts w:asciiTheme="minorHAnsi" w:hAnsiTheme="minorHAnsi"/>
          <w:snapToGrid w:val="0"/>
          <w:lang w:val="en-GB"/>
        </w:rPr>
        <w:t xml:space="preserve">The PBAC recalled that in its consideration of esketamine in July 2023 that treatment </w:t>
      </w:r>
      <w:r w:rsidR="0039513B">
        <w:rPr>
          <w:rFonts w:asciiTheme="minorHAnsi" w:hAnsiTheme="minorHAnsi"/>
          <w:snapToGrid w:val="0"/>
          <w:lang w:val="en-GB"/>
        </w:rPr>
        <w:t xml:space="preserve">was limited to a maximum of </w:t>
      </w:r>
      <w:r w:rsidRPr="00403D7A">
        <w:rPr>
          <w:rFonts w:asciiTheme="minorHAnsi" w:hAnsiTheme="minorHAnsi"/>
          <w:snapToGrid w:val="0"/>
          <w:lang w:val="en-GB"/>
        </w:rPr>
        <w:t xml:space="preserve">12 months and retreatment </w:t>
      </w:r>
      <w:r w:rsidR="0039513B">
        <w:rPr>
          <w:rFonts w:asciiTheme="minorHAnsi" w:hAnsiTheme="minorHAnsi"/>
          <w:snapToGrid w:val="0"/>
          <w:lang w:val="en-GB"/>
        </w:rPr>
        <w:t xml:space="preserve">was not addressed in </w:t>
      </w:r>
      <w:r w:rsidRPr="00403D7A">
        <w:rPr>
          <w:rFonts w:asciiTheme="minorHAnsi" w:hAnsiTheme="minorHAnsi"/>
          <w:snapToGrid w:val="0"/>
          <w:lang w:val="en-GB"/>
        </w:rPr>
        <w:t>the requested listing</w:t>
      </w:r>
      <w:r w:rsidR="0039513B">
        <w:rPr>
          <w:rFonts w:asciiTheme="minorHAnsi" w:hAnsiTheme="minorHAnsi"/>
          <w:snapToGrid w:val="0"/>
          <w:lang w:val="en-GB"/>
        </w:rPr>
        <w:t>.</w:t>
      </w:r>
      <w:r w:rsidR="00CC12C1">
        <w:rPr>
          <w:rFonts w:asciiTheme="minorHAnsi" w:hAnsiTheme="minorHAnsi"/>
          <w:snapToGrid w:val="0"/>
          <w:lang w:val="en-GB"/>
        </w:rPr>
        <w:t xml:space="preserve"> T</w:t>
      </w:r>
      <w:r w:rsidRPr="00403D7A">
        <w:rPr>
          <w:rFonts w:asciiTheme="minorHAnsi" w:hAnsiTheme="minorHAnsi"/>
          <w:snapToGrid w:val="0"/>
          <w:lang w:val="en-GB"/>
        </w:rPr>
        <w:t>he Committee considered that flexibility regarding treatment duration and allowing retreatment would need to be addressed in a resubmission (paragraphs 7.4, 7.7, 7.8 and 7.16, esketamine Public Summary Document (PSD), July 2023). The Committee acknowledged the resubmission was focussed on how to incorporate these treatment settings into the restrictions and exploring the impact of these on the cost effectiveness and utilisation estimates.</w:t>
      </w:r>
    </w:p>
    <w:p w14:paraId="48760373" w14:textId="61BA3705" w:rsidR="00403D7A" w:rsidRDefault="00403D7A" w:rsidP="009E6034">
      <w:pPr>
        <w:widowControl w:val="0"/>
        <w:numPr>
          <w:ilvl w:val="1"/>
          <w:numId w:val="1"/>
        </w:numPr>
        <w:spacing w:after="120"/>
        <w:ind w:left="720" w:hanging="720"/>
        <w:rPr>
          <w:rFonts w:asciiTheme="minorHAnsi" w:hAnsiTheme="minorHAnsi"/>
          <w:snapToGrid w:val="0"/>
          <w:lang w:val="en-GB"/>
        </w:rPr>
      </w:pPr>
      <w:r w:rsidRPr="00403D7A">
        <w:rPr>
          <w:rFonts w:asciiTheme="minorHAnsi" w:hAnsiTheme="minorHAnsi"/>
          <w:snapToGrid w:val="0"/>
          <w:lang w:val="en-GB"/>
        </w:rPr>
        <w:t xml:space="preserve">The PBAC recalled its previous </w:t>
      </w:r>
      <w:r w:rsidR="0074435C">
        <w:rPr>
          <w:rFonts w:asciiTheme="minorHAnsi" w:hAnsiTheme="minorHAnsi"/>
          <w:snapToGrid w:val="0"/>
          <w:lang w:val="en-GB"/>
        </w:rPr>
        <w:t xml:space="preserve">consideration </w:t>
      </w:r>
      <w:r w:rsidRPr="00403D7A">
        <w:rPr>
          <w:rFonts w:asciiTheme="minorHAnsi" w:hAnsiTheme="minorHAnsi"/>
          <w:snapToGrid w:val="0"/>
          <w:lang w:val="en-GB"/>
        </w:rPr>
        <w:t>that that the nominated comparator of a newly initiated OAD alone was reasonable (paragraph 7.9, esketamine PSD, July 2023).</w:t>
      </w:r>
    </w:p>
    <w:p w14:paraId="67CCD9EB" w14:textId="4C7FA674" w:rsidR="00403D7A" w:rsidRDefault="00403D7A" w:rsidP="201B6D98">
      <w:pPr>
        <w:widowControl w:val="0"/>
        <w:numPr>
          <w:ilvl w:val="1"/>
          <w:numId w:val="1"/>
        </w:numPr>
        <w:spacing w:after="120"/>
        <w:ind w:left="720" w:hanging="720"/>
        <w:rPr>
          <w:rFonts w:asciiTheme="minorHAnsi" w:hAnsiTheme="minorHAnsi"/>
          <w:snapToGrid w:val="0"/>
          <w:lang w:val="en-GB"/>
        </w:rPr>
      </w:pPr>
      <w:r w:rsidRPr="201B6D98">
        <w:rPr>
          <w:rFonts w:asciiTheme="minorHAnsi" w:hAnsiTheme="minorHAnsi"/>
          <w:snapToGrid w:val="0"/>
          <w:lang w:val="en-GB"/>
        </w:rPr>
        <w:t>The PBAC noted the current resubmission presented additional information from the open label extension study SUSTAIN-3, two real-world studies of US claims databases (Teeple 2021 and Karkare 2021) and the Sponsor's Australian Early Access Program (EAP)</w:t>
      </w:r>
      <w:r w:rsidR="00CC12C1" w:rsidRPr="201B6D98">
        <w:rPr>
          <w:rFonts w:asciiTheme="minorHAnsi" w:hAnsiTheme="minorHAnsi"/>
          <w:snapToGrid w:val="0"/>
          <w:lang w:val="en-GB"/>
        </w:rPr>
        <w:t xml:space="preserve">. The PBAC </w:t>
      </w:r>
      <w:r w:rsidRPr="201B6D98">
        <w:rPr>
          <w:rFonts w:asciiTheme="minorHAnsi" w:hAnsiTheme="minorHAnsi"/>
          <w:snapToGrid w:val="0"/>
          <w:lang w:val="en-GB"/>
        </w:rPr>
        <w:t xml:space="preserve">noted this information was used primarily to inform inputs to the economic model and utilisation estimates with regards to the use of esketamine beyond 12 months and in retreatment settings. The Committee recalled it had previously considered the clinical claim of superior comparative effectiveness compared to newly initiated OAD alone may be reasonable, but the magnitude and clinical importance of the observed benefits </w:t>
      </w:r>
      <w:r w:rsidR="00E12731" w:rsidRPr="201B6D98">
        <w:rPr>
          <w:rFonts w:asciiTheme="minorHAnsi" w:hAnsiTheme="minorHAnsi"/>
          <w:snapToGrid w:val="0"/>
          <w:lang w:val="en-GB"/>
        </w:rPr>
        <w:t xml:space="preserve">were </w:t>
      </w:r>
      <w:r w:rsidRPr="201B6D98">
        <w:rPr>
          <w:rFonts w:asciiTheme="minorHAnsi" w:hAnsiTheme="minorHAnsi"/>
          <w:snapToGrid w:val="0"/>
          <w:lang w:val="en-GB"/>
        </w:rPr>
        <w:t>uncertain</w:t>
      </w:r>
      <w:r w:rsidR="003C4CF7" w:rsidRPr="201B6D98">
        <w:rPr>
          <w:rFonts w:asciiTheme="minorHAnsi" w:hAnsiTheme="minorHAnsi"/>
          <w:snapToGrid w:val="0"/>
          <w:lang w:val="en-GB"/>
        </w:rPr>
        <w:t>.</w:t>
      </w:r>
      <w:r w:rsidR="0039513B" w:rsidRPr="201B6D98">
        <w:rPr>
          <w:rFonts w:asciiTheme="minorHAnsi" w:hAnsiTheme="minorHAnsi"/>
          <w:snapToGrid w:val="0"/>
          <w:lang w:val="en-GB"/>
        </w:rPr>
        <w:t xml:space="preserve"> The PBAC </w:t>
      </w:r>
      <w:r w:rsidRPr="201B6D98">
        <w:rPr>
          <w:rFonts w:asciiTheme="minorHAnsi" w:hAnsiTheme="minorHAnsi"/>
          <w:snapToGrid w:val="0"/>
          <w:lang w:val="en-GB"/>
        </w:rPr>
        <w:t>noted the randomised controlled trial evidence underpinning this claim was unchanged</w:t>
      </w:r>
      <w:r w:rsidR="0039513B" w:rsidRPr="201B6D98">
        <w:rPr>
          <w:rFonts w:asciiTheme="minorHAnsi" w:hAnsiTheme="minorHAnsi"/>
          <w:snapToGrid w:val="0"/>
          <w:lang w:val="en-GB"/>
        </w:rPr>
        <w:t xml:space="preserve"> and</w:t>
      </w:r>
      <w:r w:rsidRPr="201B6D98">
        <w:rPr>
          <w:rFonts w:asciiTheme="minorHAnsi" w:hAnsiTheme="minorHAnsi"/>
          <w:snapToGrid w:val="0"/>
          <w:lang w:val="en-GB"/>
        </w:rPr>
        <w:t xml:space="preserve"> the additional information provided did not </w:t>
      </w:r>
      <w:r w:rsidR="003C4CF7" w:rsidRPr="201B6D98">
        <w:rPr>
          <w:rFonts w:asciiTheme="minorHAnsi" w:hAnsiTheme="minorHAnsi"/>
          <w:snapToGrid w:val="0"/>
          <w:lang w:val="en-GB"/>
        </w:rPr>
        <w:t xml:space="preserve">further inform </w:t>
      </w:r>
      <w:r w:rsidRPr="201B6D98">
        <w:rPr>
          <w:rFonts w:asciiTheme="minorHAnsi" w:hAnsiTheme="minorHAnsi"/>
          <w:snapToGrid w:val="0"/>
          <w:lang w:val="en-GB"/>
        </w:rPr>
        <w:t>the magnitude or clinical importance of the treatment effect of esketamine</w:t>
      </w:r>
      <w:r w:rsidR="0039513B" w:rsidRPr="201B6D98">
        <w:rPr>
          <w:rFonts w:asciiTheme="minorHAnsi" w:hAnsiTheme="minorHAnsi"/>
          <w:snapToGrid w:val="0"/>
          <w:lang w:val="en-GB"/>
        </w:rPr>
        <w:t xml:space="preserve">. </w:t>
      </w:r>
      <w:r w:rsidRPr="201B6D98">
        <w:rPr>
          <w:rFonts w:asciiTheme="minorHAnsi" w:hAnsiTheme="minorHAnsi"/>
          <w:snapToGrid w:val="0"/>
          <w:lang w:val="en-GB"/>
        </w:rPr>
        <w:t xml:space="preserve"> </w:t>
      </w:r>
      <w:r w:rsidR="00E12731" w:rsidRPr="201B6D98">
        <w:rPr>
          <w:rFonts w:asciiTheme="minorHAnsi" w:hAnsiTheme="minorHAnsi"/>
          <w:snapToGrid w:val="0"/>
          <w:lang w:val="en-GB"/>
        </w:rPr>
        <w:t>Further</w:t>
      </w:r>
      <w:r w:rsidR="0039513B" w:rsidRPr="201B6D98">
        <w:rPr>
          <w:rFonts w:asciiTheme="minorHAnsi" w:hAnsiTheme="minorHAnsi"/>
          <w:snapToGrid w:val="0"/>
          <w:lang w:val="en-GB"/>
        </w:rPr>
        <w:t xml:space="preserve">, the PBAC considered the additional information provided only limited </w:t>
      </w:r>
      <w:r w:rsidR="00E12731" w:rsidRPr="201B6D98">
        <w:rPr>
          <w:rFonts w:asciiTheme="minorHAnsi" w:hAnsiTheme="minorHAnsi"/>
          <w:snapToGrid w:val="0"/>
          <w:lang w:val="en-GB"/>
        </w:rPr>
        <w:t xml:space="preserve">data </w:t>
      </w:r>
      <w:r w:rsidR="0039513B" w:rsidRPr="201B6D98">
        <w:rPr>
          <w:rFonts w:asciiTheme="minorHAnsi" w:hAnsiTheme="minorHAnsi"/>
          <w:snapToGrid w:val="0"/>
          <w:lang w:val="en-GB"/>
        </w:rPr>
        <w:t xml:space="preserve">for </w:t>
      </w:r>
      <w:r w:rsidRPr="201B6D98">
        <w:rPr>
          <w:rFonts w:asciiTheme="minorHAnsi" w:hAnsiTheme="minorHAnsi"/>
          <w:snapToGrid w:val="0"/>
          <w:lang w:val="en-GB"/>
        </w:rPr>
        <w:t>the clinical effectiveness or safety o</w:t>
      </w:r>
      <w:r w:rsidR="003C4CF7" w:rsidRPr="201B6D98">
        <w:rPr>
          <w:rFonts w:asciiTheme="minorHAnsi" w:hAnsiTheme="minorHAnsi"/>
          <w:snapToGrid w:val="0"/>
          <w:lang w:val="en-GB"/>
        </w:rPr>
        <w:t xml:space="preserve">f </w:t>
      </w:r>
      <w:r w:rsidRPr="201B6D98">
        <w:rPr>
          <w:rFonts w:asciiTheme="minorHAnsi" w:hAnsiTheme="minorHAnsi"/>
          <w:snapToGrid w:val="0"/>
          <w:lang w:val="en-GB"/>
        </w:rPr>
        <w:t>esketamine in the retreatment or long-term treatment settings</w:t>
      </w:r>
      <w:r w:rsidR="003C4CF7" w:rsidRPr="201B6D98">
        <w:rPr>
          <w:rFonts w:asciiTheme="minorHAnsi" w:hAnsiTheme="minorHAnsi"/>
          <w:snapToGrid w:val="0"/>
          <w:lang w:val="en-GB"/>
        </w:rPr>
        <w:t xml:space="preserve">. </w:t>
      </w:r>
    </w:p>
    <w:p w14:paraId="6F38B1D8" w14:textId="4ED312C5" w:rsidR="00403D7A" w:rsidRDefault="003C4CF7" w:rsidP="009E6034">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w:t>
      </w:r>
      <w:r w:rsidRPr="003C4CF7">
        <w:rPr>
          <w:rFonts w:asciiTheme="minorHAnsi" w:hAnsiTheme="minorHAnsi"/>
          <w:snapToGrid w:val="0"/>
          <w:lang w:val="en-GB"/>
        </w:rPr>
        <w:t xml:space="preserve">recalled it </w:t>
      </w:r>
      <w:r>
        <w:rPr>
          <w:rFonts w:asciiTheme="minorHAnsi" w:hAnsiTheme="minorHAnsi"/>
          <w:snapToGrid w:val="0"/>
          <w:lang w:val="en-GB"/>
        </w:rPr>
        <w:t xml:space="preserve">had previously </w:t>
      </w:r>
      <w:r w:rsidRPr="003C4CF7">
        <w:rPr>
          <w:rFonts w:asciiTheme="minorHAnsi" w:hAnsiTheme="minorHAnsi"/>
          <w:snapToGrid w:val="0"/>
          <w:lang w:val="en-GB"/>
        </w:rPr>
        <w:t>considered the claim of inferior comparative safety was reasonable</w:t>
      </w:r>
      <w:r>
        <w:rPr>
          <w:rFonts w:asciiTheme="minorHAnsi" w:hAnsiTheme="minorHAnsi"/>
          <w:snapToGrid w:val="0"/>
          <w:lang w:val="en-GB"/>
        </w:rPr>
        <w:t>.</w:t>
      </w:r>
      <w:r w:rsidRPr="003C4CF7">
        <w:rPr>
          <w:rFonts w:asciiTheme="minorHAnsi" w:hAnsiTheme="minorHAnsi"/>
          <w:snapToGrid w:val="0"/>
          <w:lang w:val="en-GB"/>
        </w:rPr>
        <w:t xml:space="preserve"> </w:t>
      </w:r>
      <w:r w:rsidRPr="00403D7A">
        <w:rPr>
          <w:rFonts w:asciiTheme="minorHAnsi" w:hAnsiTheme="minorHAnsi"/>
          <w:snapToGrid w:val="0"/>
          <w:lang w:val="en-GB"/>
        </w:rPr>
        <w:t xml:space="preserve">The PBAC noted an updated Periodic Benefit-Risk Evaluation Report (PBRER) was provided </w:t>
      </w:r>
      <w:r>
        <w:rPr>
          <w:rFonts w:asciiTheme="minorHAnsi" w:hAnsiTheme="minorHAnsi"/>
          <w:snapToGrid w:val="0"/>
          <w:lang w:val="en-GB"/>
        </w:rPr>
        <w:t>with</w:t>
      </w:r>
      <w:r w:rsidR="002F4FFB">
        <w:rPr>
          <w:rFonts w:asciiTheme="minorHAnsi" w:hAnsiTheme="minorHAnsi"/>
          <w:snapToGrid w:val="0"/>
          <w:lang w:val="en-GB"/>
        </w:rPr>
        <w:t xml:space="preserve"> </w:t>
      </w:r>
      <w:r w:rsidRPr="00403D7A">
        <w:rPr>
          <w:rFonts w:asciiTheme="minorHAnsi" w:hAnsiTheme="minorHAnsi"/>
          <w:snapToGrid w:val="0"/>
          <w:lang w:val="en-GB"/>
        </w:rPr>
        <w:t xml:space="preserve">the </w:t>
      </w:r>
      <w:r>
        <w:rPr>
          <w:rFonts w:asciiTheme="minorHAnsi" w:hAnsiTheme="minorHAnsi"/>
          <w:snapToGrid w:val="0"/>
          <w:lang w:val="en-GB"/>
        </w:rPr>
        <w:t>re</w:t>
      </w:r>
      <w:r w:rsidRPr="00403D7A">
        <w:rPr>
          <w:rFonts w:asciiTheme="minorHAnsi" w:hAnsiTheme="minorHAnsi"/>
          <w:snapToGrid w:val="0"/>
          <w:lang w:val="en-GB"/>
        </w:rPr>
        <w:t>submission, which did not raise any new safety concerns associated with esketamine.</w:t>
      </w:r>
    </w:p>
    <w:p w14:paraId="7010A377" w14:textId="42FA979F" w:rsidR="0039513B" w:rsidRDefault="0039513B" w:rsidP="009E6034">
      <w:pPr>
        <w:widowControl w:val="0"/>
        <w:numPr>
          <w:ilvl w:val="1"/>
          <w:numId w:val="1"/>
        </w:numPr>
        <w:spacing w:after="120"/>
        <w:ind w:left="720" w:hanging="720"/>
        <w:rPr>
          <w:rFonts w:asciiTheme="minorHAnsi" w:hAnsiTheme="minorHAnsi"/>
          <w:snapToGrid w:val="0"/>
          <w:lang w:val="en-GB"/>
        </w:rPr>
      </w:pPr>
      <w:r w:rsidRPr="0039513B">
        <w:rPr>
          <w:rFonts w:asciiTheme="minorHAnsi" w:hAnsiTheme="minorHAnsi"/>
          <w:snapToGrid w:val="0"/>
          <w:lang w:val="en-GB"/>
        </w:rPr>
        <w:t xml:space="preserve">The PBAC noted the resubmission revised the economic model to include treatment beyond 12 months and retreatment (after a treatment break of at least 4 months), </w:t>
      </w:r>
      <w:r w:rsidR="00E12731">
        <w:rPr>
          <w:rFonts w:asciiTheme="minorHAnsi" w:hAnsiTheme="minorHAnsi"/>
          <w:snapToGrid w:val="0"/>
          <w:lang w:val="en-GB"/>
        </w:rPr>
        <w:t>and also</w:t>
      </w:r>
      <w:r w:rsidRPr="0039513B">
        <w:rPr>
          <w:rFonts w:asciiTheme="minorHAnsi" w:hAnsiTheme="minorHAnsi"/>
          <w:snapToGrid w:val="0"/>
          <w:lang w:val="en-GB"/>
        </w:rPr>
        <w:t xml:space="preserve"> includ</w:t>
      </w:r>
      <w:r w:rsidR="00E12731">
        <w:rPr>
          <w:rFonts w:asciiTheme="minorHAnsi" w:hAnsiTheme="minorHAnsi"/>
          <w:snapToGrid w:val="0"/>
          <w:lang w:val="en-GB"/>
        </w:rPr>
        <w:t>ed</w:t>
      </w:r>
      <w:r w:rsidRPr="0039513B">
        <w:rPr>
          <w:rFonts w:asciiTheme="minorHAnsi" w:hAnsiTheme="minorHAnsi"/>
          <w:snapToGrid w:val="0"/>
          <w:lang w:val="en-GB"/>
        </w:rPr>
        <w:t xml:space="preserve"> the use of Australian healthcare resource use (</w:t>
      </w:r>
      <w:r>
        <w:rPr>
          <w:rFonts w:asciiTheme="minorHAnsi" w:hAnsiTheme="minorHAnsi"/>
          <w:snapToGrid w:val="0"/>
          <w:lang w:val="en-GB"/>
        </w:rPr>
        <w:t xml:space="preserve">rather than </w:t>
      </w:r>
      <w:r w:rsidRPr="0039513B">
        <w:rPr>
          <w:rFonts w:asciiTheme="minorHAnsi" w:hAnsiTheme="minorHAnsi"/>
          <w:snapToGrid w:val="0"/>
          <w:lang w:val="en-GB"/>
        </w:rPr>
        <w:t xml:space="preserve">a UK dataset) and a revised </w:t>
      </w:r>
      <w:r w:rsidR="009C588A">
        <w:rPr>
          <w:rFonts w:asciiTheme="minorHAnsi" w:hAnsiTheme="minorHAnsi"/>
          <w:snapToGrid w:val="0"/>
          <w:lang w:val="en-GB"/>
        </w:rPr>
        <w:t xml:space="preserve">ex-manufacturer </w:t>
      </w:r>
      <w:r w:rsidRPr="0039513B">
        <w:rPr>
          <w:rFonts w:asciiTheme="minorHAnsi" w:hAnsiTheme="minorHAnsi"/>
          <w:snapToGrid w:val="0"/>
          <w:lang w:val="en-GB"/>
        </w:rPr>
        <w:t>price per esketamine nasal spray device ($</w:t>
      </w:r>
      <w:r w:rsidR="00683384" w:rsidRPr="00A34B18">
        <w:rPr>
          <w:rFonts w:asciiTheme="minorHAnsi" w:hAnsiTheme="minorHAnsi"/>
          <w:snapToGrid w:val="0"/>
          <w:color w:val="000000"/>
          <w:w w:val="15"/>
          <w:shd w:val="solid" w:color="000000" w:fill="000000"/>
          <w:fitText w:val="-20" w:id="-892700672"/>
          <w:lang w:val="en-GB"/>
          <w14:textFill>
            <w14:solidFill>
              <w14:srgbClr w14:val="000000">
                <w14:alpha w14:val="100000"/>
              </w14:srgbClr>
            </w14:solidFill>
          </w14:textFill>
        </w:rPr>
        <w:t xml:space="preserve">|  </w:t>
      </w:r>
      <w:r w:rsidR="00683384" w:rsidRPr="00A34B18">
        <w:rPr>
          <w:rFonts w:asciiTheme="minorHAnsi" w:hAnsiTheme="minorHAnsi"/>
          <w:snapToGrid w:val="0"/>
          <w:color w:val="000000"/>
          <w:spacing w:val="-69"/>
          <w:w w:val="15"/>
          <w:shd w:val="solid" w:color="000000" w:fill="000000"/>
          <w:fitText w:val="-20" w:id="-892700672"/>
          <w:lang w:val="en-GB"/>
          <w14:textFill>
            <w14:solidFill>
              <w14:srgbClr w14:val="000000">
                <w14:alpha w14:val="100000"/>
              </w14:srgbClr>
            </w14:solidFill>
          </w14:textFill>
        </w:rPr>
        <w:t>|</w:t>
      </w:r>
      <w:r w:rsidRPr="0039513B">
        <w:rPr>
          <w:rFonts w:asciiTheme="minorHAnsi" w:hAnsiTheme="minorHAnsi"/>
          <w:snapToGrid w:val="0"/>
          <w:lang w:val="en-GB"/>
        </w:rPr>
        <w:t>, compared to $</w:t>
      </w:r>
      <w:r w:rsidR="00683384" w:rsidRPr="00A34B18">
        <w:rPr>
          <w:rFonts w:asciiTheme="minorHAnsi" w:hAnsiTheme="minorHAnsi"/>
          <w:snapToGrid w:val="0"/>
          <w:color w:val="000000"/>
          <w:w w:val="15"/>
          <w:shd w:val="solid" w:color="000000" w:fill="000000"/>
          <w:fitText w:val="-20" w:id="-892700671"/>
          <w:lang w:val="en-GB"/>
          <w14:textFill>
            <w14:solidFill>
              <w14:srgbClr w14:val="000000">
                <w14:alpha w14:val="100000"/>
              </w14:srgbClr>
            </w14:solidFill>
          </w14:textFill>
        </w:rPr>
        <w:t xml:space="preserve">|  </w:t>
      </w:r>
      <w:r w:rsidR="00683384" w:rsidRPr="00A34B18">
        <w:rPr>
          <w:rFonts w:asciiTheme="minorHAnsi" w:hAnsiTheme="minorHAnsi"/>
          <w:snapToGrid w:val="0"/>
          <w:color w:val="000000"/>
          <w:spacing w:val="-69"/>
          <w:w w:val="15"/>
          <w:shd w:val="solid" w:color="000000" w:fill="000000"/>
          <w:fitText w:val="-20" w:id="-892700671"/>
          <w:lang w:val="en-GB"/>
          <w14:textFill>
            <w14:solidFill>
              <w14:srgbClr w14:val="000000">
                <w14:alpha w14:val="100000"/>
              </w14:srgbClr>
            </w14:solidFill>
          </w14:textFill>
        </w:rPr>
        <w:t>|</w:t>
      </w:r>
      <w:r w:rsidRPr="0039513B">
        <w:rPr>
          <w:rFonts w:asciiTheme="minorHAnsi" w:hAnsiTheme="minorHAnsi"/>
          <w:snapToGrid w:val="0"/>
          <w:lang w:val="en-GB"/>
        </w:rPr>
        <w:t xml:space="preserve"> in July 2023). </w:t>
      </w:r>
      <w:r>
        <w:rPr>
          <w:rFonts w:asciiTheme="minorHAnsi" w:hAnsiTheme="minorHAnsi"/>
          <w:snapToGrid w:val="0"/>
          <w:lang w:val="en-GB"/>
        </w:rPr>
        <w:t xml:space="preserve">The PBAC noted inclusion of retreatment and the lower cost of </w:t>
      </w:r>
      <w:proofErr w:type="spellStart"/>
      <w:r>
        <w:rPr>
          <w:rFonts w:asciiTheme="minorHAnsi" w:hAnsiTheme="minorHAnsi"/>
          <w:snapToGrid w:val="0"/>
          <w:lang w:val="en-GB"/>
        </w:rPr>
        <w:t>esketamine</w:t>
      </w:r>
      <w:proofErr w:type="spellEnd"/>
      <w:r>
        <w:rPr>
          <w:rFonts w:asciiTheme="minorHAnsi" w:hAnsiTheme="minorHAnsi"/>
          <w:snapToGrid w:val="0"/>
          <w:lang w:val="en-GB"/>
        </w:rPr>
        <w:t xml:space="preserve"> reduced the ICER (Step 3 and Step 7 in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_Ref104805160 \h </w:instrText>
      </w:r>
      <w:r>
        <w:rPr>
          <w:rFonts w:asciiTheme="minorHAnsi" w:hAnsiTheme="minorHAnsi"/>
          <w:snapToGrid w:val="0"/>
          <w:lang w:val="en-GB"/>
        </w:rPr>
      </w:r>
      <w:r>
        <w:rPr>
          <w:rFonts w:asciiTheme="minorHAnsi" w:hAnsiTheme="minorHAnsi"/>
          <w:snapToGrid w:val="0"/>
          <w:lang w:val="en-GB"/>
        </w:rPr>
        <w:fldChar w:fldCharType="separate"/>
      </w:r>
      <w:r w:rsidRPr="00D26534">
        <w:t xml:space="preserve">Table </w:t>
      </w:r>
      <w:r>
        <w:rPr>
          <w:noProof/>
        </w:rPr>
        <w:t>14</w:t>
      </w:r>
      <w:r>
        <w:rPr>
          <w:rFonts w:asciiTheme="minorHAnsi" w:hAnsiTheme="minorHAnsi"/>
          <w:snapToGrid w:val="0"/>
          <w:lang w:val="en-GB"/>
        </w:rPr>
        <w:fldChar w:fldCharType="end"/>
      </w:r>
      <w:r>
        <w:rPr>
          <w:rFonts w:asciiTheme="minorHAnsi" w:hAnsiTheme="minorHAnsi"/>
          <w:snapToGrid w:val="0"/>
          <w:lang w:val="en-GB"/>
        </w:rPr>
        <w:t>)</w:t>
      </w:r>
      <w:r w:rsidR="00B17870">
        <w:rPr>
          <w:rFonts w:asciiTheme="minorHAnsi" w:hAnsiTheme="minorHAnsi"/>
          <w:snapToGrid w:val="0"/>
          <w:lang w:val="en-GB"/>
        </w:rPr>
        <w:t>,</w:t>
      </w:r>
      <w:r>
        <w:rPr>
          <w:rFonts w:asciiTheme="minorHAnsi" w:hAnsiTheme="minorHAnsi"/>
          <w:snapToGrid w:val="0"/>
          <w:lang w:val="en-GB"/>
        </w:rPr>
        <w:t xml:space="preserve"> and allowing use beyond 12 months and using Australian healthcare resource use increased the ICER (Step 5 and Step 6 in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_Ref104805160 \h </w:instrText>
      </w:r>
      <w:r>
        <w:rPr>
          <w:rFonts w:asciiTheme="minorHAnsi" w:hAnsiTheme="minorHAnsi"/>
          <w:snapToGrid w:val="0"/>
          <w:lang w:val="en-GB"/>
        </w:rPr>
      </w:r>
      <w:r>
        <w:rPr>
          <w:rFonts w:asciiTheme="minorHAnsi" w:hAnsiTheme="minorHAnsi"/>
          <w:snapToGrid w:val="0"/>
          <w:lang w:val="en-GB"/>
        </w:rPr>
        <w:fldChar w:fldCharType="separate"/>
      </w:r>
      <w:r w:rsidRPr="00D26534">
        <w:t xml:space="preserve">Table </w:t>
      </w:r>
      <w:r>
        <w:rPr>
          <w:noProof/>
        </w:rPr>
        <w:t>14</w:t>
      </w:r>
      <w:r>
        <w:rPr>
          <w:rFonts w:asciiTheme="minorHAnsi" w:hAnsiTheme="minorHAnsi"/>
          <w:snapToGrid w:val="0"/>
          <w:lang w:val="en-GB"/>
        </w:rPr>
        <w:fldChar w:fldCharType="end"/>
      </w:r>
      <w:r>
        <w:rPr>
          <w:rFonts w:asciiTheme="minorHAnsi" w:hAnsiTheme="minorHAnsi"/>
          <w:snapToGrid w:val="0"/>
          <w:lang w:val="en-GB"/>
        </w:rPr>
        <w:t xml:space="preserve">). </w:t>
      </w:r>
      <w:r w:rsidRPr="0039513B">
        <w:rPr>
          <w:rFonts w:asciiTheme="minorHAnsi" w:hAnsiTheme="minorHAnsi"/>
          <w:snapToGrid w:val="0"/>
          <w:lang w:val="en-GB"/>
        </w:rPr>
        <w:t>The PBAC noted the base case economic model in the resubmission resulted in an incremental cost effectiveness ratio (ICER) of $</w:t>
      </w:r>
      <w:r w:rsidR="00C56142" w:rsidRPr="00C56142">
        <w:rPr>
          <w:rFonts w:asciiTheme="minorHAnsi" w:hAnsiTheme="minorHAnsi"/>
          <w:snapToGrid w:val="0"/>
          <w:lang w:val="en-GB"/>
        </w:rPr>
        <w:t>35,000 to &lt; $45,000</w:t>
      </w:r>
      <w:r w:rsidRPr="0039513B">
        <w:rPr>
          <w:rFonts w:asciiTheme="minorHAnsi" w:hAnsiTheme="minorHAnsi"/>
          <w:snapToGrid w:val="0"/>
          <w:lang w:val="en-GB"/>
        </w:rPr>
        <w:t>per quality adjusted life year (QALY).</w:t>
      </w:r>
      <w:r>
        <w:rPr>
          <w:rFonts w:asciiTheme="minorHAnsi" w:hAnsiTheme="minorHAnsi"/>
          <w:snapToGrid w:val="0"/>
          <w:lang w:val="en-GB"/>
        </w:rPr>
        <w:t xml:space="preserve"> The PBAC noted the model was sensitive to a number of inputs and assumptions including </w:t>
      </w:r>
      <w:r w:rsidR="00B17870">
        <w:rPr>
          <w:rFonts w:asciiTheme="minorHAnsi" w:hAnsiTheme="minorHAnsi"/>
          <w:snapToGrid w:val="0"/>
          <w:lang w:val="en-GB"/>
        </w:rPr>
        <w:t xml:space="preserve">the </w:t>
      </w:r>
      <w:r>
        <w:rPr>
          <w:rFonts w:asciiTheme="minorHAnsi" w:hAnsiTheme="minorHAnsi"/>
          <w:snapToGrid w:val="0"/>
          <w:lang w:val="en-GB"/>
        </w:rPr>
        <w:t xml:space="preserve">probability of remission </w:t>
      </w:r>
      <w:r>
        <w:rPr>
          <w:rFonts w:asciiTheme="minorHAnsi" w:hAnsiTheme="minorHAnsi"/>
          <w:snapToGrid w:val="0"/>
          <w:lang w:val="en-GB"/>
        </w:rPr>
        <w:lastRenderedPageBreak/>
        <w:t xml:space="preserve">and response, proportion of patients treated for longer than 12 months, proportion of patients retreated, effectiveness of retreatment, utilities and utilisation (including dose and frequency).  </w:t>
      </w:r>
    </w:p>
    <w:bookmarkEnd w:id="75"/>
    <w:p w14:paraId="6181348D" w14:textId="5FC2D3B1" w:rsidR="0030564A" w:rsidRDefault="0030564A" w:rsidP="009E6034">
      <w:pPr>
        <w:widowControl w:val="0"/>
        <w:numPr>
          <w:ilvl w:val="1"/>
          <w:numId w:val="1"/>
        </w:numPr>
        <w:spacing w:after="120"/>
        <w:ind w:left="720" w:hanging="720"/>
      </w:pPr>
      <w:r w:rsidRPr="0030564A">
        <w:t>The PBAC considered that</w:t>
      </w:r>
      <w:r w:rsidR="008328CF">
        <w:t>,</w:t>
      </w:r>
      <w:r w:rsidRPr="0030564A">
        <w:t xml:space="preserve"> </w:t>
      </w:r>
      <w:r w:rsidR="0039513B">
        <w:t xml:space="preserve">on balance, </w:t>
      </w:r>
      <w:r w:rsidRPr="0030564A">
        <w:t xml:space="preserve">while there remained limitations and uncertainties with the economic model, </w:t>
      </w:r>
      <w:r w:rsidR="0039513B">
        <w:t xml:space="preserve">acknowledging there is unlikely to be further data forthcoming to address the uncertainties and noting the moderate </w:t>
      </w:r>
      <w:r w:rsidR="009C588A">
        <w:t xml:space="preserve">to high </w:t>
      </w:r>
      <w:r w:rsidR="0039513B">
        <w:t xml:space="preserve">clinical need, </w:t>
      </w:r>
      <w:r w:rsidR="0039513B" w:rsidRPr="0039513B">
        <w:t>esketamine was likely to be cost-effective at the price proposed in the resubmission.</w:t>
      </w:r>
    </w:p>
    <w:p w14:paraId="19B35880" w14:textId="6DFFC647" w:rsidR="00385553" w:rsidRDefault="00385553" w:rsidP="009E6034">
      <w:pPr>
        <w:widowControl w:val="0"/>
        <w:numPr>
          <w:ilvl w:val="1"/>
          <w:numId w:val="1"/>
        </w:numPr>
        <w:spacing w:after="120"/>
        <w:ind w:left="720" w:hanging="720"/>
      </w:pPr>
      <w:bookmarkStart w:id="76" w:name="_Ref174009348"/>
      <w:r w:rsidRPr="00385553">
        <w:t>With regards to the utilisation estimates:</w:t>
      </w:r>
      <w:bookmarkEnd w:id="76"/>
    </w:p>
    <w:p w14:paraId="55592A64" w14:textId="21DCA363" w:rsidR="00385553" w:rsidRPr="00385553" w:rsidRDefault="0075192B" w:rsidP="00497141">
      <w:pPr>
        <w:pStyle w:val="ListParagraph"/>
        <w:widowControl w:val="0"/>
        <w:numPr>
          <w:ilvl w:val="0"/>
          <w:numId w:val="7"/>
        </w:numPr>
        <w:ind w:left="1134" w:hanging="357"/>
        <w:contextualSpacing w:val="0"/>
        <w:rPr>
          <w:rFonts w:asciiTheme="minorHAnsi" w:hAnsiTheme="minorHAnsi"/>
          <w:snapToGrid w:val="0"/>
          <w:lang w:val="en-GB"/>
        </w:rPr>
      </w:pPr>
      <w:r>
        <w:rPr>
          <w:rFonts w:asciiTheme="minorHAnsi" w:hAnsiTheme="minorHAnsi"/>
          <w:snapToGrid w:val="0"/>
          <w:lang w:val="en-GB"/>
        </w:rPr>
        <w:t xml:space="preserve">The PBAC noted </w:t>
      </w:r>
      <w:r w:rsidR="00385553" w:rsidRPr="00385553">
        <w:rPr>
          <w:rFonts w:asciiTheme="minorHAnsi" w:hAnsiTheme="minorHAnsi"/>
          <w:snapToGrid w:val="0"/>
          <w:lang w:val="en-GB"/>
        </w:rPr>
        <w:t xml:space="preserve">an error </w:t>
      </w:r>
      <w:r w:rsidR="00E769F6">
        <w:rPr>
          <w:rFonts w:asciiTheme="minorHAnsi" w:hAnsiTheme="minorHAnsi"/>
          <w:snapToGrid w:val="0"/>
          <w:lang w:val="en-GB"/>
        </w:rPr>
        <w:t xml:space="preserve">was </w:t>
      </w:r>
      <w:r w:rsidR="00385553" w:rsidRPr="00385553">
        <w:rPr>
          <w:rFonts w:asciiTheme="minorHAnsi" w:hAnsiTheme="minorHAnsi"/>
          <w:snapToGrid w:val="0"/>
          <w:lang w:val="en-GB"/>
        </w:rPr>
        <w:t>identified in the estimates</w:t>
      </w:r>
      <w:r w:rsidR="008328CF">
        <w:rPr>
          <w:rFonts w:asciiTheme="minorHAnsi" w:hAnsiTheme="minorHAnsi"/>
          <w:snapToGrid w:val="0"/>
          <w:lang w:val="en-GB"/>
        </w:rPr>
        <w:t xml:space="preserve"> regarding fortnightly dosing</w:t>
      </w:r>
      <w:r w:rsidR="00385553" w:rsidRPr="00385553">
        <w:rPr>
          <w:rFonts w:asciiTheme="minorHAnsi" w:hAnsiTheme="minorHAnsi"/>
          <w:snapToGrid w:val="0"/>
          <w:lang w:val="en-GB"/>
        </w:rPr>
        <w:t xml:space="preserve"> </w:t>
      </w:r>
      <w:r w:rsidR="008328CF">
        <w:rPr>
          <w:rFonts w:asciiTheme="minorHAnsi" w:hAnsiTheme="minorHAnsi"/>
          <w:snapToGrid w:val="0"/>
          <w:lang w:val="en-GB"/>
        </w:rPr>
        <w:t xml:space="preserve">as outlined in paragraph </w:t>
      </w:r>
      <w:r w:rsidR="008328CF">
        <w:rPr>
          <w:rFonts w:asciiTheme="minorHAnsi" w:hAnsiTheme="minorHAnsi"/>
          <w:snapToGrid w:val="0"/>
          <w:lang w:val="en-GB"/>
        </w:rPr>
        <w:fldChar w:fldCharType="begin" w:fldLock="1"/>
      </w:r>
      <w:r w:rsidR="008328CF">
        <w:rPr>
          <w:rFonts w:asciiTheme="minorHAnsi" w:hAnsiTheme="minorHAnsi"/>
          <w:snapToGrid w:val="0"/>
          <w:lang w:val="en-GB"/>
        </w:rPr>
        <w:instrText xml:space="preserve"> REF _Ref173924674 \r \h </w:instrText>
      </w:r>
      <w:r w:rsidR="008328CF">
        <w:rPr>
          <w:rFonts w:asciiTheme="minorHAnsi" w:hAnsiTheme="minorHAnsi"/>
          <w:snapToGrid w:val="0"/>
          <w:lang w:val="en-GB"/>
        </w:rPr>
      </w:r>
      <w:r w:rsidR="008328CF">
        <w:rPr>
          <w:rFonts w:asciiTheme="minorHAnsi" w:hAnsiTheme="minorHAnsi"/>
          <w:snapToGrid w:val="0"/>
          <w:lang w:val="en-GB"/>
        </w:rPr>
        <w:fldChar w:fldCharType="separate"/>
      </w:r>
      <w:r w:rsidR="008328CF">
        <w:rPr>
          <w:rFonts w:asciiTheme="minorHAnsi" w:hAnsiTheme="minorHAnsi"/>
          <w:snapToGrid w:val="0"/>
          <w:lang w:val="en-GB"/>
        </w:rPr>
        <w:t>6.82</w:t>
      </w:r>
      <w:r w:rsidR="008328CF">
        <w:rPr>
          <w:rFonts w:asciiTheme="minorHAnsi" w:hAnsiTheme="minorHAnsi"/>
          <w:snapToGrid w:val="0"/>
          <w:lang w:val="en-GB"/>
        </w:rPr>
        <w:fldChar w:fldCharType="end"/>
      </w:r>
      <w:r w:rsidR="00385553" w:rsidRPr="00385553">
        <w:rPr>
          <w:rFonts w:asciiTheme="minorHAnsi" w:hAnsiTheme="minorHAnsi"/>
          <w:snapToGrid w:val="0"/>
          <w:lang w:val="en-GB"/>
        </w:rPr>
        <w:t xml:space="preserve">. </w:t>
      </w:r>
    </w:p>
    <w:p w14:paraId="41FB06AC" w14:textId="2D3A006D" w:rsidR="00385553" w:rsidRPr="00385553" w:rsidRDefault="0075192B" w:rsidP="00497141">
      <w:pPr>
        <w:pStyle w:val="ListParagraph"/>
        <w:widowControl w:val="0"/>
        <w:numPr>
          <w:ilvl w:val="0"/>
          <w:numId w:val="7"/>
        </w:numPr>
        <w:ind w:left="1134" w:hanging="357"/>
        <w:contextualSpacing w:val="0"/>
        <w:rPr>
          <w:rFonts w:asciiTheme="minorHAnsi" w:hAnsiTheme="minorHAnsi"/>
          <w:snapToGrid w:val="0"/>
          <w:lang w:val="en-GB"/>
        </w:rPr>
      </w:pPr>
      <w:r>
        <w:rPr>
          <w:rFonts w:asciiTheme="minorHAnsi" w:hAnsiTheme="minorHAnsi"/>
          <w:snapToGrid w:val="0"/>
          <w:lang w:val="en-GB"/>
        </w:rPr>
        <w:t xml:space="preserve">The PBAC recalled </w:t>
      </w:r>
      <w:r w:rsidR="00E769F6">
        <w:rPr>
          <w:rFonts w:asciiTheme="minorHAnsi" w:hAnsiTheme="minorHAnsi"/>
          <w:snapToGrid w:val="0"/>
          <w:lang w:val="en-GB"/>
        </w:rPr>
        <w:t xml:space="preserve">it </w:t>
      </w:r>
      <w:r w:rsidR="00E769F6" w:rsidRPr="00E769F6">
        <w:rPr>
          <w:rFonts w:asciiTheme="minorHAnsi" w:hAnsiTheme="minorHAnsi"/>
          <w:snapToGrid w:val="0"/>
          <w:lang w:val="en-GB"/>
        </w:rPr>
        <w:t>had previously noted a number of aspects of treatment, including access to psychiatrists, access to accredited treatment centres, patient reluctance given the monitoring requirements and nature of the treatment and out of pocket costs may limit the uptake of esketamine</w:t>
      </w:r>
      <w:r w:rsidR="00E769F6">
        <w:rPr>
          <w:rFonts w:asciiTheme="minorHAnsi" w:hAnsiTheme="minorHAnsi"/>
          <w:snapToGrid w:val="0"/>
          <w:lang w:val="en-GB"/>
        </w:rPr>
        <w:t xml:space="preserve"> (paragraph 7.15, esketamine PSD, July 2023 PBAC meeting). </w:t>
      </w:r>
      <w:r w:rsidR="00E769F6" w:rsidRPr="00E769F6">
        <w:rPr>
          <w:rFonts w:asciiTheme="minorHAnsi" w:hAnsiTheme="minorHAnsi"/>
          <w:snapToGrid w:val="0"/>
          <w:lang w:val="en-GB"/>
        </w:rPr>
        <w:t xml:space="preserve"> </w:t>
      </w:r>
      <w:r w:rsidR="00385553" w:rsidRPr="00385553">
        <w:rPr>
          <w:rFonts w:asciiTheme="minorHAnsi" w:hAnsiTheme="minorHAnsi"/>
          <w:snapToGrid w:val="0"/>
          <w:lang w:val="en-GB"/>
        </w:rPr>
        <w:t>The PBAC noted the</w:t>
      </w:r>
      <w:r w:rsidR="008328CF">
        <w:rPr>
          <w:rFonts w:asciiTheme="minorHAnsi" w:hAnsiTheme="minorHAnsi"/>
          <w:snapToGrid w:val="0"/>
          <w:lang w:val="en-GB"/>
        </w:rPr>
        <w:t xml:space="preserve"> resubmission assumed 31% uptake in eligible patients in Year 1, increasing to 39% in Year 6, which was amended to 29% in Year 1 and 37% in Year 6 in the pre-PBAC response. </w:t>
      </w:r>
      <w:r w:rsidR="00385553" w:rsidRPr="00385553">
        <w:rPr>
          <w:rFonts w:asciiTheme="minorHAnsi" w:hAnsiTheme="minorHAnsi"/>
          <w:snapToGrid w:val="0"/>
          <w:lang w:val="en-GB"/>
        </w:rPr>
        <w:t xml:space="preserve">The PBAC considered the likely uptake of esketamine </w:t>
      </w:r>
      <w:r w:rsidR="00E769F6">
        <w:rPr>
          <w:rFonts w:asciiTheme="minorHAnsi" w:hAnsiTheme="minorHAnsi"/>
          <w:snapToGrid w:val="0"/>
          <w:lang w:val="en-GB"/>
        </w:rPr>
        <w:t xml:space="preserve">in the pre-PBAC response </w:t>
      </w:r>
      <w:r w:rsidR="00385553" w:rsidRPr="00385553">
        <w:rPr>
          <w:rFonts w:asciiTheme="minorHAnsi" w:hAnsiTheme="minorHAnsi"/>
          <w:snapToGrid w:val="0"/>
          <w:lang w:val="en-GB"/>
        </w:rPr>
        <w:t>remain</w:t>
      </w:r>
      <w:r w:rsidR="008328CF">
        <w:rPr>
          <w:rFonts w:asciiTheme="minorHAnsi" w:hAnsiTheme="minorHAnsi"/>
          <w:snapToGrid w:val="0"/>
          <w:lang w:val="en-GB"/>
        </w:rPr>
        <w:t xml:space="preserve">ed </w:t>
      </w:r>
      <w:r w:rsidR="00385553" w:rsidRPr="00385553">
        <w:rPr>
          <w:rFonts w:asciiTheme="minorHAnsi" w:hAnsiTheme="minorHAnsi"/>
          <w:snapToGrid w:val="0"/>
          <w:lang w:val="en-GB"/>
        </w:rPr>
        <w:t>overestimated</w:t>
      </w:r>
      <w:r w:rsidR="0035250E">
        <w:rPr>
          <w:rFonts w:asciiTheme="minorHAnsi" w:hAnsiTheme="minorHAnsi"/>
          <w:snapToGrid w:val="0"/>
          <w:lang w:val="en-GB"/>
        </w:rPr>
        <w:t>, particularly in the first few years</w:t>
      </w:r>
      <w:r w:rsidR="009C588A">
        <w:rPr>
          <w:rFonts w:asciiTheme="minorHAnsi" w:hAnsiTheme="minorHAnsi"/>
          <w:snapToGrid w:val="0"/>
          <w:lang w:val="en-GB"/>
        </w:rPr>
        <w:t>.</w:t>
      </w:r>
      <w:r w:rsidR="00E769F6">
        <w:rPr>
          <w:rFonts w:asciiTheme="minorHAnsi" w:hAnsiTheme="minorHAnsi"/>
          <w:snapToGrid w:val="0"/>
          <w:lang w:val="en-GB"/>
        </w:rPr>
        <w:t xml:space="preserve"> </w:t>
      </w:r>
    </w:p>
    <w:p w14:paraId="7E520998" w14:textId="257AD258" w:rsidR="00385553" w:rsidRPr="0075192B" w:rsidRDefault="0075192B" w:rsidP="259D127E">
      <w:pPr>
        <w:pStyle w:val="ListParagraph"/>
        <w:widowControl w:val="0"/>
        <w:numPr>
          <w:ilvl w:val="0"/>
          <w:numId w:val="7"/>
        </w:numPr>
        <w:spacing w:after="120"/>
        <w:ind w:left="1134"/>
        <w:rPr>
          <w:rFonts w:asciiTheme="minorHAnsi" w:hAnsiTheme="minorHAnsi"/>
          <w:snapToGrid w:val="0"/>
          <w:lang w:val="en-GB"/>
        </w:rPr>
      </w:pPr>
      <w:r w:rsidRPr="259D127E">
        <w:rPr>
          <w:rFonts w:asciiTheme="minorHAnsi" w:hAnsiTheme="minorHAnsi"/>
          <w:snapToGrid w:val="0"/>
          <w:lang w:val="en-GB"/>
        </w:rPr>
        <w:t xml:space="preserve">The PBAC considered </w:t>
      </w:r>
      <w:r w:rsidR="00385553" w:rsidRPr="259D127E">
        <w:rPr>
          <w:rFonts w:asciiTheme="minorHAnsi" w:hAnsiTheme="minorHAnsi"/>
          <w:snapToGrid w:val="0"/>
          <w:lang w:val="en-GB"/>
        </w:rPr>
        <w:t xml:space="preserve">the estimate that </w:t>
      </w:r>
      <w:r w:rsidR="00683384" w:rsidRPr="00A34B18">
        <w:rPr>
          <w:rFonts w:asciiTheme="minorHAnsi" w:hAnsiTheme="minorHAnsi"/>
          <w:snapToGrid w:val="0"/>
          <w:color w:val="000000"/>
          <w:w w:val="15"/>
          <w:shd w:val="solid" w:color="000000" w:fill="000000"/>
          <w:fitText w:val="-20" w:id="-892700670"/>
          <w:lang w:val="en-GB"/>
          <w14:textFill>
            <w14:solidFill>
              <w14:srgbClr w14:val="000000">
                <w14:alpha w14:val="100000"/>
              </w14:srgbClr>
            </w14:solidFill>
          </w14:textFill>
        </w:rPr>
        <w:t xml:space="preserve">|  </w:t>
      </w:r>
      <w:r w:rsidR="00683384" w:rsidRPr="00A34B18">
        <w:rPr>
          <w:rFonts w:asciiTheme="minorHAnsi" w:hAnsiTheme="minorHAnsi"/>
          <w:snapToGrid w:val="0"/>
          <w:color w:val="000000"/>
          <w:spacing w:val="-69"/>
          <w:w w:val="15"/>
          <w:shd w:val="solid" w:color="000000" w:fill="000000"/>
          <w:fitText w:val="-20" w:id="-892700670"/>
          <w:lang w:val="en-GB"/>
          <w14:textFill>
            <w14:solidFill>
              <w14:srgbClr w14:val="000000">
                <w14:alpha w14:val="100000"/>
              </w14:srgbClr>
            </w14:solidFill>
          </w14:textFill>
        </w:rPr>
        <w:t>|</w:t>
      </w:r>
      <w:r w:rsidR="00385553" w:rsidRPr="259D127E">
        <w:rPr>
          <w:rFonts w:asciiTheme="minorHAnsi" w:hAnsiTheme="minorHAnsi"/>
          <w:snapToGrid w:val="0"/>
          <w:lang w:val="en-GB"/>
        </w:rPr>
        <w:t xml:space="preserve">% of patients </w:t>
      </w:r>
      <w:r w:rsidR="00497141" w:rsidRPr="259D127E">
        <w:rPr>
          <w:rFonts w:asciiTheme="minorHAnsi" w:hAnsiTheme="minorHAnsi"/>
          <w:snapToGrid w:val="0"/>
          <w:lang w:val="en-GB"/>
        </w:rPr>
        <w:t xml:space="preserve">being treated longer than 12 months was highly uncertain. </w:t>
      </w:r>
    </w:p>
    <w:p w14:paraId="348D22E1" w14:textId="6FD72662" w:rsidR="00E769F6" w:rsidRDefault="0075192B" w:rsidP="00753C5D">
      <w:pPr>
        <w:pStyle w:val="ListParagraph"/>
        <w:widowControl w:val="0"/>
        <w:numPr>
          <w:ilvl w:val="0"/>
          <w:numId w:val="7"/>
        </w:numPr>
        <w:spacing w:after="120"/>
        <w:ind w:left="1134"/>
        <w:rPr>
          <w:rFonts w:asciiTheme="minorHAnsi" w:hAnsiTheme="minorHAnsi"/>
          <w:snapToGrid w:val="0"/>
          <w:lang w:val="en-GB"/>
        </w:rPr>
      </w:pPr>
      <w:r>
        <w:rPr>
          <w:rFonts w:asciiTheme="minorHAnsi" w:hAnsiTheme="minorHAnsi"/>
          <w:snapToGrid w:val="0"/>
          <w:lang w:val="en-GB"/>
        </w:rPr>
        <w:t>The PBAC considered t</w:t>
      </w:r>
      <w:r w:rsidRPr="0075192B">
        <w:rPr>
          <w:rFonts w:asciiTheme="minorHAnsi" w:hAnsiTheme="minorHAnsi"/>
          <w:snapToGrid w:val="0"/>
          <w:lang w:val="en-GB"/>
        </w:rPr>
        <w:t xml:space="preserve">he approach to determining the number of patients who would be retreated </w:t>
      </w:r>
      <w:r w:rsidR="00505CC3">
        <w:rPr>
          <w:rFonts w:asciiTheme="minorHAnsi" w:hAnsiTheme="minorHAnsi"/>
          <w:snapToGrid w:val="0"/>
          <w:lang w:val="en-GB"/>
        </w:rPr>
        <w:t xml:space="preserve">was not well supported and </w:t>
      </w:r>
      <w:r>
        <w:rPr>
          <w:rFonts w:asciiTheme="minorHAnsi" w:hAnsiTheme="minorHAnsi"/>
          <w:snapToGrid w:val="0"/>
          <w:lang w:val="en-GB"/>
        </w:rPr>
        <w:t xml:space="preserve">was inconsistent with the approach used in the economic model. The PBAC noted the economic model assumed 22% of patients that initiated treatment with esketamine would be retreated over the 5 year time horizon of the model. The utilisation estimates assumed 61% of patients who initiated treatment with esketamine in Year 1 would be retreated over 6 years. </w:t>
      </w:r>
    </w:p>
    <w:p w14:paraId="0FA9B999" w14:textId="4AE634E4" w:rsidR="0075192B" w:rsidRPr="0075192B" w:rsidRDefault="0075192B" w:rsidP="00753C5D">
      <w:pPr>
        <w:pStyle w:val="ListParagraph"/>
        <w:widowControl w:val="0"/>
        <w:numPr>
          <w:ilvl w:val="0"/>
          <w:numId w:val="7"/>
        </w:numPr>
        <w:spacing w:after="120"/>
        <w:ind w:left="1134"/>
        <w:rPr>
          <w:rFonts w:asciiTheme="minorHAnsi" w:hAnsiTheme="minorHAnsi"/>
          <w:snapToGrid w:val="0"/>
          <w:lang w:val="en-GB"/>
        </w:rPr>
      </w:pPr>
      <w:r>
        <w:rPr>
          <w:rFonts w:asciiTheme="minorHAnsi" w:hAnsiTheme="minorHAnsi"/>
          <w:snapToGrid w:val="0"/>
          <w:lang w:val="en-GB"/>
        </w:rPr>
        <w:t>The PBAC noted the sponsor stated any uncertainties with the utilisation estimates could be mitigated with an RSA;</w:t>
      </w:r>
      <w:r w:rsidR="00505CC3">
        <w:rPr>
          <w:rFonts w:asciiTheme="minorHAnsi" w:hAnsiTheme="minorHAnsi"/>
          <w:snapToGrid w:val="0"/>
          <w:lang w:val="en-GB"/>
        </w:rPr>
        <w:t xml:space="preserve"> however,</w:t>
      </w:r>
      <w:r>
        <w:rPr>
          <w:rFonts w:asciiTheme="minorHAnsi" w:hAnsiTheme="minorHAnsi"/>
          <w:snapToGrid w:val="0"/>
          <w:lang w:val="en-GB"/>
        </w:rPr>
        <w:t xml:space="preserve"> the PBAC agreed with the ESC that the risk is only managed if the utilisation estimates have not been overestimated.  </w:t>
      </w:r>
    </w:p>
    <w:p w14:paraId="5CE0855F" w14:textId="6ABC316B" w:rsidR="0035250E" w:rsidRPr="0075192B" w:rsidRDefault="00AD4BFD" w:rsidP="0035250E">
      <w:pPr>
        <w:widowControl w:val="0"/>
        <w:numPr>
          <w:ilvl w:val="1"/>
          <w:numId w:val="1"/>
        </w:numPr>
        <w:spacing w:after="120"/>
        <w:ind w:left="720" w:hanging="720"/>
      </w:pPr>
      <w:bookmarkStart w:id="77" w:name="_Ref174009321"/>
      <w:r w:rsidRPr="008217F1">
        <w:rPr>
          <w:snapToGrid w:val="0"/>
          <w:szCs w:val="20"/>
        </w:rPr>
        <w:t xml:space="preserve">The </w:t>
      </w:r>
      <w:r>
        <w:rPr>
          <w:snapToGrid w:val="0"/>
          <w:szCs w:val="20"/>
        </w:rPr>
        <w:t xml:space="preserve">PBAC noted the </w:t>
      </w:r>
      <w:r w:rsidRPr="008217F1">
        <w:rPr>
          <w:snapToGrid w:val="0"/>
          <w:szCs w:val="20"/>
        </w:rPr>
        <w:t>resubmission</w:t>
      </w:r>
      <w:r>
        <w:rPr>
          <w:snapToGrid w:val="0"/>
          <w:szCs w:val="20"/>
        </w:rPr>
        <w:t>’s</w:t>
      </w:r>
      <w:r w:rsidRPr="008217F1">
        <w:rPr>
          <w:snapToGrid w:val="0"/>
          <w:szCs w:val="20"/>
        </w:rPr>
        <w:t xml:space="preserve"> argum</w:t>
      </w:r>
      <w:r>
        <w:rPr>
          <w:snapToGrid w:val="0"/>
          <w:szCs w:val="20"/>
        </w:rPr>
        <w:t>ents</w:t>
      </w:r>
      <w:r w:rsidRPr="008217F1">
        <w:rPr>
          <w:snapToGrid w:val="0"/>
          <w:szCs w:val="20"/>
        </w:rPr>
        <w:t xml:space="preserve"> that a managed access program for esketamine is not feasible or practical</w:t>
      </w:r>
      <w:r>
        <w:rPr>
          <w:snapToGrid w:val="0"/>
          <w:szCs w:val="20"/>
        </w:rPr>
        <w:t xml:space="preserve">, </w:t>
      </w:r>
      <w:r>
        <w:t xml:space="preserve">however also </w:t>
      </w:r>
      <w:r w:rsidR="0075192B">
        <w:t xml:space="preserve">noted </w:t>
      </w:r>
      <w:r w:rsidR="00B17870">
        <w:t xml:space="preserve">there </w:t>
      </w:r>
      <w:r>
        <w:t>are</w:t>
      </w:r>
      <w:r w:rsidR="00B17870">
        <w:t xml:space="preserve"> limited data to inform</w:t>
      </w:r>
      <w:r w:rsidR="0075192B">
        <w:t xml:space="preserve"> the appropriate use of esketamine in clinical practice,</w:t>
      </w:r>
      <w:r w:rsidR="00B17870">
        <w:t xml:space="preserve"> especially over the longer-term. </w:t>
      </w:r>
      <w:r>
        <w:t>A</w:t>
      </w:r>
      <w:r w:rsidR="009C588A">
        <w:t>s</w:t>
      </w:r>
      <w:r>
        <w:t xml:space="preserve"> such, t</w:t>
      </w:r>
      <w:r w:rsidR="0075192B">
        <w:t>he PBAC considered the restriction criteria need to be structured in a manner that allows the use of esketamine</w:t>
      </w:r>
      <w:r w:rsidR="00B17870">
        <w:t xml:space="preserve"> on the PBS</w:t>
      </w:r>
      <w:r w:rsidR="0075192B">
        <w:t xml:space="preserve"> to be monitored.</w:t>
      </w:r>
      <w:bookmarkEnd w:id="77"/>
      <w:r w:rsidR="0075192B">
        <w:t xml:space="preserve"> </w:t>
      </w:r>
      <w:r w:rsidR="00B17870">
        <w:t xml:space="preserve">The PBAC considered the parameters to be monitored should include </w:t>
      </w:r>
      <w:r w:rsidR="009C588A">
        <w:t xml:space="preserve">the number of patients initiating treatment, </w:t>
      </w:r>
      <w:r w:rsidR="00B17870">
        <w:t>treatment duration, extent of retreatment, dose and frequency</w:t>
      </w:r>
      <w:r w:rsidR="00B17870" w:rsidRPr="00385553">
        <w:t>.</w:t>
      </w:r>
      <w:r w:rsidR="00B17870">
        <w:t xml:space="preserve"> </w:t>
      </w:r>
    </w:p>
    <w:p w14:paraId="447845BF" w14:textId="1A905A36" w:rsidR="0075192B" w:rsidRDefault="0075192B" w:rsidP="0075192B">
      <w:pPr>
        <w:widowControl w:val="0"/>
        <w:numPr>
          <w:ilvl w:val="1"/>
          <w:numId w:val="1"/>
        </w:numPr>
        <w:spacing w:after="120"/>
        <w:ind w:left="720" w:hanging="720"/>
        <w:rPr>
          <w:rFonts w:cs="Calibri"/>
          <w:bCs/>
          <w:iCs/>
        </w:rPr>
      </w:pPr>
      <w:bookmarkStart w:id="78" w:name="_Ref174008847"/>
      <w:bookmarkStart w:id="79" w:name="_Ref174009209"/>
      <w:r>
        <w:rPr>
          <w:rFonts w:cs="Calibri"/>
          <w:bCs/>
          <w:iCs/>
        </w:rPr>
        <w:lastRenderedPageBreak/>
        <w:t>The PBAC noted f</w:t>
      </w:r>
      <w:r w:rsidRPr="0075192B">
        <w:rPr>
          <w:rFonts w:cs="Calibri"/>
          <w:bCs/>
          <w:iCs/>
        </w:rPr>
        <w:t xml:space="preserve">ive separate restrictions were requested </w:t>
      </w:r>
      <w:r>
        <w:rPr>
          <w:rFonts w:cs="Calibri"/>
          <w:bCs/>
          <w:iCs/>
        </w:rPr>
        <w:t xml:space="preserve">(as outlined in paragraph </w:t>
      </w:r>
      <w:r>
        <w:rPr>
          <w:rFonts w:cs="Calibri"/>
          <w:bCs/>
          <w:iCs/>
        </w:rPr>
        <w:fldChar w:fldCharType="begin" w:fldLock="1"/>
      </w:r>
      <w:r>
        <w:rPr>
          <w:rFonts w:cs="Calibri"/>
          <w:bCs/>
          <w:iCs/>
        </w:rPr>
        <w:instrText xml:space="preserve"> REF _Ref174008969 \r \h </w:instrText>
      </w:r>
      <w:r>
        <w:rPr>
          <w:rFonts w:cs="Calibri"/>
          <w:bCs/>
          <w:iCs/>
        </w:rPr>
      </w:r>
      <w:r>
        <w:rPr>
          <w:rFonts w:cs="Calibri"/>
          <w:bCs/>
          <w:iCs/>
        </w:rPr>
        <w:fldChar w:fldCharType="separate"/>
      </w:r>
      <w:r>
        <w:rPr>
          <w:rFonts w:cs="Calibri"/>
          <w:bCs/>
          <w:iCs/>
        </w:rPr>
        <w:t>3.1</w:t>
      </w:r>
      <w:r>
        <w:rPr>
          <w:rFonts w:cs="Calibri"/>
          <w:bCs/>
          <w:iCs/>
        </w:rPr>
        <w:fldChar w:fldCharType="end"/>
      </w:r>
      <w:r>
        <w:rPr>
          <w:rFonts w:cs="Calibri"/>
          <w:bCs/>
          <w:iCs/>
        </w:rPr>
        <w:t>) and considered it may be reasonable</w:t>
      </w:r>
      <w:r w:rsidR="00854319">
        <w:rPr>
          <w:rFonts w:cs="Calibri"/>
          <w:bCs/>
          <w:iCs/>
        </w:rPr>
        <w:t xml:space="preserve"> to</w:t>
      </w:r>
      <w:r>
        <w:rPr>
          <w:rFonts w:cs="Calibri"/>
          <w:bCs/>
          <w:iCs/>
        </w:rPr>
        <w:t xml:space="preserve"> consolidate criteria and have one for initial induction (weeks 1-4), one for continuing treatment (week 5 onwards) and retreatment induction (weeks 1-4)</w:t>
      </w:r>
      <w:r w:rsidR="00854319">
        <w:rPr>
          <w:rFonts w:cs="Calibri"/>
          <w:bCs/>
          <w:iCs/>
        </w:rPr>
        <w:t>,</w:t>
      </w:r>
      <w:r>
        <w:rPr>
          <w:rFonts w:cs="Calibri"/>
          <w:bCs/>
          <w:iCs/>
        </w:rPr>
        <w:t xml:space="preserve"> but </w:t>
      </w:r>
      <w:r w:rsidR="00854319">
        <w:rPr>
          <w:rFonts w:cs="Calibri"/>
          <w:bCs/>
          <w:iCs/>
        </w:rPr>
        <w:t xml:space="preserve">noted that </w:t>
      </w:r>
      <w:r>
        <w:rPr>
          <w:rFonts w:cs="Calibri"/>
          <w:bCs/>
          <w:iCs/>
        </w:rPr>
        <w:t>additional consideration is required to ensure th</w:t>
      </w:r>
      <w:r w:rsidR="00505CC3">
        <w:rPr>
          <w:rFonts w:cs="Calibri"/>
          <w:bCs/>
          <w:iCs/>
        </w:rPr>
        <w:t xml:space="preserve">e criteria </w:t>
      </w:r>
      <w:r>
        <w:rPr>
          <w:rFonts w:cs="Calibri"/>
          <w:bCs/>
          <w:iCs/>
        </w:rPr>
        <w:t>allow for monitoring as discussed in paragraph</w:t>
      </w:r>
      <w:bookmarkEnd w:id="78"/>
      <w:r>
        <w:rPr>
          <w:rFonts w:cs="Calibri"/>
          <w:bCs/>
          <w:iCs/>
        </w:rPr>
        <w:t xml:space="preserve"> </w:t>
      </w:r>
      <w:r>
        <w:rPr>
          <w:rFonts w:cs="Calibri"/>
          <w:bCs/>
          <w:iCs/>
        </w:rPr>
        <w:fldChar w:fldCharType="begin" w:fldLock="1"/>
      </w:r>
      <w:r>
        <w:rPr>
          <w:rFonts w:cs="Calibri"/>
          <w:bCs/>
          <w:iCs/>
        </w:rPr>
        <w:instrText xml:space="preserve"> REF _Ref174008847 \r \h </w:instrText>
      </w:r>
      <w:r>
        <w:rPr>
          <w:rFonts w:cs="Calibri"/>
          <w:bCs/>
          <w:iCs/>
        </w:rPr>
      </w:r>
      <w:r>
        <w:rPr>
          <w:rFonts w:cs="Calibri"/>
          <w:bCs/>
          <w:iCs/>
        </w:rPr>
        <w:fldChar w:fldCharType="separate"/>
      </w:r>
      <w:r>
        <w:rPr>
          <w:rFonts w:cs="Calibri"/>
          <w:bCs/>
          <w:iCs/>
        </w:rPr>
        <w:t>7.11</w:t>
      </w:r>
      <w:r>
        <w:rPr>
          <w:rFonts w:cs="Calibri"/>
          <w:bCs/>
          <w:iCs/>
        </w:rPr>
        <w:fldChar w:fldCharType="end"/>
      </w:r>
      <w:r>
        <w:rPr>
          <w:rFonts w:cs="Calibri"/>
          <w:bCs/>
          <w:iCs/>
        </w:rPr>
        <w:t>. Additionally, the PBAC noted a number of outstanding issues related to the proposed restriction as outlined in Section 3 that need to be resolved.</w:t>
      </w:r>
      <w:bookmarkEnd w:id="79"/>
      <w:r>
        <w:rPr>
          <w:rFonts w:cs="Calibri"/>
          <w:bCs/>
          <w:iCs/>
        </w:rPr>
        <w:t xml:space="preserve">  </w:t>
      </w:r>
    </w:p>
    <w:p w14:paraId="3A9BB6F8" w14:textId="1DFF29F9" w:rsidR="00031985" w:rsidRPr="00385553" w:rsidDel="0035250E" w:rsidRDefault="00031985" w:rsidP="00385553">
      <w:pPr>
        <w:widowControl w:val="0"/>
        <w:numPr>
          <w:ilvl w:val="1"/>
          <w:numId w:val="1"/>
        </w:numPr>
        <w:spacing w:after="120"/>
        <w:ind w:left="720" w:hanging="720"/>
      </w:pPr>
      <w:r>
        <w:t xml:space="preserve">The PBAC </w:t>
      </w:r>
      <w:r w:rsidR="00854319">
        <w:t>requested</w:t>
      </w:r>
      <w:r w:rsidR="0075192B">
        <w:t xml:space="preserve"> revise</w:t>
      </w:r>
      <w:r w:rsidR="00854319">
        <w:t>d</w:t>
      </w:r>
      <w:r w:rsidR="0075192B">
        <w:t xml:space="preserve"> utilisation estimates to address the issues raised in paragraph </w:t>
      </w:r>
      <w:r w:rsidR="0075192B">
        <w:fldChar w:fldCharType="begin" w:fldLock="1"/>
      </w:r>
      <w:r w:rsidR="0075192B">
        <w:instrText xml:space="preserve"> REF _Ref174009348 \r \h </w:instrText>
      </w:r>
      <w:r w:rsidR="0075192B">
        <w:fldChar w:fldCharType="separate"/>
      </w:r>
      <w:r w:rsidR="0075192B">
        <w:t>7.10</w:t>
      </w:r>
      <w:r w:rsidR="0075192B">
        <w:fldChar w:fldCharType="end"/>
      </w:r>
      <w:r w:rsidR="0075192B">
        <w:t xml:space="preserve"> and </w:t>
      </w:r>
      <w:r w:rsidR="00854319">
        <w:t>for</w:t>
      </w:r>
      <w:r w:rsidR="0075192B">
        <w:t xml:space="preserve"> an appropriate set of restriction criteria</w:t>
      </w:r>
      <w:r>
        <w:t xml:space="preserve"> </w:t>
      </w:r>
      <w:r w:rsidR="0075192B">
        <w:t xml:space="preserve">to be developed (as discussed in </w:t>
      </w:r>
      <w:r>
        <w:t>paragraph</w:t>
      </w:r>
      <w:r w:rsidR="0075192B">
        <w:t xml:space="preserve">s </w:t>
      </w:r>
      <w:r w:rsidR="0075192B">
        <w:fldChar w:fldCharType="begin" w:fldLock="1"/>
      </w:r>
      <w:r w:rsidR="0075192B">
        <w:instrText xml:space="preserve"> REF _Ref174009321 \r \h </w:instrText>
      </w:r>
      <w:r w:rsidR="0075192B">
        <w:fldChar w:fldCharType="separate"/>
      </w:r>
      <w:r w:rsidR="0075192B">
        <w:t>7.11</w:t>
      </w:r>
      <w:r w:rsidR="0075192B">
        <w:fldChar w:fldCharType="end"/>
      </w:r>
      <w:r w:rsidR="0075192B">
        <w:t xml:space="preserve"> and </w:t>
      </w:r>
      <w:r w:rsidR="0075192B">
        <w:fldChar w:fldCharType="begin" w:fldLock="1"/>
      </w:r>
      <w:r w:rsidR="0075192B">
        <w:instrText xml:space="preserve"> REF _Ref174009209 \r \h </w:instrText>
      </w:r>
      <w:r w:rsidR="0075192B">
        <w:fldChar w:fldCharType="separate"/>
      </w:r>
      <w:r w:rsidR="0075192B">
        <w:t>7.12</w:t>
      </w:r>
      <w:r w:rsidR="0075192B">
        <w:fldChar w:fldCharType="end"/>
      </w:r>
      <w:r w:rsidR="0075192B">
        <w:t>).</w:t>
      </w:r>
      <w:r>
        <w:t xml:space="preserve">  </w:t>
      </w:r>
    </w:p>
    <w:p w14:paraId="66177887" w14:textId="77777777" w:rsidR="009E6034" w:rsidRPr="00525B39" w:rsidRDefault="009E6034" w:rsidP="009E6034">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0D2360C3" w14:textId="2F0374BA" w:rsidR="00615920" w:rsidRDefault="009E6034" w:rsidP="009E6034">
      <w:pPr>
        <w:rPr>
          <w:rFonts w:asciiTheme="minorHAnsi" w:hAnsiTheme="minorHAnsi"/>
          <w:bCs/>
          <w:snapToGrid w:val="0"/>
          <w:lang w:val="en-GB"/>
        </w:rPr>
      </w:pPr>
      <w:r w:rsidRPr="00525B39">
        <w:rPr>
          <w:rFonts w:asciiTheme="minorHAnsi" w:hAnsiTheme="minorHAnsi"/>
          <w:bCs/>
          <w:snapToGrid w:val="0"/>
          <w:lang w:val="en-GB"/>
        </w:rPr>
        <w:t>Deferred</w:t>
      </w:r>
      <w:bookmarkEnd w:id="72"/>
      <w:bookmarkEnd w:id="73"/>
      <w:bookmarkEnd w:id="74"/>
    </w:p>
    <w:p w14:paraId="116495FD" w14:textId="77777777" w:rsidR="00615920" w:rsidRPr="00615920" w:rsidRDefault="00615920" w:rsidP="008D2AC7">
      <w:pPr>
        <w:pStyle w:val="2-SectionHeading"/>
        <w:numPr>
          <w:ilvl w:val="0"/>
          <w:numId w:val="1"/>
        </w:numPr>
        <w:outlineLvl w:val="0"/>
      </w:pPr>
      <w:r w:rsidRPr="00615920">
        <w:t>Context for Decision</w:t>
      </w:r>
    </w:p>
    <w:p w14:paraId="5ADAC308" w14:textId="77777777" w:rsidR="00615920" w:rsidRPr="00615920" w:rsidRDefault="00615920" w:rsidP="00615920">
      <w:pPr>
        <w:spacing w:after="120"/>
        <w:ind w:left="720"/>
        <w:rPr>
          <w:rFonts w:asciiTheme="minorHAnsi" w:hAnsiTheme="minorHAnsi"/>
          <w:bCs/>
          <w:lang w:val="en-GB"/>
        </w:rPr>
      </w:pPr>
      <w:r w:rsidRPr="00615920">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578E59F" w14:textId="77777777" w:rsidR="00615920" w:rsidRPr="00615920" w:rsidRDefault="00615920" w:rsidP="008D2AC7">
      <w:pPr>
        <w:pStyle w:val="2-SectionHeading"/>
        <w:numPr>
          <w:ilvl w:val="0"/>
          <w:numId w:val="1"/>
        </w:numPr>
        <w:outlineLvl w:val="0"/>
      </w:pPr>
      <w:r w:rsidRPr="00615920">
        <w:t>Sponsor’s Comment</w:t>
      </w:r>
    </w:p>
    <w:p w14:paraId="69465E5E" w14:textId="32A1E20E" w:rsidR="00615920" w:rsidRPr="00D70703" w:rsidRDefault="00E44389" w:rsidP="00D70703">
      <w:pPr>
        <w:ind w:left="720"/>
        <w:rPr>
          <w:rFonts w:asciiTheme="minorHAnsi" w:eastAsiaTheme="minorHAnsi" w:hAnsiTheme="minorHAnsi"/>
          <w:bCs/>
          <w:szCs w:val="22"/>
          <w:lang w:eastAsia="en-US"/>
        </w:rPr>
      </w:pPr>
      <w:r w:rsidRPr="00E44389">
        <w:rPr>
          <w:rFonts w:asciiTheme="minorHAnsi" w:eastAsiaTheme="minorHAnsi" w:hAnsiTheme="minorHAnsi"/>
          <w:bCs/>
          <w:szCs w:val="22"/>
          <w:lang w:eastAsia="en-US"/>
        </w:rPr>
        <w:t>Janssen will continue to work with the PBAC to resolve remaining concerns around the financial estimates and restrictions so that Australian patients can receive timely access to esketamine through the PBS.</w:t>
      </w:r>
    </w:p>
    <w:sectPr w:rsidR="00615920" w:rsidRPr="00D70703" w:rsidSect="001C0A94">
      <w:headerReference w:type="default" r:id="rId12"/>
      <w:footerReference w:type="defaul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9327F" w14:textId="77777777" w:rsidR="004043B6" w:rsidRDefault="004043B6" w:rsidP="00124A51">
      <w:r>
        <w:separator/>
      </w:r>
    </w:p>
    <w:p w14:paraId="0B532887" w14:textId="77777777" w:rsidR="004043B6" w:rsidRDefault="004043B6"/>
    <w:p w14:paraId="10467639" w14:textId="77777777" w:rsidR="004043B6" w:rsidRDefault="004043B6"/>
  </w:endnote>
  <w:endnote w:type="continuationSeparator" w:id="0">
    <w:p w14:paraId="6FC924BC" w14:textId="77777777" w:rsidR="004043B6" w:rsidRDefault="004043B6" w:rsidP="00124A51">
      <w:r>
        <w:continuationSeparator/>
      </w:r>
    </w:p>
    <w:p w14:paraId="12933377" w14:textId="77777777" w:rsidR="004043B6" w:rsidRDefault="004043B6"/>
    <w:p w14:paraId="342A16C0" w14:textId="77777777" w:rsidR="004043B6" w:rsidRDefault="00404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3511" w14:textId="67DAD566" w:rsidR="00D843F2" w:rsidRDefault="00D843F2" w:rsidP="00753B29">
    <w:pPr>
      <w:jc w:val="center"/>
    </w:pPr>
  </w:p>
  <w:bookmarkStart w:id="82" w:name="_Hlk76375156"/>
  <w:p w14:paraId="37484CD3" w14:textId="161AE230" w:rsidR="00D843F2" w:rsidRPr="009431A3" w:rsidRDefault="009431A3" w:rsidP="009431A3">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8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A8C66" w14:textId="77777777" w:rsidR="004043B6" w:rsidRDefault="004043B6" w:rsidP="00124A51">
      <w:r>
        <w:separator/>
      </w:r>
    </w:p>
    <w:p w14:paraId="4809057D" w14:textId="77777777" w:rsidR="004043B6" w:rsidRDefault="004043B6"/>
    <w:p w14:paraId="1D245D7C" w14:textId="77777777" w:rsidR="004043B6" w:rsidRDefault="004043B6"/>
  </w:footnote>
  <w:footnote w:type="continuationSeparator" w:id="0">
    <w:p w14:paraId="3A77AFEB" w14:textId="77777777" w:rsidR="004043B6" w:rsidRDefault="004043B6" w:rsidP="00124A51">
      <w:r>
        <w:continuationSeparator/>
      </w:r>
    </w:p>
    <w:p w14:paraId="1CA49321" w14:textId="77777777" w:rsidR="004043B6" w:rsidRDefault="004043B6"/>
    <w:p w14:paraId="70AD1AC6" w14:textId="77777777" w:rsidR="004043B6" w:rsidRDefault="004043B6"/>
  </w:footnote>
  <w:footnote w:id="1">
    <w:p w14:paraId="4D09AEF5" w14:textId="77777777" w:rsidR="00DB276A" w:rsidRDefault="00DB2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626D" w14:textId="47E478D2" w:rsidR="009431A3" w:rsidRPr="00056684" w:rsidRDefault="008A7906" w:rsidP="009431A3">
    <w:pPr>
      <w:pStyle w:val="Header"/>
      <w:keepNext/>
      <w:ind w:left="360"/>
      <w:jc w:val="center"/>
      <w:rPr>
        <w:rFonts w:asciiTheme="minorHAnsi" w:hAnsiTheme="minorHAnsi"/>
        <w:i/>
        <w:color w:val="808080"/>
      </w:rPr>
    </w:pPr>
    <w:bookmarkStart w:id="80" w:name="_Hlk175733429"/>
    <w:bookmarkStart w:id="81" w:name="_Hlk76375146"/>
    <w:r w:rsidRPr="008A7906">
      <w:rPr>
        <w:rFonts w:asciiTheme="minorHAnsi" w:hAnsiTheme="minorHAnsi"/>
        <w:i/>
        <w:color w:val="808080"/>
      </w:rPr>
      <w:t>Public Summary Document</w:t>
    </w:r>
    <w:bookmarkEnd w:id="80"/>
    <w:r w:rsidRPr="008A7906">
      <w:rPr>
        <w:rFonts w:asciiTheme="minorHAnsi" w:hAnsiTheme="minorHAnsi"/>
        <w:i/>
        <w:color w:val="808080"/>
      </w:rPr>
      <w:t xml:space="preserve"> </w:t>
    </w:r>
    <w:r w:rsidR="009431A3" w:rsidRPr="00056684">
      <w:rPr>
        <w:rFonts w:asciiTheme="minorHAnsi" w:hAnsiTheme="minorHAnsi"/>
        <w:i/>
        <w:color w:val="808080"/>
      </w:rPr>
      <w:t>–</w:t>
    </w:r>
    <w:r w:rsidR="009031E5">
      <w:rPr>
        <w:rFonts w:asciiTheme="minorHAnsi" w:hAnsiTheme="minorHAnsi"/>
        <w:i/>
        <w:color w:val="808080"/>
      </w:rPr>
      <w:t xml:space="preserve"> </w:t>
    </w:r>
    <w:r w:rsidR="009431A3">
      <w:rPr>
        <w:rFonts w:asciiTheme="minorHAnsi" w:hAnsiTheme="minorHAnsi"/>
        <w:i/>
        <w:color w:val="808080"/>
      </w:rPr>
      <w:t>July 2024</w:t>
    </w:r>
    <w:r w:rsidR="009431A3" w:rsidRPr="00056684">
      <w:rPr>
        <w:rFonts w:asciiTheme="minorHAnsi" w:hAnsiTheme="minorHAnsi"/>
        <w:i/>
        <w:color w:val="808080"/>
      </w:rPr>
      <w:t xml:space="preserve"> PBAC Meeting</w:t>
    </w:r>
  </w:p>
  <w:bookmarkEnd w:id="81"/>
  <w:p w14:paraId="03AF943B" w14:textId="77777777" w:rsidR="00D843F2" w:rsidRPr="008C7ECB" w:rsidRDefault="00D84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F80A7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793CB3"/>
    <w:multiLevelType w:val="hybridMultilevel"/>
    <w:tmpl w:val="E8BE7B86"/>
    <w:lvl w:ilvl="0" w:tplc="5C7C89A4">
      <w:start w:val="1"/>
      <w:numFmt w:val="decimal"/>
      <w:pStyle w:val="Figuretitle"/>
      <w:lvlText w:val="Figure 2.%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53BA9"/>
    <w:multiLevelType w:val="hybridMultilevel"/>
    <w:tmpl w:val="F4E804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D644C3"/>
    <w:multiLevelType w:val="hybridMultilevel"/>
    <w:tmpl w:val="DF70469C"/>
    <w:lvl w:ilvl="0" w:tplc="231C6CF4">
      <w:start w:val="1"/>
      <w:numFmt w:val="bullet"/>
      <w:pStyle w:val="COMexecsummbulletlis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3DC15230"/>
    <w:multiLevelType w:val="hybridMultilevel"/>
    <w:tmpl w:val="C876CAA4"/>
    <w:lvl w:ilvl="0" w:tplc="87D8DDD4">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F22442"/>
    <w:multiLevelType w:val="hybridMultilevel"/>
    <w:tmpl w:val="C00AEB70"/>
    <w:lvl w:ilvl="0" w:tplc="0C090001">
      <w:start w:val="1"/>
      <w:numFmt w:val="bullet"/>
      <w:lvlText w:val=""/>
      <w:lvlJc w:val="left"/>
      <w:pPr>
        <w:ind w:left="666" w:hanging="360"/>
      </w:pPr>
      <w:rPr>
        <w:rFonts w:ascii="Symbol" w:hAnsi="Symbol" w:hint="default"/>
      </w:rPr>
    </w:lvl>
    <w:lvl w:ilvl="1" w:tplc="0C090001">
      <w:start w:val="1"/>
      <w:numFmt w:val="bullet"/>
      <w:lvlText w:val=""/>
      <w:lvlJc w:val="left"/>
      <w:pPr>
        <w:ind w:left="1386" w:hanging="360"/>
      </w:pPr>
      <w:rPr>
        <w:rFonts w:ascii="Symbol" w:hAnsi="Symbol" w:hint="default"/>
      </w:rPr>
    </w:lvl>
    <w:lvl w:ilvl="2" w:tplc="0C090001">
      <w:start w:val="1"/>
      <w:numFmt w:val="bullet"/>
      <w:lvlText w:val=""/>
      <w:lvlJc w:val="left"/>
      <w:pPr>
        <w:ind w:left="2106" w:hanging="360"/>
      </w:pPr>
      <w:rPr>
        <w:rFonts w:ascii="Symbol" w:hAnsi="Symbol"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Courier New"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Courier New" w:hint="default"/>
      </w:rPr>
    </w:lvl>
    <w:lvl w:ilvl="8" w:tplc="0C090005" w:tentative="1">
      <w:start w:val="1"/>
      <w:numFmt w:val="bullet"/>
      <w:lvlText w:val=""/>
      <w:lvlJc w:val="left"/>
      <w:pPr>
        <w:ind w:left="6426" w:hanging="360"/>
      </w:pPr>
      <w:rPr>
        <w:rFonts w:ascii="Wingdings" w:hAnsi="Wingdings" w:hint="default"/>
      </w:rPr>
    </w:lvl>
  </w:abstractNum>
  <w:abstractNum w:abstractNumId="7" w15:restartNumberingAfterBreak="0">
    <w:nsid w:val="6C3F757F"/>
    <w:multiLevelType w:val="hybridMultilevel"/>
    <w:tmpl w:val="F5404796"/>
    <w:lvl w:ilvl="0" w:tplc="DDBCF136">
      <w:start w:val="1"/>
      <w:numFmt w:val="bullet"/>
      <w:pStyle w:val="COMbody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4D033C"/>
    <w:multiLevelType w:val="multilevel"/>
    <w:tmpl w:val="C42EB0AA"/>
    <w:lvl w:ilvl="0">
      <w:start w:val="1"/>
      <w:numFmt w:val="decimal"/>
      <w:lvlText w:val="%1"/>
      <w:lvlJc w:val="left"/>
      <w:pPr>
        <w:ind w:left="720" w:hanging="720"/>
      </w:pPr>
      <w:rPr>
        <w:rFonts w:hint="default"/>
        <w:b/>
      </w:rPr>
    </w:lvl>
    <w:lvl w:ilvl="1">
      <w:start w:val="1"/>
      <w:numFmt w:val="decimal"/>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EC2587"/>
    <w:multiLevelType w:val="hybridMultilevel"/>
    <w:tmpl w:val="ADDA1F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816869416">
    <w:abstractNumId w:val="8"/>
  </w:num>
  <w:num w:numId="2" w16cid:durableId="1956599140">
    <w:abstractNumId w:val="3"/>
  </w:num>
  <w:num w:numId="3" w16cid:durableId="776174669">
    <w:abstractNumId w:val="7"/>
  </w:num>
  <w:num w:numId="4" w16cid:durableId="787358966">
    <w:abstractNumId w:val="4"/>
  </w:num>
  <w:num w:numId="5" w16cid:durableId="1850439928">
    <w:abstractNumId w:val="1"/>
  </w:num>
  <w:num w:numId="6" w16cid:durableId="1748965247">
    <w:abstractNumId w:val="6"/>
  </w:num>
  <w:num w:numId="7" w16cid:durableId="315233815">
    <w:abstractNumId w:val="2"/>
  </w:num>
  <w:num w:numId="8" w16cid:durableId="1292637533">
    <w:abstractNumId w:val="5"/>
  </w:num>
  <w:num w:numId="9" w16cid:durableId="909727389">
    <w:abstractNumId w:val="9"/>
  </w:num>
  <w:num w:numId="10" w16cid:durableId="1940405352">
    <w:abstractNumId w:val="4"/>
  </w:num>
  <w:num w:numId="11" w16cid:durableId="147995640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790"/>
    <w:rsid w:val="0000110B"/>
    <w:rsid w:val="000016C3"/>
    <w:rsid w:val="00001B85"/>
    <w:rsid w:val="00003499"/>
    <w:rsid w:val="000039B7"/>
    <w:rsid w:val="00003A49"/>
    <w:rsid w:val="000056B9"/>
    <w:rsid w:val="00005AB1"/>
    <w:rsid w:val="00005E1D"/>
    <w:rsid w:val="00005F1E"/>
    <w:rsid w:val="0000639A"/>
    <w:rsid w:val="00006A1C"/>
    <w:rsid w:val="00006EDB"/>
    <w:rsid w:val="00007FF6"/>
    <w:rsid w:val="000104DE"/>
    <w:rsid w:val="000105E1"/>
    <w:rsid w:val="0001137D"/>
    <w:rsid w:val="00011A85"/>
    <w:rsid w:val="0001218B"/>
    <w:rsid w:val="000124C2"/>
    <w:rsid w:val="00013247"/>
    <w:rsid w:val="000135B1"/>
    <w:rsid w:val="00013B04"/>
    <w:rsid w:val="00013C63"/>
    <w:rsid w:val="00015442"/>
    <w:rsid w:val="00015638"/>
    <w:rsid w:val="00015886"/>
    <w:rsid w:val="00015B1E"/>
    <w:rsid w:val="000162EF"/>
    <w:rsid w:val="00016E55"/>
    <w:rsid w:val="0001724D"/>
    <w:rsid w:val="00017B28"/>
    <w:rsid w:val="000207C9"/>
    <w:rsid w:val="0002225F"/>
    <w:rsid w:val="00022C13"/>
    <w:rsid w:val="00022ECE"/>
    <w:rsid w:val="00023239"/>
    <w:rsid w:val="00023763"/>
    <w:rsid w:val="00023AB6"/>
    <w:rsid w:val="00023C5B"/>
    <w:rsid w:val="00024EB5"/>
    <w:rsid w:val="00025CF4"/>
    <w:rsid w:val="00026BFB"/>
    <w:rsid w:val="00027159"/>
    <w:rsid w:val="000274B8"/>
    <w:rsid w:val="000277EF"/>
    <w:rsid w:val="00030809"/>
    <w:rsid w:val="00031985"/>
    <w:rsid w:val="00031AA0"/>
    <w:rsid w:val="00031AC3"/>
    <w:rsid w:val="00032720"/>
    <w:rsid w:val="00033748"/>
    <w:rsid w:val="00033863"/>
    <w:rsid w:val="00034122"/>
    <w:rsid w:val="000357FC"/>
    <w:rsid w:val="00035DC0"/>
    <w:rsid w:val="00036829"/>
    <w:rsid w:val="00036AAA"/>
    <w:rsid w:val="00037212"/>
    <w:rsid w:val="00037B83"/>
    <w:rsid w:val="00040895"/>
    <w:rsid w:val="00040985"/>
    <w:rsid w:val="00040C05"/>
    <w:rsid w:val="0004109D"/>
    <w:rsid w:val="000410A0"/>
    <w:rsid w:val="0004197C"/>
    <w:rsid w:val="00041DF6"/>
    <w:rsid w:val="00042F41"/>
    <w:rsid w:val="00043009"/>
    <w:rsid w:val="000435EE"/>
    <w:rsid w:val="00043790"/>
    <w:rsid w:val="00043934"/>
    <w:rsid w:val="00043A21"/>
    <w:rsid w:val="00043C37"/>
    <w:rsid w:val="000448F1"/>
    <w:rsid w:val="00045017"/>
    <w:rsid w:val="000459AA"/>
    <w:rsid w:val="00045A2B"/>
    <w:rsid w:val="00045E27"/>
    <w:rsid w:val="000461DA"/>
    <w:rsid w:val="0004698F"/>
    <w:rsid w:val="00046D64"/>
    <w:rsid w:val="00047489"/>
    <w:rsid w:val="00047B0C"/>
    <w:rsid w:val="00050676"/>
    <w:rsid w:val="000508C2"/>
    <w:rsid w:val="000513F2"/>
    <w:rsid w:val="00051974"/>
    <w:rsid w:val="00052BC0"/>
    <w:rsid w:val="00052CD4"/>
    <w:rsid w:val="000532E1"/>
    <w:rsid w:val="000539D0"/>
    <w:rsid w:val="00053D0F"/>
    <w:rsid w:val="0005418F"/>
    <w:rsid w:val="00054621"/>
    <w:rsid w:val="000546D7"/>
    <w:rsid w:val="00054A8D"/>
    <w:rsid w:val="00054B37"/>
    <w:rsid w:val="0005504D"/>
    <w:rsid w:val="0005536A"/>
    <w:rsid w:val="0005575E"/>
    <w:rsid w:val="00055D96"/>
    <w:rsid w:val="00056192"/>
    <w:rsid w:val="000564CF"/>
    <w:rsid w:val="00056ECF"/>
    <w:rsid w:val="000570BE"/>
    <w:rsid w:val="00057415"/>
    <w:rsid w:val="00057C6D"/>
    <w:rsid w:val="00060293"/>
    <w:rsid w:val="000604DF"/>
    <w:rsid w:val="000608FB"/>
    <w:rsid w:val="0006095A"/>
    <w:rsid w:val="00060BDE"/>
    <w:rsid w:val="00060BE6"/>
    <w:rsid w:val="0006198F"/>
    <w:rsid w:val="00061A0B"/>
    <w:rsid w:val="00061F1E"/>
    <w:rsid w:val="00062100"/>
    <w:rsid w:val="0006210D"/>
    <w:rsid w:val="00062324"/>
    <w:rsid w:val="00062385"/>
    <w:rsid w:val="00062E9A"/>
    <w:rsid w:val="00062EF2"/>
    <w:rsid w:val="00064AC0"/>
    <w:rsid w:val="00064AE7"/>
    <w:rsid w:val="000653B5"/>
    <w:rsid w:val="000654C0"/>
    <w:rsid w:val="000659B6"/>
    <w:rsid w:val="00066360"/>
    <w:rsid w:val="00066AF8"/>
    <w:rsid w:val="000673A0"/>
    <w:rsid w:val="00067447"/>
    <w:rsid w:val="00067721"/>
    <w:rsid w:val="00067E4A"/>
    <w:rsid w:val="0007084B"/>
    <w:rsid w:val="00070D81"/>
    <w:rsid w:val="00070E78"/>
    <w:rsid w:val="00071248"/>
    <w:rsid w:val="00071634"/>
    <w:rsid w:val="00071BC9"/>
    <w:rsid w:val="00071C23"/>
    <w:rsid w:val="000720B9"/>
    <w:rsid w:val="00073759"/>
    <w:rsid w:val="000737C6"/>
    <w:rsid w:val="000737F7"/>
    <w:rsid w:val="00073880"/>
    <w:rsid w:val="00073DFC"/>
    <w:rsid w:val="00074FCE"/>
    <w:rsid w:val="000759E2"/>
    <w:rsid w:val="00075E33"/>
    <w:rsid w:val="0007672F"/>
    <w:rsid w:val="00076B54"/>
    <w:rsid w:val="00076C69"/>
    <w:rsid w:val="00077455"/>
    <w:rsid w:val="000774F0"/>
    <w:rsid w:val="00080909"/>
    <w:rsid w:val="00080EBE"/>
    <w:rsid w:val="000810EC"/>
    <w:rsid w:val="000812CA"/>
    <w:rsid w:val="00081E63"/>
    <w:rsid w:val="000822C5"/>
    <w:rsid w:val="0008258D"/>
    <w:rsid w:val="00082BAA"/>
    <w:rsid w:val="00082F8B"/>
    <w:rsid w:val="0008334D"/>
    <w:rsid w:val="00083E99"/>
    <w:rsid w:val="00084516"/>
    <w:rsid w:val="00084A85"/>
    <w:rsid w:val="00084B49"/>
    <w:rsid w:val="00084FA8"/>
    <w:rsid w:val="00085121"/>
    <w:rsid w:val="00085288"/>
    <w:rsid w:val="000856C5"/>
    <w:rsid w:val="00085C31"/>
    <w:rsid w:val="00085FDA"/>
    <w:rsid w:val="000863AD"/>
    <w:rsid w:val="00087282"/>
    <w:rsid w:val="0008737B"/>
    <w:rsid w:val="00087994"/>
    <w:rsid w:val="000902D9"/>
    <w:rsid w:val="00090C7E"/>
    <w:rsid w:val="00090D0C"/>
    <w:rsid w:val="000911AC"/>
    <w:rsid w:val="00091DE7"/>
    <w:rsid w:val="00091F4A"/>
    <w:rsid w:val="00092433"/>
    <w:rsid w:val="00092569"/>
    <w:rsid w:val="00092600"/>
    <w:rsid w:val="0009262B"/>
    <w:rsid w:val="00092862"/>
    <w:rsid w:val="00093310"/>
    <w:rsid w:val="000936BB"/>
    <w:rsid w:val="000939DA"/>
    <w:rsid w:val="00093B20"/>
    <w:rsid w:val="00093C10"/>
    <w:rsid w:val="00093FCF"/>
    <w:rsid w:val="000943D1"/>
    <w:rsid w:val="0009445C"/>
    <w:rsid w:val="0009473D"/>
    <w:rsid w:val="00094784"/>
    <w:rsid w:val="00094C48"/>
    <w:rsid w:val="00095200"/>
    <w:rsid w:val="0009523E"/>
    <w:rsid w:val="00095643"/>
    <w:rsid w:val="00095D0D"/>
    <w:rsid w:val="00095DF8"/>
    <w:rsid w:val="00095FE5"/>
    <w:rsid w:val="00096123"/>
    <w:rsid w:val="00096284"/>
    <w:rsid w:val="0009636B"/>
    <w:rsid w:val="00096C7C"/>
    <w:rsid w:val="00096FFC"/>
    <w:rsid w:val="00097141"/>
    <w:rsid w:val="0009748E"/>
    <w:rsid w:val="00097990"/>
    <w:rsid w:val="000A19BC"/>
    <w:rsid w:val="000A1BC0"/>
    <w:rsid w:val="000A1F3C"/>
    <w:rsid w:val="000A2E67"/>
    <w:rsid w:val="000A2F9E"/>
    <w:rsid w:val="000A3C72"/>
    <w:rsid w:val="000A3E47"/>
    <w:rsid w:val="000A5058"/>
    <w:rsid w:val="000A522B"/>
    <w:rsid w:val="000A5E9D"/>
    <w:rsid w:val="000A6039"/>
    <w:rsid w:val="000A66E1"/>
    <w:rsid w:val="000A6E7B"/>
    <w:rsid w:val="000A6EE9"/>
    <w:rsid w:val="000A7453"/>
    <w:rsid w:val="000A7B05"/>
    <w:rsid w:val="000A7D08"/>
    <w:rsid w:val="000B0121"/>
    <w:rsid w:val="000B015E"/>
    <w:rsid w:val="000B0670"/>
    <w:rsid w:val="000B0E75"/>
    <w:rsid w:val="000B2C60"/>
    <w:rsid w:val="000B2DCB"/>
    <w:rsid w:val="000B2F89"/>
    <w:rsid w:val="000B303B"/>
    <w:rsid w:val="000B343A"/>
    <w:rsid w:val="000B3644"/>
    <w:rsid w:val="000B3885"/>
    <w:rsid w:val="000B444B"/>
    <w:rsid w:val="000B4AA6"/>
    <w:rsid w:val="000B5143"/>
    <w:rsid w:val="000B51C8"/>
    <w:rsid w:val="000B5CE0"/>
    <w:rsid w:val="000B6C0F"/>
    <w:rsid w:val="000B6CAC"/>
    <w:rsid w:val="000B6D75"/>
    <w:rsid w:val="000B70B2"/>
    <w:rsid w:val="000B7530"/>
    <w:rsid w:val="000B7612"/>
    <w:rsid w:val="000B78AE"/>
    <w:rsid w:val="000B7BD4"/>
    <w:rsid w:val="000C049B"/>
    <w:rsid w:val="000C087B"/>
    <w:rsid w:val="000C1586"/>
    <w:rsid w:val="000C1AD9"/>
    <w:rsid w:val="000C1B5C"/>
    <w:rsid w:val="000C1D12"/>
    <w:rsid w:val="000C1E78"/>
    <w:rsid w:val="000C1F73"/>
    <w:rsid w:val="000C346A"/>
    <w:rsid w:val="000C37EA"/>
    <w:rsid w:val="000C3DF9"/>
    <w:rsid w:val="000C42FE"/>
    <w:rsid w:val="000C45FD"/>
    <w:rsid w:val="000C4CF2"/>
    <w:rsid w:val="000C5785"/>
    <w:rsid w:val="000C5A3E"/>
    <w:rsid w:val="000C5A69"/>
    <w:rsid w:val="000C6713"/>
    <w:rsid w:val="000C6B08"/>
    <w:rsid w:val="000C6B3C"/>
    <w:rsid w:val="000C6BCE"/>
    <w:rsid w:val="000C7131"/>
    <w:rsid w:val="000C7136"/>
    <w:rsid w:val="000C7669"/>
    <w:rsid w:val="000C7D0E"/>
    <w:rsid w:val="000C7FBD"/>
    <w:rsid w:val="000D0756"/>
    <w:rsid w:val="000D099D"/>
    <w:rsid w:val="000D125C"/>
    <w:rsid w:val="000D1B4F"/>
    <w:rsid w:val="000D1BFC"/>
    <w:rsid w:val="000D1D5D"/>
    <w:rsid w:val="000D281A"/>
    <w:rsid w:val="000D2848"/>
    <w:rsid w:val="000D326A"/>
    <w:rsid w:val="000D35DA"/>
    <w:rsid w:val="000D376D"/>
    <w:rsid w:val="000D3E95"/>
    <w:rsid w:val="000D4240"/>
    <w:rsid w:val="000D4EEE"/>
    <w:rsid w:val="000D51B5"/>
    <w:rsid w:val="000D51FB"/>
    <w:rsid w:val="000D5525"/>
    <w:rsid w:val="000D560A"/>
    <w:rsid w:val="000D5939"/>
    <w:rsid w:val="000D5A7C"/>
    <w:rsid w:val="000D5FB0"/>
    <w:rsid w:val="000D63C3"/>
    <w:rsid w:val="000D640B"/>
    <w:rsid w:val="000D6B61"/>
    <w:rsid w:val="000D7167"/>
    <w:rsid w:val="000D75F8"/>
    <w:rsid w:val="000D7ADC"/>
    <w:rsid w:val="000E0129"/>
    <w:rsid w:val="000E0640"/>
    <w:rsid w:val="000E135D"/>
    <w:rsid w:val="000E1676"/>
    <w:rsid w:val="000E2640"/>
    <w:rsid w:val="000E280D"/>
    <w:rsid w:val="000E3292"/>
    <w:rsid w:val="000E3DCA"/>
    <w:rsid w:val="000E4424"/>
    <w:rsid w:val="000E505F"/>
    <w:rsid w:val="000E5C60"/>
    <w:rsid w:val="000E5CCF"/>
    <w:rsid w:val="000E6631"/>
    <w:rsid w:val="000E6ABE"/>
    <w:rsid w:val="000E6F52"/>
    <w:rsid w:val="000F00BA"/>
    <w:rsid w:val="000F1978"/>
    <w:rsid w:val="000F2B2F"/>
    <w:rsid w:val="000F316A"/>
    <w:rsid w:val="000F32B9"/>
    <w:rsid w:val="000F3C74"/>
    <w:rsid w:val="000F4282"/>
    <w:rsid w:val="000F43E2"/>
    <w:rsid w:val="000F4BB8"/>
    <w:rsid w:val="000F4DF7"/>
    <w:rsid w:val="000F4FA9"/>
    <w:rsid w:val="000F5084"/>
    <w:rsid w:val="000F53FB"/>
    <w:rsid w:val="000F5D2A"/>
    <w:rsid w:val="000F6228"/>
    <w:rsid w:val="000F62D0"/>
    <w:rsid w:val="000F6ECC"/>
    <w:rsid w:val="000F70E5"/>
    <w:rsid w:val="000F7127"/>
    <w:rsid w:val="000F7B54"/>
    <w:rsid w:val="000F7EE0"/>
    <w:rsid w:val="001000B3"/>
    <w:rsid w:val="00100844"/>
    <w:rsid w:val="00100D5F"/>
    <w:rsid w:val="00100F8A"/>
    <w:rsid w:val="00101ABD"/>
    <w:rsid w:val="00101FCB"/>
    <w:rsid w:val="00102BCF"/>
    <w:rsid w:val="00102C5F"/>
    <w:rsid w:val="00102DFA"/>
    <w:rsid w:val="00104236"/>
    <w:rsid w:val="0010452E"/>
    <w:rsid w:val="00104AAC"/>
    <w:rsid w:val="001050DC"/>
    <w:rsid w:val="00105A0B"/>
    <w:rsid w:val="00105AE2"/>
    <w:rsid w:val="00105E21"/>
    <w:rsid w:val="001060C6"/>
    <w:rsid w:val="00106B80"/>
    <w:rsid w:val="00106E0B"/>
    <w:rsid w:val="001072F5"/>
    <w:rsid w:val="00107675"/>
    <w:rsid w:val="001076D9"/>
    <w:rsid w:val="00107E9A"/>
    <w:rsid w:val="0011032E"/>
    <w:rsid w:val="0011055C"/>
    <w:rsid w:val="00111AB7"/>
    <w:rsid w:val="0011348B"/>
    <w:rsid w:val="0011387A"/>
    <w:rsid w:val="00113E71"/>
    <w:rsid w:val="00114A65"/>
    <w:rsid w:val="00115982"/>
    <w:rsid w:val="00115F8F"/>
    <w:rsid w:val="0011653E"/>
    <w:rsid w:val="00116C53"/>
    <w:rsid w:val="00116E4A"/>
    <w:rsid w:val="00117916"/>
    <w:rsid w:val="001200B2"/>
    <w:rsid w:val="0012131C"/>
    <w:rsid w:val="00121799"/>
    <w:rsid w:val="0012183A"/>
    <w:rsid w:val="00121ECA"/>
    <w:rsid w:val="001222FC"/>
    <w:rsid w:val="0012305D"/>
    <w:rsid w:val="001235FE"/>
    <w:rsid w:val="00123902"/>
    <w:rsid w:val="0012474B"/>
    <w:rsid w:val="00124A51"/>
    <w:rsid w:val="001255CB"/>
    <w:rsid w:val="00125933"/>
    <w:rsid w:val="00126621"/>
    <w:rsid w:val="00126B1D"/>
    <w:rsid w:val="00126E06"/>
    <w:rsid w:val="0013004D"/>
    <w:rsid w:val="001301E9"/>
    <w:rsid w:val="00131069"/>
    <w:rsid w:val="0013137D"/>
    <w:rsid w:val="0013191C"/>
    <w:rsid w:val="00131CBF"/>
    <w:rsid w:val="00131D82"/>
    <w:rsid w:val="00131DD1"/>
    <w:rsid w:val="0013297C"/>
    <w:rsid w:val="00132B22"/>
    <w:rsid w:val="00133CA8"/>
    <w:rsid w:val="00133D36"/>
    <w:rsid w:val="00133F8F"/>
    <w:rsid w:val="00134090"/>
    <w:rsid w:val="00134093"/>
    <w:rsid w:val="0013412E"/>
    <w:rsid w:val="001352C7"/>
    <w:rsid w:val="00135938"/>
    <w:rsid w:val="001360E8"/>
    <w:rsid w:val="0013656F"/>
    <w:rsid w:val="00136B2E"/>
    <w:rsid w:val="00137645"/>
    <w:rsid w:val="00137B64"/>
    <w:rsid w:val="00140035"/>
    <w:rsid w:val="0014015A"/>
    <w:rsid w:val="001401C8"/>
    <w:rsid w:val="001407B6"/>
    <w:rsid w:val="00140D2F"/>
    <w:rsid w:val="00140E99"/>
    <w:rsid w:val="00140FE6"/>
    <w:rsid w:val="0014209C"/>
    <w:rsid w:val="001423EB"/>
    <w:rsid w:val="00143658"/>
    <w:rsid w:val="00143F67"/>
    <w:rsid w:val="001440CA"/>
    <w:rsid w:val="00145234"/>
    <w:rsid w:val="00145540"/>
    <w:rsid w:val="001456B0"/>
    <w:rsid w:val="00145A45"/>
    <w:rsid w:val="00145D66"/>
    <w:rsid w:val="00146447"/>
    <w:rsid w:val="00146643"/>
    <w:rsid w:val="0014681B"/>
    <w:rsid w:val="00146AB2"/>
    <w:rsid w:val="00146E74"/>
    <w:rsid w:val="001470F1"/>
    <w:rsid w:val="0014749D"/>
    <w:rsid w:val="00150B87"/>
    <w:rsid w:val="001517E9"/>
    <w:rsid w:val="00151BEF"/>
    <w:rsid w:val="00151CE8"/>
    <w:rsid w:val="00152D53"/>
    <w:rsid w:val="00153492"/>
    <w:rsid w:val="001547AB"/>
    <w:rsid w:val="001550E8"/>
    <w:rsid w:val="00155223"/>
    <w:rsid w:val="0015599E"/>
    <w:rsid w:val="00155D93"/>
    <w:rsid w:val="00156F8F"/>
    <w:rsid w:val="00157130"/>
    <w:rsid w:val="00157491"/>
    <w:rsid w:val="001576B1"/>
    <w:rsid w:val="0016020B"/>
    <w:rsid w:val="0016047B"/>
    <w:rsid w:val="00160A4C"/>
    <w:rsid w:val="001612AB"/>
    <w:rsid w:val="00162913"/>
    <w:rsid w:val="00163447"/>
    <w:rsid w:val="00163D44"/>
    <w:rsid w:val="00163E81"/>
    <w:rsid w:val="00163EFF"/>
    <w:rsid w:val="00163F66"/>
    <w:rsid w:val="0016478E"/>
    <w:rsid w:val="001653D1"/>
    <w:rsid w:val="00165D1A"/>
    <w:rsid w:val="00165EC4"/>
    <w:rsid w:val="001661FB"/>
    <w:rsid w:val="001671A0"/>
    <w:rsid w:val="0016757E"/>
    <w:rsid w:val="0016767F"/>
    <w:rsid w:val="001676A5"/>
    <w:rsid w:val="00167B2D"/>
    <w:rsid w:val="001704CE"/>
    <w:rsid w:val="00170D49"/>
    <w:rsid w:val="0017102A"/>
    <w:rsid w:val="00171367"/>
    <w:rsid w:val="001721B0"/>
    <w:rsid w:val="00173565"/>
    <w:rsid w:val="00173831"/>
    <w:rsid w:val="00173A8C"/>
    <w:rsid w:val="00173B07"/>
    <w:rsid w:val="001751FA"/>
    <w:rsid w:val="001754F3"/>
    <w:rsid w:val="00175727"/>
    <w:rsid w:val="00176BF0"/>
    <w:rsid w:val="001773DB"/>
    <w:rsid w:val="00177670"/>
    <w:rsid w:val="00180265"/>
    <w:rsid w:val="00180C9C"/>
    <w:rsid w:val="00181063"/>
    <w:rsid w:val="00181580"/>
    <w:rsid w:val="00181C10"/>
    <w:rsid w:val="00181D9C"/>
    <w:rsid w:val="0018291D"/>
    <w:rsid w:val="00183789"/>
    <w:rsid w:val="001837FF"/>
    <w:rsid w:val="00183DEE"/>
    <w:rsid w:val="00184731"/>
    <w:rsid w:val="00184975"/>
    <w:rsid w:val="00184B0E"/>
    <w:rsid w:val="00185320"/>
    <w:rsid w:val="00185759"/>
    <w:rsid w:val="001864CB"/>
    <w:rsid w:val="001867A1"/>
    <w:rsid w:val="0018752F"/>
    <w:rsid w:val="00187C2A"/>
    <w:rsid w:val="00187FDB"/>
    <w:rsid w:val="00190333"/>
    <w:rsid w:val="00191408"/>
    <w:rsid w:val="0019190D"/>
    <w:rsid w:val="00191F34"/>
    <w:rsid w:val="00192C85"/>
    <w:rsid w:val="00193838"/>
    <w:rsid w:val="00193F90"/>
    <w:rsid w:val="00194AD8"/>
    <w:rsid w:val="00195222"/>
    <w:rsid w:val="00195452"/>
    <w:rsid w:val="00196C74"/>
    <w:rsid w:val="001975D8"/>
    <w:rsid w:val="001A0057"/>
    <w:rsid w:val="001A0688"/>
    <w:rsid w:val="001A06C6"/>
    <w:rsid w:val="001A1454"/>
    <w:rsid w:val="001A1761"/>
    <w:rsid w:val="001A178E"/>
    <w:rsid w:val="001A2264"/>
    <w:rsid w:val="001A23A4"/>
    <w:rsid w:val="001A333F"/>
    <w:rsid w:val="001A37C6"/>
    <w:rsid w:val="001A3C04"/>
    <w:rsid w:val="001A43FA"/>
    <w:rsid w:val="001A47C5"/>
    <w:rsid w:val="001A5547"/>
    <w:rsid w:val="001A5718"/>
    <w:rsid w:val="001A587A"/>
    <w:rsid w:val="001A59FB"/>
    <w:rsid w:val="001A5E9E"/>
    <w:rsid w:val="001A61E8"/>
    <w:rsid w:val="001A6354"/>
    <w:rsid w:val="001A6366"/>
    <w:rsid w:val="001A7AE8"/>
    <w:rsid w:val="001B107E"/>
    <w:rsid w:val="001B13C2"/>
    <w:rsid w:val="001B17F8"/>
    <w:rsid w:val="001B1C4B"/>
    <w:rsid w:val="001B1EAF"/>
    <w:rsid w:val="001B204E"/>
    <w:rsid w:val="001B2372"/>
    <w:rsid w:val="001B243C"/>
    <w:rsid w:val="001B295B"/>
    <w:rsid w:val="001B2D1A"/>
    <w:rsid w:val="001B3443"/>
    <w:rsid w:val="001B3493"/>
    <w:rsid w:val="001B3D26"/>
    <w:rsid w:val="001B4541"/>
    <w:rsid w:val="001B4833"/>
    <w:rsid w:val="001B4D20"/>
    <w:rsid w:val="001B5362"/>
    <w:rsid w:val="001B5CC7"/>
    <w:rsid w:val="001B6C42"/>
    <w:rsid w:val="001B765F"/>
    <w:rsid w:val="001B77B3"/>
    <w:rsid w:val="001B7ED6"/>
    <w:rsid w:val="001B7F84"/>
    <w:rsid w:val="001C01FA"/>
    <w:rsid w:val="001C0A94"/>
    <w:rsid w:val="001C0B0C"/>
    <w:rsid w:val="001C131A"/>
    <w:rsid w:val="001C165E"/>
    <w:rsid w:val="001C17C0"/>
    <w:rsid w:val="001C1898"/>
    <w:rsid w:val="001C2A9B"/>
    <w:rsid w:val="001C3DD6"/>
    <w:rsid w:val="001C4299"/>
    <w:rsid w:val="001C4631"/>
    <w:rsid w:val="001C4874"/>
    <w:rsid w:val="001C48A4"/>
    <w:rsid w:val="001C5166"/>
    <w:rsid w:val="001C5F94"/>
    <w:rsid w:val="001C649A"/>
    <w:rsid w:val="001C6AE8"/>
    <w:rsid w:val="001C6E66"/>
    <w:rsid w:val="001C7664"/>
    <w:rsid w:val="001C76E3"/>
    <w:rsid w:val="001C781D"/>
    <w:rsid w:val="001C7D72"/>
    <w:rsid w:val="001D038E"/>
    <w:rsid w:val="001D1100"/>
    <w:rsid w:val="001D1391"/>
    <w:rsid w:val="001D19AA"/>
    <w:rsid w:val="001D1E9B"/>
    <w:rsid w:val="001D1F38"/>
    <w:rsid w:val="001D202E"/>
    <w:rsid w:val="001D25D7"/>
    <w:rsid w:val="001D26D8"/>
    <w:rsid w:val="001D2ED5"/>
    <w:rsid w:val="001D3A26"/>
    <w:rsid w:val="001D3C3F"/>
    <w:rsid w:val="001D3CD5"/>
    <w:rsid w:val="001D50B2"/>
    <w:rsid w:val="001D59C1"/>
    <w:rsid w:val="001D5B89"/>
    <w:rsid w:val="001D5D93"/>
    <w:rsid w:val="001D5EA0"/>
    <w:rsid w:val="001D5F2D"/>
    <w:rsid w:val="001D71F4"/>
    <w:rsid w:val="001D7645"/>
    <w:rsid w:val="001E0447"/>
    <w:rsid w:val="001E0E55"/>
    <w:rsid w:val="001E0FAE"/>
    <w:rsid w:val="001E1B45"/>
    <w:rsid w:val="001E1E86"/>
    <w:rsid w:val="001E21A7"/>
    <w:rsid w:val="001E238E"/>
    <w:rsid w:val="001E2483"/>
    <w:rsid w:val="001E2B1E"/>
    <w:rsid w:val="001E2CFF"/>
    <w:rsid w:val="001E2F24"/>
    <w:rsid w:val="001E30D4"/>
    <w:rsid w:val="001E30DC"/>
    <w:rsid w:val="001E3180"/>
    <w:rsid w:val="001E34DF"/>
    <w:rsid w:val="001E3840"/>
    <w:rsid w:val="001E3B1D"/>
    <w:rsid w:val="001E4467"/>
    <w:rsid w:val="001E52EB"/>
    <w:rsid w:val="001E5599"/>
    <w:rsid w:val="001E61D2"/>
    <w:rsid w:val="001E62A2"/>
    <w:rsid w:val="001E740C"/>
    <w:rsid w:val="001E7CF9"/>
    <w:rsid w:val="001F024D"/>
    <w:rsid w:val="001F0AC8"/>
    <w:rsid w:val="001F0DEA"/>
    <w:rsid w:val="001F1235"/>
    <w:rsid w:val="001F1CB3"/>
    <w:rsid w:val="001F1D4A"/>
    <w:rsid w:val="001F3202"/>
    <w:rsid w:val="001F3897"/>
    <w:rsid w:val="001F38B5"/>
    <w:rsid w:val="001F38DF"/>
    <w:rsid w:val="001F3D83"/>
    <w:rsid w:val="001F4081"/>
    <w:rsid w:val="001F417F"/>
    <w:rsid w:val="001F4843"/>
    <w:rsid w:val="001F4BFF"/>
    <w:rsid w:val="001F4CCA"/>
    <w:rsid w:val="001F4E12"/>
    <w:rsid w:val="001F7361"/>
    <w:rsid w:val="001F7636"/>
    <w:rsid w:val="00200103"/>
    <w:rsid w:val="002003E9"/>
    <w:rsid w:val="00200761"/>
    <w:rsid w:val="002011B0"/>
    <w:rsid w:val="002025E9"/>
    <w:rsid w:val="00202E8A"/>
    <w:rsid w:val="00203181"/>
    <w:rsid w:val="00203783"/>
    <w:rsid w:val="0020385F"/>
    <w:rsid w:val="0020387C"/>
    <w:rsid w:val="00204358"/>
    <w:rsid w:val="00204C85"/>
    <w:rsid w:val="002052D6"/>
    <w:rsid w:val="00205485"/>
    <w:rsid w:val="00205746"/>
    <w:rsid w:val="002064FD"/>
    <w:rsid w:val="002068A0"/>
    <w:rsid w:val="002069D7"/>
    <w:rsid w:val="00207021"/>
    <w:rsid w:val="0020732F"/>
    <w:rsid w:val="00207733"/>
    <w:rsid w:val="00207D00"/>
    <w:rsid w:val="002105C1"/>
    <w:rsid w:val="00210A26"/>
    <w:rsid w:val="00210F48"/>
    <w:rsid w:val="002116FD"/>
    <w:rsid w:val="00211CCD"/>
    <w:rsid w:val="002125FC"/>
    <w:rsid w:val="002135C8"/>
    <w:rsid w:val="002139BD"/>
    <w:rsid w:val="00213B24"/>
    <w:rsid w:val="00213E86"/>
    <w:rsid w:val="00213EF5"/>
    <w:rsid w:val="002149B3"/>
    <w:rsid w:val="00215ADF"/>
    <w:rsid w:val="00215CF3"/>
    <w:rsid w:val="00216951"/>
    <w:rsid w:val="00216BF5"/>
    <w:rsid w:val="00216E2A"/>
    <w:rsid w:val="00217048"/>
    <w:rsid w:val="0021710D"/>
    <w:rsid w:val="00217BEE"/>
    <w:rsid w:val="002210BF"/>
    <w:rsid w:val="00221131"/>
    <w:rsid w:val="002232D2"/>
    <w:rsid w:val="00223AD6"/>
    <w:rsid w:val="00223B49"/>
    <w:rsid w:val="00223D5A"/>
    <w:rsid w:val="00224DD4"/>
    <w:rsid w:val="00224F1C"/>
    <w:rsid w:val="00225DD8"/>
    <w:rsid w:val="0022610B"/>
    <w:rsid w:val="002267EE"/>
    <w:rsid w:val="0022711A"/>
    <w:rsid w:val="0022782D"/>
    <w:rsid w:val="002278A0"/>
    <w:rsid w:val="00227CE0"/>
    <w:rsid w:val="00227DB3"/>
    <w:rsid w:val="00230374"/>
    <w:rsid w:val="002309CC"/>
    <w:rsid w:val="00230AA4"/>
    <w:rsid w:val="00230C98"/>
    <w:rsid w:val="002310C6"/>
    <w:rsid w:val="00231AA1"/>
    <w:rsid w:val="00231BA9"/>
    <w:rsid w:val="0023209F"/>
    <w:rsid w:val="0023265C"/>
    <w:rsid w:val="00232CFD"/>
    <w:rsid w:val="00233624"/>
    <w:rsid w:val="00233AC2"/>
    <w:rsid w:val="00233C01"/>
    <w:rsid w:val="00233FAC"/>
    <w:rsid w:val="0023413C"/>
    <w:rsid w:val="002346F0"/>
    <w:rsid w:val="00235174"/>
    <w:rsid w:val="00235C0F"/>
    <w:rsid w:val="0023629D"/>
    <w:rsid w:val="0023694C"/>
    <w:rsid w:val="0023710B"/>
    <w:rsid w:val="00237255"/>
    <w:rsid w:val="002374D8"/>
    <w:rsid w:val="002401DB"/>
    <w:rsid w:val="00240F80"/>
    <w:rsid w:val="0024118D"/>
    <w:rsid w:val="002412E5"/>
    <w:rsid w:val="00241ECC"/>
    <w:rsid w:val="002424AF"/>
    <w:rsid w:val="0024284E"/>
    <w:rsid w:val="002437D3"/>
    <w:rsid w:val="002439DC"/>
    <w:rsid w:val="002441D2"/>
    <w:rsid w:val="002442B0"/>
    <w:rsid w:val="00244506"/>
    <w:rsid w:val="00244BFD"/>
    <w:rsid w:val="00244DC8"/>
    <w:rsid w:val="00244FAE"/>
    <w:rsid w:val="00245019"/>
    <w:rsid w:val="002450FB"/>
    <w:rsid w:val="00245393"/>
    <w:rsid w:val="002454A4"/>
    <w:rsid w:val="002455C6"/>
    <w:rsid w:val="0024581D"/>
    <w:rsid w:val="002458BA"/>
    <w:rsid w:val="00245CE9"/>
    <w:rsid w:val="0024636C"/>
    <w:rsid w:val="002464BD"/>
    <w:rsid w:val="00247925"/>
    <w:rsid w:val="00247FF2"/>
    <w:rsid w:val="00250ACA"/>
    <w:rsid w:val="00251006"/>
    <w:rsid w:val="002514C6"/>
    <w:rsid w:val="00251751"/>
    <w:rsid w:val="00251CB0"/>
    <w:rsid w:val="00251D27"/>
    <w:rsid w:val="002524C8"/>
    <w:rsid w:val="002524D5"/>
    <w:rsid w:val="0025336E"/>
    <w:rsid w:val="00253A15"/>
    <w:rsid w:val="00253B1D"/>
    <w:rsid w:val="00254D76"/>
    <w:rsid w:val="00254DCF"/>
    <w:rsid w:val="0025534B"/>
    <w:rsid w:val="002555C8"/>
    <w:rsid w:val="00255BB7"/>
    <w:rsid w:val="0025633D"/>
    <w:rsid w:val="002564F7"/>
    <w:rsid w:val="00257541"/>
    <w:rsid w:val="00257A39"/>
    <w:rsid w:val="00257AC4"/>
    <w:rsid w:val="00257BBE"/>
    <w:rsid w:val="00257D9F"/>
    <w:rsid w:val="00260870"/>
    <w:rsid w:val="00260F07"/>
    <w:rsid w:val="0026146F"/>
    <w:rsid w:val="00261477"/>
    <w:rsid w:val="00261EEF"/>
    <w:rsid w:val="00262570"/>
    <w:rsid w:val="00262753"/>
    <w:rsid w:val="00262A1A"/>
    <w:rsid w:val="00262A87"/>
    <w:rsid w:val="00262E08"/>
    <w:rsid w:val="00263DD5"/>
    <w:rsid w:val="002643BA"/>
    <w:rsid w:val="00264D26"/>
    <w:rsid w:val="00264F63"/>
    <w:rsid w:val="0026593E"/>
    <w:rsid w:val="00265B99"/>
    <w:rsid w:val="00267642"/>
    <w:rsid w:val="00267AEA"/>
    <w:rsid w:val="002700E6"/>
    <w:rsid w:val="00270247"/>
    <w:rsid w:val="00271899"/>
    <w:rsid w:val="00271969"/>
    <w:rsid w:val="00271A14"/>
    <w:rsid w:val="0027220C"/>
    <w:rsid w:val="0027294B"/>
    <w:rsid w:val="0027369A"/>
    <w:rsid w:val="00273EB4"/>
    <w:rsid w:val="00274682"/>
    <w:rsid w:val="00275151"/>
    <w:rsid w:val="00275158"/>
    <w:rsid w:val="00275C5A"/>
    <w:rsid w:val="00276150"/>
    <w:rsid w:val="00276471"/>
    <w:rsid w:val="00277B34"/>
    <w:rsid w:val="00277E0F"/>
    <w:rsid w:val="00281014"/>
    <w:rsid w:val="00281880"/>
    <w:rsid w:val="00281FDB"/>
    <w:rsid w:val="0028348C"/>
    <w:rsid w:val="00283A19"/>
    <w:rsid w:val="00284ECD"/>
    <w:rsid w:val="002850E6"/>
    <w:rsid w:val="0028511A"/>
    <w:rsid w:val="00285BCE"/>
    <w:rsid w:val="0028665D"/>
    <w:rsid w:val="00286759"/>
    <w:rsid w:val="0028683D"/>
    <w:rsid w:val="00287E78"/>
    <w:rsid w:val="00290572"/>
    <w:rsid w:val="00290744"/>
    <w:rsid w:val="00291439"/>
    <w:rsid w:val="002926B3"/>
    <w:rsid w:val="00292FBE"/>
    <w:rsid w:val="00293734"/>
    <w:rsid w:val="002939A4"/>
    <w:rsid w:val="00293EDC"/>
    <w:rsid w:val="0029567D"/>
    <w:rsid w:val="002958E3"/>
    <w:rsid w:val="0029638B"/>
    <w:rsid w:val="002A022C"/>
    <w:rsid w:val="002A0E76"/>
    <w:rsid w:val="002A14AB"/>
    <w:rsid w:val="002A1514"/>
    <w:rsid w:val="002A2708"/>
    <w:rsid w:val="002A2ADE"/>
    <w:rsid w:val="002A2F50"/>
    <w:rsid w:val="002A469A"/>
    <w:rsid w:val="002A4BAA"/>
    <w:rsid w:val="002A55A2"/>
    <w:rsid w:val="002A5666"/>
    <w:rsid w:val="002A5E34"/>
    <w:rsid w:val="002A6667"/>
    <w:rsid w:val="002A6AA2"/>
    <w:rsid w:val="002A6D80"/>
    <w:rsid w:val="002A7943"/>
    <w:rsid w:val="002A7B97"/>
    <w:rsid w:val="002B05A1"/>
    <w:rsid w:val="002B09A4"/>
    <w:rsid w:val="002B13F8"/>
    <w:rsid w:val="002B14A9"/>
    <w:rsid w:val="002B1A6A"/>
    <w:rsid w:val="002B1C1F"/>
    <w:rsid w:val="002B2AF9"/>
    <w:rsid w:val="002B2C1B"/>
    <w:rsid w:val="002B2FE0"/>
    <w:rsid w:val="002B3007"/>
    <w:rsid w:val="002B35B3"/>
    <w:rsid w:val="002B3C60"/>
    <w:rsid w:val="002B3C86"/>
    <w:rsid w:val="002B432F"/>
    <w:rsid w:val="002B58AB"/>
    <w:rsid w:val="002B62B3"/>
    <w:rsid w:val="002B6754"/>
    <w:rsid w:val="002B6AF5"/>
    <w:rsid w:val="002B6CCE"/>
    <w:rsid w:val="002B6CF8"/>
    <w:rsid w:val="002B70C6"/>
    <w:rsid w:val="002B7A24"/>
    <w:rsid w:val="002B7AB0"/>
    <w:rsid w:val="002B7EE7"/>
    <w:rsid w:val="002C0490"/>
    <w:rsid w:val="002C0CAD"/>
    <w:rsid w:val="002C1BD6"/>
    <w:rsid w:val="002C2510"/>
    <w:rsid w:val="002C2775"/>
    <w:rsid w:val="002C27C1"/>
    <w:rsid w:val="002C2B0C"/>
    <w:rsid w:val="002C2B4D"/>
    <w:rsid w:val="002C2FD1"/>
    <w:rsid w:val="002C36E3"/>
    <w:rsid w:val="002C447E"/>
    <w:rsid w:val="002C4E2A"/>
    <w:rsid w:val="002C5099"/>
    <w:rsid w:val="002C50DC"/>
    <w:rsid w:val="002C535B"/>
    <w:rsid w:val="002C5889"/>
    <w:rsid w:val="002C5BCE"/>
    <w:rsid w:val="002C69EF"/>
    <w:rsid w:val="002C6F5C"/>
    <w:rsid w:val="002C71CE"/>
    <w:rsid w:val="002C7473"/>
    <w:rsid w:val="002C76D0"/>
    <w:rsid w:val="002C7A40"/>
    <w:rsid w:val="002D08F8"/>
    <w:rsid w:val="002D0C36"/>
    <w:rsid w:val="002D1026"/>
    <w:rsid w:val="002D138A"/>
    <w:rsid w:val="002D1B94"/>
    <w:rsid w:val="002D28C5"/>
    <w:rsid w:val="002D2C68"/>
    <w:rsid w:val="002D305B"/>
    <w:rsid w:val="002D4726"/>
    <w:rsid w:val="002D4BD3"/>
    <w:rsid w:val="002D577C"/>
    <w:rsid w:val="002D5C8F"/>
    <w:rsid w:val="002D5D1B"/>
    <w:rsid w:val="002D6406"/>
    <w:rsid w:val="002D66A1"/>
    <w:rsid w:val="002D68C2"/>
    <w:rsid w:val="002D6C88"/>
    <w:rsid w:val="002D7832"/>
    <w:rsid w:val="002E1071"/>
    <w:rsid w:val="002E15B9"/>
    <w:rsid w:val="002E1E65"/>
    <w:rsid w:val="002E2158"/>
    <w:rsid w:val="002E21EB"/>
    <w:rsid w:val="002E2DE1"/>
    <w:rsid w:val="002E2F31"/>
    <w:rsid w:val="002E2FD1"/>
    <w:rsid w:val="002E2FFC"/>
    <w:rsid w:val="002E33A1"/>
    <w:rsid w:val="002E3DF3"/>
    <w:rsid w:val="002E4A60"/>
    <w:rsid w:val="002E4F02"/>
    <w:rsid w:val="002E5796"/>
    <w:rsid w:val="002E57F4"/>
    <w:rsid w:val="002E7722"/>
    <w:rsid w:val="002F0061"/>
    <w:rsid w:val="002F07BA"/>
    <w:rsid w:val="002F0B68"/>
    <w:rsid w:val="002F0DA9"/>
    <w:rsid w:val="002F1014"/>
    <w:rsid w:val="002F1492"/>
    <w:rsid w:val="002F154A"/>
    <w:rsid w:val="002F1E3B"/>
    <w:rsid w:val="002F2486"/>
    <w:rsid w:val="002F2C04"/>
    <w:rsid w:val="002F401F"/>
    <w:rsid w:val="002F497A"/>
    <w:rsid w:val="002F4C7E"/>
    <w:rsid w:val="002F4D0F"/>
    <w:rsid w:val="002F4FFB"/>
    <w:rsid w:val="002F57E6"/>
    <w:rsid w:val="002F582A"/>
    <w:rsid w:val="002F5981"/>
    <w:rsid w:val="002F643C"/>
    <w:rsid w:val="002F64B3"/>
    <w:rsid w:val="002F6EA8"/>
    <w:rsid w:val="002F71C0"/>
    <w:rsid w:val="002F744B"/>
    <w:rsid w:val="002F74F1"/>
    <w:rsid w:val="0030063C"/>
    <w:rsid w:val="00301017"/>
    <w:rsid w:val="00301156"/>
    <w:rsid w:val="00301294"/>
    <w:rsid w:val="0030155F"/>
    <w:rsid w:val="00302597"/>
    <w:rsid w:val="00303078"/>
    <w:rsid w:val="00303797"/>
    <w:rsid w:val="003037A9"/>
    <w:rsid w:val="00303A12"/>
    <w:rsid w:val="00303E30"/>
    <w:rsid w:val="00304DA9"/>
    <w:rsid w:val="003054BD"/>
    <w:rsid w:val="0030564A"/>
    <w:rsid w:val="0030587B"/>
    <w:rsid w:val="00305CB2"/>
    <w:rsid w:val="0030600F"/>
    <w:rsid w:val="00306C24"/>
    <w:rsid w:val="00306D98"/>
    <w:rsid w:val="00306DF1"/>
    <w:rsid w:val="0030748F"/>
    <w:rsid w:val="0030786C"/>
    <w:rsid w:val="003100BF"/>
    <w:rsid w:val="0031031A"/>
    <w:rsid w:val="00310981"/>
    <w:rsid w:val="00311162"/>
    <w:rsid w:val="0031176B"/>
    <w:rsid w:val="00311862"/>
    <w:rsid w:val="00311D9B"/>
    <w:rsid w:val="00311E57"/>
    <w:rsid w:val="00312065"/>
    <w:rsid w:val="003120C3"/>
    <w:rsid w:val="003121D3"/>
    <w:rsid w:val="003124D9"/>
    <w:rsid w:val="00312594"/>
    <w:rsid w:val="00312F98"/>
    <w:rsid w:val="00313065"/>
    <w:rsid w:val="00314C57"/>
    <w:rsid w:val="003152D2"/>
    <w:rsid w:val="00315498"/>
    <w:rsid w:val="003155E7"/>
    <w:rsid w:val="00316474"/>
    <w:rsid w:val="003164DB"/>
    <w:rsid w:val="003166A9"/>
    <w:rsid w:val="00317042"/>
    <w:rsid w:val="0031782F"/>
    <w:rsid w:val="003200AE"/>
    <w:rsid w:val="00322107"/>
    <w:rsid w:val="003222F5"/>
    <w:rsid w:val="00322355"/>
    <w:rsid w:val="00322846"/>
    <w:rsid w:val="00322944"/>
    <w:rsid w:val="003233EE"/>
    <w:rsid w:val="00323644"/>
    <w:rsid w:val="0032405F"/>
    <w:rsid w:val="003242EA"/>
    <w:rsid w:val="00324787"/>
    <w:rsid w:val="0032487B"/>
    <w:rsid w:val="00325446"/>
    <w:rsid w:val="00325EF1"/>
    <w:rsid w:val="003267B5"/>
    <w:rsid w:val="003269E3"/>
    <w:rsid w:val="00326ACC"/>
    <w:rsid w:val="00326DA7"/>
    <w:rsid w:val="003270E4"/>
    <w:rsid w:val="003275E9"/>
    <w:rsid w:val="00327C78"/>
    <w:rsid w:val="00330004"/>
    <w:rsid w:val="00330DAA"/>
    <w:rsid w:val="00330F5C"/>
    <w:rsid w:val="0033194E"/>
    <w:rsid w:val="00331A5E"/>
    <w:rsid w:val="00331C22"/>
    <w:rsid w:val="00331DA7"/>
    <w:rsid w:val="00331F2F"/>
    <w:rsid w:val="00332217"/>
    <w:rsid w:val="00332931"/>
    <w:rsid w:val="00332C11"/>
    <w:rsid w:val="00332DAD"/>
    <w:rsid w:val="00332E22"/>
    <w:rsid w:val="00332EF7"/>
    <w:rsid w:val="003330AC"/>
    <w:rsid w:val="003330C2"/>
    <w:rsid w:val="0033348B"/>
    <w:rsid w:val="00333A92"/>
    <w:rsid w:val="00334598"/>
    <w:rsid w:val="003348A0"/>
    <w:rsid w:val="00334ED6"/>
    <w:rsid w:val="0033501E"/>
    <w:rsid w:val="0033538A"/>
    <w:rsid w:val="00335670"/>
    <w:rsid w:val="00335E98"/>
    <w:rsid w:val="003366C9"/>
    <w:rsid w:val="003371B0"/>
    <w:rsid w:val="0033789E"/>
    <w:rsid w:val="00337D1B"/>
    <w:rsid w:val="00340114"/>
    <w:rsid w:val="00340DF1"/>
    <w:rsid w:val="003420F0"/>
    <w:rsid w:val="0034230E"/>
    <w:rsid w:val="003423A6"/>
    <w:rsid w:val="00342AE7"/>
    <w:rsid w:val="00342C35"/>
    <w:rsid w:val="0034333E"/>
    <w:rsid w:val="003433EB"/>
    <w:rsid w:val="00343BF5"/>
    <w:rsid w:val="00343F04"/>
    <w:rsid w:val="00344637"/>
    <w:rsid w:val="00345263"/>
    <w:rsid w:val="00345BE4"/>
    <w:rsid w:val="00345E12"/>
    <w:rsid w:val="00345EDA"/>
    <w:rsid w:val="00346018"/>
    <w:rsid w:val="00346E75"/>
    <w:rsid w:val="003470B3"/>
    <w:rsid w:val="00347285"/>
    <w:rsid w:val="00347424"/>
    <w:rsid w:val="0034763E"/>
    <w:rsid w:val="00350897"/>
    <w:rsid w:val="00351391"/>
    <w:rsid w:val="0035143A"/>
    <w:rsid w:val="003517F9"/>
    <w:rsid w:val="00351A40"/>
    <w:rsid w:val="00351BA9"/>
    <w:rsid w:val="00351F2E"/>
    <w:rsid w:val="003521A0"/>
    <w:rsid w:val="0035250E"/>
    <w:rsid w:val="00352DEA"/>
    <w:rsid w:val="003534CC"/>
    <w:rsid w:val="003536E9"/>
    <w:rsid w:val="00354944"/>
    <w:rsid w:val="00354F64"/>
    <w:rsid w:val="00354FA0"/>
    <w:rsid w:val="00355DC4"/>
    <w:rsid w:val="0035620E"/>
    <w:rsid w:val="003568E7"/>
    <w:rsid w:val="003575BE"/>
    <w:rsid w:val="00357D5C"/>
    <w:rsid w:val="00360345"/>
    <w:rsid w:val="003617CB"/>
    <w:rsid w:val="00361807"/>
    <w:rsid w:val="00361A05"/>
    <w:rsid w:val="003624C4"/>
    <w:rsid w:val="003629F4"/>
    <w:rsid w:val="00362B89"/>
    <w:rsid w:val="00363292"/>
    <w:rsid w:val="00363B00"/>
    <w:rsid w:val="00363BFC"/>
    <w:rsid w:val="00363F87"/>
    <w:rsid w:val="00364308"/>
    <w:rsid w:val="0036464B"/>
    <w:rsid w:val="003654AC"/>
    <w:rsid w:val="00365CEB"/>
    <w:rsid w:val="00366022"/>
    <w:rsid w:val="00366293"/>
    <w:rsid w:val="003665EF"/>
    <w:rsid w:val="003671DF"/>
    <w:rsid w:val="003675D3"/>
    <w:rsid w:val="00367F8E"/>
    <w:rsid w:val="003704C1"/>
    <w:rsid w:val="003705A9"/>
    <w:rsid w:val="003710CF"/>
    <w:rsid w:val="00371700"/>
    <w:rsid w:val="003722A5"/>
    <w:rsid w:val="003723C0"/>
    <w:rsid w:val="00372750"/>
    <w:rsid w:val="0037358A"/>
    <w:rsid w:val="00373BF7"/>
    <w:rsid w:val="00373E33"/>
    <w:rsid w:val="003748C4"/>
    <w:rsid w:val="003750D7"/>
    <w:rsid w:val="003750F6"/>
    <w:rsid w:val="00375D99"/>
    <w:rsid w:val="003760FC"/>
    <w:rsid w:val="003763BA"/>
    <w:rsid w:val="003768F4"/>
    <w:rsid w:val="00376B01"/>
    <w:rsid w:val="00376CF0"/>
    <w:rsid w:val="003775E3"/>
    <w:rsid w:val="00377650"/>
    <w:rsid w:val="00377CB1"/>
    <w:rsid w:val="003808D8"/>
    <w:rsid w:val="003811D5"/>
    <w:rsid w:val="0038146E"/>
    <w:rsid w:val="00381813"/>
    <w:rsid w:val="00382AAE"/>
    <w:rsid w:val="00383081"/>
    <w:rsid w:val="00383313"/>
    <w:rsid w:val="0038365C"/>
    <w:rsid w:val="0038369B"/>
    <w:rsid w:val="00383B78"/>
    <w:rsid w:val="003846BF"/>
    <w:rsid w:val="003849A3"/>
    <w:rsid w:val="00384E8F"/>
    <w:rsid w:val="00385553"/>
    <w:rsid w:val="00385659"/>
    <w:rsid w:val="00385A9D"/>
    <w:rsid w:val="00385D6E"/>
    <w:rsid w:val="00386D97"/>
    <w:rsid w:val="00387121"/>
    <w:rsid w:val="003902B1"/>
    <w:rsid w:val="00390437"/>
    <w:rsid w:val="003908D5"/>
    <w:rsid w:val="0039179C"/>
    <w:rsid w:val="0039369E"/>
    <w:rsid w:val="00393821"/>
    <w:rsid w:val="00394D96"/>
    <w:rsid w:val="0039513B"/>
    <w:rsid w:val="00396896"/>
    <w:rsid w:val="00396FD0"/>
    <w:rsid w:val="00397E0B"/>
    <w:rsid w:val="003A0606"/>
    <w:rsid w:val="003A1A7A"/>
    <w:rsid w:val="003A1F23"/>
    <w:rsid w:val="003A1F49"/>
    <w:rsid w:val="003A218A"/>
    <w:rsid w:val="003A21D0"/>
    <w:rsid w:val="003A2392"/>
    <w:rsid w:val="003A2831"/>
    <w:rsid w:val="003A2E30"/>
    <w:rsid w:val="003A2E52"/>
    <w:rsid w:val="003A3CB6"/>
    <w:rsid w:val="003A3ED1"/>
    <w:rsid w:val="003A44DB"/>
    <w:rsid w:val="003A48C4"/>
    <w:rsid w:val="003A4A2F"/>
    <w:rsid w:val="003A4C14"/>
    <w:rsid w:val="003A5031"/>
    <w:rsid w:val="003A54B2"/>
    <w:rsid w:val="003A5B32"/>
    <w:rsid w:val="003A5E93"/>
    <w:rsid w:val="003A6058"/>
    <w:rsid w:val="003A61D7"/>
    <w:rsid w:val="003A6494"/>
    <w:rsid w:val="003A770B"/>
    <w:rsid w:val="003A7739"/>
    <w:rsid w:val="003B0897"/>
    <w:rsid w:val="003B08EF"/>
    <w:rsid w:val="003B0F0E"/>
    <w:rsid w:val="003B3971"/>
    <w:rsid w:val="003B39A4"/>
    <w:rsid w:val="003B3D18"/>
    <w:rsid w:val="003B4C60"/>
    <w:rsid w:val="003B4DEB"/>
    <w:rsid w:val="003B507E"/>
    <w:rsid w:val="003B50CD"/>
    <w:rsid w:val="003B5392"/>
    <w:rsid w:val="003B55D1"/>
    <w:rsid w:val="003B5B61"/>
    <w:rsid w:val="003B72A6"/>
    <w:rsid w:val="003B7A90"/>
    <w:rsid w:val="003B7BCC"/>
    <w:rsid w:val="003C032D"/>
    <w:rsid w:val="003C05C3"/>
    <w:rsid w:val="003C0E92"/>
    <w:rsid w:val="003C1175"/>
    <w:rsid w:val="003C1290"/>
    <w:rsid w:val="003C1654"/>
    <w:rsid w:val="003C1C49"/>
    <w:rsid w:val="003C1CB7"/>
    <w:rsid w:val="003C21A6"/>
    <w:rsid w:val="003C21AF"/>
    <w:rsid w:val="003C2CC7"/>
    <w:rsid w:val="003C2DE2"/>
    <w:rsid w:val="003C2E40"/>
    <w:rsid w:val="003C30C4"/>
    <w:rsid w:val="003C39D4"/>
    <w:rsid w:val="003C3D98"/>
    <w:rsid w:val="003C411B"/>
    <w:rsid w:val="003C4CF7"/>
    <w:rsid w:val="003C4D97"/>
    <w:rsid w:val="003C5542"/>
    <w:rsid w:val="003C55E6"/>
    <w:rsid w:val="003C56E9"/>
    <w:rsid w:val="003C673A"/>
    <w:rsid w:val="003C6DF0"/>
    <w:rsid w:val="003C722D"/>
    <w:rsid w:val="003C7C15"/>
    <w:rsid w:val="003C7D19"/>
    <w:rsid w:val="003C7D2F"/>
    <w:rsid w:val="003D0777"/>
    <w:rsid w:val="003D0787"/>
    <w:rsid w:val="003D0B4B"/>
    <w:rsid w:val="003D0C5A"/>
    <w:rsid w:val="003D0D80"/>
    <w:rsid w:val="003D1828"/>
    <w:rsid w:val="003D1A39"/>
    <w:rsid w:val="003D1DE4"/>
    <w:rsid w:val="003D1E9A"/>
    <w:rsid w:val="003D2422"/>
    <w:rsid w:val="003D254F"/>
    <w:rsid w:val="003D25FC"/>
    <w:rsid w:val="003D3392"/>
    <w:rsid w:val="003D39A1"/>
    <w:rsid w:val="003D3FBF"/>
    <w:rsid w:val="003D4421"/>
    <w:rsid w:val="003D4A30"/>
    <w:rsid w:val="003D4B69"/>
    <w:rsid w:val="003D56AB"/>
    <w:rsid w:val="003D5B3F"/>
    <w:rsid w:val="003D5D47"/>
    <w:rsid w:val="003D6DB3"/>
    <w:rsid w:val="003D7452"/>
    <w:rsid w:val="003D79BB"/>
    <w:rsid w:val="003D7C98"/>
    <w:rsid w:val="003D7D9D"/>
    <w:rsid w:val="003E016C"/>
    <w:rsid w:val="003E0282"/>
    <w:rsid w:val="003E0543"/>
    <w:rsid w:val="003E0F95"/>
    <w:rsid w:val="003E1B3B"/>
    <w:rsid w:val="003E1CC1"/>
    <w:rsid w:val="003E240D"/>
    <w:rsid w:val="003E263E"/>
    <w:rsid w:val="003E2C27"/>
    <w:rsid w:val="003E2FAD"/>
    <w:rsid w:val="003E3F82"/>
    <w:rsid w:val="003E4E8E"/>
    <w:rsid w:val="003E5542"/>
    <w:rsid w:val="003E5603"/>
    <w:rsid w:val="003E67F7"/>
    <w:rsid w:val="003E749E"/>
    <w:rsid w:val="003E7ADB"/>
    <w:rsid w:val="003F037F"/>
    <w:rsid w:val="003F0DCD"/>
    <w:rsid w:val="003F17D1"/>
    <w:rsid w:val="003F2E83"/>
    <w:rsid w:val="003F3074"/>
    <w:rsid w:val="003F4156"/>
    <w:rsid w:val="003F46AC"/>
    <w:rsid w:val="003F4B04"/>
    <w:rsid w:val="003F4F9D"/>
    <w:rsid w:val="003F58DD"/>
    <w:rsid w:val="003F5ADF"/>
    <w:rsid w:val="003F6C3C"/>
    <w:rsid w:val="003F6E05"/>
    <w:rsid w:val="003F7984"/>
    <w:rsid w:val="003F7E51"/>
    <w:rsid w:val="00400B29"/>
    <w:rsid w:val="00401120"/>
    <w:rsid w:val="0040151F"/>
    <w:rsid w:val="0040173B"/>
    <w:rsid w:val="00401DFE"/>
    <w:rsid w:val="00402812"/>
    <w:rsid w:val="00403D7A"/>
    <w:rsid w:val="00403E1F"/>
    <w:rsid w:val="004043B6"/>
    <w:rsid w:val="00404FCD"/>
    <w:rsid w:val="0040501E"/>
    <w:rsid w:val="0040504B"/>
    <w:rsid w:val="00405094"/>
    <w:rsid w:val="004059F4"/>
    <w:rsid w:val="00405E79"/>
    <w:rsid w:val="00406D16"/>
    <w:rsid w:val="00406FEF"/>
    <w:rsid w:val="00407437"/>
    <w:rsid w:val="0040748F"/>
    <w:rsid w:val="00407FE5"/>
    <w:rsid w:val="004101B0"/>
    <w:rsid w:val="00410326"/>
    <w:rsid w:val="004106C4"/>
    <w:rsid w:val="00410708"/>
    <w:rsid w:val="00410EC7"/>
    <w:rsid w:val="00411239"/>
    <w:rsid w:val="00411B39"/>
    <w:rsid w:val="004127A7"/>
    <w:rsid w:val="00413254"/>
    <w:rsid w:val="00413A1E"/>
    <w:rsid w:val="00413C87"/>
    <w:rsid w:val="00414476"/>
    <w:rsid w:val="00414C2E"/>
    <w:rsid w:val="00414C99"/>
    <w:rsid w:val="004151CF"/>
    <w:rsid w:val="00415252"/>
    <w:rsid w:val="00415E60"/>
    <w:rsid w:val="00416364"/>
    <w:rsid w:val="00416FFF"/>
    <w:rsid w:val="004177D3"/>
    <w:rsid w:val="00420363"/>
    <w:rsid w:val="0042047F"/>
    <w:rsid w:val="00420A6E"/>
    <w:rsid w:val="00420AA6"/>
    <w:rsid w:val="00420B9F"/>
    <w:rsid w:val="0042134A"/>
    <w:rsid w:val="0042192C"/>
    <w:rsid w:val="00421F2E"/>
    <w:rsid w:val="00421F47"/>
    <w:rsid w:val="00422260"/>
    <w:rsid w:val="0042370F"/>
    <w:rsid w:val="004239AC"/>
    <w:rsid w:val="0042413F"/>
    <w:rsid w:val="00425E2E"/>
    <w:rsid w:val="004268EF"/>
    <w:rsid w:val="00426B25"/>
    <w:rsid w:val="00427782"/>
    <w:rsid w:val="00427E6B"/>
    <w:rsid w:val="0043088F"/>
    <w:rsid w:val="0043154F"/>
    <w:rsid w:val="00431624"/>
    <w:rsid w:val="004319F8"/>
    <w:rsid w:val="00431E55"/>
    <w:rsid w:val="00431FB1"/>
    <w:rsid w:val="004321F6"/>
    <w:rsid w:val="00432298"/>
    <w:rsid w:val="004325C1"/>
    <w:rsid w:val="004327EE"/>
    <w:rsid w:val="00432CF7"/>
    <w:rsid w:val="00433027"/>
    <w:rsid w:val="00433044"/>
    <w:rsid w:val="00434088"/>
    <w:rsid w:val="00434243"/>
    <w:rsid w:val="004348F7"/>
    <w:rsid w:val="00434D4A"/>
    <w:rsid w:val="004361BB"/>
    <w:rsid w:val="00436741"/>
    <w:rsid w:val="00436C52"/>
    <w:rsid w:val="00437498"/>
    <w:rsid w:val="004375B9"/>
    <w:rsid w:val="00440ABF"/>
    <w:rsid w:val="00442428"/>
    <w:rsid w:val="004428D0"/>
    <w:rsid w:val="00442C74"/>
    <w:rsid w:val="00442ED9"/>
    <w:rsid w:val="00444185"/>
    <w:rsid w:val="004443A7"/>
    <w:rsid w:val="0044442C"/>
    <w:rsid w:val="004446AD"/>
    <w:rsid w:val="0044587C"/>
    <w:rsid w:val="00445941"/>
    <w:rsid w:val="00445AA3"/>
    <w:rsid w:val="004464EB"/>
    <w:rsid w:val="004467D4"/>
    <w:rsid w:val="004467FD"/>
    <w:rsid w:val="00446A9D"/>
    <w:rsid w:val="004470EE"/>
    <w:rsid w:val="0044776E"/>
    <w:rsid w:val="004477C5"/>
    <w:rsid w:val="00447D26"/>
    <w:rsid w:val="00447DFC"/>
    <w:rsid w:val="00447F6E"/>
    <w:rsid w:val="004507B3"/>
    <w:rsid w:val="0045157E"/>
    <w:rsid w:val="0045236C"/>
    <w:rsid w:val="00452AE3"/>
    <w:rsid w:val="0045339E"/>
    <w:rsid w:val="00453F96"/>
    <w:rsid w:val="004543D1"/>
    <w:rsid w:val="00454F92"/>
    <w:rsid w:val="0045530D"/>
    <w:rsid w:val="004556BD"/>
    <w:rsid w:val="004557C3"/>
    <w:rsid w:val="00455933"/>
    <w:rsid w:val="00455D45"/>
    <w:rsid w:val="004567CD"/>
    <w:rsid w:val="00456F98"/>
    <w:rsid w:val="004605AC"/>
    <w:rsid w:val="00460D77"/>
    <w:rsid w:val="004610F4"/>
    <w:rsid w:val="0046148E"/>
    <w:rsid w:val="00461F5E"/>
    <w:rsid w:val="00461F7C"/>
    <w:rsid w:val="004620AB"/>
    <w:rsid w:val="00462297"/>
    <w:rsid w:val="00462629"/>
    <w:rsid w:val="00462A12"/>
    <w:rsid w:val="004633D8"/>
    <w:rsid w:val="00464595"/>
    <w:rsid w:val="004645FA"/>
    <w:rsid w:val="00464737"/>
    <w:rsid w:val="004652BE"/>
    <w:rsid w:val="004653C7"/>
    <w:rsid w:val="00465728"/>
    <w:rsid w:val="004658B5"/>
    <w:rsid w:val="00465B17"/>
    <w:rsid w:val="004663A8"/>
    <w:rsid w:val="004671E3"/>
    <w:rsid w:val="00467D42"/>
    <w:rsid w:val="00470B9C"/>
    <w:rsid w:val="00470DA3"/>
    <w:rsid w:val="00470DA4"/>
    <w:rsid w:val="00471EA5"/>
    <w:rsid w:val="00472075"/>
    <w:rsid w:val="00472A3F"/>
    <w:rsid w:val="00472A79"/>
    <w:rsid w:val="00472F52"/>
    <w:rsid w:val="0047318C"/>
    <w:rsid w:val="0047373A"/>
    <w:rsid w:val="0047373E"/>
    <w:rsid w:val="00473971"/>
    <w:rsid w:val="00473F19"/>
    <w:rsid w:val="0047496C"/>
    <w:rsid w:val="004752C9"/>
    <w:rsid w:val="004756EE"/>
    <w:rsid w:val="0047595D"/>
    <w:rsid w:val="00475E22"/>
    <w:rsid w:val="00476776"/>
    <w:rsid w:val="00477364"/>
    <w:rsid w:val="00477D89"/>
    <w:rsid w:val="004800A7"/>
    <w:rsid w:val="004804AB"/>
    <w:rsid w:val="004805DF"/>
    <w:rsid w:val="0048088E"/>
    <w:rsid w:val="00480B3E"/>
    <w:rsid w:val="00480F2B"/>
    <w:rsid w:val="004812C3"/>
    <w:rsid w:val="004814F6"/>
    <w:rsid w:val="00482554"/>
    <w:rsid w:val="00482720"/>
    <w:rsid w:val="00483548"/>
    <w:rsid w:val="004835E7"/>
    <w:rsid w:val="00483A15"/>
    <w:rsid w:val="004841F2"/>
    <w:rsid w:val="004856D6"/>
    <w:rsid w:val="004859E1"/>
    <w:rsid w:val="00485B81"/>
    <w:rsid w:val="00485BF0"/>
    <w:rsid w:val="00485C76"/>
    <w:rsid w:val="00486103"/>
    <w:rsid w:val="004867E2"/>
    <w:rsid w:val="0049040D"/>
    <w:rsid w:val="004905E9"/>
    <w:rsid w:val="00490B17"/>
    <w:rsid w:val="004917A8"/>
    <w:rsid w:val="00491B3A"/>
    <w:rsid w:val="00492CFD"/>
    <w:rsid w:val="00492E9E"/>
    <w:rsid w:val="00493EB3"/>
    <w:rsid w:val="00494047"/>
    <w:rsid w:val="00494207"/>
    <w:rsid w:val="004946B7"/>
    <w:rsid w:val="00494DD5"/>
    <w:rsid w:val="00495144"/>
    <w:rsid w:val="004959FA"/>
    <w:rsid w:val="00495C14"/>
    <w:rsid w:val="00495C93"/>
    <w:rsid w:val="00495F2D"/>
    <w:rsid w:val="00495F37"/>
    <w:rsid w:val="0049600F"/>
    <w:rsid w:val="004962D2"/>
    <w:rsid w:val="00496C91"/>
    <w:rsid w:val="00497141"/>
    <w:rsid w:val="004A00B0"/>
    <w:rsid w:val="004A01D2"/>
    <w:rsid w:val="004A0586"/>
    <w:rsid w:val="004A067B"/>
    <w:rsid w:val="004A06BE"/>
    <w:rsid w:val="004A0CA8"/>
    <w:rsid w:val="004A0DA1"/>
    <w:rsid w:val="004A13D6"/>
    <w:rsid w:val="004A185A"/>
    <w:rsid w:val="004A356A"/>
    <w:rsid w:val="004A3773"/>
    <w:rsid w:val="004A3825"/>
    <w:rsid w:val="004A4613"/>
    <w:rsid w:val="004A4EF6"/>
    <w:rsid w:val="004A52E9"/>
    <w:rsid w:val="004A5949"/>
    <w:rsid w:val="004A6040"/>
    <w:rsid w:val="004A6597"/>
    <w:rsid w:val="004A7848"/>
    <w:rsid w:val="004A793B"/>
    <w:rsid w:val="004A7BDF"/>
    <w:rsid w:val="004A7D8F"/>
    <w:rsid w:val="004A7F50"/>
    <w:rsid w:val="004B06B9"/>
    <w:rsid w:val="004B06DC"/>
    <w:rsid w:val="004B15FA"/>
    <w:rsid w:val="004B1CB4"/>
    <w:rsid w:val="004B20DF"/>
    <w:rsid w:val="004B2CCD"/>
    <w:rsid w:val="004B2D48"/>
    <w:rsid w:val="004B2F18"/>
    <w:rsid w:val="004B3645"/>
    <w:rsid w:val="004B3CB3"/>
    <w:rsid w:val="004B3CE7"/>
    <w:rsid w:val="004B3DDB"/>
    <w:rsid w:val="004B44FD"/>
    <w:rsid w:val="004B5A02"/>
    <w:rsid w:val="004B5B66"/>
    <w:rsid w:val="004B5CFC"/>
    <w:rsid w:val="004B6F79"/>
    <w:rsid w:val="004B774D"/>
    <w:rsid w:val="004C07C3"/>
    <w:rsid w:val="004C15DC"/>
    <w:rsid w:val="004C1F26"/>
    <w:rsid w:val="004C2952"/>
    <w:rsid w:val="004C2AC2"/>
    <w:rsid w:val="004C3E8C"/>
    <w:rsid w:val="004C4492"/>
    <w:rsid w:val="004C4554"/>
    <w:rsid w:val="004C49AC"/>
    <w:rsid w:val="004C4AED"/>
    <w:rsid w:val="004C5B5D"/>
    <w:rsid w:val="004C6FC4"/>
    <w:rsid w:val="004C7A22"/>
    <w:rsid w:val="004C7D47"/>
    <w:rsid w:val="004D0C97"/>
    <w:rsid w:val="004D1100"/>
    <w:rsid w:val="004D149E"/>
    <w:rsid w:val="004D2130"/>
    <w:rsid w:val="004D2C2D"/>
    <w:rsid w:val="004D4B28"/>
    <w:rsid w:val="004D50D8"/>
    <w:rsid w:val="004D587A"/>
    <w:rsid w:val="004D58D9"/>
    <w:rsid w:val="004D617B"/>
    <w:rsid w:val="004D69B5"/>
    <w:rsid w:val="004D7227"/>
    <w:rsid w:val="004D7B5E"/>
    <w:rsid w:val="004E0758"/>
    <w:rsid w:val="004E077F"/>
    <w:rsid w:val="004E0E7F"/>
    <w:rsid w:val="004E0EB8"/>
    <w:rsid w:val="004E1837"/>
    <w:rsid w:val="004E18E9"/>
    <w:rsid w:val="004E1D1B"/>
    <w:rsid w:val="004E21C9"/>
    <w:rsid w:val="004E2297"/>
    <w:rsid w:val="004E284D"/>
    <w:rsid w:val="004E2ADC"/>
    <w:rsid w:val="004E2DD3"/>
    <w:rsid w:val="004E2EC6"/>
    <w:rsid w:val="004E337C"/>
    <w:rsid w:val="004E39CE"/>
    <w:rsid w:val="004E3A47"/>
    <w:rsid w:val="004E3A86"/>
    <w:rsid w:val="004E3F19"/>
    <w:rsid w:val="004E4251"/>
    <w:rsid w:val="004E43B2"/>
    <w:rsid w:val="004E5D98"/>
    <w:rsid w:val="004E6170"/>
    <w:rsid w:val="004E64B8"/>
    <w:rsid w:val="004E7207"/>
    <w:rsid w:val="004E7819"/>
    <w:rsid w:val="004E7F45"/>
    <w:rsid w:val="004F0718"/>
    <w:rsid w:val="004F0D04"/>
    <w:rsid w:val="004F0E49"/>
    <w:rsid w:val="004F1D02"/>
    <w:rsid w:val="004F2078"/>
    <w:rsid w:val="004F20D9"/>
    <w:rsid w:val="004F2679"/>
    <w:rsid w:val="004F2F21"/>
    <w:rsid w:val="004F36E2"/>
    <w:rsid w:val="004F36F5"/>
    <w:rsid w:val="004F3DE5"/>
    <w:rsid w:val="004F4983"/>
    <w:rsid w:val="004F57A8"/>
    <w:rsid w:val="004F59AA"/>
    <w:rsid w:val="004F5EBB"/>
    <w:rsid w:val="004F6008"/>
    <w:rsid w:val="004F62B2"/>
    <w:rsid w:val="004F63D2"/>
    <w:rsid w:val="004F6691"/>
    <w:rsid w:val="004F6913"/>
    <w:rsid w:val="004F6C18"/>
    <w:rsid w:val="004F717F"/>
    <w:rsid w:val="004F7297"/>
    <w:rsid w:val="004F7865"/>
    <w:rsid w:val="004F79A9"/>
    <w:rsid w:val="004F79F7"/>
    <w:rsid w:val="004F7A6E"/>
    <w:rsid w:val="00500526"/>
    <w:rsid w:val="00500681"/>
    <w:rsid w:val="00500E35"/>
    <w:rsid w:val="00501076"/>
    <w:rsid w:val="0050165D"/>
    <w:rsid w:val="0050174E"/>
    <w:rsid w:val="00501854"/>
    <w:rsid w:val="0050219B"/>
    <w:rsid w:val="00503DC8"/>
    <w:rsid w:val="00503F17"/>
    <w:rsid w:val="00503F3A"/>
    <w:rsid w:val="00504AEB"/>
    <w:rsid w:val="0050544D"/>
    <w:rsid w:val="00505A36"/>
    <w:rsid w:val="00505CC3"/>
    <w:rsid w:val="0050636F"/>
    <w:rsid w:val="005063F2"/>
    <w:rsid w:val="00506574"/>
    <w:rsid w:val="00506928"/>
    <w:rsid w:val="00506C9A"/>
    <w:rsid w:val="00507040"/>
    <w:rsid w:val="00507643"/>
    <w:rsid w:val="005077EF"/>
    <w:rsid w:val="00507B75"/>
    <w:rsid w:val="00507DBC"/>
    <w:rsid w:val="00507E6F"/>
    <w:rsid w:val="00510044"/>
    <w:rsid w:val="00510166"/>
    <w:rsid w:val="005105C7"/>
    <w:rsid w:val="0051168F"/>
    <w:rsid w:val="00511AD5"/>
    <w:rsid w:val="00511CE1"/>
    <w:rsid w:val="00511DA1"/>
    <w:rsid w:val="00511DC7"/>
    <w:rsid w:val="00512502"/>
    <w:rsid w:val="00512741"/>
    <w:rsid w:val="00512896"/>
    <w:rsid w:val="005129A4"/>
    <w:rsid w:val="00513C6E"/>
    <w:rsid w:val="005142C5"/>
    <w:rsid w:val="0051501B"/>
    <w:rsid w:val="005152B5"/>
    <w:rsid w:val="00515886"/>
    <w:rsid w:val="00515914"/>
    <w:rsid w:val="00515964"/>
    <w:rsid w:val="0052123C"/>
    <w:rsid w:val="00521319"/>
    <w:rsid w:val="00521B23"/>
    <w:rsid w:val="00522ADF"/>
    <w:rsid w:val="00522BC8"/>
    <w:rsid w:val="00522CB4"/>
    <w:rsid w:val="00522EE2"/>
    <w:rsid w:val="00523564"/>
    <w:rsid w:val="00523B58"/>
    <w:rsid w:val="00523C28"/>
    <w:rsid w:val="00524148"/>
    <w:rsid w:val="00524BEB"/>
    <w:rsid w:val="0053077A"/>
    <w:rsid w:val="0053141F"/>
    <w:rsid w:val="0053176B"/>
    <w:rsid w:val="00532C20"/>
    <w:rsid w:val="0053363F"/>
    <w:rsid w:val="00533C22"/>
    <w:rsid w:val="005341B3"/>
    <w:rsid w:val="005341FA"/>
    <w:rsid w:val="00534358"/>
    <w:rsid w:val="005349E1"/>
    <w:rsid w:val="00535B93"/>
    <w:rsid w:val="005367D8"/>
    <w:rsid w:val="00536E44"/>
    <w:rsid w:val="00536EA6"/>
    <w:rsid w:val="00536F42"/>
    <w:rsid w:val="00537182"/>
    <w:rsid w:val="00540A28"/>
    <w:rsid w:val="005417E1"/>
    <w:rsid w:val="00541EDD"/>
    <w:rsid w:val="00542600"/>
    <w:rsid w:val="00542743"/>
    <w:rsid w:val="00542C2D"/>
    <w:rsid w:val="00542E11"/>
    <w:rsid w:val="005438C4"/>
    <w:rsid w:val="0054465C"/>
    <w:rsid w:val="00544983"/>
    <w:rsid w:val="00544B1D"/>
    <w:rsid w:val="00544F34"/>
    <w:rsid w:val="00544F38"/>
    <w:rsid w:val="00545B78"/>
    <w:rsid w:val="00546914"/>
    <w:rsid w:val="00547217"/>
    <w:rsid w:val="0054785D"/>
    <w:rsid w:val="005478BD"/>
    <w:rsid w:val="005479E3"/>
    <w:rsid w:val="00550089"/>
    <w:rsid w:val="00550750"/>
    <w:rsid w:val="0055120C"/>
    <w:rsid w:val="005516FF"/>
    <w:rsid w:val="00551914"/>
    <w:rsid w:val="00551985"/>
    <w:rsid w:val="0055270C"/>
    <w:rsid w:val="00552BD3"/>
    <w:rsid w:val="005532A0"/>
    <w:rsid w:val="00554885"/>
    <w:rsid w:val="00554D87"/>
    <w:rsid w:val="00554F1F"/>
    <w:rsid w:val="00555109"/>
    <w:rsid w:val="0055570A"/>
    <w:rsid w:val="00555714"/>
    <w:rsid w:val="00556B35"/>
    <w:rsid w:val="0055741A"/>
    <w:rsid w:val="0056080E"/>
    <w:rsid w:val="005611B7"/>
    <w:rsid w:val="005613CE"/>
    <w:rsid w:val="005618D4"/>
    <w:rsid w:val="00561A42"/>
    <w:rsid w:val="005624D9"/>
    <w:rsid w:val="0056278D"/>
    <w:rsid w:val="00563026"/>
    <w:rsid w:val="0056334B"/>
    <w:rsid w:val="00563420"/>
    <w:rsid w:val="005638BC"/>
    <w:rsid w:val="00564604"/>
    <w:rsid w:val="00564867"/>
    <w:rsid w:val="00564933"/>
    <w:rsid w:val="0056534D"/>
    <w:rsid w:val="00565B7D"/>
    <w:rsid w:val="00565C79"/>
    <w:rsid w:val="00565DF0"/>
    <w:rsid w:val="0056696F"/>
    <w:rsid w:val="00567431"/>
    <w:rsid w:val="0057011B"/>
    <w:rsid w:val="0057056F"/>
    <w:rsid w:val="00571FCA"/>
    <w:rsid w:val="00572269"/>
    <w:rsid w:val="0057244A"/>
    <w:rsid w:val="00572602"/>
    <w:rsid w:val="0057289B"/>
    <w:rsid w:val="00572ABF"/>
    <w:rsid w:val="00572F26"/>
    <w:rsid w:val="0057314F"/>
    <w:rsid w:val="00574B89"/>
    <w:rsid w:val="005750C5"/>
    <w:rsid w:val="005752DE"/>
    <w:rsid w:val="005756C4"/>
    <w:rsid w:val="00575D60"/>
    <w:rsid w:val="00575D8D"/>
    <w:rsid w:val="00575F0D"/>
    <w:rsid w:val="00576972"/>
    <w:rsid w:val="00577248"/>
    <w:rsid w:val="005773C0"/>
    <w:rsid w:val="00577527"/>
    <w:rsid w:val="00577B31"/>
    <w:rsid w:val="0058053A"/>
    <w:rsid w:val="00580891"/>
    <w:rsid w:val="00580AEA"/>
    <w:rsid w:val="00580E23"/>
    <w:rsid w:val="00581042"/>
    <w:rsid w:val="00581597"/>
    <w:rsid w:val="00581FB3"/>
    <w:rsid w:val="00582439"/>
    <w:rsid w:val="00582B44"/>
    <w:rsid w:val="0058328A"/>
    <w:rsid w:val="00583699"/>
    <w:rsid w:val="0058374B"/>
    <w:rsid w:val="00584240"/>
    <w:rsid w:val="005851F9"/>
    <w:rsid w:val="00585751"/>
    <w:rsid w:val="00585885"/>
    <w:rsid w:val="00585CDD"/>
    <w:rsid w:val="00585D74"/>
    <w:rsid w:val="00585E96"/>
    <w:rsid w:val="00587058"/>
    <w:rsid w:val="00587884"/>
    <w:rsid w:val="00590C94"/>
    <w:rsid w:val="005917B9"/>
    <w:rsid w:val="00591845"/>
    <w:rsid w:val="00591957"/>
    <w:rsid w:val="0059208C"/>
    <w:rsid w:val="005923FD"/>
    <w:rsid w:val="005933BF"/>
    <w:rsid w:val="00593951"/>
    <w:rsid w:val="00594CE1"/>
    <w:rsid w:val="005955DC"/>
    <w:rsid w:val="0059636B"/>
    <w:rsid w:val="00596551"/>
    <w:rsid w:val="005968DF"/>
    <w:rsid w:val="0059703E"/>
    <w:rsid w:val="005973E8"/>
    <w:rsid w:val="00597BF9"/>
    <w:rsid w:val="005A0C11"/>
    <w:rsid w:val="005A0D55"/>
    <w:rsid w:val="005A1F44"/>
    <w:rsid w:val="005A242C"/>
    <w:rsid w:val="005A28D2"/>
    <w:rsid w:val="005A309A"/>
    <w:rsid w:val="005A373D"/>
    <w:rsid w:val="005A38F3"/>
    <w:rsid w:val="005A4497"/>
    <w:rsid w:val="005A4527"/>
    <w:rsid w:val="005A459D"/>
    <w:rsid w:val="005A5E0A"/>
    <w:rsid w:val="005A5F41"/>
    <w:rsid w:val="005A6EEA"/>
    <w:rsid w:val="005B0B58"/>
    <w:rsid w:val="005B0D53"/>
    <w:rsid w:val="005B0E65"/>
    <w:rsid w:val="005B1447"/>
    <w:rsid w:val="005B1673"/>
    <w:rsid w:val="005B1B69"/>
    <w:rsid w:val="005B201B"/>
    <w:rsid w:val="005B255C"/>
    <w:rsid w:val="005B4093"/>
    <w:rsid w:val="005B4605"/>
    <w:rsid w:val="005B4E53"/>
    <w:rsid w:val="005B4F98"/>
    <w:rsid w:val="005B5076"/>
    <w:rsid w:val="005B5619"/>
    <w:rsid w:val="005B5857"/>
    <w:rsid w:val="005B6EEE"/>
    <w:rsid w:val="005B7B32"/>
    <w:rsid w:val="005C0206"/>
    <w:rsid w:val="005C05F4"/>
    <w:rsid w:val="005C0B1E"/>
    <w:rsid w:val="005C0D38"/>
    <w:rsid w:val="005C0DF6"/>
    <w:rsid w:val="005C1560"/>
    <w:rsid w:val="005C173A"/>
    <w:rsid w:val="005C19C4"/>
    <w:rsid w:val="005C1B83"/>
    <w:rsid w:val="005C1BDC"/>
    <w:rsid w:val="005C1FBA"/>
    <w:rsid w:val="005C22A3"/>
    <w:rsid w:val="005C234C"/>
    <w:rsid w:val="005C25FF"/>
    <w:rsid w:val="005C2D55"/>
    <w:rsid w:val="005C3455"/>
    <w:rsid w:val="005C346B"/>
    <w:rsid w:val="005C435D"/>
    <w:rsid w:val="005C4842"/>
    <w:rsid w:val="005C5ABC"/>
    <w:rsid w:val="005C648E"/>
    <w:rsid w:val="005C6902"/>
    <w:rsid w:val="005C7025"/>
    <w:rsid w:val="005C7535"/>
    <w:rsid w:val="005C7602"/>
    <w:rsid w:val="005D03E7"/>
    <w:rsid w:val="005D044D"/>
    <w:rsid w:val="005D0ABD"/>
    <w:rsid w:val="005D0EAB"/>
    <w:rsid w:val="005D1657"/>
    <w:rsid w:val="005D1787"/>
    <w:rsid w:val="005D18AD"/>
    <w:rsid w:val="005D191D"/>
    <w:rsid w:val="005D19E8"/>
    <w:rsid w:val="005D1A14"/>
    <w:rsid w:val="005D25ED"/>
    <w:rsid w:val="005D26B4"/>
    <w:rsid w:val="005D27DD"/>
    <w:rsid w:val="005D2817"/>
    <w:rsid w:val="005D28CF"/>
    <w:rsid w:val="005D3295"/>
    <w:rsid w:val="005D34FA"/>
    <w:rsid w:val="005D36A5"/>
    <w:rsid w:val="005D4181"/>
    <w:rsid w:val="005D5E49"/>
    <w:rsid w:val="005D5EE9"/>
    <w:rsid w:val="005D62C0"/>
    <w:rsid w:val="005D6463"/>
    <w:rsid w:val="005D68DC"/>
    <w:rsid w:val="005D68EC"/>
    <w:rsid w:val="005D70AF"/>
    <w:rsid w:val="005D73EB"/>
    <w:rsid w:val="005D74C5"/>
    <w:rsid w:val="005D775F"/>
    <w:rsid w:val="005D79F4"/>
    <w:rsid w:val="005E01EA"/>
    <w:rsid w:val="005E06F1"/>
    <w:rsid w:val="005E0A5A"/>
    <w:rsid w:val="005E0D82"/>
    <w:rsid w:val="005E1509"/>
    <w:rsid w:val="005E16DA"/>
    <w:rsid w:val="005E1797"/>
    <w:rsid w:val="005E18B2"/>
    <w:rsid w:val="005E1995"/>
    <w:rsid w:val="005E2542"/>
    <w:rsid w:val="005E2BCC"/>
    <w:rsid w:val="005E2D7D"/>
    <w:rsid w:val="005E3133"/>
    <w:rsid w:val="005E3277"/>
    <w:rsid w:val="005E4B5B"/>
    <w:rsid w:val="005E4C08"/>
    <w:rsid w:val="005E55FC"/>
    <w:rsid w:val="005E578C"/>
    <w:rsid w:val="005E5A71"/>
    <w:rsid w:val="005E6CBC"/>
    <w:rsid w:val="005E72FF"/>
    <w:rsid w:val="005E73C0"/>
    <w:rsid w:val="005E7654"/>
    <w:rsid w:val="005E7735"/>
    <w:rsid w:val="005E7896"/>
    <w:rsid w:val="005E7C1C"/>
    <w:rsid w:val="005F07ED"/>
    <w:rsid w:val="005F162F"/>
    <w:rsid w:val="005F1772"/>
    <w:rsid w:val="005F1C09"/>
    <w:rsid w:val="005F2302"/>
    <w:rsid w:val="005F267F"/>
    <w:rsid w:val="005F2706"/>
    <w:rsid w:val="005F30FB"/>
    <w:rsid w:val="005F4412"/>
    <w:rsid w:val="005F4938"/>
    <w:rsid w:val="005F4970"/>
    <w:rsid w:val="005F513A"/>
    <w:rsid w:val="005F518B"/>
    <w:rsid w:val="005F5C4D"/>
    <w:rsid w:val="005F60DC"/>
    <w:rsid w:val="005F6A8F"/>
    <w:rsid w:val="005F6BB7"/>
    <w:rsid w:val="005F7025"/>
    <w:rsid w:val="005F7493"/>
    <w:rsid w:val="005F7588"/>
    <w:rsid w:val="00600C98"/>
    <w:rsid w:val="00603248"/>
    <w:rsid w:val="006038D3"/>
    <w:rsid w:val="00603C86"/>
    <w:rsid w:val="00603DB9"/>
    <w:rsid w:val="00603F43"/>
    <w:rsid w:val="00604116"/>
    <w:rsid w:val="00604318"/>
    <w:rsid w:val="00604556"/>
    <w:rsid w:val="00604C42"/>
    <w:rsid w:val="0060520C"/>
    <w:rsid w:val="00605DE7"/>
    <w:rsid w:val="00605F9B"/>
    <w:rsid w:val="006063E5"/>
    <w:rsid w:val="00606FBA"/>
    <w:rsid w:val="00607561"/>
    <w:rsid w:val="00607669"/>
    <w:rsid w:val="006076F4"/>
    <w:rsid w:val="006079B3"/>
    <w:rsid w:val="00607AFD"/>
    <w:rsid w:val="00607DAF"/>
    <w:rsid w:val="00610267"/>
    <w:rsid w:val="0061035E"/>
    <w:rsid w:val="006107AB"/>
    <w:rsid w:val="00610BE6"/>
    <w:rsid w:val="006117D3"/>
    <w:rsid w:val="006118FF"/>
    <w:rsid w:val="00611B12"/>
    <w:rsid w:val="00611FDB"/>
    <w:rsid w:val="006125A6"/>
    <w:rsid w:val="00612D7A"/>
    <w:rsid w:val="00612F97"/>
    <w:rsid w:val="0061345D"/>
    <w:rsid w:val="00613E54"/>
    <w:rsid w:val="00614187"/>
    <w:rsid w:val="006143D4"/>
    <w:rsid w:val="00614AE3"/>
    <w:rsid w:val="0061549B"/>
    <w:rsid w:val="00615831"/>
    <w:rsid w:val="00615920"/>
    <w:rsid w:val="00615D13"/>
    <w:rsid w:val="00616802"/>
    <w:rsid w:val="00617E12"/>
    <w:rsid w:val="0062029C"/>
    <w:rsid w:val="00620C25"/>
    <w:rsid w:val="006211FD"/>
    <w:rsid w:val="00621477"/>
    <w:rsid w:val="006214B1"/>
    <w:rsid w:val="00621736"/>
    <w:rsid w:val="00621ADA"/>
    <w:rsid w:val="00621BEA"/>
    <w:rsid w:val="00622162"/>
    <w:rsid w:val="006236F8"/>
    <w:rsid w:val="00623B62"/>
    <w:rsid w:val="00623F7B"/>
    <w:rsid w:val="00624BD4"/>
    <w:rsid w:val="00625E2C"/>
    <w:rsid w:val="006261DD"/>
    <w:rsid w:val="006265C5"/>
    <w:rsid w:val="006267C6"/>
    <w:rsid w:val="00626D61"/>
    <w:rsid w:val="00627259"/>
    <w:rsid w:val="00627A83"/>
    <w:rsid w:val="0063002E"/>
    <w:rsid w:val="00630E24"/>
    <w:rsid w:val="0063158F"/>
    <w:rsid w:val="00631D6B"/>
    <w:rsid w:val="00632174"/>
    <w:rsid w:val="00632183"/>
    <w:rsid w:val="006330A1"/>
    <w:rsid w:val="006331FF"/>
    <w:rsid w:val="00633D48"/>
    <w:rsid w:val="00633F41"/>
    <w:rsid w:val="0063479F"/>
    <w:rsid w:val="006353F0"/>
    <w:rsid w:val="00635435"/>
    <w:rsid w:val="006354E5"/>
    <w:rsid w:val="006355C9"/>
    <w:rsid w:val="006357B5"/>
    <w:rsid w:val="006358DB"/>
    <w:rsid w:val="00635BD0"/>
    <w:rsid w:val="00635DBC"/>
    <w:rsid w:val="00635E04"/>
    <w:rsid w:val="00635E3C"/>
    <w:rsid w:val="00635F76"/>
    <w:rsid w:val="006364A1"/>
    <w:rsid w:val="0063678E"/>
    <w:rsid w:val="00637546"/>
    <w:rsid w:val="006379AB"/>
    <w:rsid w:val="00637B62"/>
    <w:rsid w:val="00637BFD"/>
    <w:rsid w:val="00637C5C"/>
    <w:rsid w:val="00637E33"/>
    <w:rsid w:val="00640E9B"/>
    <w:rsid w:val="00641C40"/>
    <w:rsid w:val="00641C4E"/>
    <w:rsid w:val="00641FB3"/>
    <w:rsid w:val="00643C7C"/>
    <w:rsid w:val="00643E03"/>
    <w:rsid w:val="00643F3D"/>
    <w:rsid w:val="0064434C"/>
    <w:rsid w:val="00644710"/>
    <w:rsid w:val="006448BE"/>
    <w:rsid w:val="00644AAE"/>
    <w:rsid w:val="00644C41"/>
    <w:rsid w:val="00645806"/>
    <w:rsid w:val="00646DE9"/>
    <w:rsid w:val="006471CC"/>
    <w:rsid w:val="00647220"/>
    <w:rsid w:val="006472FE"/>
    <w:rsid w:val="006475AA"/>
    <w:rsid w:val="0064792D"/>
    <w:rsid w:val="00647A29"/>
    <w:rsid w:val="00647ECA"/>
    <w:rsid w:val="0065079F"/>
    <w:rsid w:val="00651175"/>
    <w:rsid w:val="00652A28"/>
    <w:rsid w:val="006532A1"/>
    <w:rsid w:val="0065379F"/>
    <w:rsid w:val="006537D3"/>
    <w:rsid w:val="006540D0"/>
    <w:rsid w:val="00655C99"/>
    <w:rsid w:val="00655EDF"/>
    <w:rsid w:val="00656188"/>
    <w:rsid w:val="0065715A"/>
    <w:rsid w:val="00657233"/>
    <w:rsid w:val="00657B12"/>
    <w:rsid w:val="00660286"/>
    <w:rsid w:val="0066051D"/>
    <w:rsid w:val="006608A6"/>
    <w:rsid w:val="0066109B"/>
    <w:rsid w:val="006610F1"/>
    <w:rsid w:val="006612EF"/>
    <w:rsid w:val="00661C0B"/>
    <w:rsid w:val="00661C6B"/>
    <w:rsid w:val="00662D3E"/>
    <w:rsid w:val="00662E1B"/>
    <w:rsid w:val="00663EB7"/>
    <w:rsid w:val="00665A74"/>
    <w:rsid w:val="00666C62"/>
    <w:rsid w:val="00666DF5"/>
    <w:rsid w:val="006670C8"/>
    <w:rsid w:val="006674BA"/>
    <w:rsid w:val="00667717"/>
    <w:rsid w:val="00667BE3"/>
    <w:rsid w:val="00671004"/>
    <w:rsid w:val="00671521"/>
    <w:rsid w:val="006718F7"/>
    <w:rsid w:val="00671D99"/>
    <w:rsid w:val="00672646"/>
    <w:rsid w:val="006729AE"/>
    <w:rsid w:val="006730C2"/>
    <w:rsid w:val="0067311F"/>
    <w:rsid w:val="006733F2"/>
    <w:rsid w:val="00674161"/>
    <w:rsid w:val="00674C2C"/>
    <w:rsid w:val="00674DCF"/>
    <w:rsid w:val="00674E42"/>
    <w:rsid w:val="00675725"/>
    <w:rsid w:val="00675A93"/>
    <w:rsid w:val="00675CC1"/>
    <w:rsid w:val="00675FC1"/>
    <w:rsid w:val="0067646E"/>
    <w:rsid w:val="00676563"/>
    <w:rsid w:val="0067779B"/>
    <w:rsid w:val="006804FA"/>
    <w:rsid w:val="006808BF"/>
    <w:rsid w:val="006813F8"/>
    <w:rsid w:val="0068149D"/>
    <w:rsid w:val="00681B2E"/>
    <w:rsid w:val="00682112"/>
    <w:rsid w:val="006822BD"/>
    <w:rsid w:val="00682BA6"/>
    <w:rsid w:val="00682FA8"/>
    <w:rsid w:val="00683384"/>
    <w:rsid w:val="00684BD1"/>
    <w:rsid w:val="00685A38"/>
    <w:rsid w:val="00686013"/>
    <w:rsid w:val="00686181"/>
    <w:rsid w:val="00686606"/>
    <w:rsid w:val="00686957"/>
    <w:rsid w:val="00686FF1"/>
    <w:rsid w:val="00686FFC"/>
    <w:rsid w:val="00687083"/>
    <w:rsid w:val="006872BA"/>
    <w:rsid w:val="006874BF"/>
    <w:rsid w:val="00690646"/>
    <w:rsid w:val="00690795"/>
    <w:rsid w:val="00690FD6"/>
    <w:rsid w:val="00691291"/>
    <w:rsid w:val="00691428"/>
    <w:rsid w:val="00691648"/>
    <w:rsid w:val="006917D7"/>
    <w:rsid w:val="00691BFF"/>
    <w:rsid w:val="0069265A"/>
    <w:rsid w:val="0069293E"/>
    <w:rsid w:val="00692C7C"/>
    <w:rsid w:val="00692E20"/>
    <w:rsid w:val="00693A00"/>
    <w:rsid w:val="00693FAF"/>
    <w:rsid w:val="0069434C"/>
    <w:rsid w:val="0069453F"/>
    <w:rsid w:val="00694F44"/>
    <w:rsid w:val="00695570"/>
    <w:rsid w:val="00695FE9"/>
    <w:rsid w:val="00696449"/>
    <w:rsid w:val="00696EF9"/>
    <w:rsid w:val="00696F51"/>
    <w:rsid w:val="006979A5"/>
    <w:rsid w:val="006A016F"/>
    <w:rsid w:val="006A03AA"/>
    <w:rsid w:val="006A0DF7"/>
    <w:rsid w:val="006A28C1"/>
    <w:rsid w:val="006A3799"/>
    <w:rsid w:val="006A3A9D"/>
    <w:rsid w:val="006A41FD"/>
    <w:rsid w:val="006A4321"/>
    <w:rsid w:val="006A43D9"/>
    <w:rsid w:val="006A4506"/>
    <w:rsid w:val="006A5132"/>
    <w:rsid w:val="006A54DE"/>
    <w:rsid w:val="006A58CB"/>
    <w:rsid w:val="006A6359"/>
    <w:rsid w:val="006A6B99"/>
    <w:rsid w:val="006A749B"/>
    <w:rsid w:val="006A7D89"/>
    <w:rsid w:val="006A7E5F"/>
    <w:rsid w:val="006B04E5"/>
    <w:rsid w:val="006B08DE"/>
    <w:rsid w:val="006B261B"/>
    <w:rsid w:val="006B2882"/>
    <w:rsid w:val="006B2AED"/>
    <w:rsid w:val="006B2C90"/>
    <w:rsid w:val="006B2F0D"/>
    <w:rsid w:val="006B3102"/>
    <w:rsid w:val="006B314D"/>
    <w:rsid w:val="006B35D2"/>
    <w:rsid w:val="006B35E6"/>
    <w:rsid w:val="006B3A03"/>
    <w:rsid w:val="006B465A"/>
    <w:rsid w:val="006B4B5C"/>
    <w:rsid w:val="006B4FA6"/>
    <w:rsid w:val="006B54B0"/>
    <w:rsid w:val="006B5DE6"/>
    <w:rsid w:val="006B63B4"/>
    <w:rsid w:val="006B6DD0"/>
    <w:rsid w:val="006B7970"/>
    <w:rsid w:val="006C0399"/>
    <w:rsid w:val="006C0FD3"/>
    <w:rsid w:val="006C16F3"/>
    <w:rsid w:val="006C1811"/>
    <w:rsid w:val="006C1B2D"/>
    <w:rsid w:val="006C1D34"/>
    <w:rsid w:val="006C1EAB"/>
    <w:rsid w:val="006C214C"/>
    <w:rsid w:val="006C26DD"/>
    <w:rsid w:val="006C293E"/>
    <w:rsid w:val="006C2A8E"/>
    <w:rsid w:val="006C2B61"/>
    <w:rsid w:val="006C2EF3"/>
    <w:rsid w:val="006C3255"/>
    <w:rsid w:val="006C3F26"/>
    <w:rsid w:val="006C41B7"/>
    <w:rsid w:val="006C4587"/>
    <w:rsid w:val="006C492E"/>
    <w:rsid w:val="006C4A65"/>
    <w:rsid w:val="006C5D12"/>
    <w:rsid w:val="006C6A71"/>
    <w:rsid w:val="006C77D7"/>
    <w:rsid w:val="006D0306"/>
    <w:rsid w:val="006D0437"/>
    <w:rsid w:val="006D0D17"/>
    <w:rsid w:val="006D175E"/>
    <w:rsid w:val="006D17AD"/>
    <w:rsid w:val="006D2642"/>
    <w:rsid w:val="006D283E"/>
    <w:rsid w:val="006D3A02"/>
    <w:rsid w:val="006D3C7D"/>
    <w:rsid w:val="006D4114"/>
    <w:rsid w:val="006D4214"/>
    <w:rsid w:val="006D4659"/>
    <w:rsid w:val="006D4A21"/>
    <w:rsid w:val="006D4E6D"/>
    <w:rsid w:val="006D5817"/>
    <w:rsid w:val="006D5A11"/>
    <w:rsid w:val="006D5D5F"/>
    <w:rsid w:val="006D6526"/>
    <w:rsid w:val="006D68FB"/>
    <w:rsid w:val="006D6F8F"/>
    <w:rsid w:val="006D75C5"/>
    <w:rsid w:val="006D775E"/>
    <w:rsid w:val="006E1429"/>
    <w:rsid w:val="006E19B4"/>
    <w:rsid w:val="006E2868"/>
    <w:rsid w:val="006E2B7A"/>
    <w:rsid w:val="006E431E"/>
    <w:rsid w:val="006E4BD0"/>
    <w:rsid w:val="006E4F8F"/>
    <w:rsid w:val="006E58B4"/>
    <w:rsid w:val="006E5C8B"/>
    <w:rsid w:val="006E78AF"/>
    <w:rsid w:val="006E7F07"/>
    <w:rsid w:val="006E7FD8"/>
    <w:rsid w:val="006F0435"/>
    <w:rsid w:val="006F1185"/>
    <w:rsid w:val="006F262E"/>
    <w:rsid w:val="006F2DD3"/>
    <w:rsid w:val="006F2F30"/>
    <w:rsid w:val="006F306C"/>
    <w:rsid w:val="006F34BA"/>
    <w:rsid w:val="006F3859"/>
    <w:rsid w:val="006F3BD6"/>
    <w:rsid w:val="006F40A3"/>
    <w:rsid w:val="006F45A7"/>
    <w:rsid w:val="006F482F"/>
    <w:rsid w:val="006F5289"/>
    <w:rsid w:val="006F5656"/>
    <w:rsid w:val="006F59AB"/>
    <w:rsid w:val="006F5ACA"/>
    <w:rsid w:val="006F62CE"/>
    <w:rsid w:val="006F62E2"/>
    <w:rsid w:val="006F63A5"/>
    <w:rsid w:val="006F70A6"/>
    <w:rsid w:val="006F7A0D"/>
    <w:rsid w:val="00700D6D"/>
    <w:rsid w:val="00700E15"/>
    <w:rsid w:val="0070142B"/>
    <w:rsid w:val="0070276E"/>
    <w:rsid w:val="0070292C"/>
    <w:rsid w:val="00702F8F"/>
    <w:rsid w:val="007037CB"/>
    <w:rsid w:val="00703E1A"/>
    <w:rsid w:val="007049DA"/>
    <w:rsid w:val="00704A4C"/>
    <w:rsid w:val="00705575"/>
    <w:rsid w:val="007059FF"/>
    <w:rsid w:val="00707095"/>
    <w:rsid w:val="0070711F"/>
    <w:rsid w:val="00707333"/>
    <w:rsid w:val="007079FC"/>
    <w:rsid w:val="00711237"/>
    <w:rsid w:val="00711A36"/>
    <w:rsid w:val="007125D3"/>
    <w:rsid w:val="00712ACD"/>
    <w:rsid w:val="00713C1F"/>
    <w:rsid w:val="00714C26"/>
    <w:rsid w:val="0071529C"/>
    <w:rsid w:val="007170DA"/>
    <w:rsid w:val="007172AD"/>
    <w:rsid w:val="00717546"/>
    <w:rsid w:val="00717F9C"/>
    <w:rsid w:val="00720801"/>
    <w:rsid w:val="00720DA7"/>
    <w:rsid w:val="0072102C"/>
    <w:rsid w:val="007213A8"/>
    <w:rsid w:val="00721EA3"/>
    <w:rsid w:val="00722A63"/>
    <w:rsid w:val="00722B1B"/>
    <w:rsid w:val="0072314F"/>
    <w:rsid w:val="007237DD"/>
    <w:rsid w:val="00723890"/>
    <w:rsid w:val="007238AB"/>
    <w:rsid w:val="0072416F"/>
    <w:rsid w:val="007248F1"/>
    <w:rsid w:val="00724A87"/>
    <w:rsid w:val="00724B10"/>
    <w:rsid w:val="00724D10"/>
    <w:rsid w:val="00724FA0"/>
    <w:rsid w:val="0072568B"/>
    <w:rsid w:val="00725BF3"/>
    <w:rsid w:val="0072631E"/>
    <w:rsid w:val="00726373"/>
    <w:rsid w:val="00726493"/>
    <w:rsid w:val="00727C94"/>
    <w:rsid w:val="00731B0A"/>
    <w:rsid w:val="00731BD5"/>
    <w:rsid w:val="00731EAE"/>
    <w:rsid w:val="0073263F"/>
    <w:rsid w:val="007326EF"/>
    <w:rsid w:val="007328D7"/>
    <w:rsid w:val="00733073"/>
    <w:rsid w:val="007333BA"/>
    <w:rsid w:val="007338B4"/>
    <w:rsid w:val="00733ABB"/>
    <w:rsid w:val="00734BA6"/>
    <w:rsid w:val="00735033"/>
    <w:rsid w:val="0073508D"/>
    <w:rsid w:val="00735129"/>
    <w:rsid w:val="00735319"/>
    <w:rsid w:val="00735328"/>
    <w:rsid w:val="00735A33"/>
    <w:rsid w:val="0073685B"/>
    <w:rsid w:val="0074017E"/>
    <w:rsid w:val="0074054B"/>
    <w:rsid w:val="00740A0B"/>
    <w:rsid w:val="007410A5"/>
    <w:rsid w:val="00741F9E"/>
    <w:rsid w:val="00742EB1"/>
    <w:rsid w:val="007438D7"/>
    <w:rsid w:val="00743DF8"/>
    <w:rsid w:val="00743F38"/>
    <w:rsid w:val="0074435C"/>
    <w:rsid w:val="007449BF"/>
    <w:rsid w:val="00744C03"/>
    <w:rsid w:val="00745687"/>
    <w:rsid w:val="007463FE"/>
    <w:rsid w:val="007466C0"/>
    <w:rsid w:val="00746BC0"/>
    <w:rsid w:val="007471B4"/>
    <w:rsid w:val="0075093C"/>
    <w:rsid w:val="007510B4"/>
    <w:rsid w:val="0075192B"/>
    <w:rsid w:val="00752142"/>
    <w:rsid w:val="007523F9"/>
    <w:rsid w:val="00752A22"/>
    <w:rsid w:val="00752DB0"/>
    <w:rsid w:val="00752E85"/>
    <w:rsid w:val="00752E90"/>
    <w:rsid w:val="0075354E"/>
    <w:rsid w:val="0075357E"/>
    <w:rsid w:val="00753B29"/>
    <w:rsid w:val="00753C5D"/>
    <w:rsid w:val="00753DFE"/>
    <w:rsid w:val="007540CF"/>
    <w:rsid w:val="00754382"/>
    <w:rsid w:val="007549E1"/>
    <w:rsid w:val="00754AB2"/>
    <w:rsid w:val="00755474"/>
    <w:rsid w:val="00755F7F"/>
    <w:rsid w:val="007563FA"/>
    <w:rsid w:val="007565CD"/>
    <w:rsid w:val="00756951"/>
    <w:rsid w:val="007573E8"/>
    <w:rsid w:val="00757477"/>
    <w:rsid w:val="00757ECC"/>
    <w:rsid w:val="00757F53"/>
    <w:rsid w:val="0076020D"/>
    <w:rsid w:val="0076057B"/>
    <w:rsid w:val="007609AF"/>
    <w:rsid w:val="00760C4E"/>
    <w:rsid w:val="00760ED5"/>
    <w:rsid w:val="00760F9E"/>
    <w:rsid w:val="00761412"/>
    <w:rsid w:val="007616E6"/>
    <w:rsid w:val="0076192C"/>
    <w:rsid w:val="00761993"/>
    <w:rsid w:val="00761B8F"/>
    <w:rsid w:val="00761E80"/>
    <w:rsid w:val="007627BE"/>
    <w:rsid w:val="0076285B"/>
    <w:rsid w:val="007628DC"/>
    <w:rsid w:val="00764368"/>
    <w:rsid w:val="00764C04"/>
    <w:rsid w:val="00764F03"/>
    <w:rsid w:val="00765611"/>
    <w:rsid w:val="00765B1A"/>
    <w:rsid w:val="00765DC1"/>
    <w:rsid w:val="0076630E"/>
    <w:rsid w:val="00766C3F"/>
    <w:rsid w:val="007670D2"/>
    <w:rsid w:val="00767FFA"/>
    <w:rsid w:val="0077030D"/>
    <w:rsid w:val="00772D90"/>
    <w:rsid w:val="00773032"/>
    <w:rsid w:val="0077419A"/>
    <w:rsid w:val="00774306"/>
    <w:rsid w:val="0077430A"/>
    <w:rsid w:val="00774684"/>
    <w:rsid w:val="00774695"/>
    <w:rsid w:val="00775155"/>
    <w:rsid w:val="0077673C"/>
    <w:rsid w:val="00776BBD"/>
    <w:rsid w:val="00777335"/>
    <w:rsid w:val="007774B8"/>
    <w:rsid w:val="00777E4D"/>
    <w:rsid w:val="00780227"/>
    <w:rsid w:val="00780409"/>
    <w:rsid w:val="007815A1"/>
    <w:rsid w:val="00782413"/>
    <w:rsid w:val="00782DF1"/>
    <w:rsid w:val="007834CA"/>
    <w:rsid w:val="0078379B"/>
    <w:rsid w:val="007843F2"/>
    <w:rsid w:val="007846FA"/>
    <w:rsid w:val="007849A2"/>
    <w:rsid w:val="00784B7E"/>
    <w:rsid w:val="007850B0"/>
    <w:rsid w:val="0078543A"/>
    <w:rsid w:val="00785A9F"/>
    <w:rsid w:val="00785AFB"/>
    <w:rsid w:val="00786848"/>
    <w:rsid w:val="007914F4"/>
    <w:rsid w:val="00791802"/>
    <w:rsid w:val="00791F4F"/>
    <w:rsid w:val="00791F62"/>
    <w:rsid w:val="0079222B"/>
    <w:rsid w:val="0079259B"/>
    <w:rsid w:val="007925DF"/>
    <w:rsid w:val="00793819"/>
    <w:rsid w:val="007939E3"/>
    <w:rsid w:val="00793DDD"/>
    <w:rsid w:val="0079451C"/>
    <w:rsid w:val="00794D6F"/>
    <w:rsid w:val="00795D2C"/>
    <w:rsid w:val="0079607F"/>
    <w:rsid w:val="007961E8"/>
    <w:rsid w:val="00796982"/>
    <w:rsid w:val="00796ACC"/>
    <w:rsid w:val="00796E7A"/>
    <w:rsid w:val="007A08AA"/>
    <w:rsid w:val="007A0A12"/>
    <w:rsid w:val="007A0A6A"/>
    <w:rsid w:val="007A0C8F"/>
    <w:rsid w:val="007A132D"/>
    <w:rsid w:val="007A1345"/>
    <w:rsid w:val="007A207D"/>
    <w:rsid w:val="007A2DDB"/>
    <w:rsid w:val="007A495D"/>
    <w:rsid w:val="007A4B16"/>
    <w:rsid w:val="007A51F8"/>
    <w:rsid w:val="007A5E2F"/>
    <w:rsid w:val="007A6D8E"/>
    <w:rsid w:val="007A70BA"/>
    <w:rsid w:val="007A761C"/>
    <w:rsid w:val="007A7780"/>
    <w:rsid w:val="007A7C6E"/>
    <w:rsid w:val="007A7EF7"/>
    <w:rsid w:val="007B0D68"/>
    <w:rsid w:val="007B1663"/>
    <w:rsid w:val="007B1F4C"/>
    <w:rsid w:val="007B2361"/>
    <w:rsid w:val="007B251D"/>
    <w:rsid w:val="007B25A5"/>
    <w:rsid w:val="007B28B6"/>
    <w:rsid w:val="007B3533"/>
    <w:rsid w:val="007B3DF9"/>
    <w:rsid w:val="007B4138"/>
    <w:rsid w:val="007B433B"/>
    <w:rsid w:val="007B478C"/>
    <w:rsid w:val="007B4AC5"/>
    <w:rsid w:val="007B4F58"/>
    <w:rsid w:val="007B51C0"/>
    <w:rsid w:val="007B528D"/>
    <w:rsid w:val="007B5582"/>
    <w:rsid w:val="007B59B1"/>
    <w:rsid w:val="007B61DB"/>
    <w:rsid w:val="007B6349"/>
    <w:rsid w:val="007B63CA"/>
    <w:rsid w:val="007B716B"/>
    <w:rsid w:val="007B7336"/>
    <w:rsid w:val="007B77D1"/>
    <w:rsid w:val="007C044E"/>
    <w:rsid w:val="007C07C7"/>
    <w:rsid w:val="007C0941"/>
    <w:rsid w:val="007C127A"/>
    <w:rsid w:val="007C1CD9"/>
    <w:rsid w:val="007C28BD"/>
    <w:rsid w:val="007C2BC5"/>
    <w:rsid w:val="007C307E"/>
    <w:rsid w:val="007C32EF"/>
    <w:rsid w:val="007C361D"/>
    <w:rsid w:val="007C38D7"/>
    <w:rsid w:val="007C43FE"/>
    <w:rsid w:val="007C4943"/>
    <w:rsid w:val="007C4B84"/>
    <w:rsid w:val="007C510C"/>
    <w:rsid w:val="007C5CC6"/>
    <w:rsid w:val="007C6CED"/>
    <w:rsid w:val="007C70FF"/>
    <w:rsid w:val="007C7C25"/>
    <w:rsid w:val="007C7CD4"/>
    <w:rsid w:val="007D004F"/>
    <w:rsid w:val="007D035F"/>
    <w:rsid w:val="007D06B2"/>
    <w:rsid w:val="007D0859"/>
    <w:rsid w:val="007D0A32"/>
    <w:rsid w:val="007D0B38"/>
    <w:rsid w:val="007D20FD"/>
    <w:rsid w:val="007D2EAB"/>
    <w:rsid w:val="007D428D"/>
    <w:rsid w:val="007D5095"/>
    <w:rsid w:val="007D5440"/>
    <w:rsid w:val="007D69EB"/>
    <w:rsid w:val="007D6DD4"/>
    <w:rsid w:val="007D737F"/>
    <w:rsid w:val="007D79BC"/>
    <w:rsid w:val="007D7F37"/>
    <w:rsid w:val="007E0307"/>
    <w:rsid w:val="007E0EA6"/>
    <w:rsid w:val="007E128F"/>
    <w:rsid w:val="007E141D"/>
    <w:rsid w:val="007E1598"/>
    <w:rsid w:val="007E195C"/>
    <w:rsid w:val="007E2972"/>
    <w:rsid w:val="007E2E03"/>
    <w:rsid w:val="007E3BF3"/>
    <w:rsid w:val="007E3D27"/>
    <w:rsid w:val="007E4CCB"/>
    <w:rsid w:val="007E5C99"/>
    <w:rsid w:val="007E6125"/>
    <w:rsid w:val="007E6A29"/>
    <w:rsid w:val="007E77A6"/>
    <w:rsid w:val="007F00C3"/>
    <w:rsid w:val="007F1017"/>
    <w:rsid w:val="007F236C"/>
    <w:rsid w:val="007F2825"/>
    <w:rsid w:val="007F28DC"/>
    <w:rsid w:val="007F2977"/>
    <w:rsid w:val="007F3779"/>
    <w:rsid w:val="007F4197"/>
    <w:rsid w:val="007F4761"/>
    <w:rsid w:val="007F48BC"/>
    <w:rsid w:val="007F4A3F"/>
    <w:rsid w:val="007F4A61"/>
    <w:rsid w:val="007F5255"/>
    <w:rsid w:val="007F56CC"/>
    <w:rsid w:val="007F5FAB"/>
    <w:rsid w:val="007F616C"/>
    <w:rsid w:val="007F61C2"/>
    <w:rsid w:val="007F7E9E"/>
    <w:rsid w:val="00800295"/>
    <w:rsid w:val="008008A0"/>
    <w:rsid w:val="00800EF4"/>
    <w:rsid w:val="008013DF"/>
    <w:rsid w:val="0080169B"/>
    <w:rsid w:val="0080176A"/>
    <w:rsid w:val="00801E66"/>
    <w:rsid w:val="00801FEC"/>
    <w:rsid w:val="00802116"/>
    <w:rsid w:val="00802902"/>
    <w:rsid w:val="008030E8"/>
    <w:rsid w:val="00803413"/>
    <w:rsid w:val="008036F4"/>
    <w:rsid w:val="00803BF6"/>
    <w:rsid w:val="00804A75"/>
    <w:rsid w:val="00805040"/>
    <w:rsid w:val="00805142"/>
    <w:rsid w:val="00805744"/>
    <w:rsid w:val="00805A72"/>
    <w:rsid w:val="00805D9D"/>
    <w:rsid w:val="00805FCE"/>
    <w:rsid w:val="0080626D"/>
    <w:rsid w:val="008072E3"/>
    <w:rsid w:val="0080785F"/>
    <w:rsid w:val="00807926"/>
    <w:rsid w:val="00807A8B"/>
    <w:rsid w:val="008106A4"/>
    <w:rsid w:val="00810E1A"/>
    <w:rsid w:val="008110CE"/>
    <w:rsid w:val="00811383"/>
    <w:rsid w:val="00811392"/>
    <w:rsid w:val="008120CD"/>
    <w:rsid w:val="00812149"/>
    <w:rsid w:val="00812CAC"/>
    <w:rsid w:val="0081347E"/>
    <w:rsid w:val="00813560"/>
    <w:rsid w:val="008135E9"/>
    <w:rsid w:val="008144D2"/>
    <w:rsid w:val="00815461"/>
    <w:rsid w:val="00815747"/>
    <w:rsid w:val="00815A29"/>
    <w:rsid w:val="00816196"/>
    <w:rsid w:val="00816361"/>
    <w:rsid w:val="008166EF"/>
    <w:rsid w:val="00816BB6"/>
    <w:rsid w:val="00816FEF"/>
    <w:rsid w:val="0081764E"/>
    <w:rsid w:val="00817722"/>
    <w:rsid w:val="00820A8C"/>
    <w:rsid w:val="0082106E"/>
    <w:rsid w:val="00821533"/>
    <w:rsid w:val="008215FB"/>
    <w:rsid w:val="008217F1"/>
    <w:rsid w:val="00821D7F"/>
    <w:rsid w:val="00821E0D"/>
    <w:rsid w:val="008220CC"/>
    <w:rsid w:val="008221D4"/>
    <w:rsid w:val="00822A89"/>
    <w:rsid w:val="00823174"/>
    <w:rsid w:val="00823848"/>
    <w:rsid w:val="00823A52"/>
    <w:rsid w:val="0082436E"/>
    <w:rsid w:val="008248FF"/>
    <w:rsid w:val="00824A8E"/>
    <w:rsid w:val="00824F83"/>
    <w:rsid w:val="0082516C"/>
    <w:rsid w:val="00825751"/>
    <w:rsid w:val="0082586B"/>
    <w:rsid w:val="00825AD8"/>
    <w:rsid w:val="0082635B"/>
    <w:rsid w:val="008264EB"/>
    <w:rsid w:val="00826563"/>
    <w:rsid w:val="00826641"/>
    <w:rsid w:val="008268CE"/>
    <w:rsid w:val="00826F61"/>
    <w:rsid w:val="00827098"/>
    <w:rsid w:val="00827339"/>
    <w:rsid w:val="0082770E"/>
    <w:rsid w:val="00827C23"/>
    <w:rsid w:val="00830101"/>
    <w:rsid w:val="00830734"/>
    <w:rsid w:val="00831001"/>
    <w:rsid w:val="00831687"/>
    <w:rsid w:val="00831902"/>
    <w:rsid w:val="00831AE6"/>
    <w:rsid w:val="00831BB3"/>
    <w:rsid w:val="008328CF"/>
    <w:rsid w:val="00832B5F"/>
    <w:rsid w:val="00832FDB"/>
    <w:rsid w:val="0083338F"/>
    <w:rsid w:val="00833771"/>
    <w:rsid w:val="008338A4"/>
    <w:rsid w:val="008339E1"/>
    <w:rsid w:val="00833B05"/>
    <w:rsid w:val="00833C09"/>
    <w:rsid w:val="0083405E"/>
    <w:rsid w:val="00834C51"/>
    <w:rsid w:val="00834DA9"/>
    <w:rsid w:val="00835615"/>
    <w:rsid w:val="008356F0"/>
    <w:rsid w:val="008362B4"/>
    <w:rsid w:val="00836B0E"/>
    <w:rsid w:val="008371AD"/>
    <w:rsid w:val="008406B8"/>
    <w:rsid w:val="00840779"/>
    <w:rsid w:val="00840CA2"/>
    <w:rsid w:val="00841B20"/>
    <w:rsid w:val="00841E6D"/>
    <w:rsid w:val="0084374F"/>
    <w:rsid w:val="008439E2"/>
    <w:rsid w:val="00844984"/>
    <w:rsid w:val="00844A22"/>
    <w:rsid w:val="008458CA"/>
    <w:rsid w:val="00845A70"/>
    <w:rsid w:val="00845EE8"/>
    <w:rsid w:val="008476EA"/>
    <w:rsid w:val="00847703"/>
    <w:rsid w:val="00847DF5"/>
    <w:rsid w:val="0085050C"/>
    <w:rsid w:val="00850B27"/>
    <w:rsid w:val="008523F6"/>
    <w:rsid w:val="008527A6"/>
    <w:rsid w:val="00852C9F"/>
    <w:rsid w:val="00852EA3"/>
    <w:rsid w:val="0085309D"/>
    <w:rsid w:val="008540B7"/>
    <w:rsid w:val="00854319"/>
    <w:rsid w:val="00856897"/>
    <w:rsid w:val="00856E9A"/>
    <w:rsid w:val="0085784A"/>
    <w:rsid w:val="008602A6"/>
    <w:rsid w:val="00860593"/>
    <w:rsid w:val="0086075D"/>
    <w:rsid w:val="00860EAE"/>
    <w:rsid w:val="008611A1"/>
    <w:rsid w:val="008617CE"/>
    <w:rsid w:val="0086223C"/>
    <w:rsid w:val="00862502"/>
    <w:rsid w:val="00862CC1"/>
    <w:rsid w:val="0086331F"/>
    <w:rsid w:val="008633B5"/>
    <w:rsid w:val="008637D3"/>
    <w:rsid w:val="00864157"/>
    <w:rsid w:val="008642A7"/>
    <w:rsid w:val="00864451"/>
    <w:rsid w:val="0086467F"/>
    <w:rsid w:val="00864E24"/>
    <w:rsid w:val="008660D4"/>
    <w:rsid w:val="0086611C"/>
    <w:rsid w:val="00866626"/>
    <w:rsid w:val="00866FB5"/>
    <w:rsid w:val="00867FBF"/>
    <w:rsid w:val="00870E87"/>
    <w:rsid w:val="00871FA9"/>
    <w:rsid w:val="008728E9"/>
    <w:rsid w:val="00872AD9"/>
    <w:rsid w:val="00873682"/>
    <w:rsid w:val="008745AC"/>
    <w:rsid w:val="00875874"/>
    <w:rsid w:val="00875C3B"/>
    <w:rsid w:val="008776F6"/>
    <w:rsid w:val="0088219D"/>
    <w:rsid w:val="0088274A"/>
    <w:rsid w:val="00882874"/>
    <w:rsid w:val="00882E3C"/>
    <w:rsid w:val="0088308A"/>
    <w:rsid w:val="00883787"/>
    <w:rsid w:val="00884A14"/>
    <w:rsid w:val="0088554B"/>
    <w:rsid w:val="008855E4"/>
    <w:rsid w:val="00886CD2"/>
    <w:rsid w:val="00886FD4"/>
    <w:rsid w:val="00887733"/>
    <w:rsid w:val="00887EB9"/>
    <w:rsid w:val="00887F30"/>
    <w:rsid w:val="0089030D"/>
    <w:rsid w:val="00890780"/>
    <w:rsid w:val="00890A20"/>
    <w:rsid w:val="00891CBA"/>
    <w:rsid w:val="00891E6F"/>
    <w:rsid w:val="0089266B"/>
    <w:rsid w:val="0089275D"/>
    <w:rsid w:val="00892A36"/>
    <w:rsid w:val="00892C13"/>
    <w:rsid w:val="00893239"/>
    <w:rsid w:val="00893E3C"/>
    <w:rsid w:val="00894489"/>
    <w:rsid w:val="00894CD6"/>
    <w:rsid w:val="00894E87"/>
    <w:rsid w:val="00895569"/>
    <w:rsid w:val="008955D0"/>
    <w:rsid w:val="008956F0"/>
    <w:rsid w:val="00895FEB"/>
    <w:rsid w:val="008963A5"/>
    <w:rsid w:val="00896745"/>
    <w:rsid w:val="00896A1A"/>
    <w:rsid w:val="00896D5D"/>
    <w:rsid w:val="00897C29"/>
    <w:rsid w:val="008A2585"/>
    <w:rsid w:val="008A3158"/>
    <w:rsid w:val="008A3363"/>
    <w:rsid w:val="008A3371"/>
    <w:rsid w:val="008A3534"/>
    <w:rsid w:val="008A3C3E"/>
    <w:rsid w:val="008A3DE5"/>
    <w:rsid w:val="008A3FB0"/>
    <w:rsid w:val="008A4406"/>
    <w:rsid w:val="008A4B3F"/>
    <w:rsid w:val="008A55E5"/>
    <w:rsid w:val="008A57CF"/>
    <w:rsid w:val="008A75FA"/>
    <w:rsid w:val="008A7906"/>
    <w:rsid w:val="008A79DE"/>
    <w:rsid w:val="008A7DE3"/>
    <w:rsid w:val="008B007B"/>
    <w:rsid w:val="008B06A1"/>
    <w:rsid w:val="008B0E79"/>
    <w:rsid w:val="008B1757"/>
    <w:rsid w:val="008B1C33"/>
    <w:rsid w:val="008B38FD"/>
    <w:rsid w:val="008B395D"/>
    <w:rsid w:val="008B3E73"/>
    <w:rsid w:val="008B41B6"/>
    <w:rsid w:val="008B4B6F"/>
    <w:rsid w:val="008B5436"/>
    <w:rsid w:val="008B55B9"/>
    <w:rsid w:val="008B5C7B"/>
    <w:rsid w:val="008B6171"/>
    <w:rsid w:val="008B6211"/>
    <w:rsid w:val="008B7148"/>
    <w:rsid w:val="008B7992"/>
    <w:rsid w:val="008B7C5C"/>
    <w:rsid w:val="008B7D7E"/>
    <w:rsid w:val="008C0196"/>
    <w:rsid w:val="008C0522"/>
    <w:rsid w:val="008C2A5D"/>
    <w:rsid w:val="008C3189"/>
    <w:rsid w:val="008C335C"/>
    <w:rsid w:val="008C3E68"/>
    <w:rsid w:val="008C4D0A"/>
    <w:rsid w:val="008C5610"/>
    <w:rsid w:val="008C5739"/>
    <w:rsid w:val="008C605F"/>
    <w:rsid w:val="008C6795"/>
    <w:rsid w:val="008C7282"/>
    <w:rsid w:val="008C7D79"/>
    <w:rsid w:val="008C7ECB"/>
    <w:rsid w:val="008D0173"/>
    <w:rsid w:val="008D03DA"/>
    <w:rsid w:val="008D20D9"/>
    <w:rsid w:val="008D22E5"/>
    <w:rsid w:val="008D2485"/>
    <w:rsid w:val="008D2AC7"/>
    <w:rsid w:val="008D30EF"/>
    <w:rsid w:val="008D31B6"/>
    <w:rsid w:val="008D3B86"/>
    <w:rsid w:val="008D43FD"/>
    <w:rsid w:val="008D4470"/>
    <w:rsid w:val="008D4755"/>
    <w:rsid w:val="008D47C9"/>
    <w:rsid w:val="008D4C3D"/>
    <w:rsid w:val="008D512D"/>
    <w:rsid w:val="008D627F"/>
    <w:rsid w:val="008D6C2A"/>
    <w:rsid w:val="008D6CDC"/>
    <w:rsid w:val="008D6D2A"/>
    <w:rsid w:val="008D743C"/>
    <w:rsid w:val="008D7486"/>
    <w:rsid w:val="008D7581"/>
    <w:rsid w:val="008D77CE"/>
    <w:rsid w:val="008D788D"/>
    <w:rsid w:val="008D78BC"/>
    <w:rsid w:val="008D7A1A"/>
    <w:rsid w:val="008D7D03"/>
    <w:rsid w:val="008D7D23"/>
    <w:rsid w:val="008D7E97"/>
    <w:rsid w:val="008E01B5"/>
    <w:rsid w:val="008E0D3C"/>
    <w:rsid w:val="008E18CE"/>
    <w:rsid w:val="008E1AD5"/>
    <w:rsid w:val="008E1B9E"/>
    <w:rsid w:val="008E27AF"/>
    <w:rsid w:val="008E3CD8"/>
    <w:rsid w:val="008E3F89"/>
    <w:rsid w:val="008E4404"/>
    <w:rsid w:val="008E5435"/>
    <w:rsid w:val="008E55AB"/>
    <w:rsid w:val="008E570E"/>
    <w:rsid w:val="008E6DDE"/>
    <w:rsid w:val="008E76AB"/>
    <w:rsid w:val="008F03D6"/>
    <w:rsid w:val="008F0BC3"/>
    <w:rsid w:val="008F120A"/>
    <w:rsid w:val="008F2210"/>
    <w:rsid w:val="008F22F6"/>
    <w:rsid w:val="008F27E0"/>
    <w:rsid w:val="008F29D0"/>
    <w:rsid w:val="008F2F05"/>
    <w:rsid w:val="008F3A27"/>
    <w:rsid w:val="008F48EB"/>
    <w:rsid w:val="008F496B"/>
    <w:rsid w:val="008F4F0B"/>
    <w:rsid w:val="008F6029"/>
    <w:rsid w:val="008F6610"/>
    <w:rsid w:val="008F66C0"/>
    <w:rsid w:val="008F69A2"/>
    <w:rsid w:val="008F784B"/>
    <w:rsid w:val="00900196"/>
    <w:rsid w:val="0090072A"/>
    <w:rsid w:val="00900FEC"/>
    <w:rsid w:val="00901095"/>
    <w:rsid w:val="00901AB0"/>
    <w:rsid w:val="00902620"/>
    <w:rsid w:val="009027A0"/>
    <w:rsid w:val="009028CC"/>
    <w:rsid w:val="009031E5"/>
    <w:rsid w:val="009046C4"/>
    <w:rsid w:val="00904A9A"/>
    <w:rsid w:val="00904C32"/>
    <w:rsid w:val="00904F06"/>
    <w:rsid w:val="009052F8"/>
    <w:rsid w:val="00905907"/>
    <w:rsid w:val="00906126"/>
    <w:rsid w:val="009062A5"/>
    <w:rsid w:val="00907021"/>
    <w:rsid w:val="00907152"/>
    <w:rsid w:val="00907699"/>
    <w:rsid w:val="00907A82"/>
    <w:rsid w:val="00907CD6"/>
    <w:rsid w:val="00907D87"/>
    <w:rsid w:val="00910CFD"/>
    <w:rsid w:val="00910FA7"/>
    <w:rsid w:val="00911272"/>
    <w:rsid w:val="00911339"/>
    <w:rsid w:val="009117E5"/>
    <w:rsid w:val="00913252"/>
    <w:rsid w:val="009135D6"/>
    <w:rsid w:val="00913691"/>
    <w:rsid w:val="0091371C"/>
    <w:rsid w:val="009140C7"/>
    <w:rsid w:val="00914C77"/>
    <w:rsid w:val="009162BA"/>
    <w:rsid w:val="00917BF1"/>
    <w:rsid w:val="00920648"/>
    <w:rsid w:val="00921591"/>
    <w:rsid w:val="00921ACB"/>
    <w:rsid w:val="00922DF6"/>
    <w:rsid w:val="00923596"/>
    <w:rsid w:val="0092369B"/>
    <w:rsid w:val="00923A1C"/>
    <w:rsid w:val="00923C97"/>
    <w:rsid w:val="0092405A"/>
    <w:rsid w:val="0092407E"/>
    <w:rsid w:val="00925087"/>
    <w:rsid w:val="00925D95"/>
    <w:rsid w:val="00926C9A"/>
    <w:rsid w:val="00927558"/>
    <w:rsid w:val="009305C8"/>
    <w:rsid w:val="00930626"/>
    <w:rsid w:val="00930887"/>
    <w:rsid w:val="00930992"/>
    <w:rsid w:val="00931378"/>
    <w:rsid w:val="009315E4"/>
    <w:rsid w:val="00931A5A"/>
    <w:rsid w:val="00932957"/>
    <w:rsid w:val="009341CD"/>
    <w:rsid w:val="00934988"/>
    <w:rsid w:val="009350D4"/>
    <w:rsid w:val="009368D7"/>
    <w:rsid w:val="00936EFF"/>
    <w:rsid w:val="00936F52"/>
    <w:rsid w:val="00937089"/>
    <w:rsid w:val="0093749B"/>
    <w:rsid w:val="00937A78"/>
    <w:rsid w:val="00937BE6"/>
    <w:rsid w:val="00941473"/>
    <w:rsid w:val="00941D01"/>
    <w:rsid w:val="009420ED"/>
    <w:rsid w:val="009422E0"/>
    <w:rsid w:val="009431A3"/>
    <w:rsid w:val="00943214"/>
    <w:rsid w:val="009435CC"/>
    <w:rsid w:val="00943FE5"/>
    <w:rsid w:val="00944510"/>
    <w:rsid w:val="00944F8A"/>
    <w:rsid w:val="00945324"/>
    <w:rsid w:val="009463C8"/>
    <w:rsid w:val="00946B17"/>
    <w:rsid w:val="00946F18"/>
    <w:rsid w:val="009478CB"/>
    <w:rsid w:val="00947F05"/>
    <w:rsid w:val="009510A2"/>
    <w:rsid w:val="0095142E"/>
    <w:rsid w:val="00951B0E"/>
    <w:rsid w:val="00951F48"/>
    <w:rsid w:val="00952729"/>
    <w:rsid w:val="00952B09"/>
    <w:rsid w:val="00952B6A"/>
    <w:rsid w:val="00952F36"/>
    <w:rsid w:val="00953257"/>
    <w:rsid w:val="0095385E"/>
    <w:rsid w:val="00953DF1"/>
    <w:rsid w:val="0095474C"/>
    <w:rsid w:val="009547F4"/>
    <w:rsid w:val="009549FE"/>
    <w:rsid w:val="00954B53"/>
    <w:rsid w:val="00956166"/>
    <w:rsid w:val="00956BD6"/>
    <w:rsid w:val="00956CA9"/>
    <w:rsid w:val="009570B7"/>
    <w:rsid w:val="00957B26"/>
    <w:rsid w:val="00957D92"/>
    <w:rsid w:val="0096001A"/>
    <w:rsid w:val="009607E3"/>
    <w:rsid w:val="00960C35"/>
    <w:rsid w:val="00960C8C"/>
    <w:rsid w:val="00960DB7"/>
    <w:rsid w:val="00960E2F"/>
    <w:rsid w:val="009615BA"/>
    <w:rsid w:val="00961B87"/>
    <w:rsid w:val="00961E6F"/>
    <w:rsid w:val="00962CB9"/>
    <w:rsid w:val="00962D01"/>
    <w:rsid w:val="00962D09"/>
    <w:rsid w:val="00963B01"/>
    <w:rsid w:val="00963B5B"/>
    <w:rsid w:val="00964312"/>
    <w:rsid w:val="0096442A"/>
    <w:rsid w:val="009644AF"/>
    <w:rsid w:val="009647A1"/>
    <w:rsid w:val="009657F6"/>
    <w:rsid w:val="00965B8A"/>
    <w:rsid w:val="009676AB"/>
    <w:rsid w:val="0097032C"/>
    <w:rsid w:val="0097071F"/>
    <w:rsid w:val="00971053"/>
    <w:rsid w:val="009717AC"/>
    <w:rsid w:val="00971872"/>
    <w:rsid w:val="00971AAA"/>
    <w:rsid w:val="00971BAE"/>
    <w:rsid w:val="00972383"/>
    <w:rsid w:val="00972CFB"/>
    <w:rsid w:val="00973037"/>
    <w:rsid w:val="00973FD4"/>
    <w:rsid w:val="009751C1"/>
    <w:rsid w:val="00975AE5"/>
    <w:rsid w:val="00976859"/>
    <w:rsid w:val="009769D9"/>
    <w:rsid w:val="00976F2F"/>
    <w:rsid w:val="00980B3C"/>
    <w:rsid w:val="00980D8C"/>
    <w:rsid w:val="00980E29"/>
    <w:rsid w:val="009811F1"/>
    <w:rsid w:val="00981DB5"/>
    <w:rsid w:val="009821FD"/>
    <w:rsid w:val="00982718"/>
    <w:rsid w:val="00983E57"/>
    <w:rsid w:val="009845E7"/>
    <w:rsid w:val="00984E63"/>
    <w:rsid w:val="009856D9"/>
    <w:rsid w:val="00985725"/>
    <w:rsid w:val="0098599C"/>
    <w:rsid w:val="009859A6"/>
    <w:rsid w:val="00985C1B"/>
    <w:rsid w:val="00985DE2"/>
    <w:rsid w:val="00986681"/>
    <w:rsid w:val="0098675D"/>
    <w:rsid w:val="00987603"/>
    <w:rsid w:val="00987907"/>
    <w:rsid w:val="00987BA4"/>
    <w:rsid w:val="009900A9"/>
    <w:rsid w:val="0099052C"/>
    <w:rsid w:val="009915F8"/>
    <w:rsid w:val="009926E0"/>
    <w:rsid w:val="00992FFB"/>
    <w:rsid w:val="00993C08"/>
    <w:rsid w:val="00993D8C"/>
    <w:rsid w:val="009942B2"/>
    <w:rsid w:val="00994499"/>
    <w:rsid w:val="0099451E"/>
    <w:rsid w:val="009951CD"/>
    <w:rsid w:val="009951CE"/>
    <w:rsid w:val="0099522C"/>
    <w:rsid w:val="00995602"/>
    <w:rsid w:val="00995C0F"/>
    <w:rsid w:val="00995D95"/>
    <w:rsid w:val="00995E6A"/>
    <w:rsid w:val="00996627"/>
    <w:rsid w:val="00996A92"/>
    <w:rsid w:val="00996B1A"/>
    <w:rsid w:val="00996DD0"/>
    <w:rsid w:val="0099774C"/>
    <w:rsid w:val="00997F8B"/>
    <w:rsid w:val="009A0296"/>
    <w:rsid w:val="009A0B6D"/>
    <w:rsid w:val="009A18F6"/>
    <w:rsid w:val="009A24F5"/>
    <w:rsid w:val="009A2DCC"/>
    <w:rsid w:val="009A3BD6"/>
    <w:rsid w:val="009A49EB"/>
    <w:rsid w:val="009A50AB"/>
    <w:rsid w:val="009A5322"/>
    <w:rsid w:val="009A594D"/>
    <w:rsid w:val="009A5ABC"/>
    <w:rsid w:val="009A64C0"/>
    <w:rsid w:val="009A65E3"/>
    <w:rsid w:val="009A7218"/>
    <w:rsid w:val="009A78C4"/>
    <w:rsid w:val="009A7F10"/>
    <w:rsid w:val="009B0939"/>
    <w:rsid w:val="009B1020"/>
    <w:rsid w:val="009B18AD"/>
    <w:rsid w:val="009B1D77"/>
    <w:rsid w:val="009B21E7"/>
    <w:rsid w:val="009B2527"/>
    <w:rsid w:val="009B3E26"/>
    <w:rsid w:val="009B431C"/>
    <w:rsid w:val="009B45B3"/>
    <w:rsid w:val="009B500E"/>
    <w:rsid w:val="009C044D"/>
    <w:rsid w:val="009C1271"/>
    <w:rsid w:val="009C2005"/>
    <w:rsid w:val="009C22E8"/>
    <w:rsid w:val="009C2484"/>
    <w:rsid w:val="009C2C41"/>
    <w:rsid w:val="009C33AF"/>
    <w:rsid w:val="009C3706"/>
    <w:rsid w:val="009C3A3A"/>
    <w:rsid w:val="009C3CB7"/>
    <w:rsid w:val="009C4191"/>
    <w:rsid w:val="009C47A4"/>
    <w:rsid w:val="009C47FC"/>
    <w:rsid w:val="009C49AB"/>
    <w:rsid w:val="009C4CCE"/>
    <w:rsid w:val="009C51A6"/>
    <w:rsid w:val="009C5512"/>
    <w:rsid w:val="009C588A"/>
    <w:rsid w:val="009C5A23"/>
    <w:rsid w:val="009C6CEA"/>
    <w:rsid w:val="009C7047"/>
    <w:rsid w:val="009C783A"/>
    <w:rsid w:val="009C7B85"/>
    <w:rsid w:val="009D01BC"/>
    <w:rsid w:val="009D0254"/>
    <w:rsid w:val="009D133C"/>
    <w:rsid w:val="009D1A64"/>
    <w:rsid w:val="009D228B"/>
    <w:rsid w:val="009D2333"/>
    <w:rsid w:val="009D289C"/>
    <w:rsid w:val="009D2E4F"/>
    <w:rsid w:val="009D3EA4"/>
    <w:rsid w:val="009D4911"/>
    <w:rsid w:val="009D5308"/>
    <w:rsid w:val="009D58FB"/>
    <w:rsid w:val="009D5B91"/>
    <w:rsid w:val="009D61FF"/>
    <w:rsid w:val="009D67A0"/>
    <w:rsid w:val="009D7908"/>
    <w:rsid w:val="009D792E"/>
    <w:rsid w:val="009E0142"/>
    <w:rsid w:val="009E0333"/>
    <w:rsid w:val="009E065E"/>
    <w:rsid w:val="009E0DFE"/>
    <w:rsid w:val="009E113C"/>
    <w:rsid w:val="009E169F"/>
    <w:rsid w:val="009E24B3"/>
    <w:rsid w:val="009E311A"/>
    <w:rsid w:val="009E31F6"/>
    <w:rsid w:val="009E32B2"/>
    <w:rsid w:val="009E37DD"/>
    <w:rsid w:val="009E3BC3"/>
    <w:rsid w:val="009E3D5E"/>
    <w:rsid w:val="009E4068"/>
    <w:rsid w:val="009E43EE"/>
    <w:rsid w:val="009E446A"/>
    <w:rsid w:val="009E4C07"/>
    <w:rsid w:val="009E4E71"/>
    <w:rsid w:val="009E541D"/>
    <w:rsid w:val="009E5CDB"/>
    <w:rsid w:val="009E6034"/>
    <w:rsid w:val="009E6344"/>
    <w:rsid w:val="009E68BA"/>
    <w:rsid w:val="009E6964"/>
    <w:rsid w:val="009E6E68"/>
    <w:rsid w:val="009E706A"/>
    <w:rsid w:val="009E777F"/>
    <w:rsid w:val="009F0564"/>
    <w:rsid w:val="009F0862"/>
    <w:rsid w:val="009F0C73"/>
    <w:rsid w:val="009F135C"/>
    <w:rsid w:val="009F2331"/>
    <w:rsid w:val="009F266F"/>
    <w:rsid w:val="009F277D"/>
    <w:rsid w:val="009F395D"/>
    <w:rsid w:val="009F3C41"/>
    <w:rsid w:val="009F3D19"/>
    <w:rsid w:val="009F3EC3"/>
    <w:rsid w:val="009F4726"/>
    <w:rsid w:val="009F47EB"/>
    <w:rsid w:val="009F4FD8"/>
    <w:rsid w:val="009F575B"/>
    <w:rsid w:val="009F585F"/>
    <w:rsid w:val="009F5D37"/>
    <w:rsid w:val="009F5E11"/>
    <w:rsid w:val="009F6120"/>
    <w:rsid w:val="009F67CA"/>
    <w:rsid w:val="009F76EA"/>
    <w:rsid w:val="009F78D8"/>
    <w:rsid w:val="009F7A87"/>
    <w:rsid w:val="00A003C4"/>
    <w:rsid w:val="00A00D76"/>
    <w:rsid w:val="00A01184"/>
    <w:rsid w:val="00A01352"/>
    <w:rsid w:val="00A01356"/>
    <w:rsid w:val="00A01449"/>
    <w:rsid w:val="00A014B9"/>
    <w:rsid w:val="00A02413"/>
    <w:rsid w:val="00A027A9"/>
    <w:rsid w:val="00A027DE"/>
    <w:rsid w:val="00A02AD3"/>
    <w:rsid w:val="00A037C2"/>
    <w:rsid w:val="00A03D43"/>
    <w:rsid w:val="00A03F93"/>
    <w:rsid w:val="00A0408B"/>
    <w:rsid w:val="00A04380"/>
    <w:rsid w:val="00A04737"/>
    <w:rsid w:val="00A04786"/>
    <w:rsid w:val="00A04CD6"/>
    <w:rsid w:val="00A05472"/>
    <w:rsid w:val="00A05C32"/>
    <w:rsid w:val="00A0653F"/>
    <w:rsid w:val="00A074AC"/>
    <w:rsid w:val="00A076C8"/>
    <w:rsid w:val="00A07CCE"/>
    <w:rsid w:val="00A10092"/>
    <w:rsid w:val="00A10514"/>
    <w:rsid w:val="00A10549"/>
    <w:rsid w:val="00A10C33"/>
    <w:rsid w:val="00A10C8F"/>
    <w:rsid w:val="00A11283"/>
    <w:rsid w:val="00A11CD0"/>
    <w:rsid w:val="00A11D81"/>
    <w:rsid w:val="00A1206E"/>
    <w:rsid w:val="00A12BD4"/>
    <w:rsid w:val="00A12E62"/>
    <w:rsid w:val="00A13297"/>
    <w:rsid w:val="00A1384E"/>
    <w:rsid w:val="00A13948"/>
    <w:rsid w:val="00A13B86"/>
    <w:rsid w:val="00A13BAB"/>
    <w:rsid w:val="00A14800"/>
    <w:rsid w:val="00A14BA2"/>
    <w:rsid w:val="00A14FC7"/>
    <w:rsid w:val="00A1555B"/>
    <w:rsid w:val="00A155C5"/>
    <w:rsid w:val="00A165F4"/>
    <w:rsid w:val="00A1674A"/>
    <w:rsid w:val="00A16753"/>
    <w:rsid w:val="00A1692B"/>
    <w:rsid w:val="00A16AD1"/>
    <w:rsid w:val="00A16AD8"/>
    <w:rsid w:val="00A1757F"/>
    <w:rsid w:val="00A176A4"/>
    <w:rsid w:val="00A17F8D"/>
    <w:rsid w:val="00A200D3"/>
    <w:rsid w:val="00A2021E"/>
    <w:rsid w:val="00A204C4"/>
    <w:rsid w:val="00A20FEF"/>
    <w:rsid w:val="00A213EC"/>
    <w:rsid w:val="00A218D3"/>
    <w:rsid w:val="00A21C95"/>
    <w:rsid w:val="00A21CF3"/>
    <w:rsid w:val="00A21F05"/>
    <w:rsid w:val="00A2369F"/>
    <w:rsid w:val="00A2422A"/>
    <w:rsid w:val="00A24813"/>
    <w:rsid w:val="00A25029"/>
    <w:rsid w:val="00A25C48"/>
    <w:rsid w:val="00A263F1"/>
    <w:rsid w:val="00A2670D"/>
    <w:rsid w:val="00A26B9F"/>
    <w:rsid w:val="00A27AEC"/>
    <w:rsid w:val="00A27BC4"/>
    <w:rsid w:val="00A3174C"/>
    <w:rsid w:val="00A320DB"/>
    <w:rsid w:val="00A32994"/>
    <w:rsid w:val="00A335CA"/>
    <w:rsid w:val="00A34B18"/>
    <w:rsid w:val="00A35D16"/>
    <w:rsid w:val="00A36758"/>
    <w:rsid w:val="00A36972"/>
    <w:rsid w:val="00A36A1F"/>
    <w:rsid w:val="00A36CE5"/>
    <w:rsid w:val="00A36DA1"/>
    <w:rsid w:val="00A3723E"/>
    <w:rsid w:val="00A3771F"/>
    <w:rsid w:val="00A378D9"/>
    <w:rsid w:val="00A37BCD"/>
    <w:rsid w:val="00A40077"/>
    <w:rsid w:val="00A40170"/>
    <w:rsid w:val="00A4022D"/>
    <w:rsid w:val="00A40335"/>
    <w:rsid w:val="00A407C7"/>
    <w:rsid w:val="00A40BD2"/>
    <w:rsid w:val="00A41689"/>
    <w:rsid w:val="00A422B2"/>
    <w:rsid w:val="00A4242E"/>
    <w:rsid w:val="00A42592"/>
    <w:rsid w:val="00A4267A"/>
    <w:rsid w:val="00A43484"/>
    <w:rsid w:val="00A43867"/>
    <w:rsid w:val="00A43C59"/>
    <w:rsid w:val="00A44435"/>
    <w:rsid w:val="00A44B23"/>
    <w:rsid w:val="00A4565A"/>
    <w:rsid w:val="00A46271"/>
    <w:rsid w:val="00A47315"/>
    <w:rsid w:val="00A50041"/>
    <w:rsid w:val="00A50BCA"/>
    <w:rsid w:val="00A50ECD"/>
    <w:rsid w:val="00A51269"/>
    <w:rsid w:val="00A513F7"/>
    <w:rsid w:val="00A518F3"/>
    <w:rsid w:val="00A51DBF"/>
    <w:rsid w:val="00A5270B"/>
    <w:rsid w:val="00A52729"/>
    <w:rsid w:val="00A52751"/>
    <w:rsid w:val="00A5302E"/>
    <w:rsid w:val="00A53675"/>
    <w:rsid w:val="00A53BCA"/>
    <w:rsid w:val="00A53E7C"/>
    <w:rsid w:val="00A541EE"/>
    <w:rsid w:val="00A54236"/>
    <w:rsid w:val="00A545A9"/>
    <w:rsid w:val="00A549C6"/>
    <w:rsid w:val="00A55A47"/>
    <w:rsid w:val="00A55C49"/>
    <w:rsid w:val="00A55DDB"/>
    <w:rsid w:val="00A561C6"/>
    <w:rsid w:val="00A561CA"/>
    <w:rsid w:val="00A564D7"/>
    <w:rsid w:val="00A567A0"/>
    <w:rsid w:val="00A56B6A"/>
    <w:rsid w:val="00A56F1B"/>
    <w:rsid w:val="00A578DC"/>
    <w:rsid w:val="00A607D4"/>
    <w:rsid w:val="00A60C7B"/>
    <w:rsid w:val="00A61119"/>
    <w:rsid w:val="00A612B4"/>
    <w:rsid w:val="00A61A62"/>
    <w:rsid w:val="00A620E4"/>
    <w:rsid w:val="00A62963"/>
    <w:rsid w:val="00A634AF"/>
    <w:rsid w:val="00A635F9"/>
    <w:rsid w:val="00A640E2"/>
    <w:rsid w:val="00A64D65"/>
    <w:rsid w:val="00A652E4"/>
    <w:rsid w:val="00A653B8"/>
    <w:rsid w:val="00A65EF7"/>
    <w:rsid w:val="00A66006"/>
    <w:rsid w:val="00A662C1"/>
    <w:rsid w:val="00A6652D"/>
    <w:rsid w:val="00A670C6"/>
    <w:rsid w:val="00A6725B"/>
    <w:rsid w:val="00A6749E"/>
    <w:rsid w:val="00A6768B"/>
    <w:rsid w:val="00A67F74"/>
    <w:rsid w:val="00A70389"/>
    <w:rsid w:val="00A70605"/>
    <w:rsid w:val="00A7076A"/>
    <w:rsid w:val="00A7129D"/>
    <w:rsid w:val="00A71883"/>
    <w:rsid w:val="00A72836"/>
    <w:rsid w:val="00A72B5B"/>
    <w:rsid w:val="00A72F4E"/>
    <w:rsid w:val="00A73134"/>
    <w:rsid w:val="00A7314C"/>
    <w:rsid w:val="00A73579"/>
    <w:rsid w:val="00A735D7"/>
    <w:rsid w:val="00A7365A"/>
    <w:rsid w:val="00A73F43"/>
    <w:rsid w:val="00A749F4"/>
    <w:rsid w:val="00A751ED"/>
    <w:rsid w:val="00A755DF"/>
    <w:rsid w:val="00A76001"/>
    <w:rsid w:val="00A76390"/>
    <w:rsid w:val="00A7642F"/>
    <w:rsid w:val="00A76ADC"/>
    <w:rsid w:val="00A770FB"/>
    <w:rsid w:val="00A774B5"/>
    <w:rsid w:val="00A777B2"/>
    <w:rsid w:val="00A825D4"/>
    <w:rsid w:val="00A828F6"/>
    <w:rsid w:val="00A8294D"/>
    <w:rsid w:val="00A829D2"/>
    <w:rsid w:val="00A82B73"/>
    <w:rsid w:val="00A8463F"/>
    <w:rsid w:val="00A84A15"/>
    <w:rsid w:val="00A84E4F"/>
    <w:rsid w:val="00A85000"/>
    <w:rsid w:val="00A8510B"/>
    <w:rsid w:val="00A85626"/>
    <w:rsid w:val="00A8618F"/>
    <w:rsid w:val="00A86344"/>
    <w:rsid w:val="00A86AC6"/>
    <w:rsid w:val="00A86E8B"/>
    <w:rsid w:val="00A87164"/>
    <w:rsid w:val="00A871A9"/>
    <w:rsid w:val="00A87325"/>
    <w:rsid w:val="00A876CA"/>
    <w:rsid w:val="00A87819"/>
    <w:rsid w:val="00A909A1"/>
    <w:rsid w:val="00A91A72"/>
    <w:rsid w:val="00A91B9B"/>
    <w:rsid w:val="00A91C85"/>
    <w:rsid w:val="00A9224C"/>
    <w:rsid w:val="00A92B06"/>
    <w:rsid w:val="00A92CE1"/>
    <w:rsid w:val="00A93072"/>
    <w:rsid w:val="00A93675"/>
    <w:rsid w:val="00A93725"/>
    <w:rsid w:val="00A937C3"/>
    <w:rsid w:val="00A938BD"/>
    <w:rsid w:val="00A93953"/>
    <w:rsid w:val="00A953B5"/>
    <w:rsid w:val="00A959C4"/>
    <w:rsid w:val="00A959D8"/>
    <w:rsid w:val="00A95C43"/>
    <w:rsid w:val="00A9688E"/>
    <w:rsid w:val="00A96A50"/>
    <w:rsid w:val="00A96FFA"/>
    <w:rsid w:val="00A97758"/>
    <w:rsid w:val="00AA090C"/>
    <w:rsid w:val="00AA113D"/>
    <w:rsid w:val="00AA1298"/>
    <w:rsid w:val="00AA1F38"/>
    <w:rsid w:val="00AA2734"/>
    <w:rsid w:val="00AA35EC"/>
    <w:rsid w:val="00AA3B0B"/>
    <w:rsid w:val="00AA3B1A"/>
    <w:rsid w:val="00AA5047"/>
    <w:rsid w:val="00AA5609"/>
    <w:rsid w:val="00AA5D1C"/>
    <w:rsid w:val="00AA603B"/>
    <w:rsid w:val="00AA6514"/>
    <w:rsid w:val="00AA6631"/>
    <w:rsid w:val="00AA668E"/>
    <w:rsid w:val="00AA68A3"/>
    <w:rsid w:val="00AA68C0"/>
    <w:rsid w:val="00AA6BD5"/>
    <w:rsid w:val="00AA6BD8"/>
    <w:rsid w:val="00AA6C7D"/>
    <w:rsid w:val="00AA6D0A"/>
    <w:rsid w:val="00AA7FD6"/>
    <w:rsid w:val="00AB042A"/>
    <w:rsid w:val="00AB050A"/>
    <w:rsid w:val="00AB0B1D"/>
    <w:rsid w:val="00AB11AD"/>
    <w:rsid w:val="00AB134A"/>
    <w:rsid w:val="00AB18FB"/>
    <w:rsid w:val="00AB19EF"/>
    <w:rsid w:val="00AB1BBD"/>
    <w:rsid w:val="00AB1D56"/>
    <w:rsid w:val="00AB2495"/>
    <w:rsid w:val="00AB2BBE"/>
    <w:rsid w:val="00AB2D34"/>
    <w:rsid w:val="00AB33E2"/>
    <w:rsid w:val="00AB3430"/>
    <w:rsid w:val="00AB37B9"/>
    <w:rsid w:val="00AB3C2E"/>
    <w:rsid w:val="00AB3E35"/>
    <w:rsid w:val="00AB43B8"/>
    <w:rsid w:val="00AB4663"/>
    <w:rsid w:val="00AB4AD1"/>
    <w:rsid w:val="00AB4BBC"/>
    <w:rsid w:val="00AB4E90"/>
    <w:rsid w:val="00AB54F3"/>
    <w:rsid w:val="00AB5E07"/>
    <w:rsid w:val="00AB6A66"/>
    <w:rsid w:val="00AB6B18"/>
    <w:rsid w:val="00AB6CEB"/>
    <w:rsid w:val="00AB6D93"/>
    <w:rsid w:val="00AB781D"/>
    <w:rsid w:val="00AB7CFA"/>
    <w:rsid w:val="00AB7FFA"/>
    <w:rsid w:val="00AC07E1"/>
    <w:rsid w:val="00AC137D"/>
    <w:rsid w:val="00AC2D7E"/>
    <w:rsid w:val="00AC3F3B"/>
    <w:rsid w:val="00AC40FE"/>
    <w:rsid w:val="00AC44A7"/>
    <w:rsid w:val="00AC5B42"/>
    <w:rsid w:val="00AC5B48"/>
    <w:rsid w:val="00AC638E"/>
    <w:rsid w:val="00AC6B71"/>
    <w:rsid w:val="00AC6B92"/>
    <w:rsid w:val="00AC6FBD"/>
    <w:rsid w:val="00AC7025"/>
    <w:rsid w:val="00AC71EC"/>
    <w:rsid w:val="00AC745F"/>
    <w:rsid w:val="00AD008B"/>
    <w:rsid w:val="00AD015E"/>
    <w:rsid w:val="00AD028F"/>
    <w:rsid w:val="00AD0B6D"/>
    <w:rsid w:val="00AD1450"/>
    <w:rsid w:val="00AD154B"/>
    <w:rsid w:val="00AD15E8"/>
    <w:rsid w:val="00AD1DBA"/>
    <w:rsid w:val="00AD2A41"/>
    <w:rsid w:val="00AD356D"/>
    <w:rsid w:val="00AD3819"/>
    <w:rsid w:val="00AD3AB3"/>
    <w:rsid w:val="00AD3E9F"/>
    <w:rsid w:val="00AD4339"/>
    <w:rsid w:val="00AD4BFD"/>
    <w:rsid w:val="00AD4FC0"/>
    <w:rsid w:val="00AD54F5"/>
    <w:rsid w:val="00AD58E0"/>
    <w:rsid w:val="00AD5D60"/>
    <w:rsid w:val="00AD63AD"/>
    <w:rsid w:val="00AD6502"/>
    <w:rsid w:val="00AD7A41"/>
    <w:rsid w:val="00AE0695"/>
    <w:rsid w:val="00AE0C2A"/>
    <w:rsid w:val="00AE17B0"/>
    <w:rsid w:val="00AE1DEA"/>
    <w:rsid w:val="00AE236E"/>
    <w:rsid w:val="00AE2594"/>
    <w:rsid w:val="00AE2C53"/>
    <w:rsid w:val="00AE2DED"/>
    <w:rsid w:val="00AE345D"/>
    <w:rsid w:val="00AE3609"/>
    <w:rsid w:val="00AE3E7E"/>
    <w:rsid w:val="00AE457C"/>
    <w:rsid w:val="00AE65CB"/>
    <w:rsid w:val="00AE677F"/>
    <w:rsid w:val="00AE7D7A"/>
    <w:rsid w:val="00AE7E53"/>
    <w:rsid w:val="00AF042C"/>
    <w:rsid w:val="00AF0468"/>
    <w:rsid w:val="00AF0B6D"/>
    <w:rsid w:val="00AF1315"/>
    <w:rsid w:val="00AF19BF"/>
    <w:rsid w:val="00AF1E04"/>
    <w:rsid w:val="00AF2DC3"/>
    <w:rsid w:val="00AF3C60"/>
    <w:rsid w:val="00AF4539"/>
    <w:rsid w:val="00AF6124"/>
    <w:rsid w:val="00AF6702"/>
    <w:rsid w:val="00AF67C5"/>
    <w:rsid w:val="00AF6D9A"/>
    <w:rsid w:val="00AF74BF"/>
    <w:rsid w:val="00AF7E79"/>
    <w:rsid w:val="00B00D3B"/>
    <w:rsid w:val="00B01054"/>
    <w:rsid w:val="00B01068"/>
    <w:rsid w:val="00B01A60"/>
    <w:rsid w:val="00B01CFD"/>
    <w:rsid w:val="00B02107"/>
    <w:rsid w:val="00B026F2"/>
    <w:rsid w:val="00B02AFE"/>
    <w:rsid w:val="00B02B47"/>
    <w:rsid w:val="00B02F72"/>
    <w:rsid w:val="00B030B8"/>
    <w:rsid w:val="00B033E5"/>
    <w:rsid w:val="00B03A63"/>
    <w:rsid w:val="00B03B89"/>
    <w:rsid w:val="00B04C70"/>
    <w:rsid w:val="00B0563B"/>
    <w:rsid w:val="00B05B72"/>
    <w:rsid w:val="00B06A45"/>
    <w:rsid w:val="00B06B64"/>
    <w:rsid w:val="00B07837"/>
    <w:rsid w:val="00B10CA1"/>
    <w:rsid w:val="00B10CEA"/>
    <w:rsid w:val="00B10FCE"/>
    <w:rsid w:val="00B116F6"/>
    <w:rsid w:val="00B11D8D"/>
    <w:rsid w:val="00B129A4"/>
    <w:rsid w:val="00B12EE0"/>
    <w:rsid w:val="00B135FE"/>
    <w:rsid w:val="00B138DC"/>
    <w:rsid w:val="00B13987"/>
    <w:rsid w:val="00B13EC3"/>
    <w:rsid w:val="00B14591"/>
    <w:rsid w:val="00B14867"/>
    <w:rsid w:val="00B15AF3"/>
    <w:rsid w:val="00B15F3A"/>
    <w:rsid w:val="00B16569"/>
    <w:rsid w:val="00B16901"/>
    <w:rsid w:val="00B16DA4"/>
    <w:rsid w:val="00B17870"/>
    <w:rsid w:val="00B201A4"/>
    <w:rsid w:val="00B201D1"/>
    <w:rsid w:val="00B206F2"/>
    <w:rsid w:val="00B20C61"/>
    <w:rsid w:val="00B20CC6"/>
    <w:rsid w:val="00B210AA"/>
    <w:rsid w:val="00B213A6"/>
    <w:rsid w:val="00B2260D"/>
    <w:rsid w:val="00B232D4"/>
    <w:rsid w:val="00B235B0"/>
    <w:rsid w:val="00B23D82"/>
    <w:rsid w:val="00B249C9"/>
    <w:rsid w:val="00B24DE9"/>
    <w:rsid w:val="00B24DF6"/>
    <w:rsid w:val="00B2537B"/>
    <w:rsid w:val="00B27099"/>
    <w:rsid w:val="00B279D3"/>
    <w:rsid w:val="00B27A61"/>
    <w:rsid w:val="00B27F71"/>
    <w:rsid w:val="00B309FC"/>
    <w:rsid w:val="00B31B65"/>
    <w:rsid w:val="00B31E39"/>
    <w:rsid w:val="00B33B95"/>
    <w:rsid w:val="00B34251"/>
    <w:rsid w:val="00B344C7"/>
    <w:rsid w:val="00B348C9"/>
    <w:rsid w:val="00B34F6A"/>
    <w:rsid w:val="00B34FE2"/>
    <w:rsid w:val="00B35166"/>
    <w:rsid w:val="00B357AB"/>
    <w:rsid w:val="00B357D8"/>
    <w:rsid w:val="00B35F66"/>
    <w:rsid w:val="00B35F70"/>
    <w:rsid w:val="00B35F81"/>
    <w:rsid w:val="00B360F4"/>
    <w:rsid w:val="00B36192"/>
    <w:rsid w:val="00B36A00"/>
    <w:rsid w:val="00B36BBD"/>
    <w:rsid w:val="00B36D72"/>
    <w:rsid w:val="00B37230"/>
    <w:rsid w:val="00B3792B"/>
    <w:rsid w:val="00B37BFC"/>
    <w:rsid w:val="00B400EC"/>
    <w:rsid w:val="00B40358"/>
    <w:rsid w:val="00B40764"/>
    <w:rsid w:val="00B41614"/>
    <w:rsid w:val="00B41A22"/>
    <w:rsid w:val="00B41DBB"/>
    <w:rsid w:val="00B42851"/>
    <w:rsid w:val="00B42AA1"/>
    <w:rsid w:val="00B42F80"/>
    <w:rsid w:val="00B435CB"/>
    <w:rsid w:val="00B44037"/>
    <w:rsid w:val="00B44458"/>
    <w:rsid w:val="00B4473D"/>
    <w:rsid w:val="00B44B6B"/>
    <w:rsid w:val="00B45C6F"/>
    <w:rsid w:val="00B46463"/>
    <w:rsid w:val="00B4647F"/>
    <w:rsid w:val="00B465EC"/>
    <w:rsid w:val="00B46DF8"/>
    <w:rsid w:val="00B47A5C"/>
    <w:rsid w:val="00B505C8"/>
    <w:rsid w:val="00B50838"/>
    <w:rsid w:val="00B50DB8"/>
    <w:rsid w:val="00B5150E"/>
    <w:rsid w:val="00B51C82"/>
    <w:rsid w:val="00B5283F"/>
    <w:rsid w:val="00B53409"/>
    <w:rsid w:val="00B53654"/>
    <w:rsid w:val="00B5370E"/>
    <w:rsid w:val="00B53905"/>
    <w:rsid w:val="00B53B26"/>
    <w:rsid w:val="00B541A5"/>
    <w:rsid w:val="00B546DB"/>
    <w:rsid w:val="00B54B5B"/>
    <w:rsid w:val="00B5562E"/>
    <w:rsid w:val="00B55862"/>
    <w:rsid w:val="00B5588F"/>
    <w:rsid w:val="00B55A14"/>
    <w:rsid w:val="00B55D65"/>
    <w:rsid w:val="00B55D79"/>
    <w:rsid w:val="00B56305"/>
    <w:rsid w:val="00B566F6"/>
    <w:rsid w:val="00B56A12"/>
    <w:rsid w:val="00B57000"/>
    <w:rsid w:val="00B60793"/>
    <w:rsid w:val="00B60939"/>
    <w:rsid w:val="00B60AFD"/>
    <w:rsid w:val="00B60B7D"/>
    <w:rsid w:val="00B621A4"/>
    <w:rsid w:val="00B626B1"/>
    <w:rsid w:val="00B62715"/>
    <w:rsid w:val="00B627F5"/>
    <w:rsid w:val="00B635D0"/>
    <w:rsid w:val="00B637D6"/>
    <w:rsid w:val="00B637DC"/>
    <w:rsid w:val="00B63BAA"/>
    <w:rsid w:val="00B64B8F"/>
    <w:rsid w:val="00B65040"/>
    <w:rsid w:val="00B650FF"/>
    <w:rsid w:val="00B65611"/>
    <w:rsid w:val="00B6579A"/>
    <w:rsid w:val="00B662AC"/>
    <w:rsid w:val="00B665FB"/>
    <w:rsid w:val="00B66B38"/>
    <w:rsid w:val="00B66F09"/>
    <w:rsid w:val="00B67145"/>
    <w:rsid w:val="00B6733D"/>
    <w:rsid w:val="00B704CA"/>
    <w:rsid w:val="00B70703"/>
    <w:rsid w:val="00B70E8E"/>
    <w:rsid w:val="00B715D6"/>
    <w:rsid w:val="00B71944"/>
    <w:rsid w:val="00B71D54"/>
    <w:rsid w:val="00B71EFB"/>
    <w:rsid w:val="00B72D81"/>
    <w:rsid w:val="00B740AD"/>
    <w:rsid w:val="00B75DD9"/>
    <w:rsid w:val="00B76379"/>
    <w:rsid w:val="00B76B76"/>
    <w:rsid w:val="00B76C92"/>
    <w:rsid w:val="00B776D4"/>
    <w:rsid w:val="00B778A9"/>
    <w:rsid w:val="00B77CFC"/>
    <w:rsid w:val="00B803BB"/>
    <w:rsid w:val="00B80863"/>
    <w:rsid w:val="00B80EFD"/>
    <w:rsid w:val="00B80FF1"/>
    <w:rsid w:val="00B81454"/>
    <w:rsid w:val="00B818A4"/>
    <w:rsid w:val="00B82630"/>
    <w:rsid w:val="00B83330"/>
    <w:rsid w:val="00B83739"/>
    <w:rsid w:val="00B83F3A"/>
    <w:rsid w:val="00B840A6"/>
    <w:rsid w:val="00B84117"/>
    <w:rsid w:val="00B84208"/>
    <w:rsid w:val="00B847BA"/>
    <w:rsid w:val="00B858F0"/>
    <w:rsid w:val="00B85AA2"/>
    <w:rsid w:val="00B85BB4"/>
    <w:rsid w:val="00B85F3E"/>
    <w:rsid w:val="00B860D9"/>
    <w:rsid w:val="00B8649C"/>
    <w:rsid w:val="00B867E8"/>
    <w:rsid w:val="00B8692A"/>
    <w:rsid w:val="00B8695D"/>
    <w:rsid w:val="00B86D3D"/>
    <w:rsid w:val="00B87953"/>
    <w:rsid w:val="00B87F0A"/>
    <w:rsid w:val="00B91650"/>
    <w:rsid w:val="00B91652"/>
    <w:rsid w:val="00B91EB5"/>
    <w:rsid w:val="00B927D2"/>
    <w:rsid w:val="00B9294D"/>
    <w:rsid w:val="00B92D0B"/>
    <w:rsid w:val="00B93213"/>
    <w:rsid w:val="00B932C7"/>
    <w:rsid w:val="00B935F8"/>
    <w:rsid w:val="00B94945"/>
    <w:rsid w:val="00B94DD6"/>
    <w:rsid w:val="00B94F66"/>
    <w:rsid w:val="00B953F9"/>
    <w:rsid w:val="00B95B55"/>
    <w:rsid w:val="00B95FDA"/>
    <w:rsid w:val="00B963A9"/>
    <w:rsid w:val="00B96C7D"/>
    <w:rsid w:val="00B96D94"/>
    <w:rsid w:val="00B96F11"/>
    <w:rsid w:val="00B97CFD"/>
    <w:rsid w:val="00BA0B20"/>
    <w:rsid w:val="00BA0B98"/>
    <w:rsid w:val="00BA17DC"/>
    <w:rsid w:val="00BA322D"/>
    <w:rsid w:val="00BA3FA1"/>
    <w:rsid w:val="00BA4189"/>
    <w:rsid w:val="00BA429C"/>
    <w:rsid w:val="00BA485E"/>
    <w:rsid w:val="00BA4AF7"/>
    <w:rsid w:val="00BA4E6B"/>
    <w:rsid w:val="00BA58D4"/>
    <w:rsid w:val="00BA63FA"/>
    <w:rsid w:val="00BA65F4"/>
    <w:rsid w:val="00BA668D"/>
    <w:rsid w:val="00BA6731"/>
    <w:rsid w:val="00BA6AC2"/>
    <w:rsid w:val="00BA6E18"/>
    <w:rsid w:val="00BA6E23"/>
    <w:rsid w:val="00BA7B77"/>
    <w:rsid w:val="00BB00B3"/>
    <w:rsid w:val="00BB05AA"/>
    <w:rsid w:val="00BB0A95"/>
    <w:rsid w:val="00BB0BDD"/>
    <w:rsid w:val="00BB176C"/>
    <w:rsid w:val="00BB2A73"/>
    <w:rsid w:val="00BB3018"/>
    <w:rsid w:val="00BB35B5"/>
    <w:rsid w:val="00BB3A45"/>
    <w:rsid w:val="00BB3C98"/>
    <w:rsid w:val="00BB4ACC"/>
    <w:rsid w:val="00BB4CC9"/>
    <w:rsid w:val="00BB5FEA"/>
    <w:rsid w:val="00BB63D1"/>
    <w:rsid w:val="00BB703E"/>
    <w:rsid w:val="00BB7056"/>
    <w:rsid w:val="00BB732D"/>
    <w:rsid w:val="00BB7405"/>
    <w:rsid w:val="00BB7770"/>
    <w:rsid w:val="00BB7D6D"/>
    <w:rsid w:val="00BC0291"/>
    <w:rsid w:val="00BC093B"/>
    <w:rsid w:val="00BC251C"/>
    <w:rsid w:val="00BC3631"/>
    <w:rsid w:val="00BC3666"/>
    <w:rsid w:val="00BC4311"/>
    <w:rsid w:val="00BC4A1F"/>
    <w:rsid w:val="00BC4D14"/>
    <w:rsid w:val="00BC591F"/>
    <w:rsid w:val="00BC5D94"/>
    <w:rsid w:val="00BC6B32"/>
    <w:rsid w:val="00BC7346"/>
    <w:rsid w:val="00BC7765"/>
    <w:rsid w:val="00BC7CAD"/>
    <w:rsid w:val="00BC7D6D"/>
    <w:rsid w:val="00BD00E3"/>
    <w:rsid w:val="00BD0542"/>
    <w:rsid w:val="00BD0AE8"/>
    <w:rsid w:val="00BD1946"/>
    <w:rsid w:val="00BD19A9"/>
    <w:rsid w:val="00BD2089"/>
    <w:rsid w:val="00BD2108"/>
    <w:rsid w:val="00BD2D20"/>
    <w:rsid w:val="00BD3144"/>
    <w:rsid w:val="00BD31DD"/>
    <w:rsid w:val="00BD377B"/>
    <w:rsid w:val="00BD4093"/>
    <w:rsid w:val="00BD475B"/>
    <w:rsid w:val="00BD50D5"/>
    <w:rsid w:val="00BD59B5"/>
    <w:rsid w:val="00BD6584"/>
    <w:rsid w:val="00BD6724"/>
    <w:rsid w:val="00BD6815"/>
    <w:rsid w:val="00BD68A3"/>
    <w:rsid w:val="00BD6938"/>
    <w:rsid w:val="00BD6CF3"/>
    <w:rsid w:val="00BD6DAA"/>
    <w:rsid w:val="00BD72A7"/>
    <w:rsid w:val="00BD7D82"/>
    <w:rsid w:val="00BD7F72"/>
    <w:rsid w:val="00BE0ECA"/>
    <w:rsid w:val="00BE11AD"/>
    <w:rsid w:val="00BE2180"/>
    <w:rsid w:val="00BE21F2"/>
    <w:rsid w:val="00BE2550"/>
    <w:rsid w:val="00BE2B65"/>
    <w:rsid w:val="00BE39D8"/>
    <w:rsid w:val="00BE3EAD"/>
    <w:rsid w:val="00BE4114"/>
    <w:rsid w:val="00BE4275"/>
    <w:rsid w:val="00BE466A"/>
    <w:rsid w:val="00BE52FA"/>
    <w:rsid w:val="00BE5C3C"/>
    <w:rsid w:val="00BE73F1"/>
    <w:rsid w:val="00BF06AE"/>
    <w:rsid w:val="00BF0A7E"/>
    <w:rsid w:val="00BF0F95"/>
    <w:rsid w:val="00BF11BA"/>
    <w:rsid w:val="00BF178B"/>
    <w:rsid w:val="00BF1AE3"/>
    <w:rsid w:val="00BF2433"/>
    <w:rsid w:val="00BF24FA"/>
    <w:rsid w:val="00BF2A8F"/>
    <w:rsid w:val="00BF2E6E"/>
    <w:rsid w:val="00BF386D"/>
    <w:rsid w:val="00BF3D38"/>
    <w:rsid w:val="00BF5200"/>
    <w:rsid w:val="00BF55BB"/>
    <w:rsid w:val="00BF57A3"/>
    <w:rsid w:val="00BF5C28"/>
    <w:rsid w:val="00BF61C9"/>
    <w:rsid w:val="00BF67FE"/>
    <w:rsid w:val="00BF6C94"/>
    <w:rsid w:val="00BF7543"/>
    <w:rsid w:val="00C0029E"/>
    <w:rsid w:val="00C00424"/>
    <w:rsid w:val="00C00509"/>
    <w:rsid w:val="00C00BB0"/>
    <w:rsid w:val="00C02288"/>
    <w:rsid w:val="00C027D4"/>
    <w:rsid w:val="00C029D1"/>
    <w:rsid w:val="00C02C69"/>
    <w:rsid w:val="00C03724"/>
    <w:rsid w:val="00C03FB0"/>
    <w:rsid w:val="00C042D3"/>
    <w:rsid w:val="00C054DA"/>
    <w:rsid w:val="00C058A6"/>
    <w:rsid w:val="00C05AB1"/>
    <w:rsid w:val="00C05E54"/>
    <w:rsid w:val="00C06E11"/>
    <w:rsid w:val="00C06F58"/>
    <w:rsid w:val="00C105FB"/>
    <w:rsid w:val="00C10F58"/>
    <w:rsid w:val="00C11143"/>
    <w:rsid w:val="00C114A5"/>
    <w:rsid w:val="00C1179F"/>
    <w:rsid w:val="00C11FE2"/>
    <w:rsid w:val="00C12503"/>
    <w:rsid w:val="00C126B9"/>
    <w:rsid w:val="00C127B9"/>
    <w:rsid w:val="00C128FA"/>
    <w:rsid w:val="00C12C14"/>
    <w:rsid w:val="00C12E8D"/>
    <w:rsid w:val="00C12EB9"/>
    <w:rsid w:val="00C142B8"/>
    <w:rsid w:val="00C1509B"/>
    <w:rsid w:val="00C153A8"/>
    <w:rsid w:val="00C15608"/>
    <w:rsid w:val="00C15F04"/>
    <w:rsid w:val="00C16052"/>
    <w:rsid w:val="00C161AD"/>
    <w:rsid w:val="00C17081"/>
    <w:rsid w:val="00C170E7"/>
    <w:rsid w:val="00C173DA"/>
    <w:rsid w:val="00C174C8"/>
    <w:rsid w:val="00C176D7"/>
    <w:rsid w:val="00C179B3"/>
    <w:rsid w:val="00C17E3F"/>
    <w:rsid w:val="00C200AA"/>
    <w:rsid w:val="00C21447"/>
    <w:rsid w:val="00C21EC4"/>
    <w:rsid w:val="00C22A46"/>
    <w:rsid w:val="00C22E0D"/>
    <w:rsid w:val="00C22E64"/>
    <w:rsid w:val="00C237ED"/>
    <w:rsid w:val="00C24632"/>
    <w:rsid w:val="00C24BA5"/>
    <w:rsid w:val="00C24D1D"/>
    <w:rsid w:val="00C25418"/>
    <w:rsid w:val="00C2595B"/>
    <w:rsid w:val="00C2598D"/>
    <w:rsid w:val="00C25A81"/>
    <w:rsid w:val="00C25D9C"/>
    <w:rsid w:val="00C26315"/>
    <w:rsid w:val="00C2778B"/>
    <w:rsid w:val="00C27831"/>
    <w:rsid w:val="00C31649"/>
    <w:rsid w:val="00C31EC9"/>
    <w:rsid w:val="00C32033"/>
    <w:rsid w:val="00C32503"/>
    <w:rsid w:val="00C334C8"/>
    <w:rsid w:val="00C335C2"/>
    <w:rsid w:val="00C3434C"/>
    <w:rsid w:val="00C34D88"/>
    <w:rsid w:val="00C35584"/>
    <w:rsid w:val="00C35674"/>
    <w:rsid w:val="00C35B66"/>
    <w:rsid w:val="00C35CE3"/>
    <w:rsid w:val="00C361A7"/>
    <w:rsid w:val="00C363DD"/>
    <w:rsid w:val="00C368E8"/>
    <w:rsid w:val="00C3690D"/>
    <w:rsid w:val="00C36FE5"/>
    <w:rsid w:val="00C3753A"/>
    <w:rsid w:val="00C37801"/>
    <w:rsid w:val="00C37A8A"/>
    <w:rsid w:val="00C37EDA"/>
    <w:rsid w:val="00C40385"/>
    <w:rsid w:val="00C40444"/>
    <w:rsid w:val="00C415DF"/>
    <w:rsid w:val="00C416C1"/>
    <w:rsid w:val="00C41768"/>
    <w:rsid w:val="00C4199C"/>
    <w:rsid w:val="00C41FBD"/>
    <w:rsid w:val="00C41FD2"/>
    <w:rsid w:val="00C425FE"/>
    <w:rsid w:val="00C42FD2"/>
    <w:rsid w:val="00C43150"/>
    <w:rsid w:val="00C433AD"/>
    <w:rsid w:val="00C44187"/>
    <w:rsid w:val="00C4454B"/>
    <w:rsid w:val="00C449BA"/>
    <w:rsid w:val="00C4544F"/>
    <w:rsid w:val="00C45750"/>
    <w:rsid w:val="00C45B31"/>
    <w:rsid w:val="00C462D2"/>
    <w:rsid w:val="00C46C88"/>
    <w:rsid w:val="00C475AA"/>
    <w:rsid w:val="00C50276"/>
    <w:rsid w:val="00C51AA8"/>
    <w:rsid w:val="00C527C7"/>
    <w:rsid w:val="00C536CB"/>
    <w:rsid w:val="00C53C5A"/>
    <w:rsid w:val="00C53C98"/>
    <w:rsid w:val="00C53FD8"/>
    <w:rsid w:val="00C5442C"/>
    <w:rsid w:val="00C55470"/>
    <w:rsid w:val="00C55B58"/>
    <w:rsid w:val="00C56142"/>
    <w:rsid w:val="00C56657"/>
    <w:rsid w:val="00C56B94"/>
    <w:rsid w:val="00C56FCF"/>
    <w:rsid w:val="00C5760A"/>
    <w:rsid w:val="00C57B6C"/>
    <w:rsid w:val="00C57C9A"/>
    <w:rsid w:val="00C608C0"/>
    <w:rsid w:val="00C6115C"/>
    <w:rsid w:val="00C617FE"/>
    <w:rsid w:val="00C61A59"/>
    <w:rsid w:val="00C628A6"/>
    <w:rsid w:val="00C628FC"/>
    <w:rsid w:val="00C62928"/>
    <w:rsid w:val="00C6373B"/>
    <w:rsid w:val="00C64344"/>
    <w:rsid w:val="00C64787"/>
    <w:rsid w:val="00C65108"/>
    <w:rsid w:val="00C65576"/>
    <w:rsid w:val="00C66165"/>
    <w:rsid w:val="00C66811"/>
    <w:rsid w:val="00C671B3"/>
    <w:rsid w:val="00C677A8"/>
    <w:rsid w:val="00C67C6B"/>
    <w:rsid w:val="00C67DA9"/>
    <w:rsid w:val="00C70135"/>
    <w:rsid w:val="00C70256"/>
    <w:rsid w:val="00C7060A"/>
    <w:rsid w:val="00C7151A"/>
    <w:rsid w:val="00C717E3"/>
    <w:rsid w:val="00C71F60"/>
    <w:rsid w:val="00C72241"/>
    <w:rsid w:val="00C72791"/>
    <w:rsid w:val="00C73542"/>
    <w:rsid w:val="00C73927"/>
    <w:rsid w:val="00C748D2"/>
    <w:rsid w:val="00C74B50"/>
    <w:rsid w:val="00C74DDC"/>
    <w:rsid w:val="00C750C8"/>
    <w:rsid w:val="00C7510B"/>
    <w:rsid w:val="00C7560F"/>
    <w:rsid w:val="00C760E2"/>
    <w:rsid w:val="00C76D8A"/>
    <w:rsid w:val="00C77011"/>
    <w:rsid w:val="00C7728D"/>
    <w:rsid w:val="00C77571"/>
    <w:rsid w:val="00C77898"/>
    <w:rsid w:val="00C803BC"/>
    <w:rsid w:val="00C80776"/>
    <w:rsid w:val="00C80A0E"/>
    <w:rsid w:val="00C80A76"/>
    <w:rsid w:val="00C80F63"/>
    <w:rsid w:val="00C816F8"/>
    <w:rsid w:val="00C8213F"/>
    <w:rsid w:val="00C826CC"/>
    <w:rsid w:val="00C8303F"/>
    <w:rsid w:val="00C84044"/>
    <w:rsid w:val="00C85154"/>
    <w:rsid w:val="00C85574"/>
    <w:rsid w:val="00C85A70"/>
    <w:rsid w:val="00C86962"/>
    <w:rsid w:val="00C87933"/>
    <w:rsid w:val="00C8797A"/>
    <w:rsid w:val="00C87A4C"/>
    <w:rsid w:val="00C900B8"/>
    <w:rsid w:val="00C90197"/>
    <w:rsid w:val="00C903F0"/>
    <w:rsid w:val="00C90C71"/>
    <w:rsid w:val="00C91EC3"/>
    <w:rsid w:val="00C91FD1"/>
    <w:rsid w:val="00C924D8"/>
    <w:rsid w:val="00C92A55"/>
    <w:rsid w:val="00C931CF"/>
    <w:rsid w:val="00C9372E"/>
    <w:rsid w:val="00C938CF"/>
    <w:rsid w:val="00C9404A"/>
    <w:rsid w:val="00C94053"/>
    <w:rsid w:val="00C940B0"/>
    <w:rsid w:val="00C943E0"/>
    <w:rsid w:val="00C9476F"/>
    <w:rsid w:val="00C94D28"/>
    <w:rsid w:val="00C95B29"/>
    <w:rsid w:val="00C95FB4"/>
    <w:rsid w:val="00C9624D"/>
    <w:rsid w:val="00C969DA"/>
    <w:rsid w:val="00C9707E"/>
    <w:rsid w:val="00CA1A6C"/>
    <w:rsid w:val="00CA1D36"/>
    <w:rsid w:val="00CA1FFB"/>
    <w:rsid w:val="00CA2C77"/>
    <w:rsid w:val="00CA444F"/>
    <w:rsid w:val="00CA48F7"/>
    <w:rsid w:val="00CA4E19"/>
    <w:rsid w:val="00CA51CA"/>
    <w:rsid w:val="00CA5245"/>
    <w:rsid w:val="00CA5280"/>
    <w:rsid w:val="00CA534A"/>
    <w:rsid w:val="00CA5F45"/>
    <w:rsid w:val="00CA632D"/>
    <w:rsid w:val="00CA71F4"/>
    <w:rsid w:val="00CA75E6"/>
    <w:rsid w:val="00CA7B09"/>
    <w:rsid w:val="00CA7CEB"/>
    <w:rsid w:val="00CB0765"/>
    <w:rsid w:val="00CB0B49"/>
    <w:rsid w:val="00CB1270"/>
    <w:rsid w:val="00CB12A5"/>
    <w:rsid w:val="00CB1BE7"/>
    <w:rsid w:val="00CB1CAC"/>
    <w:rsid w:val="00CB20D8"/>
    <w:rsid w:val="00CB2F2A"/>
    <w:rsid w:val="00CB372B"/>
    <w:rsid w:val="00CB3B4F"/>
    <w:rsid w:val="00CB3C3A"/>
    <w:rsid w:val="00CB467E"/>
    <w:rsid w:val="00CB4D4F"/>
    <w:rsid w:val="00CB54C7"/>
    <w:rsid w:val="00CB5779"/>
    <w:rsid w:val="00CB5A02"/>
    <w:rsid w:val="00CB5B1A"/>
    <w:rsid w:val="00CB5E47"/>
    <w:rsid w:val="00CB68BB"/>
    <w:rsid w:val="00CB6B22"/>
    <w:rsid w:val="00CB748B"/>
    <w:rsid w:val="00CB77DF"/>
    <w:rsid w:val="00CB785A"/>
    <w:rsid w:val="00CB789E"/>
    <w:rsid w:val="00CB7DF3"/>
    <w:rsid w:val="00CB7F5F"/>
    <w:rsid w:val="00CC12C1"/>
    <w:rsid w:val="00CC192B"/>
    <w:rsid w:val="00CC1B39"/>
    <w:rsid w:val="00CC1BFA"/>
    <w:rsid w:val="00CC1D1C"/>
    <w:rsid w:val="00CC29C2"/>
    <w:rsid w:val="00CC2A16"/>
    <w:rsid w:val="00CC2DE2"/>
    <w:rsid w:val="00CC2E9F"/>
    <w:rsid w:val="00CC3177"/>
    <w:rsid w:val="00CC35EA"/>
    <w:rsid w:val="00CC3848"/>
    <w:rsid w:val="00CC3AEB"/>
    <w:rsid w:val="00CC41FE"/>
    <w:rsid w:val="00CC43FD"/>
    <w:rsid w:val="00CC4500"/>
    <w:rsid w:val="00CC47AF"/>
    <w:rsid w:val="00CC5822"/>
    <w:rsid w:val="00CC673E"/>
    <w:rsid w:val="00CC6D1B"/>
    <w:rsid w:val="00CC6D5E"/>
    <w:rsid w:val="00CC7029"/>
    <w:rsid w:val="00CC7135"/>
    <w:rsid w:val="00CC7E77"/>
    <w:rsid w:val="00CD0200"/>
    <w:rsid w:val="00CD05C8"/>
    <w:rsid w:val="00CD0A95"/>
    <w:rsid w:val="00CD0ACE"/>
    <w:rsid w:val="00CD0DC9"/>
    <w:rsid w:val="00CD0E4A"/>
    <w:rsid w:val="00CD2E99"/>
    <w:rsid w:val="00CD2FAD"/>
    <w:rsid w:val="00CD315B"/>
    <w:rsid w:val="00CD3CA3"/>
    <w:rsid w:val="00CD3F77"/>
    <w:rsid w:val="00CD4E04"/>
    <w:rsid w:val="00CD5BDC"/>
    <w:rsid w:val="00CD6ADC"/>
    <w:rsid w:val="00CD6BC2"/>
    <w:rsid w:val="00CD7193"/>
    <w:rsid w:val="00CD763F"/>
    <w:rsid w:val="00CD7C35"/>
    <w:rsid w:val="00CD7F20"/>
    <w:rsid w:val="00CE0267"/>
    <w:rsid w:val="00CE0573"/>
    <w:rsid w:val="00CE0E40"/>
    <w:rsid w:val="00CE14FE"/>
    <w:rsid w:val="00CE1A0F"/>
    <w:rsid w:val="00CE1C02"/>
    <w:rsid w:val="00CE1D38"/>
    <w:rsid w:val="00CE2709"/>
    <w:rsid w:val="00CE2A4F"/>
    <w:rsid w:val="00CE2C78"/>
    <w:rsid w:val="00CE38C8"/>
    <w:rsid w:val="00CE524F"/>
    <w:rsid w:val="00CE58CC"/>
    <w:rsid w:val="00CE6274"/>
    <w:rsid w:val="00CE6640"/>
    <w:rsid w:val="00CE665A"/>
    <w:rsid w:val="00CE66C6"/>
    <w:rsid w:val="00CE70F1"/>
    <w:rsid w:val="00CE747B"/>
    <w:rsid w:val="00CE77B6"/>
    <w:rsid w:val="00CE7990"/>
    <w:rsid w:val="00CF0D3A"/>
    <w:rsid w:val="00CF11C6"/>
    <w:rsid w:val="00CF21FE"/>
    <w:rsid w:val="00CF2B8D"/>
    <w:rsid w:val="00CF2E7C"/>
    <w:rsid w:val="00CF3A1A"/>
    <w:rsid w:val="00CF3A1B"/>
    <w:rsid w:val="00CF456B"/>
    <w:rsid w:val="00CF4C89"/>
    <w:rsid w:val="00CF5286"/>
    <w:rsid w:val="00CF5A22"/>
    <w:rsid w:val="00CF5F72"/>
    <w:rsid w:val="00CF63D2"/>
    <w:rsid w:val="00CF7806"/>
    <w:rsid w:val="00CF7935"/>
    <w:rsid w:val="00CF7CC4"/>
    <w:rsid w:val="00CF7EFF"/>
    <w:rsid w:val="00D00894"/>
    <w:rsid w:val="00D009BB"/>
    <w:rsid w:val="00D01055"/>
    <w:rsid w:val="00D01C72"/>
    <w:rsid w:val="00D0262E"/>
    <w:rsid w:val="00D026F4"/>
    <w:rsid w:val="00D033CD"/>
    <w:rsid w:val="00D03679"/>
    <w:rsid w:val="00D037DF"/>
    <w:rsid w:val="00D04B9A"/>
    <w:rsid w:val="00D056B0"/>
    <w:rsid w:val="00D05E3D"/>
    <w:rsid w:val="00D06139"/>
    <w:rsid w:val="00D06146"/>
    <w:rsid w:val="00D07289"/>
    <w:rsid w:val="00D07EA8"/>
    <w:rsid w:val="00D10B11"/>
    <w:rsid w:val="00D10BC6"/>
    <w:rsid w:val="00D10C26"/>
    <w:rsid w:val="00D110BD"/>
    <w:rsid w:val="00D1149A"/>
    <w:rsid w:val="00D118CC"/>
    <w:rsid w:val="00D12AC2"/>
    <w:rsid w:val="00D13155"/>
    <w:rsid w:val="00D13675"/>
    <w:rsid w:val="00D1385F"/>
    <w:rsid w:val="00D13C38"/>
    <w:rsid w:val="00D141E1"/>
    <w:rsid w:val="00D145C6"/>
    <w:rsid w:val="00D14EEB"/>
    <w:rsid w:val="00D15193"/>
    <w:rsid w:val="00D15314"/>
    <w:rsid w:val="00D15B48"/>
    <w:rsid w:val="00D16E95"/>
    <w:rsid w:val="00D17D6C"/>
    <w:rsid w:val="00D17E81"/>
    <w:rsid w:val="00D17F4B"/>
    <w:rsid w:val="00D20644"/>
    <w:rsid w:val="00D212E8"/>
    <w:rsid w:val="00D2155B"/>
    <w:rsid w:val="00D223D1"/>
    <w:rsid w:val="00D224A3"/>
    <w:rsid w:val="00D232F6"/>
    <w:rsid w:val="00D23D11"/>
    <w:rsid w:val="00D23FA2"/>
    <w:rsid w:val="00D244B6"/>
    <w:rsid w:val="00D25346"/>
    <w:rsid w:val="00D25A5E"/>
    <w:rsid w:val="00D25F7E"/>
    <w:rsid w:val="00D26534"/>
    <w:rsid w:val="00D2754D"/>
    <w:rsid w:val="00D27B27"/>
    <w:rsid w:val="00D27BA8"/>
    <w:rsid w:val="00D27F5A"/>
    <w:rsid w:val="00D30922"/>
    <w:rsid w:val="00D30AF8"/>
    <w:rsid w:val="00D30D5B"/>
    <w:rsid w:val="00D31207"/>
    <w:rsid w:val="00D3172F"/>
    <w:rsid w:val="00D31DBD"/>
    <w:rsid w:val="00D31E77"/>
    <w:rsid w:val="00D32138"/>
    <w:rsid w:val="00D326FE"/>
    <w:rsid w:val="00D33369"/>
    <w:rsid w:val="00D33715"/>
    <w:rsid w:val="00D33BE9"/>
    <w:rsid w:val="00D33ECE"/>
    <w:rsid w:val="00D33F93"/>
    <w:rsid w:val="00D34066"/>
    <w:rsid w:val="00D349F2"/>
    <w:rsid w:val="00D34E48"/>
    <w:rsid w:val="00D357FF"/>
    <w:rsid w:val="00D358F1"/>
    <w:rsid w:val="00D35E1B"/>
    <w:rsid w:val="00D36AF1"/>
    <w:rsid w:val="00D37041"/>
    <w:rsid w:val="00D37FB3"/>
    <w:rsid w:val="00D40122"/>
    <w:rsid w:val="00D410E4"/>
    <w:rsid w:val="00D41391"/>
    <w:rsid w:val="00D41DAE"/>
    <w:rsid w:val="00D41E1E"/>
    <w:rsid w:val="00D424C7"/>
    <w:rsid w:val="00D429A3"/>
    <w:rsid w:val="00D432AF"/>
    <w:rsid w:val="00D436A8"/>
    <w:rsid w:val="00D43718"/>
    <w:rsid w:val="00D43B2A"/>
    <w:rsid w:val="00D43C86"/>
    <w:rsid w:val="00D43CF1"/>
    <w:rsid w:val="00D43D83"/>
    <w:rsid w:val="00D446FD"/>
    <w:rsid w:val="00D45695"/>
    <w:rsid w:val="00D467C6"/>
    <w:rsid w:val="00D46BEB"/>
    <w:rsid w:val="00D46FE3"/>
    <w:rsid w:val="00D47575"/>
    <w:rsid w:val="00D47587"/>
    <w:rsid w:val="00D47CED"/>
    <w:rsid w:val="00D47E78"/>
    <w:rsid w:val="00D504C3"/>
    <w:rsid w:val="00D505E2"/>
    <w:rsid w:val="00D509A3"/>
    <w:rsid w:val="00D50C67"/>
    <w:rsid w:val="00D517CD"/>
    <w:rsid w:val="00D51852"/>
    <w:rsid w:val="00D51F54"/>
    <w:rsid w:val="00D52160"/>
    <w:rsid w:val="00D5243B"/>
    <w:rsid w:val="00D52638"/>
    <w:rsid w:val="00D526D7"/>
    <w:rsid w:val="00D533EC"/>
    <w:rsid w:val="00D53E13"/>
    <w:rsid w:val="00D541D2"/>
    <w:rsid w:val="00D55230"/>
    <w:rsid w:val="00D55C68"/>
    <w:rsid w:val="00D56160"/>
    <w:rsid w:val="00D5694A"/>
    <w:rsid w:val="00D56A95"/>
    <w:rsid w:val="00D56DF2"/>
    <w:rsid w:val="00D579AD"/>
    <w:rsid w:val="00D57A9F"/>
    <w:rsid w:val="00D57EAB"/>
    <w:rsid w:val="00D60589"/>
    <w:rsid w:val="00D6076E"/>
    <w:rsid w:val="00D607B0"/>
    <w:rsid w:val="00D60D4E"/>
    <w:rsid w:val="00D61221"/>
    <w:rsid w:val="00D62BAC"/>
    <w:rsid w:val="00D634C9"/>
    <w:rsid w:val="00D64003"/>
    <w:rsid w:val="00D6428C"/>
    <w:rsid w:val="00D64DDF"/>
    <w:rsid w:val="00D65351"/>
    <w:rsid w:val="00D67570"/>
    <w:rsid w:val="00D67F8A"/>
    <w:rsid w:val="00D701AC"/>
    <w:rsid w:val="00D7061E"/>
    <w:rsid w:val="00D70703"/>
    <w:rsid w:val="00D70B13"/>
    <w:rsid w:val="00D70F16"/>
    <w:rsid w:val="00D72147"/>
    <w:rsid w:val="00D72617"/>
    <w:rsid w:val="00D728FF"/>
    <w:rsid w:val="00D72A05"/>
    <w:rsid w:val="00D72F57"/>
    <w:rsid w:val="00D73695"/>
    <w:rsid w:val="00D754BC"/>
    <w:rsid w:val="00D7575D"/>
    <w:rsid w:val="00D75C68"/>
    <w:rsid w:val="00D75D9A"/>
    <w:rsid w:val="00D75E23"/>
    <w:rsid w:val="00D76A44"/>
    <w:rsid w:val="00D76CC7"/>
    <w:rsid w:val="00D778C5"/>
    <w:rsid w:val="00D8046E"/>
    <w:rsid w:val="00D80722"/>
    <w:rsid w:val="00D80E55"/>
    <w:rsid w:val="00D80F90"/>
    <w:rsid w:val="00D8101D"/>
    <w:rsid w:val="00D815EF"/>
    <w:rsid w:val="00D8176C"/>
    <w:rsid w:val="00D817D9"/>
    <w:rsid w:val="00D81946"/>
    <w:rsid w:val="00D81949"/>
    <w:rsid w:val="00D81F26"/>
    <w:rsid w:val="00D821F4"/>
    <w:rsid w:val="00D822E2"/>
    <w:rsid w:val="00D8276F"/>
    <w:rsid w:val="00D843F2"/>
    <w:rsid w:val="00D84649"/>
    <w:rsid w:val="00D84B65"/>
    <w:rsid w:val="00D8532E"/>
    <w:rsid w:val="00D86231"/>
    <w:rsid w:val="00D86F4B"/>
    <w:rsid w:val="00D87DB5"/>
    <w:rsid w:val="00D90371"/>
    <w:rsid w:val="00D90786"/>
    <w:rsid w:val="00D90EDF"/>
    <w:rsid w:val="00D912AB"/>
    <w:rsid w:val="00D91923"/>
    <w:rsid w:val="00D926DE"/>
    <w:rsid w:val="00D9286E"/>
    <w:rsid w:val="00D92A43"/>
    <w:rsid w:val="00D92C55"/>
    <w:rsid w:val="00D92D7C"/>
    <w:rsid w:val="00D92EE8"/>
    <w:rsid w:val="00D92F96"/>
    <w:rsid w:val="00D93753"/>
    <w:rsid w:val="00D937B8"/>
    <w:rsid w:val="00D93ACA"/>
    <w:rsid w:val="00D93D3E"/>
    <w:rsid w:val="00D93EAD"/>
    <w:rsid w:val="00D94820"/>
    <w:rsid w:val="00D94844"/>
    <w:rsid w:val="00D94863"/>
    <w:rsid w:val="00D95B49"/>
    <w:rsid w:val="00D96DD5"/>
    <w:rsid w:val="00D9732E"/>
    <w:rsid w:val="00D977EC"/>
    <w:rsid w:val="00DA0A45"/>
    <w:rsid w:val="00DA0AFB"/>
    <w:rsid w:val="00DA0C3B"/>
    <w:rsid w:val="00DA177D"/>
    <w:rsid w:val="00DA1A65"/>
    <w:rsid w:val="00DA1F8E"/>
    <w:rsid w:val="00DA2855"/>
    <w:rsid w:val="00DA2C49"/>
    <w:rsid w:val="00DA3167"/>
    <w:rsid w:val="00DA36D4"/>
    <w:rsid w:val="00DA3DEE"/>
    <w:rsid w:val="00DA4011"/>
    <w:rsid w:val="00DA4242"/>
    <w:rsid w:val="00DA4DC3"/>
    <w:rsid w:val="00DA6423"/>
    <w:rsid w:val="00DA67F1"/>
    <w:rsid w:val="00DA701A"/>
    <w:rsid w:val="00DA7579"/>
    <w:rsid w:val="00DA77A5"/>
    <w:rsid w:val="00DA7BC1"/>
    <w:rsid w:val="00DB0020"/>
    <w:rsid w:val="00DB0878"/>
    <w:rsid w:val="00DB0A7C"/>
    <w:rsid w:val="00DB0A99"/>
    <w:rsid w:val="00DB0CC3"/>
    <w:rsid w:val="00DB0E36"/>
    <w:rsid w:val="00DB14E0"/>
    <w:rsid w:val="00DB1ADF"/>
    <w:rsid w:val="00DB276A"/>
    <w:rsid w:val="00DB3319"/>
    <w:rsid w:val="00DB3C21"/>
    <w:rsid w:val="00DB3DBF"/>
    <w:rsid w:val="00DB484F"/>
    <w:rsid w:val="00DB5D07"/>
    <w:rsid w:val="00DB631D"/>
    <w:rsid w:val="00DB63AA"/>
    <w:rsid w:val="00DC0105"/>
    <w:rsid w:val="00DC04F6"/>
    <w:rsid w:val="00DC05AE"/>
    <w:rsid w:val="00DC0690"/>
    <w:rsid w:val="00DC06C5"/>
    <w:rsid w:val="00DC15A4"/>
    <w:rsid w:val="00DC1689"/>
    <w:rsid w:val="00DC1C62"/>
    <w:rsid w:val="00DC1D65"/>
    <w:rsid w:val="00DC28F3"/>
    <w:rsid w:val="00DC3C57"/>
    <w:rsid w:val="00DC422D"/>
    <w:rsid w:val="00DC4D48"/>
    <w:rsid w:val="00DC4F38"/>
    <w:rsid w:val="00DC5324"/>
    <w:rsid w:val="00DC53B2"/>
    <w:rsid w:val="00DC5426"/>
    <w:rsid w:val="00DC5501"/>
    <w:rsid w:val="00DC5DE4"/>
    <w:rsid w:val="00DC7154"/>
    <w:rsid w:val="00DC7855"/>
    <w:rsid w:val="00DC7869"/>
    <w:rsid w:val="00DC7E8A"/>
    <w:rsid w:val="00DC7F6E"/>
    <w:rsid w:val="00DD06E4"/>
    <w:rsid w:val="00DD0DCA"/>
    <w:rsid w:val="00DD0E0E"/>
    <w:rsid w:val="00DD0F15"/>
    <w:rsid w:val="00DD0F78"/>
    <w:rsid w:val="00DD12CC"/>
    <w:rsid w:val="00DD21E4"/>
    <w:rsid w:val="00DD23E5"/>
    <w:rsid w:val="00DD273C"/>
    <w:rsid w:val="00DD27F1"/>
    <w:rsid w:val="00DD3423"/>
    <w:rsid w:val="00DD3B72"/>
    <w:rsid w:val="00DD3F28"/>
    <w:rsid w:val="00DD4446"/>
    <w:rsid w:val="00DD4537"/>
    <w:rsid w:val="00DD4617"/>
    <w:rsid w:val="00DD4E15"/>
    <w:rsid w:val="00DD50B2"/>
    <w:rsid w:val="00DD6F9C"/>
    <w:rsid w:val="00DD7648"/>
    <w:rsid w:val="00DE11B8"/>
    <w:rsid w:val="00DE1451"/>
    <w:rsid w:val="00DE1F06"/>
    <w:rsid w:val="00DE2304"/>
    <w:rsid w:val="00DE2478"/>
    <w:rsid w:val="00DE3138"/>
    <w:rsid w:val="00DE37F8"/>
    <w:rsid w:val="00DE3A90"/>
    <w:rsid w:val="00DE3CD9"/>
    <w:rsid w:val="00DE4273"/>
    <w:rsid w:val="00DE4CD1"/>
    <w:rsid w:val="00DE4FCB"/>
    <w:rsid w:val="00DE57E1"/>
    <w:rsid w:val="00DE5D07"/>
    <w:rsid w:val="00DE5ED5"/>
    <w:rsid w:val="00DE6C3A"/>
    <w:rsid w:val="00DE72A7"/>
    <w:rsid w:val="00DE7832"/>
    <w:rsid w:val="00DE7833"/>
    <w:rsid w:val="00DE7987"/>
    <w:rsid w:val="00DF18FC"/>
    <w:rsid w:val="00DF196F"/>
    <w:rsid w:val="00DF1EA8"/>
    <w:rsid w:val="00DF2099"/>
    <w:rsid w:val="00DF22B4"/>
    <w:rsid w:val="00DF25E4"/>
    <w:rsid w:val="00DF443E"/>
    <w:rsid w:val="00DF5780"/>
    <w:rsid w:val="00DF5D2B"/>
    <w:rsid w:val="00DF6146"/>
    <w:rsid w:val="00DF6276"/>
    <w:rsid w:val="00DF6341"/>
    <w:rsid w:val="00DF68B7"/>
    <w:rsid w:val="00DF6A05"/>
    <w:rsid w:val="00DF6C5D"/>
    <w:rsid w:val="00DF7FAE"/>
    <w:rsid w:val="00E0019A"/>
    <w:rsid w:val="00E00512"/>
    <w:rsid w:val="00E00E8E"/>
    <w:rsid w:val="00E0147E"/>
    <w:rsid w:val="00E01D16"/>
    <w:rsid w:val="00E035FA"/>
    <w:rsid w:val="00E03777"/>
    <w:rsid w:val="00E03AC9"/>
    <w:rsid w:val="00E04EC9"/>
    <w:rsid w:val="00E05630"/>
    <w:rsid w:val="00E059CB"/>
    <w:rsid w:val="00E05A83"/>
    <w:rsid w:val="00E06765"/>
    <w:rsid w:val="00E06922"/>
    <w:rsid w:val="00E06DBB"/>
    <w:rsid w:val="00E070DC"/>
    <w:rsid w:val="00E0785E"/>
    <w:rsid w:val="00E07D7C"/>
    <w:rsid w:val="00E10138"/>
    <w:rsid w:val="00E10149"/>
    <w:rsid w:val="00E10426"/>
    <w:rsid w:val="00E10DD5"/>
    <w:rsid w:val="00E11340"/>
    <w:rsid w:val="00E114DE"/>
    <w:rsid w:val="00E115A7"/>
    <w:rsid w:val="00E11626"/>
    <w:rsid w:val="00E1183C"/>
    <w:rsid w:val="00E11CFF"/>
    <w:rsid w:val="00E122A1"/>
    <w:rsid w:val="00E12504"/>
    <w:rsid w:val="00E12731"/>
    <w:rsid w:val="00E14759"/>
    <w:rsid w:val="00E1495C"/>
    <w:rsid w:val="00E14D2E"/>
    <w:rsid w:val="00E15007"/>
    <w:rsid w:val="00E16149"/>
    <w:rsid w:val="00E16372"/>
    <w:rsid w:val="00E16656"/>
    <w:rsid w:val="00E16AD8"/>
    <w:rsid w:val="00E17497"/>
    <w:rsid w:val="00E17FFA"/>
    <w:rsid w:val="00E2083C"/>
    <w:rsid w:val="00E20E4D"/>
    <w:rsid w:val="00E20ED6"/>
    <w:rsid w:val="00E21358"/>
    <w:rsid w:val="00E215BB"/>
    <w:rsid w:val="00E21A0D"/>
    <w:rsid w:val="00E21FD1"/>
    <w:rsid w:val="00E2249B"/>
    <w:rsid w:val="00E22A0D"/>
    <w:rsid w:val="00E23809"/>
    <w:rsid w:val="00E242AF"/>
    <w:rsid w:val="00E244F6"/>
    <w:rsid w:val="00E24565"/>
    <w:rsid w:val="00E24598"/>
    <w:rsid w:val="00E248EB"/>
    <w:rsid w:val="00E258DB"/>
    <w:rsid w:val="00E266CF"/>
    <w:rsid w:val="00E26EC2"/>
    <w:rsid w:val="00E26EE3"/>
    <w:rsid w:val="00E26F22"/>
    <w:rsid w:val="00E2771E"/>
    <w:rsid w:val="00E3081C"/>
    <w:rsid w:val="00E3093B"/>
    <w:rsid w:val="00E30A86"/>
    <w:rsid w:val="00E30AEC"/>
    <w:rsid w:val="00E311EF"/>
    <w:rsid w:val="00E3211A"/>
    <w:rsid w:val="00E32180"/>
    <w:rsid w:val="00E327A9"/>
    <w:rsid w:val="00E327F6"/>
    <w:rsid w:val="00E327FC"/>
    <w:rsid w:val="00E32DD3"/>
    <w:rsid w:val="00E32E21"/>
    <w:rsid w:val="00E33A2F"/>
    <w:rsid w:val="00E34948"/>
    <w:rsid w:val="00E3580C"/>
    <w:rsid w:val="00E35A6F"/>
    <w:rsid w:val="00E35E3E"/>
    <w:rsid w:val="00E366AE"/>
    <w:rsid w:val="00E3670E"/>
    <w:rsid w:val="00E368D4"/>
    <w:rsid w:val="00E36BE7"/>
    <w:rsid w:val="00E371B2"/>
    <w:rsid w:val="00E37569"/>
    <w:rsid w:val="00E400BF"/>
    <w:rsid w:val="00E401B2"/>
    <w:rsid w:val="00E41E30"/>
    <w:rsid w:val="00E420B5"/>
    <w:rsid w:val="00E4282E"/>
    <w:rsid w:val="00E42F73"/>
    <w:rsid w:val="00E4343E"/>
    <w:rsid w:val="00E43B14"/>
    <w:rsid w:val="00E43D54"/>
    <w:rsid w:val="00E43D70"/>
    <w:rsid w:val="00E44389"/>
    <w:rsid w:val="00E448CB"/>
    <w:rsid w:val="00E466F3"/>
    <w:rsid w:val="00E4671B"/>
    <w:rsid w:val="00E467EC"/>
    <w:rsid w:val="00E47B2C"/>
    <w:rsid w:val="00E47EA7"/>
    <w:rsid w:val="00E5026E"/>
    <w:rsid w:val="00E51560"/>
    <w:rsid w:val="00E51638"/>
    <w:rsid w:val="00E51821"/>
    <w:rsid w:val="00E5202B"/>
    <w:rsid w:val="00E52123"/>
    <w:rsid w:val="00E5237A"/>
    <w:rsid w:val="00E530BF"/>
    <w:rsid w:val="00E53667"/>
    <w:rsid w:val="00E53C5B"/>
    <w:rsid w:val="00E53FC8"/>
    <w:rsid w:val="00E54347"/>
    <w:rsid w:val="00E55424"/>
    <w:rsid w:val="00E55829"/>
    <w:rsid w:val="00E55915"/>
    <w:rsid w:val="00E55BB5"/>
    <w:rsid w:val="00E55E3E"/>
    <w:rsid w:val="00E55EB5"/>
    <w:rsid w:val="00E56055"/>
    <w:rsid w:val="00E56986"/>
    <w:rsid w:val="00E56B64"/>
    <w:rsid w:val="00E56EB8"/>
    <w:rsid w:val="00E571DC"/>
    <w:rsid w:val="00E608B2"/>
    <w:rsid w:val="00E60EDB"/>
    <w:rsid w:val="00E611DF"/>
    <w:rsid w:val="00E6192B"/>
    <w:rsid w:val="00E619BE"/>
    <w:rsid w:val="00E61A91"/>
    <w:rsid w:val="00E61BF9"/>
    <w:rsid w:val="00E62533"/>
    <w:rsid w:val="00E62CAE"/>
    <w:rsid w:val="00E62E0F"/>
    <w:rsid w:val="00E63605"/>
    <w:rsid w:val="00E63E34"/>
    <w:rsid w:val="00E63F37"/>
    <w:rsid w:val="00E64A15"/>
    <w:rsid w:val="00E64D4B"/>
    <w:rsid w:val="00E65841"/>
    <w:rsid w:val="00E65E79"/>
    <w:rsid w:val="00E66BA2"/>
    <w:rsid w:val="00E6712A"/>
    <w:rsid w:val="00E67324"/>
    <w:rsid w:val="00E67416"/>
    <w:rsid w:val="00E67F36"/>
    <w:rsid w:val="00E70234"/>
    <w:rsid w:val="00E7062D"/>
    <w:rsid w:val="00E71484"/>
    <w:rsid w:val="00E71542"/>
    <w:rsid w:val="00E715DE"/>
    <w:rsid w:val="00E718B6"/>
    <w:rsid w:val="00E71C49"/>
    <w:rsid w:val="00E723BA"/>
    <w:rsid w:val="00E72DF0"/>
    <w:rsid w:val="00E73581"/>
    <w:rsid w:val="00E737AD"/>
    <w:rsid w:val="00E74553"/>
    <w:rsid w:val="00E74E80"/>
    <w:rsid w:val="00E756D7"/>
    <w:rsid w:val="00E7683A"/>
    <w:rsid w:val="00E769F6"/>
    <w:rsid w:val="00E76E3E"/>
    <w:rsid w:val="00E8022F"/>
    <w:rsid w:val="00E8147C"/>
    <w:rsid w:val="00E832E7"/>
    <w:rsid w:val="00E833F7"/>
    <w:rsid w:val="00E83516"/>
    <w:rsid w:val="00E83A08"/>
    <w:rsid w:val="00E83BDF"/>
    <w:rsid w:val="00E83D9B"/>
    <w:rsid w:val="00E84902"/>
    <w:rsid w:val="00E8507C"/>
    <w:rsid w:val="00E85481"/>
    <w:rsid w:val="00E8571F"/>
    <w:rsid w:val="00E86FCC"/>
    <w:rsid w:val="00E87A1D"/>
    <w:rsid w:val="00E87E85"/>
    <w:rsid w:val="00E90507"/>
    <w:rsid w:val="00E90526"/>
    <w:rsid w:val="00E9094A"/>
    <w:rsid w:val="00E90F2F"/>
    <w:rsid w:val="00E911BA"/>
    <w:rsid w:val="00E91D35"/>
    <w:rsid w:val="00E91F46"/>
    <w:rsid w:val="00E92370"/>
    <w:rsid w:val="00E926A5"/>
    <w:rsid w:val="00E93A82"/>
    <w:rsid w:val="00E93BA5"/>
    <w:rsid w:val="00E944A0"/>
    <w:rsid w:val="00E94EA5"/>
    <w:rsid w:val="00E9569C"/>
    <w:rsid w:val="00E95F92"/>
    <w:rsid w:val="00E962CC"/>
    <w:rsid w:val="00E963EB"/>
    <w:rsid w:val="00E96D6A"/>
    <w:rsid w:val="00E975C7"/>
    <w:rsid w:val="00E97872"/>
    <w:rsid w:val="00EA108E"/>
    <w:rsid w:val="00EA15CD"/>
    <w:rsid w:val="00EA16E5"/>
    <w:rsid w:val="00EA17C3"/>
    <w:rsid w:val="00EA197C"/>
    <w:rsid w:val="00EA1AB6"/>
    <w:rsid w:val="00EA2932"/>
    <w:rsid w:val="00EA2CAA"/>
    <w:rsid w:val="00EA3209"/>
    <w:rsid w:val="00EA3234"/>
    <w:rsid w:val="00EA383D"/>
    <w:rsid w:val="00EA3864"/>
    <w:rsid w:val="00EA3E55"/>
    <w:rsid w:val="00EA40BB"/>
    <w:rsid w:val="00EA512A"/>
    <w:rsid w:val="00EA54C6"/>
    <w:rsid w:val="00EA618C"/>
    <w:rsid w:val="00EA6B00"/>
    <w:rsid w:val="00EA6C5A"/>
    <w:rsid w:val="00EA74AD"/>
    <w:rsid w:val="00EA7B1A"/>
    <w:rsid w:val="00EA7D3D"/>
    <w:rsid w:val="00EA7D80"/>
    <w:rsid w:val="00EA7F1C"/>
    <w:rsid w:val="00EB0461"/>
    <w:rsid w:val="00EB04F5"/>
    <w:rsid w:val="00EB06E3"/>
    <w:rsid w:val="00EB07E5"/>
    <w:rsid w:val="00EB09CF"/>
    <w:rsid w:val="00EB0AC9"/>
    <w:rsid w:val="00EB0C34"/>
    <w:rsid w:val="00EB0D40"/>
    <w:rsid w:val="00EB1072"/>
    <w:rsid w:val="00EB15B6"/>
    <w:rsid w:val="00EB1B48"/>
    <w:rsid w:val="00EB3D06"/>
    <w:rsid w:val="00EB4916"/>
    <w:rsid w:val="00EB4E03"/>
    <w:rsid w:val="00EB5076"/>
    <w:rsid w:val="00EB5179"/>
    <w:rsid w:val="00EB56B1"/>
    <w:rsid w:val="00EB59F5"/>
    <w:rsid w:val="00EB5C7E"/>
    <w:rsid w:val="00EB63A8"/>
    <w:rsid w:val="00EB696F"/>
    <w:rsid w:val="00EB7178"/>
    <w:rsid w:val="00EB73DF"/>
    <w:rsid w:val="00EC0097"/>
    <w:rsid w:val="00EC00C9"/>
    <w:rsid w:val="00EC06B6"/>
    <w:rsid w:val="00EC0DD9"/>
    <w:rsid w:val="00EC111C"/>
    <w:rsid w:val="00EC1A1A"/>
    <w:rsid w:val="00EC2649"/>
    <w:rsid w:val="00EC31ED"/>
    <w:rsid w:val="00EC37B6"/>
    <w:rsid w:val="00EC3C41"/>
    <w:rsid w:val="00EC451C"/>
    <w:rsid w:val="00EC4F7F"/>
    <w:rsid w:val="00EC53A9"/>
    <w:rsid w:val="00EC5836"/>
    <w:rsid w:val="00EC64E8"/>
    <w:rsid w:val="00EC65CF"/>
    <w:rsid w:val="00EC688C"/>
    <w:rsid w:val="00EC7FEF"/>
    <w:rsid w:val="00ED100C"/>
    <w:rsid w:val="00ED1044"/>
    <w:rsid w:val="00ED12E3"/>
    <w:rsid w:val="00ED1376"/>
    <w:rsid w:val="00ED1E2B"/>
    <w:rsid w:val="00ED42DC"/>
    <w:rsid w:val="00ED45DF"/>
    <w:rsid w:val="00ED48AB"/>
    <w:rsid w:val="00ED4B04"/>
    <w:rsid w:val="00ED57EA"/>
    <w:rsid w:val="00ED590D"/>
    <w:rsid w:val="00ED5BD4"/>
    <w:rsid w:val="00ED5EB3"/>
    <w:rsid w:val="00ED609D"/>
    <w:rsid w:val="00ED62D9"/>
    <w:rsid w:val="00ED6714"/>
    <w:rsid w:val="00ED6A59"/>
    <w:rsid w:val="00ED76F6"/>
    <w:rsid w:val="00EE07D3"/>
    <w:rsid w:val="00EE120C"/>
    <w:rsid w:val="00EE1374"/>
    <w:rsid w:val="00EE1996"/>
    <w:rsid w:val="00EE1C01"/>
    <w:rsid w:val="00EE1DAC"/>
    <w:rsid w:val="00EE22AF"/>
    <w:rsid w:val="00EE24EF"/>
    <w:rsid w:val="00EE26AC"/>
    <w:rsid w:val="00EE2C24"/>
    <w:rsid w:val="00EE2D06"/>
    <w:rsid w:val="00EE379F"/>
    <w:rsid w:val="00EE4365"/>
    <w:rsid w:val="00EE469E"/>
    <w:rsid w:val="00EE5C31"/>
    <w:rsid w:val="00EE5DDC"/>
    <w:rsid w:val="00EE5F3C"/>
    <w:rsid w:val="00EE6323"/>
    <w:rsid w:val="00EE726A"/>
    <w:rsid w:val="00EE727E"/>
    <w:rsid w:val="00EE7772"/>
    <w:rsid w:val="00EF0171"/>
    <w:rsid w:val="00EF029F"/>
    <w:rsid w:val="00EF0CE4"/>
    <w:rsid w:val="00EF1076"/>
    <w:rsid w:val="00EF11CA"/>
    <w:rsid w:val="00EF1B00"/>
    <w:rsid w:val="00EF1B25"/>
    <w:rsid w:val="00EF1DA0"/>
    <w:rsid w:val="00EF2121"/>
    <w:rsid w:val="00EF21BA"/>
    <w:rsid w:val="00EF326F"/>
    <w:rsid w:val="00EF3F95"/>
    <w:rsid w:val="00EF4097"/>
    <w:rsid w:val="00EF4747"/>
    <w:rsid w:val="00EF478F"/>
    <w:rsid w:val="00EF494D"/>
    <w:rsid w:val="00EF4BF8"/>
    <w:rsid w:val="00EF52FB"/>
    <w:rsid w:val="00EF53BA"/>
    <w:rsid w:val="00EF5646"/>
    <w:rsid w:val="00EF56FE"/>
    <w:rsid w:val="00EF5D25"/>
    <w:rsid w:val="00EF72FB"/>
    <w:rsid w:val="00F00E97"/>
    <w:rsid w:val="00F014FF"/>
    <w:rsid w:val="00F01E3D"/>
    <w:rsid w:val="00F02135"/>
    <w:rsid w:val="00F02253"/>
    <w:rsid w:val="00F0228D"/>
    <w:rsid w:val="00F025CF"/>
    <w:rsid w:val="00F02967"/>
    <w:rsid w:val="00F03615"/>
    <w:rsid w:val="00F03C2E"/>
    <w:rsid w:val="00F0423D"/>
    <w:rsid w:val="00F0456C"/>
    <w:rsid w:val="00F04A66"/>
    <w:rsid w:val="00F04B4B"/>
    <w:rsid w:val="00F04B68"/>
    <w:rsid w:val="00F0516C"/>
    <w:rsid w:val="00F059D7"/>
    <w:rsid w:val="00F05EFB"/>
    <w:rsid w:val="00F063C7"/>
    <w:rsid w:val="00F067A2"/>
    <w:rsid w:val="00F07AE8"/>
    <w:rsid w:val="00F07B9E"/>
    <w:rsid w:val="00F10102"/>
    <w:rsid w:val="00F1116F"/>
    <w:rsid w:val="00F114AE"/>
    <w:rsid w:val="00F11976"/>
    <w:rsid w:val="00F1263A"/>
    <w:rsid w:val="00F127DC"/>
    <w:rsid w:val="00F1382E"/>
    <w:rsid w:val="00F139C5"/>
    <w:rsid w:val="00F13B72"/>
    <w:rsid w:val="00F13E08"/>
    <w:rsid w:val="00F14639"/>
    <w:rsid w:val="00F14A72"/>
    <w:rsid w:val="00F1517D"/>
    <w:rsid w:val="00F15312"/>
    <w:rsid w:val="00F155C0"/>
    <w:rsid w:val="00F15945"/>
    <w:rsid w:val="00F15B77"/>
    <w:rsid w:val="00F1658A"/>
    <w:rsid w:val="00F16D91"/>
    <w:rsid w:val="00F17B6B"/>
    <w:rsid w:val="00F17FC9"/>
    <w:rsid w:val="00F2003E"/>
    <w:rsid w:val="00F2062F"/>
    <w:rsid w:val="00F20633"/>
    <w:rsid w:val="00F208BB"/>
    <w:rsid w:val="00F2091C"/>
    <w:rsid w:val="00F20D47"/>
    <w:rsid w:val="00F21236"/>
    <w:rsid w:val="00F21266"/>
    <w:rsid w:val="00F2297C"/>
    <w:rsid w:val="00F239DF"/>
    <w:rsid w:val="00F24542"/>
    <w:rsid w:val="00F24596"/>
    <w:rsid w:val="00F24837"/>
    <w:rsid w:val="00F2495F"/>
    <w:rsid w:val="00F249F4"/>
    <w:rsid w:val="00F24DDC"/>
    <w:rsid w:val="00F24EC5"/>
    <w:rsid w:val="00F25457"/>
    <w:rsid w:val="00F2575F"/>
    <w:rsid w:val="00F25939"/>
    <w:rsid w:val="00F25B89"/>
    <w:rsid w:val="00F263D5"/>
    <w:rsid w:val="00F26466"/>
    <w:rsid w:val="00F26DCD"/>
    <w:rsid w:val="00F26FFE"/>
    <w:rsid w:val="00F273C4"/>
    <w:rsid w:val="00F27565"/>
    <w:rsid w:val="00F2760C"/>
    <w:rsid w:val="00F2775B"/>
    <w:rsid w:val="00F2780F"/>
    <w:rsid w:val="00F27AB0"/>
    <w:rsid w:val="00F3009C"/>
    <w:rsid w:val="00F30A35"/>
    <w:rsid w:val="00F30A8D"/>
    <w:rsid w:val="00F310D4"/>
    <w:rsid w:val="00F31D5A"/>
    <w:rsid w:val="00F31DA0"/>
    <w:rsid w:val="00F31E92"/>
    <w:rsid w:val="00F31F77"/>
    <w:rsid w:val="00F32BE6"/>
    <w:rsid w:val="00F337E5"/>
    <w:rsid w:val="00F33883"/>
    <w:rsid w:val="00F33975"/>
    <w:rsid w:val="00F33DE9"/>
    <w:rsid w:val="00F34805"/>
    <w:rsid w:val="00F34D3F"/>
    <w:rsid w:val="00F35E6D"/>
    <w:rsid w:val="00F3619A"/>
    <w:rsid w:val="00F364C4"/>
    <w:rsid w:val="00F368D7"/>
    <w:rsid w:val="00F36E00"/>
    <w:rsid w:val="00F373BE"/>
    <w:rsid w:val="00F37419"/>
    <w:rsid w:val="00F3765B"/>
    <w:rsid w:val="00F37B83"/>
    <w:rsid w:val="00F40AAA"/>
    <w:rsid w:val="00F40BA7"/>
    <w:rsid w:val="00F40BDD"/>
    <w:rsid w:val="00F40DF3"/>
    <w:rsid w:val="00F40F9D"/>
    <w:rsid w:val="00F411F9"/>
    <w:rsid w:val="00F41ACD"/>
    <w:rsid w:val="00F41D3A"/>
    <w:rsid w:val="00F429D7"/>
    <w:rsid w:val="00F4392F"/>
    <w:rsid w:val="00F45275"/>
    <w:rsid w:val="00F458A6"/>
    <w:rsid w:val="00F4609B"/>
    <w:rsid w:val="00F463E5"/>
    <w:rsid w:val="00F46505"/>
    <w:rsid w:val="00F46714"/>
    <w:rsid w:val="00F46CB6"/>
    <w:rsid w:val="00F46E39"/>
    <w:rsid w:val="00F4756D"/>
    <w:rsid w:val="00F47DE8"/>
    <w:rsid w:val="00F50E99"/>
    <w:rsid w:val="00F510A1"/>
    <w:rsid w:val="00F51A48"/>
    <w:rsid w:val="00F52C2F"/>
    <w:rsid w:val="00F532F3"/>
    <w:rsid w:val="00F542C1"/>
    <w:rsid w:val="00F547EA"/>
    <w:rsid w:val="00F54CD5"/>
    <w:rsid w:val="00F550E3"/>
    <w:rsid w:val="00F55178"/>
    <w:rsid w:val="00F556A8"/>
    <w:rsid w:val="00F55E73"/>
    <w:rsid w:val="00F55EDA"/>
    <w:rsid w:val="00F56069"/>
    <w:rsid w:val="00F56C80"/>
    <w:rsid w:val="00F57085"/>
    <w:rsid w:val="00F60092"/>
    <w:rsid w:val="00F61110"/>
    <w:rsid w:val="00F6165A"/>
    <w:rsid w:val="00F61B5F"/>
    <w:rsid w:val="00F61BFD"/>
    <w:rsid w:val="00F61C18"/>
    <w:rsid w:val="00F62F52"/>
    <w:rsid w:val="00F62F8B"/>
    <w:rsid w:val="00F63DE7"/>
    <w:rsid w:val="00F64114"/>
    <w:rsid w:val="00F64334"/>
    <w:rsid w:val="00F64415"/>
    <w:rsid w:val="00F6452C"/>
    <w:rsid w:val="00F6453F"/>
    <w:rsid w:val="00F64B5B"/>
    <w:rsid w:val="00F64BE2"/>
    <w:rsid w:val="00F6504F"/>
    <w:rsid w:val="00F6585C"/>
    <w:rsid w:val="00F65F4B"/>
    <w:rsid w:val="00F66596"/>
    <w:rsid w:val="00F66E52"/>
    <w:rsid w:val="00F67329"/>
    <w:rsid w:val="00F67A69"/>
    <w:rsid w:val="00F67AA8"/>
    <w:rsid w:val="00F70160"/>
    <w:rsid w:val="00F70BFF"/>
    <w:rsid w:val="00F70C9D"/>
    <w:rsid w:val="00F71D83"/>
    <w:rsid w:val="00F723B7"/>
    <w:rsid w:val="00F73C01"/>
    <w:rsid w:val="00F73E08"/>
    <w:rsid w:val="00F74122"/>
    <w:rsid w:val="00F74384"/>
    <w:rsid w:val="00F74569"/>
    <w:rsid w:val="00F74CD9"/>
    <w:rsid w:val="00F7567D"/>
    <w:rsid w:val="00F7591C"/>
    <w:rsid w:val="00F7596C"/>
    <w:rsid w:val="00F75BFB"/>
    <w:rsid w:val="00F75E61"/>
    <w:rsid w:val="00F7642B"/>
    <w:rsid w:val="00F76444"/>
    <w:rsid w:val="00F76457"/>
    <w:rsid w:val="00F7692F"/>
    <w:rsid w:val="00F77564"/>
    <w:rsid w:val="00F80A7B"/>
    <w:rsid w:val="00F80E5D"/>
    <w:rsid w:val="00F81B5D"/>
    <w:rsid w:val="00F81E78"/>
    <w:rsid w:val="00F822DA"/>
    <w:rsid w:val="00F8285F"/>
    <w:rsid w:val="00F82F90"/>
    <w:rsid w:val="00F83916"/>
    <w:rsid w:val="00F8412E"/>
    <w:rsid w:val="00F84342"/>
    <w:rsid w:val="00F843FE"/>
    <w:rsid w:val="00F851CE"/>
    <w:rsid w:val="00F8559E"/>
    <w:rsid w:val="00F85698"/>
    <w:rsid w:val="00F85C7A"/>
    <w:rsid w:val="00F91219"/>
    <w:rsid w:val="00F9146D"/>
    <w:rsid w:val="00F9235A"/>
    <w:rsid w:val="00F92444"/>
    <w:rsid w:val="00F92EF0"/>
    <w:rsid w:val="00F93115"/>
    <w:rsid w:val="00F935D7"/>
    <w:rsid w:val="00F938CB"/>
    <w:rsid w:val="00F9393E"/>
    <w:rsid w:val="00F9410D"/>
    <w:rsid w:val="00F9529F"/>
    <w:rsid w:val="00F95728"/>
    <w:rsid w:val="00F96405"/>
    <w:rsid w:val="00F964E8"/>
    <w:rsid w:val="00F9694A"/>
    <w:rsid w:val="00F96B4C"/>
    <w:rsid w:val="00F96FD0"/>
    <w:rsid w:val="00F974A8"/>
    <w:rsid w:val="00F97A78"/>
    <w:rsid w:val="00F97C52"/>
    <w:rsid w:val="00FA0B20"/>
    <w:rsid w:val="00FA0F43"/>
    <w:rsid w:val="00FA1C0E"/>
    <w:rsid w:val="00FA1E05"/>
    <w:rsid w:val="00FA24E7"/>
    <w:rsid w:val="00FA2868"/>
    <w:rsid w:val="00FA2874"/>
    <w:rsid w:val="00FA28FF"/>
    <w:rsid w:val="00FA2D26"/>
    <w:rsid w:val="00FA3D87"/>
    <w:rsid w:val="00FA5EE6"/>
    <w:rsid w:val="00FA7956"/>
    <w:rsid w:val="00FB0824"/>
    <w:rsid w:val="00FB181C"/>
    <w:rsid w:val="00FB18F0"/>
    <w:rsid w:val="00FB2FCB"/>
    <w:rsid w:val="00FB3FBD"/>
    <w:rsid w:val="00FB44B6"/>
    <w:rsid w:val="00FB4AD3"/>
    <w:rsid w:val="00FB4C9C"/>
    <w:rsid w:val="00FB5498"/>
    <w:rsid w:val="00FB583F"/>
    <w:rsid w:val="00FB5DC6"/>
    <w:rsid w:val="00FB6745"/>
    <w:rsid w:val="00FB72C8"/>
    <w:rsid w:val="00FB74D8"/>
    <w:rsid w:val="00FB7C55"/>
    <w:rsid w:val="00FB7DB9"/>
    <w:rsid w:val="00FB7E2D"/>
    <w:rsid w:val="00FC0BF4"/>
    <w:rsid w:val="00FC0F35"/>
    <w:rsid w:val="00FC1074"/>
    <w:rsid w:val="00FC125F"/>
    <w:rsid w:val="00FC15DB"/>
    <w:rsid w:val="00FC1884"/>
    <w:rsid w:val="00FC2213"/>
    <w:rsid w:val="00FC371D"/>
    <w:rsid w:val="00FC44C3"/>
    <w:rsid w:val="00FC4912"/>
    <w:rsid w:val="00FC4960"/>
    <w:rsid w:val="00FC4A6B"/>
    <w:rsid w:val="00FC4E5F"/>
    <w:rsid w:val="00FC5545"/>
    <w:rsid w:val="00FC5C46"/>
    <w:rsid w:val="00FC5F0B"/>
    <w:rsid w:val="00FC5F91"/>
    <w:rsid w:val="00FC6389"/>
    <w:rsid w:val="00FC765D"/>
    <w:rsid w:val="00FD000E"/>
    <w:rsid w:val="00FD04EB"/>
    <w:rsid w:val="00FD0841"/>
    <w:rsid w:val="00FD1091"/>
    <w:rsid w:val="00FD179C"/>
    <w:rsid w:val="00FD17DE"/>
    <w:rsid w:val="00FD18B2"/>
    <w:rsid w:val="00FD2100"/>
    <w:rsid w:val="00FD224D"/>
    <w:rsid w:val="00FD3856"/>
    <w:rsid w:val="00FD3D06"/>
    <w:rsid w:val="00FD436C"/>
    <w:rsid w:val="00FD446D"/>
    <w:rsid w:val="00FD4649"/>
    <w:rsid w:val="00FD4ED6"/>
    <w:rsid w:val="00FD4F2C"/>
    <w:rsid w:val="00FD529F"/>
    <w:rsid w:val="00FD5C1F"/>
    <w:rsid w:val="00FD6394"/>
    <w:rsid w:val="00FD66FA"/>
    <w:rsid w:val="00FD6878"/>
    <w:rsid w:val="00FD729B"/>
    <w:rsid w:val="00FD79F3"/>
    <w:rsid w:val="00FE0E6C"/>
    <w:rsid w:val="00FE181E"/>
    <w:rsid w:val="00FE1BB6"/>
    <w:rsid w:val="00FE1CDC"/>
    <w:rsid w:val="00FE2442"/>
    <w:rsid w:val="00FE384D"/>
    <w:rsid w:val="00FE4FC7"/>
    <w:rsid w:val="00FE6122"/>
    <w:rsid w:val="00FE693D"/>
    <w:rsid w:val="00FE70C3"/>
    <w:rsid w:val="00FF0535"/>
    <w:rsid w:val="00FF05AA"/>
    <w:rsid w:val="00FF08F1"/>
    <w:rsid w:val="00FF0E54"/>
    <w:rsid w:val="00FF0E67"/>
    <w:rsid w:val="00FF1286"/>
    <w:rsid w:val="00FF1A8B"/>
    <w:rsid w:val="00FF1ACE"/>
    <w:rsid w:val="00FF1C0A"/>
    <w:rsid w:val="00FF25B0"/>
    <w:rsid w:val="00FF2AD9"/>
    <w:rsid w:val="00FF2F0C"/>
    <w:rsid w:val="00FF3409"/>
    <w:rsid w:val="00FF359F"/>
    <w:rsid w:val="00FF380C"/>
    <w:rsid w:val="00FF3B46"/>
    <w:rsid w:val="00FF3DCF"/>
    <w:rsid w:val="00FF491B"/>
    <w:rsid w:val="00FF492C"/>
    <w:rsid w:val="00FF4A21"/>
    <w:rsid w:val="00FF4C4E"/>
    <w:rsid w:val="00FF4D86"/>
    <w:rsid w:val="00FF5114"/>
    <w:rsid w:val="00FF5A12"/>
    <w:rsid w:val="00FF5AA3"/>
    <w:rsid w:val="00FF5AD8"/>
    <w:rsid w:val="00FF6F63"/>
    <w:rsid w:val="00FF7082"/>
    <w:rsid w:val="00FF74FF"/>
    <w:rsid w:val="00FF7746"/>
    <w:rsid w:val="0330EEED"/>
    <w:rsid w:val="04317D5B"/>
    <w:rsid w:val="0967F2A1"/>
    <w:rsid w:val="09AF274A"/>
    <w:rsid w:val="0A71FFFD"/>
    <w:rsid w:val="0C270E52"/>
    <w:rsid w:val="1046DB48"/>
    <w:rsid w:val="104C484A"/>
    <w:rsid w:val="104F8166"/>
    <w:rsid w:val="10897FE5"/>
    <w:rsid w:val="11C6D3BA"/>
    <w:rsid w:val="14746757"/>
    <w:rsid w:val="17312E73"/>
    <w:rsid w:val="1A1A9F93"/>
    <w:rsid w:val="1A5062D1"/>
    <w:rsid w:val="1A668674"/>
    <w:rsid w:val="1AD9BC7C"/>
    <w:rsid w:val="1BD41F2F"/>
    <w:rsid w:val="1CF125C1"/>
    <w:rsid w:val="1EF24102"/>
    <w:rsid w:val="1F22738D"/>
    <w:rsid w:val="1FA06454"/>
    <w:rsid w:val="201B6D98"/>
    <w:rsid w:val="225CC226"/>
    <w:rsid w:val="244F2EF5"/>
    <w:rsid w:val="259D127E"/>
    <w:rsid w:val="29F5F9C8"/>
    <w:rsid w:val="2B8D2534"/>
    <w:rsid w:val="2BBB11A4"/>
    <w:rsid w:val="2CF0AACF"/>
    <w:rsid w:val="2E075C2C"/>
    <w:rsid w:val="3341C6D8"/>
    <w:rsid w:val="338634A5"/>
    <w:rsid w:val="35A63531"/>
    <w:rsid w:val="36758325"/>
    <w:rsid w:val="36C8A0D0"/>
    <w:rsid w:val="385B995D"/>
    <w:rsid w:val="391EA9F9"/>
    <w:rsid w:val="3BC3B7F3"/>
    <w:rsid w:val="3BFF7E35"/>
    <w:rsid w:val="3F377884"/>
    <w:rsid w:val="427E532B"/>
    <w:rsid w:val="42BF47A2"/>
    <w:rsid w:val="48857D73"/>
    <w:rsid w:val="4D12B217"/>
    <w:rsid w:val="4EB1572A"/>
    <w:rsid w:val="500466CB"/>
    <w:rsid w:val="504B252A"/>
    <w:rsid w:val="523DE918"/>
    <w:rsid w:val="5299AA03"/>
    <w:rsid w:val="52DE474E"/>
    <w:rsid w:val="531B5244"/>
    <w:rsid w:val="563D4D2F"/>
    <w:rsid w:val="57381C99"/>
    <w:rsid w:val="57815C09"/>
    <w:rsid w:val="5A374517"/>
    <w:rsid w:val="5AA2C1FF"/>
    <w:rsid w:val="5D5907D6"/>
    <w:rsid w:val="5EDED543"/>
    <w:rsid w:val="5FB8BC42"/>
    <w:rsid w:val="600377A5"/>
    <w:rsid w:val="639531BA"/>
    <w:rsid w:val="6D1E5483"/>
    <w:rsid w:val="6DC2D909"/>
    <w:rsid w:val="6DDB2D2D"/>
    <w:rsid w:val="6FBE82F4"/>
    <w:rsid w:val="71424537"/>
    <w:rsid w:val="72D6E7E2"/>
    <w:rsid w:val="741AA0E0"/>
    <w:rsid w:val="74694092"/>
    <w:rsid w:val="74D39D06"/>
    <w:rsid w:val="74F152F4"/>
    <w:rsid w:val="77AD06BB"/>
    <w:rsid w:val="7863CB87"/>
    <w:rsid w:val="78A880AD"/>
    <w:rsid w:val="795037CA"/>
    <w:rsid w:val="7CC91CFA"/>
    <w:rsid w:val="7D0ED0D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48B"/>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Normal"/>
    <w:link w:val="COMexecsummbulletlistChar"/>
    <w:qFormat/>
    <w:rsid w:val="00E571DC"/>
    <w:pPr>
      <w:numPr>
        <w:numId w:val="4"/>
      </w:numPr>
      <w:spacing w:after="120"/>
    </w:pPr>
    <w:rPr>
      <w:rFonts w:asciiTheme="minorHAnsi" w:hAnsiTheme="minorHAnsi"/>
      <w:snapToGrid w:val="0"/>
    </w:rPr>
  </w:style>
  <w:style w:type="paragraph" w:customStyle="1" w:styleId="COMexecsummmainissuesbullets">
    <w:name w:val="COM exec summ main issues bullets"/>
    <w:basedOn w:val="Normal"/>
    <w:link w:val="COMexecsummmainissuesbulletsChar"/>
    <w:qFormat/>
    <w:rsid w:val="00971BAE"/>
    <w:pPr>
      <w:numPr>
        <w:numId w:val="2"/>
      </w:numPr>
      <w:spacing w:after="120"/>
    </w:pPr>
    <w:rPr>
      <w:rFonts w:asciiTheme="minorHAnsi" w:hAnsiTheme="minorHAnsi"/>
      <w:snapToGrid w:val="0"/>
      <w:color w:val="0066FF"/>
    </w:rPr>
  </w:style>
  <w:style w:type="character" w:customStyle="1" w:styleId="COMexecsummbulletlistChar">
    <w:name w:val="COM exec summ bullet list Char"/>
    <w:basedOn w:val="DefaultParagraphFont"/>
    <w:link w:val="COMexecsummbulletlist"/>
    <w:rsid w:val="00E571DC"/>
    <w:rPr>
      <w:rFonts w:asciiTheme="minorHAnsi" w:hAnsiTheme="minorHAnsi" w:cs="Arial"/>
      <w:snapToGrid w:val="0"/>
      <w:sz w:val="24"/>
      <w:szCs w:val="24"/>
    </w:rPr>
  </w:style>
  <w:style w:type="paragraph" w:customStyle="1" w:styleId="COMH3">
    <w:name w:val="COM H3"/>
    <w:basedOn w:val="Normal"/>
    <w:next w:val="Normal"/>
    <w:link w:val="COMH3Char"/>
    <w:qFormat/>
    <w:rsid w:val="00892C13"/>
    <w:pPr>
      <w:keepNext/>
      <w:spacing w:after="240"/>
      <w:outlineLvl w:val="2"/>
    </w:pPr>
    <w:rPr>
      <w:b/>
      <w:iCs/>
      <w:sz w:val="28"/>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c"/>
    <w:basedOn w:val="Normal"/>
    <w:next w:val="Normal"/>
    <w:link w:val="CaptionChar"/>
    <w:unhideWhenUsed/>
    <w:qFormat/>
    <w:rsid w:val="00C2598D"/>
    <w:pPr>
      <w:spacing w:after="120"/>
      <w:ind w:left="1134" w:hanging="1134"/>
      <w:jc w:val="left"/>
    </w:pPr>
    <w:rPr>
      <w:rFonts w:ascii="Arial" w:eastAsiaTheme="minorHAnsi" w:hAnsi="Arial" w:cstheme="minorBidi"/>
      <w:b/>
      <w:iCs/>
      <w:sz w:val="20"/>
      <w:szCs w:val="18"/>
      <w:lang w:eastAsia="en-US"/>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basedOn w:val="DefaultParagraphFont"/>
    <w:link w:val="Caption"/>
    <w:uiPriority w:val="35"/>
    <w:rsid w:val="00C2598D"/>
    <w:rPr>
      <w:rFonts w:ascii="Arial" w:eastAsiaTheme="minorHAnsi" w:hAnsi="Arial" w:cstheme="minorBidi"/>
      <w:b/>
      <w:iCs/>
      <w:szCs w:val="18"/>
      <w:lang w:eastAsia="en-US"/>
    </w:rPr>
  </w:style>
  <w:style w:type="character" w:styleId="CommentReference">
    <w:name w:val="annotation reference"/>
    <w:basedOn w:val="DefaultParagraphFont"/>
    <w:uiPriority w:val="99"/>
    <w:semiHidden/>
    <w:unhideWhenUsed/>
    <w:qFormat/>
    <w:rsid w:val="00385D6E"/>
    <w:rPr>
      <w:sz w:val="16"/>
      <w:szCs w:val="16"/>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603F43"/>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416FFF"/>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DefaultParagraphFont"/>
    <w:link w:val="COMexecsummmainissuesbullets"/>
    <w:rsid w:val="00971BAE"/>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EA3E55"/>
    <w:pPr>
      <w:keepNext/>
      <w:spacing w:after="120"/>
    </w:pPr>
    <w:rPr>
      <w:b/>
      <w:i/>
    </w:rPr>
  </w:style>
  <w:style w:type="character" w:customStyle="1" w:styleId="COMH3Char">
    <w:name w:val="COM H3 Char"/>
    <w:basedOn w:val="DefaultParagraphFont"/>
    <w:link w:val="COMH3"/>
    <w:rsid w:val="00892C13"/>
    <w:rPr>
      <w:rFonts w:ascii="Calibri" w:hAnsi="Calibri" w:cs="Arial"/>
      <w:b/>
      <w:iCs/>
      <w:sz w:val="28"/>
      <w:szCs w:val="24"/>
    </w:rPr>
  </w:style>
  <w:style w:type="paragraph" w:customStyle="1" w:styleId="COMbodybulletlist">
    <w:name w:val="COM body bullet list"/>
    <w:basedOn w:val="Normal"/>
    <w:link w:val="COMbodybulletlistChar"/>
    <w:qFormat/>
    <w:rsid w:val="007B1F4C"/>
    <w:pPr>
      <w:numPr>
        <w:numId w:val="3"/>
      </w:numPr>
      <w:ind w:left="284" w:hanging="284"/>
      <w:contextualSpacing/>
    </w:pPr>
  </w:style>
  <w:style w:type="character" w:customStyle="1" w:styleId="COMH4Char">
    <w:name w:val="COM H4 Char"/>
    <w:basedOn w:val="DefaultParagraphFont"/>
    <w:link w:val="COMH4"/>
    <w:rsid w:val="00EA3E55"/>
    <w:rPr>
      <w:rFonts w:ascii="Calibri" w:hAnsi="Calibri" w:cs="Arial"/>
      <w:b/>
      <w:i/>
      <w:sz w:val="24"/>
      <w:szCs w:val="24"/>
    </w:rPr>
  </w:style>
  <w:style w:type="paragraph" w:styleId="CommentText">
    <w:name w:val="annotation text"/>
    <w:basedOn w:val="Normal"/>
    <w:link w:val="CommentTextChar"/>
    <w:uiPriority w:val="99"/>
    <w:unhideWhenUsed/>
    <w:rsid w:val="00385D6E"/>
    <w:rPr>
      <w:sz w:val="20"/>
      <w:szCs w:val="20"/>
    </w:rPr>
  </w:style>
  <w:style w:type="paragraph" w:customStyle="1" w:styleId="COMBody">
    <w:name w:val="COM Body"/>
    <w:basedOn w:val="Normal"/>
    <w:link w:val="COMBodyChar"/>
    <w:qFormat/>
    <w:rsid w:val="00894E87"/>
  </w:style>
  <w:style w:type="character" w:customStyle="1" w:styleId="CommentTextChar">
    <w:name w:val="Comment Text Char"/>
    <w:basedOn w:val="DefaultParagraphFont"/>
    <w:link w:val="CommentText"/>
    <w:uiPriority w:val="99"/>
    <w:rsid w:val="00385D6E"/>
    <w:rPr>
      <w:rFonts w:ascii="Calibri" w:hAnsi="Calibri" w:cs="Arial"/>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DefaultParagraphFont"/>
    <w:link w:val="COMbodybulletlist"/>
    <w:rsid w:val="007B1F4C"/>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E26EC2"/>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E26EC2"/>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Normal"/>
    <w:link w:val="COMexecsumnumberedparaChar"/>
    <w:qFormat/>
    <w:rsid w:val="001D5EA0"/>
    <w:pPr>
      <w:spacing w:after="120"/>
    </w:pPr>
    <w:rPr>
      <w:rFonts w:asciiTheme="minorHAnsi" w:hAnsiTheme="minorHAnsi"/>
      <w:snapToGrid w:val="0"/>
    </w:rPr>
  </w:style>
  <w:style w:type="character" w:customStyle="1" w:styleId="COMexecsumnumberedparaChar">
    <w:name w:val="COM exec sum numbered para Char"/>
    <w:basedOn w:val="DefaultParagraphFont"/>
    <w:link w:val="COMexecsumnumberedpara"/>
    <w:rsid w:val="001D5EA0"/>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customStyle="1" w:styleId="normaltextrun">
    <w:name w:val="normaltextrun"/>
    <w:basedOn w:val="DefaultParagraphFont"/>
    <w:rsid w:val="00951B0E"/>
  </w:style>
  <w:style w:type="paragraph" w:styleId="CommentSubject">
    <w:name w:val="annotation subject"/>
    <w:basedOn w:val="Normal"/>
    <w:next w:val="Normal"/>
    <w:link w:val="CommentSubjectChar"/>
    <w:semiHidden/>
    <w:unhideWhenUsed/>
    <w:rsid w:val="00971BAE"/>
    <w:rPr>
      <w:b/>
      <w:bCs/>
      <w:sz w:val="20"/>
      <w:szCs w:val="20"/>
    </w:rPr>
  </w:style>
  <w:style w:type="character" w:customStyle="1" w:styleId="CommentSubjectChar">
    <w:name w:val="Comment Subject Char"/>
    <w:basedOn w:val="DefaultParagraphFont"/>
    <w:link w:val="CommentSubject"/>
    <w:semiHidden/>
    <w:rsid w:val="00971BAE"/>
    <w:rPr>
      <w:rFonts w:ascii="Calibri" w:hAnsi="Calibri" w:cs="Arial"/>
      <w:b/>
      <w:bCs/>
    </w:rPr>
  </w:style>
  <w:style w:type="character" w:styleId="UnresolvedMention">
    <w:name w:val="Unresolved Mention"/>
    <w:basedOn w:val="DefaultParagraphFont"/>
    <w:uiPriority w:val="99"/>
    <w:semiHidden/>
    <w:unhideWhenUsed/>
    <w:rsid w:val="001A06C6"/>
    <w:rPr>
      <w:color w:val="605E5C"/>
      <w:shd w:val="clear" w:color="auto" w:fill="E1DFDD"/>
    </w:rPr>
  </w:style>
  <w:style w:type="paragraph" w:styleId="NormalWeb">
    <w:name w:val="Normal (Web)"/>
    <w:basedOn w:val="Normal"/>
    <w:uiPriority w:val="99"/>
    <w:semiHidden/>
    <w:unhideWhenUsed/>
    <w:rsid w:val="00405E79"/>
    <w:rPr>
      <w:rFonts w:ascii="Times New Roman" w:hAnsi="Times New Roman" w:cs="Times New Roman"/>
    </w:rPr>
  </w:style>
  <w:style w:type="character" w:customStyle="1" w:styleId="Heading1Char">
    <w:name w:val="Heading 1 Char"/>
    <w:basedOn w:val="DefaultParagraphFont"/>
    <w:link w:val="Heading1"/>
    <w:uiPriority w:val="1"/>
    <w:rsid w:val="00405E79"/>
    <w:rPr>
      <w:rFonts w:ascii="Calibri" w:hAnsi="Calibri" w:cs="Arial"/>
      <w:b/>
      <w:caps/>
      <w:sz w:val="32"/>
      <w:szCs w:val="24"/>
    </w:rPr>
  </w:style>
  <w:style w:type="character" w:customStyle="1" w:styleId="Heading3Char">
    <w:name w:val="Heading 3 Char"/>
    <w:basedOn w:val="DefaultParagraphFont"/>
    <w:link w:val="Heading3"/>
    <w:rsid w:val="00405E79"/>
    <w:rPr>
      <w:rFonts w:ascii="Calibri" w:hAnsi="Calibri" w:cs="Arial"/>
      <w:sz w:val="24"/>
      <w:szCs w:val="24"/>
      <w:u w:val="single"/>
    </w:rPr>
  </w:style>
  <w:style w:type="character" w:customStyle="1" w:styleId="Heading4Char">
    <w:name w:val="Heading 4 Char"/>
    <w:basedOn w:val="DefaultParagraphFont"/>
    <w:link w:val="Heading4"/>
    <w:rsid w:val="00405E79"/>
    <w:rPr>
      <w:rFonts w:ascii="Calibri" w:hAnsi="Calibri" w:cs="Arial"/>
      <w:b/>
      <w:bCs/>
      <w:i/>
      <w:sz w:val="26"/>
      <w:szCs w:val="28"/>
    </w:rPr>
  </w:style>
  <w:style w:type="character" w:customStyle="1" w:styleId="Heading5Char">
    <w:name w:val="Heading 5 Char"/>
    <w:basedOn w:val="DefaultParagraphFont"/>
    <w:link w:val="Heading5"/>
    <w:rsid w:val="00405E79"/>
    <w:rPr>
      <w:rFonts w:ascii="Calibri" w:hAnsi="Calibri" w:cs="Arial"/>
      <w:b/>
      <w:bCs/>
      <w:iCs/>
      <w:sz w:val="26"/>
      <w:szCs w:val="26"/>
    </w:rPr>
  </w:style>
  <w:style w:type="character" w:customStyle="1" w:styleId="Heading6Char">
    <w:name w:val="Heading 6 Char"/>
    <w:basedOn w:val="DefaultParagraphFont"/>
    <w:link w:val="Heading6"/>
    <w:rsid w:val="00405E79"/>
    <w:rPr>
      <w:rFonts w:ascii="Calibri" w:hAnsi="Calibri" w:cs="Arial"/>
      <w:b/>
      <w:bCs/>
      <w:i/>
      <w:sz w:val="24"/>
      <w:szCs w:val="24"/>
    </w:rPr>
  </w:style>
  <w:style w:type="paragraph" w:styleId="FootnoteText">
    <w:name w:val="footnote text"/>
    <w:basedOn w:val="Normal"/>
    <w:link w:val="FootnoteTextChar"/>
    <w:semiHidden/>
    <w:unhideWhenUsed/>
    <w:rsid w:val="00405E79"/>
    <w:rPr>
      <w:sz w:val="20"/>
      <w:szCs w:val="20"/>
    </w:rPr>
  </w:style>
  <w:style w:type="character" w:customStyle="1" w:styleId="FootnoteTextChar">
    <w:name w:val="Footnote Text Char"/>
    <w:basedOn w:val="DefaultParagraphFont"/>
    <w:link w:val="FootnoteText"/>
    <w:semiHidden/>
    <w:rsid w:val="00405E79"/>
    <w:rPr>
      <w:rFonts w:ascii="Calibri" w:hAnsi="Calibri" w:cs="Arial"/>
    </w:rPr>
  </w:style>
  <w:style w:type="character" w:styleId="FootnoteReference">
    <w:name w:val="footnote reference"/>
    <w:basedOn w:val="DefaultParagraphFont"/>
    <w:semiHidden/>
    <w:unhideWhenUsed/>
    <w:rsid w:val="00405E79"/>
    <w:rPr>
      <w:vertAlign w:val="superscript"/>
    </w:rPr>
  </w:style>
  <w:style w:type="paragraph" w:customStyle="1" w:styleId="Default">
    <w:name w:val="Default"/>
    <w:rsid w:val="0077673C"/>
    <w:pPr>
      <w:autoSpaceDE w:val="0"/>
      <w:autoSpaceDN w:val="0"/>
      <w:adjustRightInd w:val="0"/>
    </w:pPr>
    <w:rPr>
      <w:rFonts w:ascii="Arial" w:hAnsi="Arial" w:cs="Arial"/>
      <w:color w:val="000000"/>
      <w:sz w:val="24"/>
      <w:szCs w:val="24"/>
    </w:rPr>
  </w:style>
  <w:style w:type="character" w:customStyle="1" w:styleId="eop">
    <w:name w:val="eop"/>
    <w:basedOn w:val="DefaultParagraphFont"/>
    <w:rsid w:val="00A5302E"/>
  </w:style>
  <w:style w:type="paragraph" w:customStyle="1" w:styleId="Tabletext">
    <w:name w:val="Table text"/>
    <w:basedOn w:val="Normal"/>
    <w:link w:val="TabletextChar"/>
    <w:qFormat/>
    <w:rsid w:val="00A5302E"/>
    <w:pPr>
      <w:jc w:val="left"/>
    </w:pPr>
    <w:rPr>
      <w:rFonts w:ascii="Arial Narrow" w:hAnsi="Arial Narrow" w:cs="Times New Roman"/>
      <w:sz w:val="20"/>
      <w:szCs w:val="22"/>
      <w:lang w:eastAsia="en-US"/>
    </w:rPr>
  </w:style>
  <w:style w:type="character" w:customStyle="1" w:styleId="TabletextChar">
    <w:name w:val="Table text Char"/>
    <w:link w:val="Tabletext"/>
    <w:rsid w:val="00A5302E"/>
    <w:rPr>
      <w:rFonts w:ascii="Arial Narrow" w:hAnsi="Arial Narrow"/>
      <w:szCs w:val="22"/>
      <w:lang w:eastAsia="en-US"/>
    </w:rPr>
  </w:style>
  <w:style w:type="paragraph" w:customStyle="1" w:styleId="TableFigureFooter">
    <w:name w:val="Table/Figure Footer"/>
    <w:basedOn w:val="Normal"/>
    <w:link w:val="TableFigureFooterChar"/>
    <w:qFormat/>
    <w:rsid w:val="00A5302E"/>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A5302E"/>
    <w:rPr>
      <w:rFonts w:ascii="Arial Narrow" w:hAnsi="Arial Narrow" w:cs="Arial"/>
      <w:snapToGrid w:val="0"/>
      <w:sz w:val="18"/>
      <w:szCs w:val="22"/>
    </w:rPr>
  </w:style>
  <w:style w:type="paragraph" w:customStyle="1" w:styleId="TableText0">
    <w:name w:val="Table Text"/>
    <w:link w:val="TableTextChar0"/>
    <w:qFormat/>
    <w:rsid w:val="00A5302E"/>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A5302E"/>
    <w:rPr>
      <w:rFonts w:ascii="Arial Narrow" w:eastAsiaTheme="majorEastAsia" w:hAnsi="Arial Narrow" w:cstheme="majorBidi"/>
      <w:bCs/>
      <w:szCs w:val="24"/>
    </w:rPr>
  </w:style>
  <w:style w:type="paragraph" w:customStyle="1" w:styleId="paragraph">
    <w:name w:val="paragraph"/>
    <w:basedOn w:val="Normal"/>
    <w:rsid w:val="00D65351"/>
    <w:pPr>
      <w:spacing w:before="100" w:beforeAutospacing="1" w:after="100" w:afterAutospacing="1"/>
      <w:jc w:val="left"/>
    </w:pPr>
    <w:rPr>
      <w:rFonts w:ascii="Times New Roman" w:hAnsi="Times New Roman" w:cs="Times New Roman"/>
    </w:rPr>
  </w:style>
  <w:style w:type="character" w:styleId="Hyperlink">
    <w:name w:val="Hyperlink"/>
    <w:basedOn w:val="DefaultParagraphFont"/>
    <w:uiPriority w:val="99"/>
    <w:unhideWhenUsed/>
    <w:rsid w:val="001A333F"/>
    <w:rPr>
      <w:color w:val="0000FF" w:themeColor="hyperlink"/>
      <w:u w:val="single"/>
    </w:rPr>
  </w:style>
  <w:style w:type="paragraph" w:styleId="Header">
    <w:name w:val="header"/>
    <w:aliases w:val="Page Header,Header title,he=header,cntr/bld"/>
    <w:basedOn w:val="Normal"/>
    <w:link w:val="HeaderChar"/>
    <w:uiPriority w:val="99"/>
    <w:unhideWhenUsed/>
    <w:qFormat/>
    <w:rsid w:val="001F4BFF"/>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F4BFF"/>
    <w:rPr>
      <w:rFonts w:ascii="Calibri" w:hAnsi="Calibri" w:cs="Arial"/>
      <w:sz w:val="24"/>
      <w:szCs w:val="24"/>
    </w:rPr>
  </w:style>
  <w:style w:type="paragraph" w:styleId="Footer">
    <w:name w:val="footer"/>
    <w:basedOn w:val="Normal"/>
    <w:link w:val="FooterChar"/>
    <w:uiPriority w:val="99"/>
    <w:unhideWhenUsed/>
    <w:rsid w:val="001F4BFF"/>
    <w:pPr>
      <w:tabs>
        <w:tab w:val="center" w:pos="4513"/>
        <w:tab w:val="right" w:pos="9026"/>
      </w:tabs>
    </w:pPr>
  </w:style>
  <w:style w:type="character" w:customStyle="1" w:styleId="FooterChar">
    <w:name w:val="Footer Char"/>
    <w:basedOn w:val="DefaultParagraphFont"/>
    <w:link w:val="Footer"/>
    <w:uiPriority w:val="99"/>
    <w:rsid w:val="001F4BFF"/>
    <w:rPr>
      <w:rFonts w:ascii="Calibri" w:hAnsi="Calibri" w:cs="Arial"/>
      <w:sz w:val="24"/>
      <w:szCs w:val="24"/>
    </w:rPr>
  </w:style>
  <w:style w:type="paragraph" w:styleId="ListParagraph">
    <w:name w:val="List Paragraph"/>
    <w:aliases w:val="Numbered para,BulletPoints,Section heading,Bullet point,List Paragraph1,List Paragraph11,Recommendation,Bullet1,Summary Bullets,ES Paragraph,PBAC ES Paragraph,PBAC normal points,Bullet List,Level 1 Bullet,Section 5,Body Text Bullet Points"/>
    <w:basedOn w:val="Normal"/>
    <w:link w:val="ListParagraphChar"/>
    <w:uiPriority w:val="34"/>
    <w:qFormat/>
    <w:rsid w:val="00C86962"/>
    <w:pPr>
      <w:ind w:left="720"/>
      <w:contextualSpacing/>
    </w:pPr>
  </w:style>
  <w:style w:type="character" w:customStyle="1" w:styleId="ListParagraphChar">
    <w:name w:val="List Paragraph Char"/>
    <w:aliases w:val="Numbered para Char,BulletPoints Char,Section heading Char,Bullet point Char,List Paragraph1 Char,List Paragraph11 Char,Recommendation Char,Bullet1 Char,Summary Bullets Char,ES Paragraph Char,PBAC ES Paragraph Char,Bullet List Char"/>
    <w:basedOn w:val="DefaultParagraphFont"/>
    <w:link w:val="ListParagraph"/>
    <w:uiPriority w:val="34"/>
    <w:qFormat/>
    <w:locked/>
    <w:rsid w:val="00DB14E0"/>
    <w:rPr>
      <w:rFonts w:ascii="Calibri" w:hAnsi="Calibri" w:cs="Arial"/>
      <w:sz w:val="24"/>
      <w:szCs w:val="24"/>
    </w:rPr>
  </w:style>
  <w:style w:type="paragraph" w:customStyle="1" w:styleId="elementtoproof">
    <w:name w:val="elementtoproof"/>
    <w:basedOn w:val="Normal"/>
    <w:rsid w:val="002B6CF8"/>
    <w:pPr>
      <w:jc w:val="left"/>
    </w:pPr>
    <w:rPr>
      <w:rFonts w:eastAsiaTheme="minorHAnsi" w:cs="Calibri"/>
      <w:sz w:val="22"/>
      <w:szCs w:val="22"/>
    </w:rPr>
  </w:style>
  <w:style w:type="paragraph" w:styleId="ListBullet">
    <w:name w:val="List Bullet"/>
    <w:aliases w:val="zz List Bullet"/>
    <w:basedOn w:val="Normal"/>
    <w:link w:val="ListBulletChar"/>
    <w:unhideWhenUsed/>
    <w:rsid w:val="003121D3"/>
    <w:pPr>
      <w:tabs>
        <w:tab w:val="num" w:pos="360"/>
      </w:tabs>
      <w:ind w:left="360" w:hanging="360"/>
      <w:contextualSpacing/>
    </w:pPr>
  </w:style>
  <w:style w:type="paragraph" w:customStyle="1" w:styleId="zzBulletpoints">
    <w:name w:val="zz Bullet points"/>
    <w:basedOn w:val="ListParagraph"/>
    <w:rsid w:val="003121D3"/>
    <w:pPr>
      <w:spacing w:after="120"/>
      <w:ind w:hanging="360"/>
    </w:pPr>
    <w:rPr>
      <w:rFonts w:asciiTheme="minorHAnsi" w:hAnsiTheme="minorHAnsi"/>
      <w:snapToGrid w:val="0"/>
    </w:rPr>
  </w:style>
  <w:style w:type="character" w:customStyle="1" w:styleId="ListBulletChar">
    <w:name w:val="List Bullet Char"/>
    <w:aliases w:val="zz List Bullet Char"/>
    <w:basedOn w:val="DefaultParagraphFont"/>
    <w:link w:val="ListBullet"/>
    <w:rsid w:val="003121D3"/>
    <w:rPr>
      <w:rFonts w:ascii="Calibri" w:hAnsi="Calibri" w:cs="Arial"/>
      <w:sz w:val="24"/>
      <w:szCs w:val="24"/>
    </w:rPr>
  </w:style>
  <w:style w:type="paragraph" w:customStyle="1" w:styleId="Figuretitle">
    <w:name w:val="Figure title"/>
    <w:basedOn w:val="Normal"/>
    <w:uiPriority w:val="99"/>
    <w:qFormat/>
    <w:rsid w:val="003121D3"/>
    <w:pPr>
      <w:numPr>
        <w:numId w:val="5"/>
      </w:numPr>
      <w:spacing w:line="360" w:lineRule="auto"/>
    </w:pPr>
    <w:rPr>
      <w:rFonts w:ascii="Arial" w:eastAsiaTheme="minorHAnsi" w:hAnsi="Arial" w:cstheme="minorBidi"/>
      <w:b/>
      <w:sz w:val="20"/>
      <w:szCs w:val="22"/>
      <w:lang w:eastAsia="en-US"/>
    </w:rPr>
  </w:style>
  <w:style w:type="character" w:customStyle="1" w:styleId="ui-provider">
    <w:name w:val="ui-provider"/>
    <w:basedOn w:val="DefaultParagraphFont"/>
    <w:rsid w:val="003121D3"/>
  </w:style>
  <w:style w:type="paragraph" w:customStyle="1" w:styleId="PBACHeading1">
    <w:name w:val="PBAC Heading 1"/>
    <w:qFormat/>
    <w:rsid w:val="001C0A94"/>
    <w:pPr>
      <w:ind w:left="720" w:hanging="720"/>
      <w:outlineLvl w:val="0"/>
    </w:pPr>
    <w:rPr>
      <w:rFonts w:ascii="Calibri" w:hAnsi="Calibri" w:cs="Calibri"/>
      <w:b/>
      <w:snapToGrid w:val="0"/>
      <w:sz w:val="32"/>
      <w:szCs w:val="32"/>
      <w:lang w:eastAsia="en-US"/>
    </w:rPr>
  </w:style>
  <w:style w:type="paragraph" w:customStyle="1" w:styleId="Bulletpoints">
    <w:name w:val="Bullet points"/>
    <w:basedOn w:val="Normal"/>
    <w:rsid w:val="00E14759"/>
    <w:pPr>
      <w:spacing w:after="120"/>
      <w:ind w:left="720"/>
      <w:contextualSpacing/>
    </w:pPr>
    <w:rPr>
      <w:snapToGrid w:val="0"/>
    </w:rPr>
  </w:style>
  <w:style w:type="paragraph" w:customStyle="1" w:styleId="3-SubsectionHeading">
    <w:name w:val="3-Subsection Heading"/>
    <w:basedOn w:val="Heading2"/>
    <w:next w:val="Normal"/>
    <w:link w:val="3-SubsectionHeadingChar"/>
    <w:qFormat/>
    <w:rsid w:val="009E6034"/>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E6034"/>
    <w:rPr>
      <w:rFonts w:asciiTheme="minorHAnsi" w:eastAsiaTheme="majorEastAsia" w:hAnsiTheme="minorHAnsi" w:cstheme="majorBidi"/>
      <w:b/>
      <w:i/>
      <w:spacing w:val="5"/>
      <w:kern w:val="28"/>
      <w:sz w:val="28"/>
      <w:szCs w:val="36"/>
      <w:lang w:eastAsia="en-US"/>
    </w:rPr>
  </w:style>
  <w:style w:type="paragraph" w:customStyle="1" w:styleId="2-SectionHeading">
    <w:name w:val="2-Section Heading"/>
    <w:qFormat/>
    <w:rsid w:val="009E6034"/>
    <w:pPr>
      <w:keepNext/>
      <w:spacing w:before="240" w:after="120"/>
      <w:outlineLvl w:val="1"/>
    </w:pPr>
    <w:rPr>
      <w:rFonts w:asciiTheme="minorHAnsi" w:hAnsiTheme="minorHAnsi" w:cs="Arial"/>
      <w:b/>
      <w:snapToGrid w:val="0"/>
      <w:sz w:val="32"/>
      <w:szCs w:val="32"/>
    </w:rPr>
  </w:style>
  <w:style w:type="paragraph" w:customStyle="1" w:styleId="pf0">
    <w:name w:val="pf0"/>
    <w:basedOn w:val="Normal"/>
    <w:rsid w:val="00985C1B"/>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985C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11126743">
      <w:bodyDiv w:val="1"/>
      <w:marLeft w:val="0"/>
      <w:marRight w:val="0"/>
      <w:marTop w:val="0"/>
      <w:marBottom w:val="0"/>
      <w:divBdr>
        <w:top w:val="none" w:sz="0" w:space="0" w:color="auto"/>
        <w:left w:val="none" w:sz="0" w:space="0" w:color="auto"/>
        <w:bottom w:val="none" w:sz="0" w:space="0" w:color="auto"/>
        <w:right w:val="none" w:sz="0" w:space="0" w:color="auto"/>
      </w:divBdr>
    </w:div>
    <w:div w:id="536895474">
      <w:bodyDiv w:val="1"/>
      <w:marLeft w:val="0"/>
      <w:marRight w:val="0"/>
      <w:marTop w:val="0"/>
      <w:marBottom w:val="0"/>
      <w:divBdr>
        <w:top w:val="none" w:sz="0" w:space="0" w:color="auto"/>
        <w:left w:val="none" w:sz="0" w:space="0" w:color="auto"/>
        <w:bottom w:val="none" w:sz="0" w:space="0" w:color="auto"/>
        <w:right w:val="none" w:sz="0" w:space="0" w:color="auto"/>
      </w:divBdr>
    </w:div>
    <w:div w:id="685406101">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63640863">
      <w:bodyDiv w:val="1"/>
      <w:marLeft w:val="0"/>
      <w:marRight w:val="0"/>
      <w:marTop w:val="0"/>
      <w:marBottom w:val="0"/>
      <w:divBdr>
        <w:top w:val="none" w:sz="0" w:space="0" w:color="auto"/>
        <w:left w:val="none" w:sz="0" w:space="0" w:color="auto"/>
        <w:bottom w:val="none" w:sz="0" w:space="0" w:color="auto"/>
        <w:right w:val="none" w:sz="0" w:space="0" w:color="auto"/>
      </w:divBdr>
    </w:div>
    <w:div w:id="939485873">
      <w:bodyDiv w:val="1"/>
      <w:marLeft w:val="0"/>
      <w:marRight w:val="0"/>
      <w:marTop w:val="0"/>
      <w:marBottom w:val="0"/>
      <w:divBdr>
        <w:top w:val="none" w:sz="0" w:space="0" w:color="auto"/>
        <w:left w:val="none" w:sz="0" w:space="0" w:color="auto"/>
        <w:bottom w:val="none" w:sz="0" w:space="0" w:color="auto"/>
        <w:right w:val="none" w:sz="0" w:space="0" w:color="auto"/>
      </w:divBdr>
      <w:divsChild>
        <w:div w:id="179128199">
          <w:marLeft w:val="1080"/>
          <w:marRight w:val="0"/>
          <w:marTop w:val="100"/>
          <w:marBottom w:val="120"/>
          <w:divBdr>
            <w:top w:val="none" w:sz="0" w:space="0" w:color="auto"/>
            <w:left w:val="none" w:sz="0" w:space="0" w:color="auto"/>
            <w:bottom w:val="none" w:sz="0" w:space="0" w:color="auto"/>
            <w:right w:val="none" w:sz="0" w:space="0" w:color="auto"/>
          </w:divBdr>
        </w:div>
        <w:div w:id="2142115370">
          <w:marLeft w:val="1080"/>
          <w:marRight w:val="0"/>
          <w:marTop w:val="100"/>
          <w:marBottom w:val="120"/>
          <w:divBdr>
            <w:top w:val="none" w:sz="0" w:space="0" w:color="auto"/>
            <w:left w:val="none" w:sz="0" w:space="0" w:color="auto"/>
            <w:bottom w:val="none" w:sz="0" w:space="0" w:color="auto"/>
            <w:right w:val="none" w:sz="0" w:space="0" w:color="auto"/>
          </w:divBdr>
        </w:div>
        <w:div w:id="1770083899">
          <w:marLeft w:val="1080"/>
          <w:marRight w:val="0"/>
          <w:marTop w:val="100"/>
          <w:marBottom w:val="120"/>
          <w:divBdr>
            <w:top w:val="none" w:sz="0" w:space="0" w:color="auto"/>
            <w:left w:val="none" w:sz="0" w:space="0" w:color="auto"/>
            <w:bottom w:val="none" w:sz="0" w:space="0" w:color="auto"/>
            <w:right w:val="none" w:sz="0" w:space="0" w:color="auto"/>
          </w:divBdr>
        </w:div>
      </w:divsChild>
    </w:div>
    <w:div w:id="961111562">
      <w:bodyDiv w:val="1"/>
      <w:marLeft w:val="0"/>
      <w:marRight w:val="0"/>
      <w:marTop w:val="0"/>
      <w:marBottom w:val="0"/>
      <w:divBdr>
        <w:top w:val="none" w:sz="0" w:space="0" w:color="auto"/>
        <w:left w:val="none" w:sz="0" w:space="0" w:color="auto"/>
        <w:bottom w:val="none" w:sz="0" w:space="0" w:color="auto"/>
        <w:right w:val="none" w:sz="0" w:space="0" w:color="auto"/>
      </w:divBdr>
    </w:div>
    <w:div w:id="98612721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7939200">
      <w:bodyDiv w:val="1"/>
      <w:marLeft w:val="0"/>
      <w:marRight w:val="0"/>
      <w:marTop w:val="0"/>
      <w:marBottom w:val="0"/>
      <w:divBdr>
        <w:top w:val="none" w:sz="0" w:space="0" w:color="auto"/>
        <w:left w:val="none" w:sz="0" w:space="0" w:color="auto"/>
        <w:bottom w:val="none" w:sz="0" w:space="0" w:color="auto"/>
        <w:right w:val="none" w:sz="0" w:space="0" w:color="auto"/>
      </w:divBdr>
    </w:div>
    <w:div w:id="1505127504">
      <w:bodyDiv w:val="1"/>
      <w:marLeft w:val="0"/>
      <w:marRight w:val="0"/>
      <w:marTop w:val="0"/>
      <w:marBottom w:val="0"/>
      <w:divBdr>
        <w:top w:val="none" w:sz="0" w:space="0" w:color="auto"/>
        <w:left w:val="none" w:sz="0" w:space="0" w:color="auto"/>
        <w:bottom w:val="none" w:sz="0" w:space="0" w:color="auto"/>
        <w:right w:val="none" w:sz="0" w:space="0" w:color="auto"/>
      </w:divBdr>
    </w:div>
    <w:div w:id="1769428827">
      <w:bodyDiv w:val="1"/>
      <w:marLeft w:val="0"/>
      <w:marRight w:val="0"/>
      <w:marTop w:val="0"/>
      <w:marBottom w:val="0"/>
      <w:divBdr>
        <w:top w:val="none" w:sz="0" w:space="0" w:color="auto"/>
        <w:left w:val="none" w:sz="0" w:space="0" w:color="auto"/>
        <w:bottom w:val="none" w:sz="0" w:space="0" w:color="auto"/>
        <w:right w:val="none" w:sz="0" w:space="0" w:color="auto"/>
      </w:divBdr>
    </w:div>
    <w:div w:id="190625834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4846752">
      <w:bodyDiv w:val="1"/>
      <w:marLeft w:val="0"/>
      <w:marRight w:val="0"/>
      <w:marTop w:val="0"/>
      <w:marBottom w:val="0"/>
      <w:divBdr>
        <w:top w:val="none" w:sz="0" w:space="0" w:color="auto"/>
        <w:left w:val="none" w:sz="0" w:space="0" w:color="auto"/>
        <w:bottom w:val="none" w:sz="0" w:space="0" w:color="auto"/>
        <w:right w:val="none" w:sz="0" w:space="0" w:color="auto"/>
      </w:divBdr>
    </w:div>
    <w:div w:id="204447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55</Pages>
  <Words>23798</Words>
  <Characters>135653</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2024-10-25T09:11:00Z</dcterms:created>
  <dcterms:modified xsi:type="dcterms:W3CDTF">2024-10-25T09:24:00Z</dcterms:modified>
</cp:coreProperties>
</file>