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AA1FA" w14:textId="46CE95B9" w:rsidR="00A94C5C" w:rsidRPr="00CD3904" w:rsidRDefault="00A94C5C" w:rsidP="1797D1E5">
      <w:pPr>
        <w:keepNext/>
        <w:spacing w:after="120"/>
        <w:jc w:val="left"/>
        <w:outlineLvl w:val="0"/>
        <w:rPr>
          <w:snapToGrid w:val="0"/>
          <w:color w:val="ED0000"/>
          <w:lang w:val="en-GB"/>
        </w:rPr>
      </w:pPr>
      <w:bookmarkStart w:id="0" w:name="_Toc167265596"/>
      <w:r w:rsidRPr="00CD3904">
        <w:rPr>
          <w:rFonts w:asciiTheme="minorHAnsi" w:hAnsiTheme="minorHAnsi"/>
          <w:b/>
          <w:bCs/>
          <w:snapToGrid w:val="0"/>
          <w:color w:val="ED0000"/>
          <w:lang w:val="en-GB"/>
        </w:rPr>
        <w:t xml:space="preserve">An addendum from the November 2024 PBAC </w:t>
      </w:r>
      <w:r w:rsidR="009B6985" w:rsidRPr="00CD3904">
        <w:rPr>
          <w:rFonts w:asciiTheme="minorHAnsi" w:hAnsiTheme="minorHAnsi"/>
          <w:b/>
          <w:bCs/>
          <w:snapToGrid w:val="0"/>
          <w:color w:val="ED0000"/>
          <w:lang w:val="en-GB"/>
        </w:rPr>
        <w:t>meeting</w:t>
      </w:r>
      <w:r w:rsidRPr="00CD3904">
        <w:rPr>
          <w:rFonts w:asciiTheme="minorHAnsi" w:hAnsiTheme="minorHAnsi"/>
          <w:b/>
          <w:bCs/>
          <w:snapToGrid w:val="0"/>
          <w:color w:val="ED0000"/>
          <w:lang w:val="en-GB"/>
        </w:rPr>
        <w:t xml:space="preserve"> has been </w:t>
      </w:r>
      <w:r w:rsidR="009B6985" w:rsidRPr="00CD3904">
        <w:rPr>
          <w:rFonts w:asciiTheme="minorHAnsi" w:hAnsiTheme="minorHAnsi"/>
          <w:b/>
          <w:bCs/>
          <w:snapToGrid w:val="0"/>
          <w:color w:val="ED0000"/>
          <w:lang w:val="en-GB"/>
        </w:rPr>
        <w:t>included at</w:t>
      </w:r>
      <w:r w:rsidRPr="00CD3904">
        <w:rPr>
          <w:rFonts w:asciiTheme="minorHAnsi" w:hAnsiTheme="minorHAnsi"/>
          <w:b/>
          <w:bCs/>
          <w:snapToGrid w:val="0"/>
          <w:color w:val="ED0000"/>
          <w:lang w:val="en-GB"/>
        </w:rPr>
        <w:t xml:space="preserve"> the end of this document</w:t>
      </w:r>
      <w:r w:rsidR="001E141A" w:rsidRPr="00CD3904">
        <w:rPr>
          <w:rFonts w:asciiTheme="minorHAnsi" w:hAnsiTheme="minorHAnsi"/>
          <w:b/>
          <w:bCs/>
          <w:snapToGrid w:val="0"/>
          <w:color w:val="ED0000"/>
          <w:lang w:val="en-GB"/>
        </w:rPr>
        <w:t>.</w:t>
      </w:r>
    </w:p>
    <w:p w14:paraId="51C6701A" w14:textId="1EAC73FE" w:rsidR="00B60939" w:rsidRPr="00DF0226" w:rsidRDefault="00D8109C" w:rsidP="005036BC">
      <w:pPr>
        <w:pStyle w:val="COMH1-non-numbered"/>
        <w:rPr>
          <w:sz w:val="36"/>
        </w:rPr>
      </w:pPr>
      <w:r w:rsidRPr="00DF0226">
        <w:rPr>
          <w:sz w:val="36"/>
        </w:rPr>
        <w:t>6.01</w:t>
      </w:r>
      <w:r w:rsidR="00163F66" w:rsidRPr="00DF0226">
        <w:rPr>
          <w:sz w:val="36"/>
        </w:rPr>
        <w:tab/>
      </w:r>
      <w:r w:rsidR="00BE4520" w:rsidRPr="00DF0226">
        <w:rPr>
          <w:sz w:val="36"/>
        </w:rPr>
        <w:t>BLINATUMOMAB</w:t>
      </w:r>
      <w:r w:rsidR="00163F66" w:rsidRPr="00DF0226">
        <w:rPr>
          <w:sz w:val="36"/>
        </w:rPr>
        <w:t>,</w:t>
      </w:r>
      <w:r w:rsidR="00163F66" w:rsidRPr="00DF0226">
        <w:rPr>
          <w:sz w:val="36"/>
        </w:rPr>
        <w:br/>
      </w:r>
      <w:r w:rsidR="007C563A" w:rsidRPr="00DF0226">
        <w:rPr>
          <w:sz w:val="36"/>
        </w:rPr>
        <w:t>Powder for I</w:t>
      </w:r>
      <w:r w:rsidR="007C7C7B" w:rsidRPr="00DF0226">
        <w:rPr>
          <w:sz w:val="36"/>
        </w:rPr>
        <w:t>.</w:t>
      </w:r>
      <w:r w:rsidR="007C563A" w:rsidRPr="00DF0226">
        <w:rPr>
          <w:sz w:val="36"/>
        </w:rPr>
        <w:t>V</w:t>
      </w:r>
      <w:r w:rsidR="007C7C7B" w:rsidRPr="00DF0226">
        <w:rPr>
          <w:sz w:val="36"/>
        </w:rPr>
        <w:t>.</w:t>
      </w:r>
      <w:r w:rsidR="007C563A" w:rsidRPr="00DF0226">
        <w:rPr>
          <w:sz w:val="36"/>
        </w:rPr>
        <w:t xml:space="preserve"> infusion 38.5 micrograms</w:t>
      </w:r>
      <w:r w:rsidR="00163F66" w:rsidRPr="00DF0226">
        <w:rPr>
          <w:sz w:val="36"/>
        </w:rPr>
        <w:t>,</w:t>
      </w:r>
      <w:r w:rsidR="00163F66" w:rsidRPr="00DF0226">
        <w:rPr>
          <w:sz w:val="36"/>
        </w:rPr>
        <w:br/>
      </w:r>
      <w:r w:rsidR="007C563A" w:rsidRPr="00DF0226">
        <w:rPr>
          <w:sz w:val="36"/>
        </w:rPr>
        <w:t>Blincyto</w:t>
      </w:r>
      <w:r w:rsidR="00B60939" w:rsidRPr="00DF0226">
        <w:rPr>
          <w:sz w:val="36"/>
          <w:vertAlign w:val="superscript"/>
        </w:rPr>
        <w:t>®</w:t>
      </w:r>
      <w:r w:rsidR="004A6040" w:rsidRPr="00DF0226">
        <w:rPr>
          <w:sz w:val="36"/>
        </w:rPr>
        <w:t>,</w:t>
      </w:r>
      <w:r w:rsidR="004A6040" w:rsidRPr="00DF0226">
        <w:rPr>
          <w:sz w:val="36"/>
        </w:rPr>
        <w:br/>
      </w:r>
      <w:r w:rsidR="007C563A" w:rsidRPr="00DF0226">
        <w:rPr>
          <w:sz w:val="36"/>
        </w:rPr>
        <w:t>Amgen Australia Pty Limited</w:t>
      </w:r>
      <w:r w:rsidR="00B60939" w:rsidRPr="00DF0226">
        <w:rPr>
          <w:sz w:val="36"/>
        </w:rPr>
        <w:t>.</w:t>
      </w:r>
      <w:bookmarkEnd w:id="0"/>
    </w:p>
    <w:p w14:paraId="11C00795" w14:textId="0FD2F334" w:rsidR="00B50DB8" w:rsidRPr="00225248" w:rsidRDefault="00B50DB8" w:rsidP="004A6040">
      <w:pPr>
        <w:pStyle w:val="COMH1numbered"/>
      </w:pPr>
      <w:bookmarkStart w:id="1" w:name="_Toc167265598"/>
      <w:r w:rsidRPr="00632204">
        <w:t>Purpose</w:t>
      </w:r>
      <w:r w:rsidRPr="00225248">
        <w:t xml:space="preserve"> of </w:t>
      </w:r>
      <w:r w:rsidR="00CD7193" w:rsidRPr="00225248">
        <w:t>s</w:t>
      </w:r>
      <w:r w:rsidR="00BB3A45" w:rsidRPr="00225248">
        <w:t>ubmission</w:t>
      </w:r>
      <w:bookmarkEnd w:id="1"/>
    </w:p>
    <w:p w14:paraId="19414AA1" w14:textId="6F9092B5" w:rsidR="002C2775" w:rsidRPr="001D1D52" w:rsidRDefault="007170DA" w:rsidP="001D1D52">
      <w:pPr>
        <w:pStyle w:val="COMexecsumnumberedpara"/>
      </w:pPr>
      <w:r w:rsidRPr="001D1D52">
        <w:t xml:space="preserve">The </w:t>
      </w:r>
      <w:r w:rsidR="00F73E08" w:rsidRPr="001D1D52">
        <w:t xml:space="preserve">Category </w:t>
      </w:r>
      <w:r w:rsidR="001E6019" w:rsidRPr="001D1D52">
        <w:t xml:space="preserve">2 </w:t>
      </w:r>
      <w:r w:rsidRPr="001D1D52">
        <w:t xml:space="preserve">submission requested </w:t>
      </w:r>
      <w:r w:rsidR="00AD0CBF" w:rsidRPr="001D1D52">
        <w:t xml:space="preserve">an extension to the Section 100 (Efficient </w:t>
      </w:r>
      <w:r w:rsidR="00B760E6" w:rsidRPr="001D1D52">
        <w:t>Funding of Chemotherapy) listing of blinatumomab for the treatment of patients with B-cell precursor acute lymphoblastic leukaemia (B-ALL) who are measurable residual disease (MRD) positive following induction chemotherapy, to include patients who are MRD</w:t>
      </w:r>
      <w:r w:rsidR="000375BC" w:rsidRPr="001D1D52">
        <w:t>-</w:t>
      </w:r>
      <w:r w:rsidR="00B760E6" w:rsidRPr="001D1D52">
        <w:t>negative following induction chemotherapy</w:t>
      </w:r>
      <w:r w:rsidR="008B1757" w:rsidRPr="001D1D52">
        <w:t>.</w:t>
      </w:r>
    </w:p>
    <w:p w14:paraId="4E9FBCB5" w14:textId="074978E1" w:rsidR="00C2778B" w:rsidRPr="00225248" w:rsidRDefault="005750C5" w:rsidP="001D1D52">
      <w:pPr>
        <w:pStyle w:val="COMexecsumnumberedpara"/>
      </w:pPr>
      <w:r w:rsidRPr="00225248">
        <w:t xml:space="preserve">Listing was requested </w:t>
      </w:r>
      <w:proofErr w:type="gramStart"/>
      <w:r w:rsidRPr="00225248">
        <w:t>on the basis of</w:t>
      </w:r>
      <w:proofErr w:type="gramEnd"/>
      <w:r w:rsidRPr="00225248">
        <w:t xml:space="preserve"> a cost-</w:t>
      </w:r>
      <w:r w:rsidR="009154FA">
        <w:t xml:space="preserve">utility </w:t>
      </w:r>
      <w:r w:rsidRPr="00225248">
        <w:t>analysis</w:t>
      </w:r>
      <w:r w:rsidR="009154FA">
        <w:t xml:space="preserve"> of blinatumomab in combination with standard of care consolidation chemotherapy compared to standard of care consolidation chemotherapy alone</w:t>
      </w:r>
      <w:r w:rsidRPr="00225248">
        <w:t>.</w:t>
      </w:r>
      <w:r w:rsidR="00BC591F" w:rsidRPr="00225248">
        <w:rPr>
          <w:color w:val="0066FF"/>
        </w:rPr>
        <w:t xml:space="preserve"> </w:t>
      </w:r>
    </w:p>
    <w:p w14:paraId="3718DE61" w14:textId="3FE7C9F6" w:rsidR="008B1757" w:rsidRPr="00C742BE" w:rsidRDefault="00696EF9" w:rsidP="00C742BE">
      <w:pPr>
        <w:pStyle w:val="Caption"/>
      </w:pPr>
      <w:bookmarkStart w:id="2" w:name="_Ref166236120"/>
      <w:r w:rsidRPr="00C742BE">
        <w:t xml:space="preserve">Table </w:t>
      </w:r>
      <w:r w:rsidR="006F0D54">
        <w:fldChar w:fldCharType="begin" w:fldLock="1"/>
      </w:r>
      <w:r w:rsidR="006F0D54">
        <w:instrText xml:space="preserve"> SEQ Table \* ARABIC </w:instrText>
      </w:r>
      <w:r w:rsidR="006F0D54">
        <w:fldChar w:fldCharType="separate"/>
      </w:r>
      <w:r w:rsidR="00356F14">
        <w:rPr>
          <w:noProof/>
        </w:rPr>
        <w:t>1</w:t>
      </w:r>
      <w:r w:rsidR="006F0D54">
        <w:rPr>
          <w:noProof/>
        </w:rPr>
        <w:fldChar w:fldCharType="end"/>
      </w:r>
      <w:bookmarkEnd w:id="2"/>
      <w:r w:rsidRPr="00C742BE">
        <w:t>:</w:t>
      </w:r>
      <w:r w:rsidR="00BC591F" w:rsidRPr="00C742BE">
        <w:t xml:space="preserve"> </w:t>
      </w:r>
      <w:r w:rsidR="008B1757" w:rsidRPr="00C742BE">
        <w:t>Key components of the clinical issue addressed by the submission</w:t>
      </w:r>
      <w:r w:rsidR="007170DA" w:rsidRPr="00C742BE">
        <w:t xml:space="preserve">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as stated in the submission)"/>
      </w:tblPr>
      <w:tblGrid>
        <w:gridCol w:w="1295"/>
        <w:gridCol w:w="7722"/>
      </w:tblGrid>
      <w:tr w:rsidR="001446DD" w:rsidRPr="000F4C1C" w14:paraId="60626B1E" w14:textId="77777777" w:rsidTr="00356F14">
        <w:tc>
          <w:tcPr>
            <w:tcW w:w="718" w:type="pct"/>
            <w:vAlign w:val="center"/>
          </w:tcPr>
          <w:p w14:paraId="436500B5" w14:textId="77777777" w:rsidR="001446DD" w:rsidRPr="000F4C1C" w:rsidRDefault="001446DD" w:rsidP="0020672F">
            <w:pPr>
              <w:pStyle w:val="COMTableheadingrow"/>
            </w:pPr>
            <w:r w:rsidRPr="000F4C1C">
              <w:t>Component</w:t>
            </w:r>
          </w:p>
        </w:tc>
        <w:tc>
          <w:tcPr>
            <w:tcW w:w="4282" w:type="pct"/>
            <w:vAlign w:val="center"/>
          </w:tcPr>
          <w:p w14:paraId="14D8E8A9" w14:textId="77777777" w:rsidR="001446DD" w:rsidRPr="000F4C1C" w:rsidRDefault="001446DD" w:rsidP="0020672F">
            <w:pPr>
              <w:pStyle w:val="COMTableheadingrow"/>
            </w:pPr>
            <w:r w:rsidRPr="000F4C1C">
              <w:t>Description</w:t>
            </w:r>
          </w:p>
        </w:tc>
      </w:tr>
      <w:tr w:rsidR="001446DD" w:rsidRPr="000F4C1C" w14:paraId="56E61A66" w14:textId="77777777" w:rsidTr="00356F14">
        <w:tc>
          <w:tcPr>
            <w:tcW w:w="718" w:type="pct"/>
            <w:vAlign w:val="center"/>
          </w:tcPr>
          <w:p w14:paraId="3AB441EE" w14:textId="77777777" w:rsidR="001446DD" w:rsidRPr="000F4C1C" w:rsidRDefault="001446DD" w:rsidP="00CC2FE8">
            <w:pPr>
              <w:pStyle w:val="COMTabletext"/>
            </w:pPr>
            <w:r w:rsidRPr="000F4C1C">
              <w:t>Population</w:t>
            </w:r>
          </w:p>
        </w:tc>
        <w:tc>
          <w:tcPr>
            <w:tcW w:w="4282" w:type="pct"/>
            <w:vAlign w:val="center"/>
          </w:tcPr>
          <w:p w14:paraId="30520DBF" w14:textId="77777777" w:rsidR="001446DD" w:rsidRPr="000F4C1C" w:rsidRDefault="001446DD" w:rsidP="00CC2FE8">
            <w:pPr>
              <w:pStyle w:val="COMTabletext"/>
            </w:pPr>
            <w:r w:rsidRPr="000F4C1C">
              <w:t>Newly diagnosed patients with B-ALL in haematological complete remission who are MRD-negative after initial induction chemotherapy</w:t>
            </w:r>
          </w:p>
        </w:tc>
      </w:tr>
      <w:tr w:rsidR="001446DD" w:rsidRPr="000F4C1C" w14:paraId="64EBE640" w14:textId="77777777" w:rsidTr="00356F14">
        <w:tc>
          <w:tcPr>
            <w:tcW w:w="718" w:type="pct"/>
            <w:vAlign w:val="center"/>
          </w:tcPr>
          <w:p w14:paraId="548F95DE" w14:textId="77777777" w:rsidR="001446DD" w:rsidRPr="000F4C1C" w:rsidRDefault="001446DD" w:rsidP="00CC2FE8">
            <w:pPr>
              <w:pStyle w:val="COMTabletext"/>
            </w:pPr>
            <w:r w:rsidRPr="000F4C1C">
              <w:t>Intervention</w:t>
            </w:r>
          </w:p>
        </w:tc>
        <w:tc>
          <w:tcPr>
            <w:tcW w:w="4282" w:type="pct"/>
            <w:vAlign w:val="center"/>
          </w:tcPr>
          <w:p w14:paraId="2375452F" w14:textId="77777777" w:rsidR="001446DD" w:rsidRPr="000F4C1C" w:rsidRDefault="001446DD" w:rsidP="00CC2FE8">
            <w:pPr>
              <w:pStyle w:val="COMTabletext"/>
            </w:pPr>
            <w:r w:rsidRPr="000F4C1C">
              <w:t>Blinatumomab plus standard of care consolidation therapy</w:t>
            </w:r>
          </w:p>
        </w:tc>
      </w:tr>
      <w:tr w:rsidR="001446DD" w:rsidRPr="000F4C1C" w14:paraId="1D785ECB" w14:textId="77777777" w:rsidTr="00356F14">
        <w:tc>
          <w:tcPr>
            <w:tcW w:w="718" w:type="pct"/>
            <w:vAlign w:val="center"/>
          </w:tcPr>
          <w:p w14:paraId="48ED1EB5" w14:textId="77777777" w:rsidR="001446DD" w:rsidRPr="000F4C1C" w:rsidRDefault="001446DD" w:rsidP="00CC2FE8">
            <w:pPr>
              <w:pStyle w:val="COMTabletext"/>
            </w:pPr>
            <w:r w:rsidRPr="000F4C1C">
              <w:t>Comparator</w:t>
            </w:r>
          </w:p>
        </w:tc>
        <w:tc>
          <w:tcPr>
            <w:tcW w:w="4282" w:type="pct"/>
            <w:vAlign w:val="center"/>
          </w:tcPr>
          <w:p w14:paraId="4BBFF074" w14:textId="77777777" w:rsidR="001446DD" w:rsidRPr="000F4C1C" w:rsidRDefault="001446DD" w:rsidP="00CC2FE8">
            <w:pPr>
              <w:pStyle w:val="COMTabletext"/>
            </w:pPr>
            <w:r w:rsidRPr="000F4C1C">
              <w:t xml:space="preserve">Standard of care consolidation therapy (chemotherapy with or without ASCT) </w:t>
            </w:r>
          </w:p>
        </w:tc>
      </w:tr>
      <w:tr w:rsidR="001446DD" w:rsidRPr="000F4C1C" w14:paraId="7D4D4BD0" w14:textId="77777777" w:rsidTr="00356F14">
        <w:tc>
          <w:tcPr>
            <w:tcW w:w="718" w:type="pct"/>
            <w:vAlign w:val="center"/>
          </w:tcPr>
          <w:p w14:paraId="2DD9649E" w14:textId="77777777" w:rsidR="001446DD" w:rsidRPr="000F4C1C" w:rsidRDefault="001446DD" w:rsidP="00CC2FE8">
            <w:pPr>
              <w:pStyle w:val="COMTabletext"/>
            </w:pPr>
            <w:r w:rsidRPr="000F4C1C">
              <w:t>Outcomes</w:t>
            </w:r>
          </w:p>
        </w:tc>
        <w:tc>
          <w:tcPr>
            <w:tcW w:w="4282" w:type="pct"/>
            <w:vAlign w:val="center"/>
          </w:tcPr>
          <w:p w14:paraId="07F5D732" w14:textId="77777777" w:rsidR="001446DD" w:rsidRPr="000F4C1C" w:rsidRDefault="001446DD" w:rsidP="00CC2FE8">
            <w:pPr>
              <w:pStyle w:val="COMTabletext"/>
            </w:pPr>
            <w:r w:rsidRPr="000F4C1C">
              <w:t>Relapse-free survival, overall survival, and safety</w:t>
            </w:r>
          </w:p>
        </w:tc>
      </w:tr>
      <w:tr w:rsidR="001446DD" w:rsidRPr="000F4C1C" w14:paraId="63774871" w14:textId="77777777" w:rsidTr="00356F14">
        <w:tc>
          <w:tcPr>
            <w:tcW w:w="718" w:type="pct"/>
            <w:vAlign w:val="center"/>
          </w:tcPr>
          <w:p w14:paraId="196262AD" w14:textId="77777777" w:rsidR="001446DD" w:rsidRPr="000F4C1C" w:rsidRDefault="001446DD" w:rsidP="00CC2FE8">
            <w:pPr>
              <w:pStyle w:val="COMTabletext"/>
            </w:pPr>
            <w:r w:rsidRPr="000F4C1C">
              <w:t>Clinical claim</w:t>
            </w:r>
          </w:p>
        </w:tc>
        <w:tc>
          <w:tcPr>
            <w:tcW w:w="4282" w:type="pct"/>
            <w:vAlign w:val="center"/>
          </w:tcPr>
          <w:p w14:paraId="6E7040EA" w14:textId="77777777" w:rsidR="001446DD" w:rsidRPr="000F4C1C" w:rsidRDefault="001446DD" w:rsidP="00CC2FE8">
            <w:pPr>
              <w:pStyle w:val="COMTabletext"/>
            </w:pPr>
            <w:r w:rsidRPr="000F4C1C">
              <w:t>Blinatumomab added to standard of care consolidation therapy is superior in terms of efficacy and non-inferior in terms of safety compared to standard of care consolidation therapy alone</w:t>
            </w:r>
          </w:p>
        </w:tc>
      </w:tr>
    </w:tbl>
    <w:p w14:paraId="54837881" w14:textId="77777777" w:rsidR="00F75C0E" w:rsidRPr="00525E79" w:rsidRDefault="00F75C0E" w:rsidP="00525E79">
      <w:pPr>
        <w:pStyle w:val="COMTablefooter"/>
      </w:pPr>
      <w:r w:rsidRPr="00525E79">
        <w:t>Source: Table 1-1, p21 of the submission.</w:t>
      </w:r>
    </w:p>
    <w:p w14:paraId="52B2C7C0" w14:textId="77777777" w:rsidR="00F75C0E" w:rsidRPr="00525E79" w:rsidRDefault="00F75C0E" w:rsidP="00525E79">
      <w:pPr>
        <w:pStyle w:val="COMTablefooter"/>
      </w:pPr>
      <w:r w:rsidRPr="00525E79">
        <w:t>Abbreviations: ASCT, allogeneic stem cell transplant; B-ALL, B-cell precursor acute lymphoblastic leukaemia; MRD, measurable residual disease.</w:t>
      </w:r>
    </w:p>
    <w:p w14:paraId="6B4AB6C2" w14:textId="483817F5" w:rsidR="005C25FF" w:rsidRPr="00225248" w:rsidRDefault="005C25FF" w:rsidP="004A6040">
      <w:pPr>
        <w:pStyle w:val="COMH1numbered"/>
      </w:pPr>
      <w:bookmarkStart w:id="3" w:name="_Toc167265599"/>
      <w:r w:rsidRPr="00225248">
        <w:t>Background</w:t>
      </w:r>
      <w:bookmarkEnd w:id="3"/>
    </w:p>
    <w:p w14:paraId="2C521D6D" w14:textId="53DB3792" w:rsidR="005C25FF" w:rsidRPr="00225248" w:rsidRDefault="005C25FF" w:rsidP="0045707B">
      <w:pPr>
        <w:pStyle w:val="COMH2-non-numbered"/>
      </w:pPr>
      <w:bookmarkStart w:id="4" w:name="_Toc22897638"/>
      <w:bookmarkStart w:id="5" w:name="_Toc167265600"/>
      <w:r w:rsidRPr="00225248">
        <w:t>Registration status</w:t>
      </w:r>
      <w:bookmarkEnd w:id="4"/>
      <w:bookmarkEnd w:id="5"/>
    </w:p>
    <w:p w14:paraId="4EE5426C" w14:textId="7D2EF8F8" w:rsidR="003E50AE" w:rsidRPr="00DF0226" w:rsidRDefault="00DF0226" w:rsidP="001D1D52">
      <w:pPr>
        <w:pStyle w:val="COMexecsumnumberedpara"/>
      </w:pPr>
      <w:r w:rsidRPr="00742537">
        <w:rPr>
          <w:rFonts w:ascii="Calibri" w:eastAsia="Calibri" w:hAnsi="Calibri"/>
          <w:b/>
          <w:szCs w:val="22"/>
        </w:rPr>
        <w:t xml:space="preserve">TGA status at time of </w:t>
      </w:r>
      <w:r w:rsidR="00742537" w:rsidRPr="00742537">
        <w:rPr>
          <w:rFonts w:ascii="Calibri" w:eastAsia="Calibri" w:hAnsi="Calibri"/>
          <w:b/>
          <w:szCs w:val="22"/>
        </w:rPr>
        <w:t>PBAC consideration</w:t>
      </w:r>
      <w:r w:rsidRPr="00742537">
        <w:rPr>
          <w:rFonts w:ascii="Calibri" w:eastAsia="Calibri" w:hAnsi="Calibri"/>
          <w:szCs w:val="22"/>
        </w:rPr>
        <w:t xml:space="preserve">: </w:t>
      </w:r>
      <w:r w:rsidR="000D55F3" w:rsidRPr="00DF0226">
        <w:t>Blinatumomab for the treatment of newly diagnosed patients with B-ALL in MRD-negative haematological complete remission was submitted under the TGA/PBAC parallel process. The TGA Delegate’s Overview is expected on 5 November 2024. At the time of evaluation, no TGA documents were available.</w:t>
      </w:r>
    </w:p>
    <w:p w14:paraId="5687ECCD" w14:textId="32D92175" w:rsidR="00CF3A1B" w:rsidRPr="00DF0226" w:rsidRDefault="00540688" w:rsidP="001D1D52">
      <w:pPr>
        <w:pStyle w:val="COMexecsumnumberedpara"/>
      </w:pPr>
      <w:r w:rsidRPr="00DF0226">
        <w:t>The requested indication is for the treatment</w:t>
      </w:r>
      <w:r w:rsidR="000D55F3" w:rsidRPr="00DF0226">
        <w:t xml:space="preserve"> </w:t>
      </w:r>
      <w:r w:rsidR="003E50AE" w:rsidRPr="00DF0226">
        <w:t>of B-cell precursor acute lymphoblastic leukaemia (ALL) in the consolidation phase.</w:t>
      </w:r>
      <w:r w:rsidR="005C25FF" w:rsidRPr="00DF0226">
        <w:t xml:space="preserve"> </w:t>
      </w:r>
    </w:p>
    <w:p w14:paraId="33CCB72C" w14:textId="58782850" w:rsidR="003E50AE" w:rsidRPr="00DF0226" w:rsidRDefault="00BE5F1A" w:rsidP="008B5F49">
      <w:pPr>
        <w:pStyle w:val="COMexecsumnumberedpara"/>
      </w:pPr>
      <w:r w:rsidRPr="00DF0226">
        <w:t xml:space="preserve">Blinatumomab is </w:t>
      </w:r>
      <w:r w:rsidR="00D8109C" w:rsidRPr="00DF0226">
        <w:t xml:space="preserve">currently </w:t>
      </w:r>
      <w:r w:rsidR="008D0DC4" w:rsidRPr="00DF0226">
        <w:t xml:space="preserve">TGA-approved </w:t>
      </w:r>
      <w:r w:rsidR="00FA148B" w:rsidRPr="00DF0226">
        <w:t>for the following indications:</w:t>
      </w:r>
    </w:p>
    <w:p w14:paraId="71982CB2" w14:textId="7BD1AD46" w:rsidR="00FA148B" w:rsidRPr="00DF0226" w:rsidRDefault="00671195" w:rsidP="004A2F79">
      <w:pPr>
        <w:pStyle w:val="COMexecsummbulletlist"/>
        <w:spacing w:after="0"/>
        <w:ind w:left="1134"/>
      </w:pPr>
      <w:r w:rsidRPr="00DF0226">
        <w:t>R</w:t>
      </w:r>
      <w:r w:rsidR="00FA148B" w:rsidRPr="00DF0226">
        <w:t>elapsed or refractory B-cell precursor acute lymphoblastic leukaemia (ALL).</w:t>
      </w:r>
    </w:p>
    <w:p w14:paraId="49EC9670" w14:textId="3917DCED" w:rsidR="00FA148B" w:rsidRPr="00DF0226" w:rsidRDefault="00671195" w:rsidP="007405D3">
      <w:pPr>
        <w:pStyle w:val="COMexecsummbulletlist"/>
        <w:ind w:left="1134"/>
      </w:pPr>
      <w:r w:rsidRPr="00DF0226">
        <w:lastRenderedPageBreak/>
        <w:t>M</w:t>
      </w:r>
      <w:r w:rsidR="008B5F49" w:rsidRPr="00DF0226">
        <w:t>inimal residual disease (MRD)-</w:t>
      </w:r>
      <w:r w:rsidRPr="00DF0226">
        <w:t>positive B-cell precursor acute lymphoblastic leukaemia in patients in complete haematological remission.</w:t>
      </w:r>
    </w:p>
    <w:p w14:paraId="20D1C1DE" w14:textId="1BDB067E" w:rsidR="0060360D" w:rsidRPr="003E50AE" w:rsidRDefault="0060360D" w:rsidP="001D1D52">
      <w:pPr>
        <w:pStyle w:val="COMexecsumnumberedpara"/>
      </w:pPr>
      <w:r w:rsidRPr="00DF0226">
        <w:t>The blinatumomab product information includes a black box warning for severe potentially fatal adverse events including cytokine release syndrome, neurological toxicities, and reactivation of JC polyomavirus. It is recommended that patients treated with blinatumomab should be closely monitored for signs and symptoms of associated adverse events (disseminated intravascular coagulation, capillary leak syndrome, haemophagocytic</w:t>
      </w:r>
      <w:r w:rsidRPr="0060360D">
        <w:t xml:space="preserve"> lymphohistiocytosis/macrophage activation syndrome and neurologic events) and treatment interrupted or ceased if severe or life-threatening toxic reactions are observed.</w:t>
      </w:r>
      <w:r w:rsidR="00440D07">
        <w:t xml:space="preserve"> </w:t>
      </w:r>
    </w:p>
    <w:p w14:paraId="3E2A6EAB" w14:textId="22C83B12" w:rsidR="005C25FF" w:rsidRPr="00225248" w:rsidRDefault="005C25FF" w:rsidP="004E18E9">
      <w:pPr>
        <w:pStyle w:val="COMH2-non-numbered"/>
      </w:pPr>
      <w:bookmarkStart w:id="6" w:name="_Toc22897639"/>
      <w:bookmarkStart w:id="7" w:name="_Toc167265601"/>
      <w:r w:rsidRPr="00225248">
        <w:t>Previous PBAC consideration</w:t>
      </w:r>
      <w:bookmarkEnd w:id="6"/>
      <w:bookmarkEnd w:id="7"/>
    </w:p>
    <w:p w14:paraId="27105E2F" w14:textId="3B20A639" w:rsidR="00ED4B04" w:rsidRPr="007405D3" w:rsidRDefault="005D1917" w:rsidP="006F4827">
      <w:pPr>
        <w:pStyle w:val="COMexecsumnumberedpara"/>
      </w:pPr>
      <w:r w:rsidRPr="007405D3">
        <w:t>Blinatumomab is listed on the PBS for</w:t>
      </w:r>
      <w:r w:rsidR="005C32D1" w:rsidRPr="007405D3">
        <w:t>:</w:t>
      </w:r>
    </w:p>
    <w:p w14:paraId="7F5CDD20" w14:textId="521045A2" w:rsidR="005C32D1" w:rsidRPr="007405D3" w:rsidRDefault="005C32D1" w:rsidP="004A2F79">
      <w:pPr>
        <w:pStyle w:val="COMexecsummbulletlist"/>
        <w:spacing w:after="0"/>
        <w:ind w:left="1134"/>
      </w:pPr>
      <w:r w:rsidRPr="007405D3">
        <w:t>Relapsed/refractory B-ALL (listed in May 2017</w:t>
      </w:r>
      <w:r w:rsidR="004057DA">
        <w:t xml:space="preserve">; </w:t>
      </w:r>
      <w:r w:rsidR="004057DA" w:rsidRPr="000F4C1C">
        <w:t xml:space="preserve">amended in </w:t>
      </w:r>
      <w:r w:rsidR="004057DA" w:rsidRPr="000F4C1C">
        <w:rPr>
          <w:rFonts w:eastAsia="Calibri" w:cs="Calibri"/>
        </w:rPr>
        <w:t xml:space="preserve">October 2019 </w:t>
      </w:r>
      <w:r w:rsidR="004057DA" w:rsidRPr="000F4C1C">
        <w:t>to include the treatment of Philadelphia chromosome positive patients, after treatment with a tyrosine kinase inhibitor</w:t>
      </w:r>
      <w:r w:rsidRPr="007405D3">
        <w:t>).</w:t>
      </w:r>
    </w:p>
    <w:p w14:paraId="0BD174FC" w14:textId="4480A8B0" w:rsidR="005C32D1" w:rsidRPr="007405D3" w:rsidRDefault="005C32D1" w:rsidP="007405D3">
      <w:pPr>
        <w:pStyle w:val="COMexecsummbulletlist"/>
        <w:ind w:left="1134"/>
      </w:pPr>
      <w:r w:rsidRPr="007405D3">
        <w:t>MRD-positive disease</w:t>
      </w:r>
      <w:r w:rsidR="00D81261" w:rsidRPr="007405D3">
        <w:t xml:space="preserve"> in patients achieving complete remission </w:t>
      </w:r>
      <w:r w:rsidR="002C3186" w:rsidRPr="007405D3">
        <w:t>following</w:t>
      </w:r>
      <w:r w:rsidR="00D81261" w:rsidRPr="007405D3">
        <w:t xml:space="preserve"> intensive combination chemotherapy for initial treatment of B-ALL or subsequent salvage therapy</w:t>
      </w:r>
      <w:r w:rsidRPr="007405D3">
        <w:t xml:space="preserve"> (listed </w:t>
      </w:r>
      <w:r w:rsidR="009D0A62" w:rsidRPr="007405D3">
        <w:t>in December 2019).</w:t>
      </w:r>
    </w:p>
    <w:p w14:paraId="360A3A71" w14:textId="44F5EBF5" w:rsidR="00AE307C" w:rsidRPr="008C335E" w:rsidRDefault="00AE307C" w:rsidP="001D1D52">
      <w:pPr>
        <w:pStyle w:val="COMexecsumnumberedpara"/>
      </w:pPr>
      <w:bookmarkStart w:id="8" w:name="_Toc107902078"/>
      <w:bookmarkEnd w:id="8"/>
      <w:r>
        <w:rPr>
          <w:rFonts w:eastAsia="Calibri"/>
        </w:rPr>
        <w:t>Following</w:t>
      </w:r>
      <w:r w:rsidRPr="00E2580F">
        <w:rPr>
          <w:rFonts w:eastAsia="Calibri"/>
        </w:rPr>
        <w:t xml:space="preserve"> the recent public funding of MRD testing</w:t>
      </w:r>
      <w:r>
        <w:rPr>
          <w:rFonts w:eastAsia="Calibri"/>
        </w:rPr>
        <w:t xml:space="preserve"> and changes in MRD testing technology</w:t>
      </w:r>
      <w:r w:rsidRPr="00E2580F">
        <w:rPr>
          <w:rFonts w:eastAsia="Calibri"/>
        </w:rPr>
        <w:t xml:space="preserve">, the </w:t>
      </w:r>
      <w:r w:rsidR="00047DFE">
        <w:rPr>
          <w:rFonts w:eastAsia="Calibri"/>
        </w:rPr>
        <w:t xml:space="preserve">blinatumomab </w:t>
      </w:r>
      <w:r w:rsidRPr="00E2580F">
        <w:rPr>
          <w:rFonts w:eastAsia="Calibri"/>
        </w:rPr>
        <w:t>MRD-positive PBS listing was updated to</w:t>
      </w:r>
      <w:r>
        <w:t xml:space="preserve"> </w:t>
      </w:r>
      <w:r w:rsidR="005F5280">
        <w:t xml:space="preserve">(i) </w:t>
      </w:r>
      <w:r w:rsidRPr="00AE307C">
        <w:t>align with the lowered threshold for detection of MRD (from 10</w:t>
      </w:r>
      <w:r w:rsidRPr="00A6548A">
        <w:rPr>
          <w:vertAlign w:val="superscript"/>
        </w:rPr>
        <w:t>-4</w:t>
      </w:r>
      <w:r w:rsidRPr="00AE307C">
        <w:t xml:space="preserve"> to 10</w:t>
      </w:r>
      <w:r w:rsidRPr="00A6548A">
        <w:rPr>
          <w:vertAlign w:val="superscript"/>
        </w:rPr>
        <w:t>-6</w:t>
      </w:r>
      <w:r w:rsidRPr="00AE307C">
        <w:t xml:space="preserve">, if </w:t>
      </w:r>
      <w:r w:rsidR="0072350A">
        <w:t>next generation sequencing</w:t>
      </w:r>
      <w:r w:rsidRPr="00AE307C">
        <w:t xml:space="preserve"> is used),</w:t>
      </w:r>
      <w:r>
        <w:t xml:space="preserve"> </w:t>
      </w:r>
      <w:r w:rsidR="005F5280">
        <w:t xml:space="preserve">(ii) </w:t>
      </w:r>
      <w:r w:rsidRPr="00E2580F">
        <w:rPr>
          <w:rFonts w:eastAsia="Calibri" w:cstheme="minorHAnsi"/>
        </w:rPr>
        <w:t>include a wider range of MRD testing methodologies by replacing the term ‘polymerase chain reaction’ with ‘molecular methods’, and</w:t>
      </w:r>
      <w:r w:rsidRPr="00AE307C">
        <w:t xml:space="preserve"> </w:t>
      </w:r>
      <w:r w:rsidR="005F5280">
        <w:t xml:space="preserve">(iii) </w:t>
      </w:r>
      <w:r w:rsidRPr="00AE307C">
        <w:rPr>
          <w:rFonts w:eastAsia="Calibri" w:cstheme="minorHAnsi"/>
        </w:rPr>
        <w:t>replace the previously accepted term ‘minimal residual disease’ with the currently accepted ‘measurable residual disease’.</w:t>
      </w:r>
      <w:r w:rsidR="005F5280">
        <w:rPr>
          <w:rFonts w:eastAsia="Calibri" w:cstheme="minorHAnsi"/>
        </w:rPr>
        <w:t xml:space="preserve"> </w:t>
      </w:r>
      <w:r w:rsidR="005F5280" w:rsidRPr="00DF0226">
        <w:rPr>
          <w:rFonts w:eastAsia="Calibri" w:cstheme="minorHAnsi"/>
        </w:rPr>
        <w:t>The</w:t>
      </w:r>
      <w:r w:rsidR="0093651D" w:rsidRPr="00DF0226">
        <w:rPr>
          <w:rFonts w:eastAsia="Calibri" w:cstheme="minorHAnsi"/>
        </w:rPr>
        <w:t xml:space="preserve"> terms </w:t>
      </w:r>
      <w:r w:rsidR="00AF106C" w:rsidRPr="00DF0226">
        <w:rPr>
          <w:rFonts w:eastAsia="Calibri" w:cstheme="minorHAnsi"/>
        </w:rPr>
        <w:t>‘</w:t>
      </w:r>
      <w:r w:rsidR="0093651D" w:rsidRPr="00DF0226">
        <w:rPr>
          <w:rFonts w:eastAsia="Calibri" w:cstheme="minorHAnsi"/>
        </w:rPr>
        <w:t>meas</w:t>
      </w:r>
      <w:r w:rsidR="00AF106C" w:rsidRPr="00DF0226">
        <w:rPr>
          <w:rFonts w:eastAsia="Calibri" w:cstheme="minorHAnsi"/>
        </w:rPr>
        <w:t xml:space="preserve">urable residual disease’ and ‘minimal residual disease’ are used </w:t>
      </w:r>
      <w:r w:rsidR="00A6548A" w:rsidRPr="00DF0226">
        <w:rPr>
          <w:rFonts w:eastAsia="Calibri" w:cstheme="minorHAnsi"/>
        </w:rPr>
        <w:t xml:space="preserve">interchangeably in </w:t>
      </w:r>
      <w:r w:rsidR="00146982">
        <w:rPr>
          <w:rFonts w:eastAsia="Calibri" w:cstheme="minorHAnsi"/>
        </w:rPr>
        <w:t>th</w:t>
      </w:r>
      <w:r w:rsidR="00725291">
        <w:rPr>
          <w:rFonts w:eastAsia="Calibri" w:cstheme="minorHAnsi"/>
        </w:rPr>
        <w:t>is document</w:t>
      </w:r>
      <w:r w:rsidR="000747CD" w:rsidRPr="00DF0226">
        <w:rPr>
          <w:rFonts w:eastAsia="Calibri" w:cstheme="minorHAnsi"/>
        </w:rPr>
        <w:t>.</w:t>
      </w:r>
      <w:r w:rsidR="00757CA6" w:rsidRPr="00DF0226">
        <w:rPr>
          <w:rFonts w:eastAsia="Calibri" w:cstheme="minorHAnsi"/>
        </w:rPr>
        <w:t xml:space="preserve"> </w:t>
      </w:r>
    </w:p>
    <w:p w14:paraId="7279B4AE" w14:textId="5140E2D6" w:rsidR="008C335E" w:rsidRPr="008C335E" w:rsidRDefault="008C335E" w:rsidP="008C335E">
      <w:pPr>
        <w:pStyle w:val="COMexecsumnumberedpara"/>
        <w:numPr>
          <w:ilvl w:val="0"/>
          <w:numId w:val="0"/>
        </w:numPr>
        <w:ind w:left="720"/>
        <w:rPr>
          <w:i/>
          <w:iCs/>
        </w:rPr>
      </w:pPr>
      <w:r w:rsidRPr="008C335E">
        <w:rPr>
          <w:rFonts w:eastAsia="Calibri" w:cstheme="minorHAnsi"/>
          <w:i/>
          <w:iCs/>
        </w:rPr>
        <w:t>For more detail on PBAC’s view, see section 7 PBAC outcome.</w:t>
      </w:r>
    </w:p>
    <w:p w14:paraId="76E4EF3C" w14:textId="66B1CEE0" w:rsidR="00B60939" w:rsidRDefault="00B50DB8" w:rsidP="004E18E9">
      <w:pPr>
        <w:pStyle w:val="COMH1numbered"/>
      </w:pPr>
      <w:bookmarkStart w:id="9" w:name="_Toc167265602"/>
      <w:r w:rsidRPr="00225248">
        <w:t>Requested listing</w:t>
      </w:r>
      <w:bookmarkEnd w:id="9"/>
    </w:p>
    <w:p w14:paraId="34005DB6" w14:textId="14478F13" w:rsidR="00AD3789" w:rsidRPr="00AD3789" w:rsidRDefault="00F06C3A" w:rsidP="00AD3789">
      <w:pPr>
        <w:pStyle w:val="COMexecsumnumberedpara"/>
      </w:pPr>
      <w:r w:rsidRPr="00F06C3A">
        <w:t xml:space="preserve">The requested restriction is based on the current </w:t>
      </w:r>
      <w:r>
        <w:t xml:space="preserve">blinatumomab </w:t>
      </w:r>
      <w:r w:rsidRPr="00F06C3A">
        <w:t xml:space="preserve">MRD-positive </w:t>
      </w:r>
      <w:bookmarkStart w:id="10" w:name="_Hlk173829447"/>
      <w:r>
        <w:t xml:space="preserve">B-ALL </w:t>
      </w:r>
      <w:bookmarkEnd w:id="10"/>
      <w:r>
        <w:t xml:space="preserve">PBS </w:t>
      </w:r>
      <w:r w:rsidRPr="00F06C3A">
        <w:t>listing, with amendments to eligibility criteria to allow for use regardless of MRD status.</w:t>
      </w:r>
      <w:r w:rsidR="00E20053" w:rsidRPr="00E20053">
        <w:t xml:space="preserve"> </w:t>
      </w:r>
      <w:r w:rsidR="00E20053" w:rsidRPr="00DF0226">
        <w:t xml:space="preserve">Changes to the current MRD-positive B-ALL PBS listing </w:t>
      </w:r>
      <w:r w:rsidR="00AD3789">
        <w:t xml:space="preserve">proposed by the sponsor </w:t>
      </w:r>
      <w:r w:rsidR="00E20053" w:rsidRPr="00DF0226">
        <w:t xml:space="preserve">are indicated by </w:t>
      </w:r>
      <w:r w:rsidR="00E12C2E">
        <w:t xml:space="preserve">highlighted </w:t>
      </w:r>
      <w:r w:rsidR="00E20053" w:rsidRPr="00DF0226">
        <w:t>strikethrough for deleted text and highlight</w:t>
      </w:r>
      <w:r w:rsidR="00E12C2E">
        <w:t xml:space="preserve"> alone</w:t>
      </w:r>
      <w:r w:rsidR="00E20053" w:rsidRPr="00DF0226">
        <w:t xml:space="preserve"> for added text.</w:t>
      </w:r>
      <w:r w:rsidR="00AD3789">
        <w:t xml:space="preserve"> </w:t>
      </w:r>
      <w:r w:rsidR="00AD3789" w:rsidRPr="00DF0226">
        <w:rPr>
          <w:rFonts w:cstheme="minorHAnsi"/>
        </w:rPr>
        <w:t>Suggested additions by the Secretariat are in italics and deletions are in strikethrough without highlight.</w:t>
      </w:r>
      <w:r w:rsidR="00AD3789">
        <w:rPr>
          <w:rFonts w:cstheme="minorHAnsi"/>
        </w:rPr>
        <w:t xml:space="preserve"> </w:t>
      </w:r>
      <w:r w:rsidR="00AD3789" w:rsidRPr="00DF0226">
        <w:rPr>
          <w:rFonts w:cstheme="minorHAnsi"/>
        </w:rPr>
        <w:t>The only exception to the latter is for the PBS indication in the flow on restriction changes where the sponsor suggested the PBS indication be Relapsed or refractory ALL and this highlighted suggestion has been deleted by the Secretariat.</w:t>
      </w:r>
    </w:p>
    <w:p w14:paraId="356402BE" w14:textId="77777777" w:rsidR="00AD3789" w:rsidRDefault="00AD3789" w:rsidP="00AD3789">
      <w:pPr>
        <w:pStyle w:val="COMexecsumnumberedpara"/>
        <w:numPr>
          <w:ilvl w:val="0"/>
          <w:numId w:val="0"/>
        </w:numPr>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1843"/>
        <w:gridCol w:w="2409"/>
        <w:gridCol w:w="992"/>
        <w:gridCol w:w="1084"/>
      </w:tblGrid>
      <w:tr w:rsidR="00053B49" w:rsidRPr="00B162C2" w14:paraId="5DA58A60" w14:textId="77777777" w:rsidTr="00053B49">
        <w:trPr>
          <w:cantSplit/>
          <w:trHeight w:val="470"/>
          <w:tblHeader/>
        </w:trPr>
        <w:tc>
          <w:tcPr>
            <w:tcW w:w="1491" w:type="pct"/>
          </w:tcPr>
          <w:p w14:paraId="2541D309" w14:textId="77777777" w:rsidR="00053B49" w:rsidRPr="00B162C2" w:rsidRDefault="00053B49" w:rsidP="001E7557">
            <w:pPr>
              <w:keepLines/>
              <w:jc w:val="left"/>
              <w:rPr>
                <w:rFonts w:ascii="Arial Narrow" w:hAnsi="Arial Narrow"/>
                <w:b/>
                <w:bCs/>
                <w:sz w:val="20"/>
                <w:szCs w:val="20"/>
              </w:rPr>
            </w:pPr>
            <w:r w:rsidRPr="00B162C2">
              <w:rPr>
                <w:rFonts w:ascii="Arial Narrow" w:hAnsi="Arial Narrow"/>
                <w:b/>
                <w:bCs/>
                <w:sz w:val="20"/>
                <w:szCs w:val="20"/>
              </w:rPr>
              <w:lastRenderedPageBreak/>
              <w:t>MEDICINAL PRODUCT</w:t>
            </w:r>
          </w:p>
          <w:p w14:paraId="6949B5EA" w14:textId="77777777" w:rsidR="00053B49" w:rsidRPr="00B162C2" w:rsidRDefault="00053B49" w:rsidP="001E7557">
            <w:pPr>
              <w:keepLines/>
              <w:jc w:val="left"/>
              <w:rPr>
                <w:rFonts w:ascii="Arial Narrow" w:hAnsi="Arial Narrow"/>
                <w:b/>
                <w:bCs/>
                <w:sz w:val="20"/>
                <w:szCs w:val="20"/>
              </w:rPr>
            </w:pPr>
            <w:r w:rsidRPr="00B162C2">
              <w:rPr>
                <w:rFonts w:ascii="Arial Narrow" w:hAnsi="Arial Narrow"/>
                <w:b/>
                <w:bCs/>
                <w:sz w:val="20"/>
                <w:szCs w:val="20"/>
              </w:rPr>
              <w:t>medicinal product pack</w:t>
            </w:r>
          </w:p>
        </w:tc>
        <w:tc>
          <w:tcPr>
            <w:tcW w:w="1022" w:type="pct"/>
            <w:vAlign w:val="center"/>
          </w:tcPr>
          <w:p w14:paraId="4BD4D44F" w14:textId="77777777" w:rsidR="00053B49" w:rsidRPr="00B162C2" w:rsidRDefault="00053B49" w:rsidP="001E7557">
            <w:pPr>
              <w:pStyle w:val="COMTabletext"/>
              <w:keepNext w:val="0"/>
              <w:keepLines/>
              <w:jc w:val="center"/>
              <w:rPr>
                <w:b/>
                <w:bCs w:val="0"/>
                <w:snapToGrid w:val="0"/>
              </w:rPr>
            </w:pPr>
            <w:r>
              <w:rPr>
                <w:b/>
                <w:bCs w:val="0"/>
                <w:snapToGrid w:val="0"/>
              </w:rPr>
              <w:t>PBS item code</w:t>
            </w:r>
          </w:p>
        </w:tc>
        <w:tc>
          <w:tcPr>
            <w:tcW w:w="1336" w:type="pct"/>
            <w:vAlign w:val="center"/>
          </w:tcPr>
          <w:p w14:paraId="1BC16814" w14:textId="1DB3EA17" w:rsidR="00053B49" w:rsidRPr="00B162C2" w:rsidRDefault="00053B49" w:rsidP="001E7557">
            <w:pPr>
              <w:keepLines/>
              <w:jc w:val="center"/>
              <w:rPr>
                <w:rFonts w:ascii="Arial Narrow" w:hAnsi="Arial Narrow"/>
                <w:b/>
                <w:sz w:val="20"/>
                <w:szCs w:val="20"/>
              </w:rPr>
            </w:pPr>
            <w:r w:rsidRPr="00AD3789">
              <w:rPr>
                <w:rFonts w:ascii="Arial Narrow" w:eastAsiaTheme="majorEastAsia" w:hAnsi="Arial Narrow" w:cstheme="majorBidi"/>
                <w:b/>
                <w:snapToGrid w:val="0"/>
                <w:sz w:val="20"/>
              </w:rPr>
              <w:t>Dispensed Price Max Amt</w:t>
            </w:r>
          </w:p>
        </w:tc>
        <w:tc>
          <w:tcPr>
            <w:tcW w:w="550" w:type="pct"/>
            <w:vAlign w:val="center"/>
          </w:tcPr>
          <w:p w14:paraId="3EE1AFAB" w14:textId="2770E6BA" w:rsidR="00053B49" w:rsidRPr="00B162C2" w:rsidRDefault="00053B49" w:rsidP="001E7557">
            <w:pPr>
              <w:keepLines/>
              <w:jc w:val="center"/>
              <w:rPr>
                <w:rFonts w:ascii="Arial Narrow" w:hAnsi="Arial Narrow"/>
                <w:b/>
                <w:sz w:val="20"/>
                <w:szCs w:val="20"/>
              </w:rPr>
            </w:pPr>
            <w:r w:rsidRPr="00B162C2">
              <w:rPr>
                <w:rFonts w:ascii="Arial Narrow" w:hAnsi="Arial Narrow"/>
                <w:b/>
                <w:sz w:val="20"/>
                <w:szCs w:val="20"/>
              </w:rPr>
              <w:t xml:space="preserve">Max. </w:t>
            </w:r>
            <w:r>
              <w:rPr>
                <w:rFonts w:ascii="Arial Narrow" w:hAnsi="Arial Narrow"/>
                <w:b/>
                <w:sz w:val="20"/>
                <w:szCs w:val="20"/>
              </w:rPr>
              <w:t>amount</w:t>
            </w:r>
          </w:p>
        </w:tc>
        <w:tc>
          <w:tcPr>
            <w:tcW w:w="601" w:type="pct"/>
            <w:vAlign w:val="center"/>
          </w:tcPr>
          <w:p w14:paraId="54FF351D" w14:textId="034C1D3C" w:rsidR="00053B49" w:rsidRPr="00B162C2" w:rsidRDefault="00053B49" w:rsidP="00053B49">
            <w:pPr>
              <w:keepLines/>
              <w:jc w:val="center"/>
              <w:rPr>
                <w:rFonts w:ascii="Arial Narrow" w:hAnsi="Arial Narrow"/>
                <w:b/>
                <w:sz w:val="20"/>
                <w:szCs w:val="20"/>
              </w:rPr>
            </w:pPr>
            <w:r w:rsidRPr="00B162C2">
              <w:rPr>
                <w:rFonts w:ascii="Arial Narrow" w:hAnsi="Arial Narrow"/>
                <w:b/>
                <w:sz w:val="20"/>
                <w:szCs w:val="20"/>
              </w:rPr>
              <w:t>№.of</w:t>
            </w:r>
            <w:r>
              <w:rPr>
                <w:rFonts w:ascii="Arial Narrow" w:hAnsi="Arial Narrow"/>
                <w:b/>
                <w:sz w:val="20"/>
                <w:szCs w:val="20"/>
              </w:rPr>
              <w:t xml:space="preserve"> </w:t>
            </w:r>
            <w:r w:rsidRPr="00B162C2">
              <w:rPr>
                <w:rFonts w:ascii="Arial Narrow" w:hAnsi="Arial Narrow"/>
                <w:b/>
                <w:sz w:val="20"/>
                <w:szCs w:val="20"/>
              </w:rPr>
              <w:t>Rpts</w:t>
            </w:r>
          </w:p>
        </w:tc>
      </w:tr>
      <w:tr w:rsidR="00053B49" w:rsidRPr="00B162C2" w14:paraId="0F608F3E" w14:textId="77777777" w:rsidTr="00053B49">
        <w:trPr>
          <w:cantSplit/>
          <w:trHeight w:val="20"/>
        </w:trPr>
        <w:tc>
          <w:tcPr>
            <w:tcW w:w="1491" w:type="pct"/>
          </w:tcPr>
          <w:p w14:paraId="792FAAB9" w14:textId="77777777" w:rsidR="00053B49" w:rsidRPr="00B162C2" w:rsidRDefault="00053B49" w:rsidP="001E7557">
            <w:pPr>
              <w:keepLines/>
              <w:jc w:val="left"/>
              <w:rPr>
                <w:rFonts w:ascii="Arial Narrow" w:hAnsi="Arial Narrow"/>
                <w:sz w:val="20"/>
                <w:szCs w:val="20"/>
              </w:rPr>
            </w:pPr>
            <w:r>
              <w:rPr>
                <w:rFonts w:ascii="Arial Narrow" w:hAnsi="Arial Narrow"/>
                <w:sz w:val="20"/>
                <w:szCs w:val="20"/>
              </w:rPr>
              <w:t>Blinatumomab 38.5 microgram injection [1 vial] &amp; inert substance solution [10 mL vial], 1 pack</w:t>
            </w:r>
          </w:p>
        </w:tc>
        <w:tc>
          <w:tcPr>
            <w:tcW w:w="1022" w:type="pct"/>
            <w:vAlign w:val="center"/>
          </w:tcPr>
          <w:p w14:paraId="34B5665B" w14:textId="77777777" w:rsidR="00053B49" w:rsidRPr="00FE4243" w:rsidRDefault="00053B49" w:rsidP="001E7557">
            <w:pPr>
              <w:pStyle w:val="COMTabletext"/>
              <w:keepNext w:val="0"/>
              <w:keepLines/>
              <w:jc w:val="center"/>
              <w:rPr>
                <w:szCs w:val="20"/>
              </w:rPr>
            </w:pPr>
            <w:r>
              <w:rPr>
                <w:szCs w:val="20"/>
              </w:rPr>
              <w:t xml:space="preserve">Amend: </w:t>
            </w:r>
            <w:r w:rsidRPr="00FE4243">
              <w:rPr>
                <w:szCs w:val="20"/>
              </w:rPr>
              <w:t>11850Q (</w:t>
            </w:r>
            <w:r>
              <w:rPr>
                <w:szCs w:val="20"/>
              </w:rPr>
              <w:t>P</w:t>
            </w:r>
            <w:r w:rsidRPr="00FE4243">
              <w:rPr>
                <w:szCs w:val="20"/>
              </w:rPr>
              <w:t>ublic)</w:t>
            </w:r>
          </w:p>
          <w:p w14:paraId="2E24814F" w14:textId="77777777" w:rsidR="00053B49" w:rsidRPr="00B162C2" w:rsidRDefault="00053B49" w:rsidP="001E7557">
            <w:pPr>
              <w:pStyle w:val="COMTabletext"/>
              <w:keepNext w:val="0"/>
              <w:keepLines/>
              <w:jc w:val="center"/>
              <w:rPr>
                <w:i/>
                <w:iCs/>
                <w:szCs w:val="20"/>
              </w:rPr>
            </w:pPr>
            <w:r>
              <w:rPr>
                <w:szCs w:val="20"/>
              </w:rPr>
              <w:t xml:space="preserve">Amend: </w:t>
            </w:r>
            <w:r w:rsidRPr="00FE4243">
              <w:rPr>
                <w:szCs w:val="20"/>
              </w:rPr>
              <w:t>11867N (</w:t>
            </w:r>
            <w:r>
              <w:rPr>
                <w:szCs w:val="20"/>
              </w:rPr>
              <w:t>P</w:t>
            </w:r>
            <w:r w:rsidRPr="00FE4243">
              <w:rPr>
                <w:szCs w:val="20"/>
              </w:rPr>
              <w:t>rivate)</w:t>
            </w:r>
          </w:p>
        </w:tc>
        <w:tc>
          <w:tcPr>
            <w:tcW w:w="1336" w:type="pct"/>
            <w:vAlign w:val="center"/>
          </w:tcPr>
          <w:p w14:paraId="6D36276B" w14:textId="77777777" w:rsidR="00053B49" w:rsidRPr="001929BD" w:rsidRDefault="00053B49" w:rsidP="00AD3789">
            <w:pPr>
              <w:pStyle w:val="COMTabletext"/>
              <w:keepLines/>
              <w:jc w:val="center"/>
              <w:rPr>
                <w:u w:val="single"/>
              </w:rPr>
            </w:pPr>
            <w:r w:rsidRPr="001929BD">
              <w:rPr>
                <w:u w:val="single"/>
              </w:rPr>
              <w:t>Published price</w:t>
            </w:r>
          </w:p>
          <w:p w14:paraId="51931E45" w14:textId="77777777" w:rsidR="00053B49" w:rsidRDefault="00053B49" w:rsidP="00AD3789">
            <w:pPr>
              <w:pStyle w:val="COMTabletext"/>
              <w:keepLines/>
              <w:jc w:val="center"/>
            </w:pPr>
            <w:r>
              <w:t>AEMP: $2,759.53</w:t>
            </w:r>
          </w:p>
          <w:p w14:paraId="13FD1436" w14:textId="77777777" w:rsidR="00053B49" w:rsidRDefault="00053B49" w:rsidP="00AD3789">
            <w:pPr>
              <w:pStyle w:val="COMTabletext"/>
              <w:keepLines/>
              <w:jc w:val="center"/>
            </w:pPr>
            <w:r>
              <w:t>Public hospital: $77,355.46</w:t>
            </w:r>
          </w:p>
          <w:p w14:paraId="6EFD189B" w14:textId="77777777" w:rsidR="00053B49" w:rsidRDefault="00053B49" w:rsidP="00AD3789">
            <w:pPr>
              <w:pStyle w:val="COMTabletext"/>
              <w:keepLines/>
              <w:jc w:val="center"/>
            </w:pPr>
            <w:r>
              <w:t>Private hospital: $78,480.39</w:t>
            </w:r>
          </w:p>
          <w:p w14:paraId="7EA5ECF6" w14:textId="77777777" w:rsidR="00053B49" w:rsidRDefault="00053B49" w:rsidP="00AD3789">
            <w:pPr>
              <w:pStyle w:val="COMTabletext"/>
              <w:keepLines/>
              <w:jc w:val="center"/>
            </w:pPr>
          </w:p>
          <w:p w14:paraId="3E80A6E8" w14:textId="77777777" w:rsidR="00053B49" w:rsidRPr="00411662" w:rsidRDefault="00053B49" w:rsidP="00AD3789">
            <w:pPr>
              <w:pStyle w:val="COMTabletext"/>
              <w:keepLines/>
              <w:jc w:val="center"/>
              <w:rPr>
                <w:u w:val="single"/>
              </w:rPr>
            </w:pPr>
            <w:r w:rsidRPr="00411662">
              <w:rPr>
                <w:u w:val="single"/>
              </w:rPr>
              <w:t>Effective price</w:t>
            </w:r>
          </w:p>
          <w:p w14:paraId="688FF0C4" w14:textId="5FAF26BA" w:rsidR="00053B49" w:rsidRDefault="00053B49" w:rsidP="00AD3789">
            <w:pPr>
              <w:pStyle w:val="COMTabletext"/>
              <w:keepLines/>
              <w:jc w:val="center"/>
            </w:pPr>
            <w:r>
              <w:t>AEMP: $</w:t>
            </w:r>
            <w:r w:rsidR="00AF1BA2" w:rsidRPr="00AF1BA2">
              <w:rPr>
                <w:color w:val="000000"/>
                <w:shd w:val="solid" w:color="000000" w:fill="000000"/>
                <w14:textFill>
                  <w14:solidFill>
                    <w14:srgbClr w14:val="000000">
                      <w14:alpha w14:val="100000"/>
                    </w14:srgbClr>
                  </w14:solidFill>
                </w14:textFill>
              </w:rPr>
              <w:t>|</w:t>
            </w:r>
          </w:p>
          <w:p w14:paraId="75146AEA" w14:textId="6CD49F71" w:rsidR="00053B49" w:rsidRDefault="00053B49" w:rsidP="00AD3789">
            <w:pPr>
              <w:pStyle w:val="COMTabletext"/>
              <w:keepLines/>
              <w:jc w:val="center"/>
            </w:pPr>
            <w:r>
              <w:t>Public hospital: $</w:t>
            </w:r>
            <w:r w:rsidR="00AF1BA2" w:rsidRPr="00C64633">
              <w:rPr>
                <w:rFonts w:hint="eastAsia"/>
                <w:color w:val="000000"/>
                <w:spacing w:val="10"/>
                <w:w w:val="15"/>
                <w:shd w:val="solid" w:color="000000" w:fill="000000"/>
                <w:fitText w:val="70" w:id="-894171904"/>
                <w14:textFill>
                  <w14:solidFill>
                    <w14:srgbClr w14:val="000000">
                      <w14:alpha w14:val="100000"/>
                    </w14:srgbClr>
                  </w14:solidFill>
                </w14:textFill>
              </w:rPr>
              <w:t xml:space="preserve">　</w:t>
            </w:r>
            <w:r w:rsidR="00AF1BA2" w:rsidRPr="00C64633">
              <w:rPr>
                <w:color w:val="000000"/>
                <w:w w:val="15"/>
                <w:shd w:val="solid" w:color="000000" w:fill="000000"/>
                <w:fitText w:val="70" w:id="-894171904"/>
                <w14:textFill>
                  <w14:solidFill>
                    <w14:srgbClr w14:val="000000">
                      <w14:alpha w14:val="100000"/>
                    </w14:srgbClr>
                  </w14:solidFill>
                </w14:textFill>
              </w:rPr>
              <w:t>|</w:t>
            </w:r>
            <w:r w:rsidR="00AF1BA2" w:rsidRPr="00C64633">
              <w:rPr>
                <w:rFonts w:hint="eastAsia"/>
                <w:color w:val="000000"/>
                <w:w w:val="15"/>
                <w:shd w:val="solid" w:color="000000" w:fill="000000"/>
                <w:fitText w:val="70" w:id="-894171904"/>
                <w14:textFill>
                  <w14:solidFill>
                    <w14:srgbClr w14:val="000000">
                      <w14:alpha w14:val="100000"/>
                    </w14:srgbClr>
                  </w14:solidFill>
                </w14:textFill>
              </w:rPr>
              <w:t xml:space="preserve">　</w:t>
            </w:r>
          </w:p>
          <w:p w14:paraId="74F5EF3E" w14:textId="3926EE22" w:rsidR="00053B49" w:rsidRPr="00B162C2" w:rsidRDefault="00053B49" w:rsidP="00AD3789">
            <w:pPr>
              <w:pStyle w:val="COMTabletext"/>
              <w:keepLines/>
              <w:jc w:val="center"/>
              <w:rPr>
                <w:szCs w:val="20"/>
              </w:rPr>
            </w:pPr>
            <w:r>
              <w:t>Private hospital: $</w:t>
            </w:r>
            <w:r w:rsidR="00AF1BA2" w:rsidRPr="00C64633">
              <w:rPr>
                <w:rFonts w:hint="eastAsia"/>
                <w:color w:val="000000"/>
                <w:w w:val="22"/>
                <w:shd w:val="solid" w:color="000000" w:fill="000000"/>
                <w:fitText w:val="100" w:id="-894171903"/>
                <w14:textFill>
                  <w14:solidFill>
                    <w14:srgbClr w14:val="000000">
                      <w14:alpha w14:val="100000"/>
                    </w14:srgbClr>
                  </w14:solidFill>
                </w14:textFill>
              </w:rPr>
              <w:t xml:space="preserve">　</w:t>
            </w:r>
            <w:r w:rsidR="00AF1BA2" w:rsidRPr="00C64633">
              <w:rPr>
                <w:color w:val="000000"/>
                <w:w w:val="22"/>
                <w:shd w:val="solid" w:color="000000" w:fill="000000"/>
                <w:fitText w:val="100" w:id="-894171903"/>
                <w14:textFill>
                  <w14:solidFill>
                    <w14:srgbClr w14:val="000000">
                      <w14:alpha w14:val="100000"/>
                    </w14:srgbClr>
                  </w14:solidFill>
                </w14:textFill>
              </w:rPr>
              <w:t>|</w:t>
            </w:r>
            <w:r w:rsidR="00AF1BA2" w:rsidRPr="00C64633">
              <w:rPr>
                <w:rFonts w:hint="eastAsia"/>
                <w:color w:val="000000"/>
                <w:w w:val="22"/>
                <w:shd w:val="solid" w:color="000000" w:fill="000000"/>
                <w:fitText w:val="100" w:id="-894171903"/>
                <w14:textFill>
                  <w14:solidFill>
                    <w14:srgbClr w14:val="000000">
                      <w14:alpha w14:val="100000"/>
                    </w14:srgbClr>
                  </w14:solidFill>
                </w14:textFill>
              </w:rPr>
              <w:t xml:space="preserve">　</w:t>
            </w:r>
          </w:p>
        </w:tc>
        <w:tc>
          <w:tcPr>
            <w:tcW w:w="550" w:type="pct"/>
            <w:vAlign w:val="center"/>
          </w:tcPr>
          <w:p w14:paraId="49817BC8" w14:textId="1396F455" w:rsidR="00053B49" w:rsidRPr="00B162C2" w:rsidRDefault="00053B49" w:rsidP="001E7557">
            <w:pPr>
              <w:keepLines/>
              <w:jc w:val="center"/>
              <w:rPr>
                <w:rFonts w:ascii="Arial Narrow" w:hAnsi="Arial Narrow"/>
                <w:sz w:val="20"/>
                <w:szCs w:val="20"/>
              </w:rPr>
            </w:pPr>
            <w:r>
              <w:rPr>
                <w:rFonts w:ascii="Arial Narrow" w:hAnsi="Arial Narrow"/>
                <w:sz w:val="20"/>
              </w:rPr>
              <w:t>784 mcg</w:t>
            </w:r>
          </w:p>
        </w:tc>
        <w:tc>
          <w:tcPr>
            <w:tcW w:w="601" w:type="pct"/>
            <w:vAlign w:val="center"/>
          </w:tcPr>
          <w:p w14:paraId="66D18823" w14:textId="710DB633" w:rsidR="00053B49" w:rsidRPr="00053B49" w:rsidRDefault="00053B49" w:rsidP="00053B49">
            <w:pPr>
              <w:keepLines/>
              <w:jc w:val="center"/>
              <w:rPr>
                <w:rFonts w:ascii="Arial Narrow" w:hAnsi="Arial Narrow"/>
                <w:b/>
                <w:sz w:val="20"/>
                <w:szCs w:val="20"/>
              </w:rPr>
            </w:pPr>
            <w:r w:rsidRPr="00053B49">
              <w:rPr>
                <w:rFonts w:ascii="Arial Narrow" w:hAnsi="Arial Narrow"/>
                <w:b/>
                <w:sz w:val="20"/>
                <w:szCs w:val="20"/>
              </w:rPr>
              <w:t>1</w:t>
            </w:r>
          </w:p>
        </w:tc>
      </w:tr>
      <w:tr w:rsidR="00053B49" w:rsidRPr="00B162C2" w14:paraId="75B84C52" w14:textId="77777777" w:rsidTr="00053B49">
        <w:trPr>
          <w:cantSplit/>
          <w:trHeight w:val="20"/>
        </w:trPr>
        <w:tc>
          <w:tcPr>
            <w:tcW w:w="5000" w:type="pct"/>
            <w:gridSpan w:val="5"/>
          </w:tcPr>
          <w:p w14:paraId="2A8970C7" w14:textId="79E6B16F" w:rsidR="00053B49" w:rsidRPr="00053B49" w:rsidRDefault="00053B49" w:rsidP="00053B49">
            <w:pPr>
              <w:keepLines/>
              <w:jc w:val="left"/>
              <w:rPr>
                <w:rFonts w:ascii="Arial Narrow" w:hAnsi="Arial Narrow"/>
                <w:b/>
                <w:sz w:val="20"/>
                <w:szCs w:val="20"/>
              </w:rPr>
            </w:pPr>
            <w:r>
              <w:rPr>
                <w:rFonts w:ascii="Arial Narrow" w:hAnsi="Arial Narrow"/>
                <w:b/>
                <w:sz w:val="20"/>
                <w:szCs w:val="20"/>
              </w:rPr>
              <w:t>Available brands</w:t>
            </w:r>
          </w:p>
        </w:tc>
      </w:tr>
      <w:tr w:rsidR="00053B49" w:rsidRPr="00B162C2" w14:paraId="5F76A127" w14:textId="77777777" w:rsidTr="00053B49">
        <w:trPr>
          <w:cantSplit/>
          <w:trHeight w:val="20"/>
        </w:trPr>
        <w:tc>
          <w:tcPr>
            <w:tcW w:w="5000" w:type="pct"/>
            <w:gridSpan w:val="5"/>
          </w:tcPr>
          <w:p w14:paraId="69CE9061" w14:textId="77777777" w:rsidR="00053B49" w:rsidRPr="00225248" w:rsidRDefault="00053B49" w:rsidP="00053B49">
            <w:pPr>
              <w:pStyle w:val="COMTabletext"/>
              <w:keepLines/>
            </w:pPr>
            <w:r>
              <w:t>Blincyto</w:t>
            </w:r>
          </w:p>
          <w:p w14:paraId="269C9115" w14:textId="3485BE3E" w:rsidR="00053B49" w:rsidRPr="00053B49" w:rsidRDefault="00053B49" w:rsidP="00053B49">
            <w:pPr>
              <w:keepLines/>
              <w:jc w:val="left"/>
              <w:rPr>
                <w:rFonts w:ascii="Arial Narrow" w:hAnsi="Arial Narrow"/>
                <w:b/>
                <w:sz w:val="20"/>
                <w:szCs w:val="20"/>
              </w:rPr>
            </w:pPr>
            <w:r w:rsidRPr="00053B49">
              <w:rPr>
                <w:rFonts w:ascii="Arial Narrow" w:eastAsiaTheme="majorEastAsia" w:hAnsi="Arial Narrow" w:cstheme="majorBidi"/>
                <w:bCs/>
                <w:sz w:val="20"/>
              </w:rPr>
              <w:t>(blinatumomab 38.5 µg injection, 1 vial)</w:t>
            </w:r>
          </w:p>
        </w:tc>
      </w:tr>
      <w:tr w:rsidR="00053B49" w:rsidRPr="00B162C2" w14:paraId="5C7FA3ED" w14:textId="77777777" w:rsidTr="00053B49">
        <w:trPr>
          <w:cantSplit/>
          <w:trHeight w:val="20"/>
        </w:trPr>
        <w:tc>
          <w:tcPr>
            <w:tcW w:w="5000" w:type="pct"/>
            <w:gridSpan w:val="5"/>
          </w:tcPr>
          <w:p w14:paraId="17A97F26" w14:textId="77777777" w:rsidR="00053B49" w:rsidRDefault="00053B49" w:rsidP="00053B49">
            <w:pPr>
              <w:pStyle w:val="COMTabletext"/>
              <w:keepLines/>
            </w:pPr>
          </w:p>
        </w:tc>
      </w:tr>
    </w:tbl>
    <w:tbl>
      <w:tblPr>
        <w:tblStyle w:val="TableGrid"/>
        <w:tblW w:w="5000" w:type="pct"/>
        <w:tblLook w:val="0020" w:firstRow="1" w:lastRow="0" w:firstColumn="0" w:lastColumn="0" w:noHBand="0" w:noVBand="0"/>
      </w:tblPr>
      <w:tblGrid>
        <w:gridCol w:w="1702"/>
        <w:gridCol w:w="7315"/>
      </w:tblGrid>
      <w:tr w:rsidR="00AD3789" w:rsidRPr="00E2580F" w14:paraId="54EA7A21" w14:textId="77777777" w:rsidTr="1797D1E5">
        <w:tc>
          <w:tcPr>
            <w:tcW w:w="944" w:type="pct"/>
          </w:tcPr>
          <w:p w14:paraId="2AF6161E" w14:textId="77777777" w:rsidR="00AD3789" w:rsidRPr="00FE4243" w:rsidRDefault="00AD3789" w:rsidP="001E7557">
            <w:pPr>
              <w:jc w:val="left"/>
              <w:rPr>
                <w:rFonts w:ascii="Arial Narrow" w:hAnsi="Arial Narrow"/>
                <w:b/>
                <w:bCs/>
                <w:sz w:val="20"/>
                <w:szCs w:val="20"/>
              </w:rPr>
            </w:pPr>
            <w:r w:rsidRPr="00FE4243">
              <w:rPr>
                <w:rFonts w:ascii="Arial Narrow" w:hAnsi="Arial Narrow"/>
                <w:b/>
                <w:bCs/>
                <w:sz w:val="20"/>
                <w:szCs w:val="20"/>
              </w:rPr>
              <w:t>Category/</w:t>
            </w:r>
            <w:r>
              <w:rPr>
                <w:rFonts w:ascii="Arial Narrow" w:hAnsi="Arial Narrow"/>
                <w:b/>
                <w:bCs/>
                <w:sz w:val="20"/>
                <w:szCs w:val="20"/>
              </w:rPr>
              <w:t>P</w:t>
            </w:r>
            <w:r w:rsidRPr="00FE4243">
              <w:rPr>
                <w:rFonts w:ascii="Arial Narrow" w:hAnsi="Arial Narrow"/>
                <w:b/>
                <w:bCs/>
                <w:sz w:val="20"/>
                <w:szCs w:val="20"/>
              </w:rPr>
              <w:t>rogram</w:t>
            </w:r>
            <w:r>
              <w:rPr>
                <w:rFonts w:ascii="Arial Narrow" w:hAnsi="Arial Narrow"/>
                <w:b/>
                <w:bCs/>
                <w:sz w:val="20"/>
                <w:szCs w:val="20"/>
              </w:rPr>
              <w:t>:</w:t>
            </w:r>
          </w:p>
        </w:tc>
        <w:tc>
          <w:tcPr>
            <w:tcW w:w="4056" w:type="pct"/>
          </w:tcPr>
          <w:p w14:paraId="3DBB48F3" w14:textId="5666FA22" w:rsidR="00AD3789" w:rsidRPr="00E2580F" w:rsidRDefault="00AD3789" w:rsidP="001E7557">
            <w:pPr>
              <w:jc w:val="left"/>
              <w:rPr>
                <w:rFonts w:ascii="Arial Narrow" w:hAnsi="Arial Narrow"/>
                <w:sz w:val="20"/>
                <w:szCs w:val="20"/>
              </w:rPr>
            </w:pPr>
            <w:r w:rsidRPr="00E2580F">
              <w:rPr>
                <w:rFonts w:ascii="Arial Narrow" w:hAnsi="Arial Narrow"/>
                <w:sz w:val="20"/>
                <w:szCs w:val="20"/>
              </w:rPr>
              <w:t xml:space="preserve">Section 100 </w:t>
            </w:r>
            <w:r w:rsidR="00F64506">
              <w:rPr>
                <w:rFonts w:ascii="Arial Narrow" w:hAnsi="Arial Narrow"/>
                <w:sz w:val="20"/>
                <w:szCs w:val="20"/>
              </w:rPr>
              <w:t>EFC</w:t>
            </w:r>
            <w:r>
              <w:rPr>
                <w:rFonts w:ascii="Arial Narrow" w:hAnsi="Arial Narrow"/>
                <w:sz w:val="20"/>
                <w:szCs w:val="20"/>
              </w:rPr>
              <w:t xml:space="preserve">: </w:t>
            </w:r>
            <w:r w:rsidRPr="00E2580F">
              <w:rPr>
                <w:rFonts w:ascii="Arial Narrow" w:hAnsi="Arial Narrow"/>
                <w:sz w:val="20"/>
                <w:szCs w:val="20"/>
              </w:rPr>
              <w:t>Public Hospital Private Hospital/Private Clinic</w:t>
            </w:r>
          </w:p>
        </w:tc>
      </w:tr>
      <w:tr w:rsidR="00AD3789" w:rsidRPr="00E2580F" w14:paraId="10B15E1B" w14:textId="77777777" w:rsidTr="1797D1E5">
        <w:tc>
          <w:tcPr>
            <w:tcW w:w="944" w:type="pct"/>
          </w:tcPr>
          <w:p w14:paraId="425C1463" w14:textId="77777777" w:rsidR="00AD3789" w:rsidRPr="00FE4243" w:rsidRDefault="00AD3789" w:rsidP="001E7557">
            <w:pPr>
              <w:jc w:val="left"/>
              <w:rPr>
                <w:rFonts w:ascii="Arial Narrow" w:hAnsi="Arial Narrow"/>
                <w:b/>
                <w:bCs/>
                <w:sz w:val="20"/>
                <w:szCs w:val="20"/>
              </w:rPr>
            </w:pPr>
            <w:r w:rsidRPr="00FE4243">
              <w:rPr>
                <w:rFonts w:ascii="Arial Narrow" w:hAnsi="Arial Narrow"/>
                <w:b/>
                <w:bCs/>
                <w:sz w:val="20"/>
                <w:szCs w:val="20"/>
              </w:rPr>
              <w:t>Prescriber type:</w:t>
            </w:r>
          </w:p>
        </w:tc>
        <w:tc>
          <w:tcPr>
            <w:tcW w:w="4056" w:type="pct"/>
          </w:tcPr>
          <w:p w14:paraId="6186EFFB" w14:textId="77777777" w:rsidR="00AD3789" w:rsidRPr="00E2580F" w:rsidRDefault="00AD3789" w:rsidP="001E7557">
            <w:pPr>
              <w:jc w:val="left"/>
              <w:rPr>
                <w:rFonts w:ascii="Arial Narrow" w:hAnsi="Arial Narrow"/>
                <w:sz w:val="20"/>
                <w:szCs w:val="20"/>
              </w:rPr>
            </w:pPr>
            <w:r w:rsidRPr="00E2580F">
              <w:rPr>
                <w:rFonts w:ascii="Arial Narrow" w:hAnsi="Arial Narrow"/>
                <w:sz w:val="20"/>
                <w:szCs w:val="20"/>
              </w:rPr>
              <w:fldChar w:fldCharType="begin" w:fldLock="1">
                <w:ffData>
                  <w:name w:val=""/>
                  <w:enabled/>
                  <w:calcOnExit w:val="0"/>
                  <w:checkBox>
                    <w:sizeAuto/>
                    <w:default w:val="1"/>
                  </w:checkBox>
                </w:ffData>
              </w:fldChar>
            </w:r>
            <w:r w:rsidRPr="00E2580F">
              <w:rPr>
                <w:rFonts w:ascii="Arial Narrow" w:hAnsi="Arial Narrow"/>
                <w:sz w:val="20"/>
                <w:szCs w:val="20"/>
              </w:rPr>
              <w:instrText xml:space="preserve"> FORMCHECKBOX </w:instrText>
            </w:r>
            <w:r w:rsidRPr="00E2580F">
              <w:rPr>
                <w:rFonts w:ascii="Arial Narrow" w:hAnsi="Arial Narrow"/>
                <w:sz w:val="20"/>
                <w:szCs w:val="20"/>
              </w:rPr>
            </w:r>
            <w:r w:rsidRPr="00E2580F">
              <w:rPr>
                <w:rFonts w:ascii="Arial Narrow" w:hAnsi="Arial Narrow"/>
                <w:sz w:val="20"/>
                <w:szCs w:val="20"/>
              </w:rPr>
              <w:fldChar w:fldCharType="separate"/>
            </w:r>
            <w:r w:rsidRPr="00E2580F">
              <w:rPr>
                <w:rFonts w:ascii="Arial Narrow" w:hAnsi="Arial Narrow"/>
                <w:sz w:val="20"/>
                <w:szCs w:val="20"/>
              </w:rPr>
              <w:fldChar w:fldCharType="end"/>
            </w:r>
            <w:r w:rsidRPr="00E2580F">
              <w:rPr>
                <w:rFonts w:ascii="Arial Narrow" w:hAnsi="Arial Narrow"/>
                <w:sz w:val="20"/>
                <w:szCs w:val="20"/>
              </w:rPr>
              <w:t xml:space="preserve">Medical Practitioners  </w:t>
            </w:r>
          </w:p>
        </w:tc>
      </w:tr>
      <w:tr w:rsidR="00AD3789" w:rsidRPr="00E2580F" w14:paraId="6A4E5422" w14:textId="77777777" w:rsidTr="1797D1E5">
        <w:tc>
          <w:tcPr>
            <w:tcW w:w="944" w:type="pct"/>
          </w:tcPr>
          <w:p w14:paraId="7F73F730" w14:textId="77777777" w:rsidR="00AD3789" w:rsidRPr="00FE4243" w:rsidRDefault="00AD3789" w:rsidP="001E7557">
            <w:pPr>
              <w:jc w:val="left"/>
              <w:rPr>
                <w:rFonts w:ascii="Arial Narrow" w:hAnsi="Arial Narrow"/>
                <w:b/>
                <w:bCs/>
                <w:sz w:val="20"/>
                <w:szCs w:val="20"/>
              </w:rPr>
            </w:pPr>
            <w:r w:rsidRPr="00FE4243">
              <w:rPr>
                <w:rFonts w:ascii="Arial Narrow" w:hAnsi="Arial Narrow"/>
                <w:b/>
                <w:bCs/>
                <w:sz w:val="20"/>
                <w:szCs w:val="20"/>
              </w:rPr>
              <w:t>Condition:</w:t>
            </w:r>
          </w:p>
        </w:tc>
        <w:tc>
          <w:tcPr>
            <w:tcW w:w="4056" w:type="pct"/>
          </w:tcPr>
          <w:p w14:paraId="1EDEF449" w14:textId="77777777" w:rsidR="00AD3789" w:rsidRPr="00E2580F" w:rsidRDefault="00AD3789" w:rsidP="001E7557">
            <w:pPr>
              <w:jc w:val="left"/>
              <w:rPr>
                <w:rFonts w:ascii="Arial Narrow" w:hAnsi="Arial Narrow"/>
                <w:sz w:val="20"/>
                <w:szCs w:val="20"/>
              </w:rPr>
            </w:pPr>
            <w:r w:rsidRPr="00E2580F">
              <w:rPr>
                <w:rFonts w:ascii="Arial Narrow" w:hAnsi="Arial Narrow"/>
                <w:sz w:val="20"/>
                <w:szCs w:val="20"/>
              </w:rPr>
              <w:t>Acute lymphoblastic leukaemia (ALL)</w:t>
            </w:r>
          </w:p>
        </w:tc>
      </w:tr>
      <w:tr w:rsidR="00143BFF" w:rsidRPr="00E2580F" w14:paraId="736B9C6D" w14:textId="77777777" w:rsidTr="1797D1E5">
        <w:tc>
          <w:tcPr>
            <w:tcW w:w="944" w:type="pct"/>
          </w:tcPr>
          <w:p w14:paraId="59FE7E5B" w14:textId="77777777" w:rsidR="00143BFF" w:rsidRPr="00FE4243" w:rsidRDefault="00143BFF" w:rsidP="00143BFF">
            <w:pPr>
              <w:jc w:val="left"/>
              <w:rPr>
                <w:rFonts w:ascii="Arial Narrow" w:hAnsi="Arial Narrow"/>
                <w:b/>
                <w:bCs/>
                <w:sz w:val="20"/>
                <w:szCs w:val="20"/>
              </w:rPr>
            </w:pPr>
            <w:r w:rsidRPr="00FE4243">
              <w:rPr>
                <w:rFonts w:ascii="Arial Narrow" w:hAnsi="Arial Narrow"/>
                <w:b/>
                <w:bCs/>
                <w:sz w:val="20"/>
                <w:szCs w:val="20"/>
              </w:rPr>
              <w:t>PBS Indication:</w:t>
            </w:r>
          </w:p>
        </w:tc>
        <w:tc>
          <w:tcPr>
            <w:tcW w:w="4056" w:type="pct"/>
          </w:tcPr>
          <w:p w14:paraId="13425961" w14:textId="6F261D5D" w:rsidR="00143BFF" w:rsidRPr="00143BFF" w:rsidRDefault="00143BFF" w:rsidP="00143BFF">
            <w:pPr>
              <w:jc w:val="left"/>
              <w:rPr>
                <w:rFonts w:ascii="Arial Narrow" w:hAnsi="Arial Narrow"/>
                <w:sz w:val="20"/>
                <w:szCs w:val="20"/>
              </w:rPr>
            </w:pPr>
            <w:r w:rsidRPr="00143BFF">
              <w:rPr>
                <w:rFonts w:ascii="Arial Narrow" w:hAnsi="Arial Narrow"/>
                <w:strike/>
                <w:sz w:val="20"/>
                <w:szCs w:val="20"/>
              </w:rPr>
              <w:t>Measurable residual disease of</w:t>
            </w:r>
            <w:r w:rsidRPr="00143BFF">
              <w:rPr>
                <w:rFonts w:ascii="Arial Narrow" w:hAnsi="Arial Narrow"/>
                <w:sz w:val="20"/>
                <w:szCs w:val="20"/>
              </w:rPr>
              <w:t xml:space="preserve"> Precursor B-cell acute lymphoblastic leukaemia (Pre-B-cell ALL) </w:t>
            </w:r>
            <w:r w:rsidRPr="00143BFF">
              <w:rPr>
                <w:rFonts w:ascii="Arial Narrow" w:hAnsi="Arial Narrow"/>
                <w:i/>
                <w:iCs/>
                <w:sz w:val="20"/>
                <w:szCs w:val="20"/>
              </w:rPr>
              <w:t>in complete haematological remission (CR)</w:t>
            </w:r>
          </w:p>
        </w:tc>
      </w:tr>
      <w:tr w:rsidR="00143BFF" w:rsidRPr="00E2580F" w14:paraId="2696B90B" w14:textId="77777777" w:rsidTr="1797D1E5">
        <w:tc>
          <w:tcPr>
            <w:tcW w:w="944" w:type="pct"/>
          </w:tcPr>
          <w:p w14:paraId="025CF8AA" w14:textId="77777777" w:rsidR="00143BFF" w:rsidRPr="00FE4243" w:rsidRDefault="00143BFF" w:rsidP="00143BFF">
            <w:pPr>
              <w:jc w:val="left"/>
              <w:rPr>
                <w:rFonts w:ascii="Arial Narrow" w:hAnsi="Arial Narrow"/>
                <w:b/>
                <w:bCs/>
                <w:sz w:val="20"/>
                <w:szCs w:val="20"/>
              </w:rPr>
            </w:pPr>
            <w:r w:rsidRPr="00FE4243">
              <w:rPr>
                <w:rFonts w:ascii="Arial Narrow" w:hAnsi="Arial Narrow"/>
                <w:b/>
                <w:bCs/>
                <w:sz w:val="20"/>
                <w:szCs w:val="20"/>
              </w:rPr>
              <w:t>Restriction Level/Method:</w:t>
            </w:r>
          </w:p>
        </w:tc>
        <w:tc>
          <w:tcPr>
            <w:tcW w:w="4056" w:type="pct"/>
          </w:tcPr>
          <w:p w14:paraId="43BC36FF" w14:textId="7B81199F" w:rsidR="00143BFF" w:rsidRPr="00143BFF" w:rsidRDefault="00143BFF" w:rsidP="00143BFF">
            <w:pPr>
              <w:jc w:val="left"/>
              <w:rPr>
                <w:rFonts w:ascii="Arial Narrow" w:hAnsi="Arial Narrow"/>
                <w:sz w:val="20"/>
                <w:szCs w:val="20"/>
              </w:rPr>
            </w:pPr>
            <w:r w:rsidRPr="00143BFF">
              <w:rPr>
                <w:rFonts w:ascii="Arial Narrow" w:hAnsi="Arial Narrow"/>
                <w:sz w:val="20"/>
                <w:szCs w:val="20"/>
              </w:rPr>
              <w:fldChar w:fldCharType="begin" w:fldLock="1">
                <w:ffData>
                  <w:name w:val=""/>
                  <w:enabled/>
                  <w:calcOnExit w:val="0"/>
                  <w:checkBox>
                    <w:sizeAuto/>
                    <w:default w:val="1"/>
                  </w:checkBox>
                </w:ffData>
              </w:fldChar>
            </w:r>
            <w:r w:rsidRPr="00143BFF">
              <w:rPr>
                <w:rFonts w:ascii="Arial Narrow" w:hAnsi="Arial Narrow"/>
                <w:sz w:val="20"/>
                <w:szCs w:val="20"/>
              </w:rPr>
              <w:instrText xml:space="preserve"> FORMCHECKBOX </w:instrText>
            </w:r>
            <w:r w:rsidRPr="00143BFF">
              <w:rPr>
                <w:rFonts w:ascii="Arial Narrow" w:hAnsi="Arial Narrow"/>
                <w:sz w:val="20"/>
                <w:szCs w:val="20"/>
              </w:rPr>
            </w:r>
            <w:r w:rsidRPr="00143BFF">
              <w:rPr>
                <w:rFonts w:ascii="Arial Narrow" w:hAnsi="Arial Narrow"/>
                <w:sz w:val="20"/>
                <w:szCs w:val="20"/>
              </w:rPr>
              <w:fldChar w:fldCharType="separate"/>
            </w:r>
            <w:r w:rsidRPr="00143BFF">
              <w:rPr>
                <w:rFonts w:ascii="Arial Narrow" w:hAnsi="Arial Narrow"/>
                <w:sz w:val="20"/>
                <w:szCs w:val="20"/>
              </w:rPr>
              <w:fldChar w:fldCharType="end"/>
            </w:r>
            <w:r w:rsidRPr="00143BFF">
              <w:rPr>
                <w:rFonts w:ascii="Arial Narrow" w:hAnsi="Arial Narrow"/>
                <w:sz w:val="20"/>
                <w:szCs w:val="20"/>
              </w:rPr>
              <w:t>Authority Required - In Writing</w:t>
            </w:r>
          </w:p>
        </w:tc>
      </w:tr>
      <w:tr w:rsidR="00143BFF" w:rsidRPr="00E2580F" w14:paraId="65751D14" w14:textId="77777777" w:rsidTr="1797D1E5">
        <w:tc>
          <w:tcPr>
            <w:tcW w:w="944" w:type="pct"/>
          </w:tcPr>
          <w:p w14:paraId="7F45B4C2" w14:textId="77777777" w:rsidR="00143BFF" w:rsidRPr="00FE4243" w:rsidRDefault="00143BFF" w:rsidP="00143BFF">
            <w:pPr>
              <w:jc w:val="left"/>
              <w:rPr>
                <w:rFonts w:ascii="Arial Narrow" w:hAnsi="Arial Narrow"/>
                <w:b/>
                <w:bCs/>
                <w:sz w:val="20"/>
                <w:szCs w:val="20"/>
              </w:rPr>
            </w:pPr>
            <w:r w:rsidRPr="00FE4243">
              <w:rPr>
                <w:rFonts w:ascii="Arial Narrow" w:hAnsi="Arial Narrow"/>
                <w:b/>
                <w:bCs/>
                <w:sz w:val="20"/>
                <w:szCs w:val="20"/>
              </w:rPr>
              <w:t>Treatment phase</w:t>
            </w:r>
            <w:r>
              <w:rPr>
                <w:rFonts w:ascii="Arial Narrow" w:hAnsi="Arial Narrow"/>
                <w:b/>
                <w:bCs/>
                <w:sz w:val="20"/>
                <w:szCs w:val="20"/>
              </w:rPr>
              <w:t>:</w:t>
            </w:r>
          </w:p>
        </w:tc>
        <w:tc>
          <w:tcPr>
            <w:tcW w:w="4056" w:type="pct"/>
          </w:tcPr>
          <w:p w14:paraId="3034678B" w14:textId="5CB64910" w:rsidR="00143BFF" w:rsidRPr="00143BFF" w:rsidRDefault="00143BFF" w:rsidP="00143BFF">
            <w:pPr>
              <w:jc w:val="left"/>
              <w:rPr>
                <w:rFonts w:ascii="Arial Narrow" w:hAnsi="Arial Narrow"/>
                <w:sz w:val="20"/>
                <w:szCs w:val="20"/>
              </w:rPr>
            </w:pPr>
            <w:r w:rsidRPr="00143BFF">
              <w:rPr>
                <w:rFonts w:ascii="Arial Narrow" w:hAnsi="Arial Narrow"/>
                <w:sz w:val="20"/>
                <w:szCs w:val="20"/>
              </w:rPr>
              <w:t xml:space="preserve">Initial treatment </w:t>
            </w:r>
            <w:r w:rsidRPr="00143BFF">
              <w:rPr>
                <w:rFonts w:ascii="Arial Narrow" w:hAnsi="Arial Narrow"/>
                <w:strike/>
                <w:sz w:val="20"/>
                <w:szCs w:val="20"/>
              </w:rPr>
              <w:t>of measurable residual disease</w:t>
            </w:r>
            <w:r w:rsidRPr="00143BFF">
              <w:rPr>
                <w:rFonts w:ascii="Arial Narrow" w:hAnsi="Arial Narrow"/>
                <w:sz w:val="20"/>
                <w:szCs w:val="20"/>
              </w:rPr>
              <w:t xml:space="preserve"> of Pre-B-cell ALL</w:t>
            </w:r>
          </w:p>
        </w:tc>
      </w:tr>
      <w:tr w:rsidR="00143BFF" w:rsidRPr="00E2580F" w14:paraId="5C0B946B" w14:textId="77777777" w:rsidTr="1797D1E5">
        <w:tc>
          <w:tcPr>
            <w:tcW w:w="944" w:type="pct"/>
          </w:tcPr>
          <w:p w14:paraId="58E98372" w14:textId="77777777" w:rsidR="00143BFF" w:rsidRPr="00FE4243" w:rsidRDefault="00143BFF" w:rsidP="00143BFF">
            <w:pPr>
              <w:jc w:val="left"/>
              <w:rPr>
                <w:rFonts w:ascii="Arial Narrow" w:hAnsi="Arial Narrow"/>
                <w:b/>
                <w:bCs/>
                <w:sz w:val="20"/>
                <w:szCs w:val="20"/>
              </w:rPr>
            </w:pPr>
          </w:p>
        </w:tc>
        <w:tc>
          <w:tcPr>
            <w:tcW w:w="4056" w:type="pct"/>
          </w:tcPr>
          <w:p w14:paraId="11649DEF" w14:textId="77777777" w:rsidR="00143BFF" w:rsidRPr="00143BFF" w:rsidRDefault="00143BFF" w:rsidP="00143BFF">
            <w:pPr>
              <w:jc w:val="left"/>
              <w:rPr>
                <w:rFonts w:ascii="Arial Narrow" w:hAnsi="Arial Narrow"/>
                <w:sz w:val="20"/>
                <w:szCs w:val="20"/>
              </w:rPr>
            </w:pPr>
          </w:p>
        </w:tc>
      </w:tr>
      <w:tr w:rsidR="00143BFF" w:rsidRPr="00E2580F" w14:paraId="7493E95D" w14:textId="77777777" w:rsidTr="1797D1E5">
        <w:tc>
          <w:tcPr>
            <w:tcW w:w="944" w:type="pct"/>
          </w:tcPr>
          <w:p w14:paraId="4349A85C" w14:textId="77777777" w:rsidR="00143BFF" w:rsidRPr="00FE4243" w:rsidRDefault="00143BFF" w:rsidP="00143BFF">
            <w:pPr>
              <w:jc w:val="left"/>
              <w:rPr>
                <w:rFonts w:ascii="Arial Narrow" w:hAnsi="Arial Narrow"/>
                <w:b/>
                <w:bCs/>
                <w:sz w:val="20"/>
                <w:szCs w:val="20"/>
              </w:rPr>
            </w:pPr>
            <w:r w:rsidRPr="00FE4243">
              <w:rPr>
                <w:rFonts w:ascii="Arial Narrow" w:hAnsi="Arial Narrow"/>
                <w:b/>
                <w:bCs/>
                <w:sz w:val="20"/>
                <w:szCs w:val="20"/>
              </w:rPr>
              <w:t>Treatment criteria:</w:t>
            </w:r>
          </w:p>
        </w:tc>
        <w:tc>
          <w:tcPr>
            <w:tcW w:w="4056" w:type="pct"/>
          </w:tcPr>
          <w:p w14:paraId="7BCCA2F1" w14:textId="088CB22A" w:rsidR="00143BFF" w:rsidRPr="00143BFF" w:rsidRDefault="00143BFF" w:rsidP="00143BFF">
            <w:pPr>
              <w:jc w:val="left"/>
              <w:rPr>
                <w:rFonts w:ascii="Arial Narrow" w:hAnsi="Arial Narrow"/>
                <w:color w:val="000000"/>
                <w:sz w:val="20"/>
                <w:szCs w:val="20"/>
              </w:rPr>
            </w:pPr>
            <w:r w:rsidRPr="00143BFF">
              <w:rPr>
                <w:rFonts w:ascii="Arial Narrow" w:hAnsi="Arial Narrow"/>
                <w:color w:val="000000"/>
                <w:sz w:val="20"/>
                <w:szCs w:val="20"/>
              </w:rPr>
              <w:t>Must be treated by a physician experienced in the treatment of haematological malignancies.</w:t>
            </w:r>
          </w:p>
        </w:tc>
      </w:tr>
      <w:tr w:rsidR="00143BFF" w:rsidRPr="00E2580F" w14:paraId="6BBFFD33" w14:textId="77777777" w:rsidTr="1797D1E5">
        <w:tc>
          <w:tcPr>
            <w:tcW w:w="944" w:type="pct"/>
          </w:tcPr>
          <w:p w14:paraId="696C91B0" w14:textId="77777777" w:rsidR="00143BFF" w:rsidRDefault="00143BFF" w:rsidP="00143BFF">
            <w:pPr>
              <w:jc w:val="left"/>
              <w:rPr>
                <w:rFonts w:ascii="Arial Narrow" w:hAnsi="Arial Narrow"/>
                <w:b/>
                <w:bCs/>
                <w:sz w:val="20"/>
                <w:szCs w:val="20"/>
              </w:rPr>
            </w:pPr>
          </w:p>
        </w:tc>
        <w:tc>
          <w:tcPr>
            <w:tcW w:w="4056" w:type="pct"/>
          </w:tcPr>
          <w:p w14:paraId="051E055A" w14:textId="77777777" w:rsidR="00143BFF" w:rsidRPr="00143BFF" w:rsidRDefault="00143BFF" w:rsidP="00143BFF">
            <w:pPr>
              <w:jc w:val="left"/>
              <w:rPr>
                <w:rFonts w:ascii="Arial Narrow" w:hAnsi="Arial Narrow"/>
                <w:sz w:val="20"/>
                <w:szCs w:val="20"/>
              </w:rPr>
            </w:pPr>
          </w:p>
        </w:tc>
      </w:tr>
      <w:tr w:rsidR="00143BFF" w:rsidRPr="00E2580F" w14:paraId="4A51E695" w14:textId="77777777" w:rsidTr="1797D1E5">
        <w:tc>
          <w:tcPr>
            <w:tcW w:w="944" w:type="pct"/>
          </w:tcPr>
          <w:p w14:paraId="3F616D83" w14:textId="77777777" w:rsidR="00143BFF" w:rsidRPr="00FE4243" w:rsidRDefault="00143BFF" w:rsidP="00143BFF">
            <w:pPr>
              <w:jc w:val="left"/>
              <w:rPr>
                <w:rFonts w:ascii="Arial Narrow" w:hAnsi="Arial Narrow"/>
                <w:b/>
                <w:bCs/>
                <w:sz w:val="20"/>
                <w:szCs w:val="20"/>
              </w:rPr>
            </w:pPr>
            <w:r>
              <w:rPr>
                <w:rFonts w:ascii="Arial Narrow" w:hAnsi="Arial Narrow"/>
                <w:b/>
                <w:bCs/>
                <w:sz w:val="20"/>
                <w:szCs w:val="20"/>
              </w:rPr>
              <w:t>Clinical criteria:</w:t>
            </w:r>
          </w:p>
        </w:tc>
        <w:tc>
          <w:tcPr>
            <w:tcW w:w="4056" w:type="pct"/>
          </w:tcPr>
          <w:p w14:paraId="17B3084B" w14:textId="259F71BD" w:rsidR="00143BFF" w:rsidRPr="00143BFF" w:rsidRDefault="00143BFF" w:rsidP="00143BFF">
            <w:pPr>
              <w:jc w:val="left"/>
              <w:rPr>
                <w:rFonts w:ascii="Arial Narrow" w:hAnsi="Arial Narrow"/>
                <w:sz w:val="20"/>
                <w:szCs w:val="20"/>
              </w:rPr>
            </w:pPr>
            <w:r w:rsidRPr="00143BFF">
              <w:rPr>
                <w:rFonts w:ascii="Arial Narrow" w:hAnsi="Arial Narrow"/>
                <w:sz w:val="20"/>
                <w:szCs w:val="20"/>
              </w:rPr>
              <w:t>Patient must have an ECOG performance status of 0 or 1,</w:t>
            </w:r>
          </w:p>
        </w:tc>
      </w:tr>
      <w:tr w:rsidR="00143BFF" w:rsidRPr="00E2580F" w14:paraId="69B7F4B9" w14:textId="77777777" w:rsidTr="1797D1E5">
        <w:tc>
          <w:tcPr>
            <w:tcW w:w="944" w:type="pct"/>
          </w:tcPr>
          <w:p w14:paraId="4307CAF4" w14:textId="77777777" w:rsidR="00143BFF" w:rsidRPr="00FE4243" w:rsidRDefault="00143BFF" w:rsidP="00143BFF">
            <w:pPr>
              <w:jc w:val="left"/>
              <w:rPr>
                <w:rFonts w:ascii="Arial Narrow" w:hAnsi="Arial Narrow"/>
                <w:b/>
                <w:bCs/>
                <w:sz w:val="20"/>
                <w:szCs w:val="20"/>
              </w:rPr>
            </w:pPr>
          </w:p>
        </w:tc>
        <w:tc>
          <w:tcPr>
            <w:tcW w:w="4056" w:type="pct"/>
          </w:tcPr>
          <w:p w14:paraId="1D01D0E7" w14:textId="23DDE4D3" w:rsidR="00143BFF" w:rsidRPr="00143BFF" w:rsidRDefault="00143BFF" w:rsidP="00143BFF">
            <w:pPr>
              <w:jc w:val="left"/>
              <w:rPr>
                <w:rFonts w:ascii="Arial Narrow" w:hAnsi="Arial Narrow"/>
                <w:color w:val="000000"/>
                <w:sz w:val="20"/>
                <w:szCs w:val="20"/>
              </w:rPr>
            </w:pPr>
            <w:r w:rsidRPr="00143BFF">
              <w:rPr>
                <w:rFonts w:ascii="Arial Narrow" w:hAnsi="Arial Narrow"/>
                <w:b/>
                <w:bCs/>
                <w:sz w:val="20"/>
                <w:szCs w:val="20"/>
              </w:rPr>
              <w:t>AND</w:t>
            </w:r>
          </w:p>
        </w:tc>
      </w:tr>
      <w:tr w:rsidR="00143BFF" w:rsidRPr="00E2580F" w14:paraId="64035EE2" w14:textId="77777777" w:rsidTr="1797D1E5">
        <w:tc>
          <w:tcPr>
            <w:tcW w:w="944" w:type="pct"/>
          </w:tcPr>
          <w:p w14:paraId="51344FFF" w14:textId="77777777" w:rsidR="00143BFF" w:rsidRPr="00FE4243" w:rsidRDefault="00143BFF" w:rsidP="00143BFF">
            <w:pPr>
              <w:jc w:val="left"/>
              <w:rPr>
                <w:rFonts w:ascii="Arial Narrow" w:hAnsi="Arial Narrow"/>
                <w:b/>
                <w:bCs/>
                <w:sz w:val="20"/>
                <w:szCs w:val="20"/>
              </w:rPr>
            </w:pPr>
            <w:r>
              <w:rPr>
                <w:rFonts w:ascii="Arial Narrow" w:hAnsi="Arial Narrow"/>
                <w:b/>
                <w:bCs/>
                <w:sz w:val="20"/>
                <w:szCs w:val="20"/>
              </w:rPr>
              <w:t>Clinical criteria:</w:t>
            </w:r>
          </w:p>
        </w:tc>
        <w:tc>
          <w:tcPr>
            <w:tcW w:w="4056" w:type="pct"/>
          </w:tcPr>
          <w:p w14:paraId="5EEDCDF7" w14:textId="24D25270" w:rsidR="00143BFF" w:rsidRPr="00143BFF" w:rsidRDefault="00143BFF" w:rsidP="00143BFF">
            <w:pPr>
              <w:jc w:val="left"/>
              <w:rPr>
                <w:rFonts w:ascii="Arial Narrow" w:hAnsi="Arial Narrow"/>
                <w:sz w:val="20"/>
                <w:szCs w:val="20"/>
              </w:rPr>
            </w:pPr>
            <w:r w:rsidRPr="00143BFF">
              <w:rPr>
                <w:rFonts w:ascii="Arial Narrow" w:hAnsi="Arial Narrow"/>
                <w:sz w:val="20"/>
                <w:szCs w:val="20"/>
              </w:rPr>
              <w:t>The condition must not be present in the central nervous system or testis,</w:t>
            </w:r>
          </w:p>
        </w:tc>
      </w:tr>
      <w:tr w:rsidR="00143BFF" w:rsidRPr="00E2580F" w14:paraId="064CC2F6" w14:textId="77777777" w:rsidTr="1797D1E5">
        <w:tc>
          <w:tcPr>
            <w:tcW w:w="944" w:type="pct"/>
          </w:tcPr>
          <w:p w14:paraId="705C025A" w14:textId="77777777" w:rsidR="00143BFF" w:rsidRPr="00FE4243" w:rsidRDefault="00143BFF" w:rsidP="00143BFF">
            <w:pPr>
              <w:jc w:val="left"/>
              <w:rPr>
                <w:rFonts w:ascii="Arial Narrow" w:hAnsi="Arial Narrow"/>
                <w:b/>
                <w:bCs/>
                <w:sz w:val="20"/>
                <w:szCs w:val="20"/>
              </w:rPr>
            </w:pPr>
          </w:p>
        </w:tc>
        <w:tc>
          <w:tcPr>
            <w:tcW w:w="4056" w:type="pct"/>
          </w:tcPr>
          <w:p w14:paraId="14D33960" w14:textId="3680E107" w:rsidR="00143BFF" w:rsidRPr="00143BFF" w:rsidRDefault="00143BFF" w:rsidP="00143BFF">
            <w:pPr>
              <w:jc w:val="left"/>
              <w:rPr>
                <w:rFonts w:ascii="Arial Narrow" w:hAnsi="Arial Narrow"/>
                <w:color w:val="000000"/>
                <w:sz w:val="20"/>
                <w:szCs w:val="20"/>
              </w:rPr>
            </w:pPr>
            <w:r w:rsidRPr="00143BFF">
              <w:rPr>
                <w:rFonts w:ascii="Arial Narrow" w:hAnsi="Arial Narrow"/>
                <w:b/>
                <w:bCs/>
                <w:sz w:val="20"/>
                <w:szCs w:val="20"/>
              </w:rPr>
              <w:t>AND</w:t>
            </w:r>
          </w:p>
        </w:tc>
      </w:tr>
      <w:tr w:rsidR="00143BFF" w:rsidRPr="00E2580F" w14:paraId="56566DA6" w14:textId="77777777" w:rsidTr="1797D1E5">
        <w:tc>
          <w:tcPr>
            <w:tcW w:w="944" w:type="pct"/>
          </w:tcPr>
          <w:p w14:paraId="49E01BDA" w14:textId="77777777" w:rsidR="00143BFF" w:rsidRPr="00FE4243" w:rsidRDefault="00143BFF" w:rsidP="00143BFF">
            <w:pPr>
              <w:jc w:val="left"/>
              <w:rPr>
                <w:rFonts w:ascii="Arial Narrow" w:hAnsi="Arial Narrow"/>
                <w:b/>
                <w:bCs/>
                <w:sz w:val="20"/>
                <w:szCs w:val="20"/>
              </w:rPr>
            </w:pPr>
            <w:r>
              <w:rPr>
                <w:rFonts w:ascii="Arial Narrow" w:hAnsi="Arial Narrow"/>
                <w:b/>
                <w:bCs/>
                <w:sz w:val="20"/>
                <w:szCs w:val="20"/>
              </w:rPr>
              <w:t>Clinical criteria:</w:t>
            </w:r>
          </w:p>
        </w:tc>
        <w:tc>
          <w:tcPr>
            <w:tcW w:w="4056" w:type="pct"/>
          </w:tcPr>
          <w:p w14:paraId="359954C9" w14:textId="50A7EC1E" w:rsidR="00143BFF" w:rsidRPr="00143BFF" w:rsidRDefault="00143BFF" w:rsidP="00143BFF">
            <w:pPr>
              <w:jc w:val="left"/>
              <w:rPr>
                <w:rFonts w:ascii="Arial Narrow" w:hAnsi="Arial Narrow"/>
                <w:sz w:val="20"/>
                <w:szCs w:val="20"/>
              </w:rPr>
            </w:pPr>
            <w:r w:rsidRPr="00143BFF">
              <w:rPr>
                <w:rFonts w:ascii="Arial Narrow" w:hAnsi="Arial Narrow"/>
                <w:sz w:val="20"/>
                <w:szCs w:val="20"/>
              </w:rPr>
              <w:t xml:space="preserve">Patient must have achieved complete remission following intensive combination chemotherapy for initial treatment of acute lymphoblastic leukaemia (ALL) </w:t>
            </w:r>
            <w:r w:rsidRPr="00143BFF">
              <w:rPr>
                <w:rFonts w:ascii="Arial Narrow" w:hAnsi="Arial Narrow"/>
                <w:strike/>
                <w:sz w:val="20"/>
                <w:szCs w:val="20"/>
              </w:rPr>
              <w:t>or for subsequent salvage therapy,</w:t>
            </w:r>
          </w:p>
        </w:tc>
      </w:tr>
      <w:tr w:rsidR="00143BFF" w:rsidRPr="00E2580F" w14:paraId="3339F2BD" w14:textId="77777777" w:rsidTr="1797D1E5">
        <w:tc>
          <w:tcPr>
            <w:tcW w:w="944" w:type="pct"/>
          </w:tcPr>
          <w:p w14:paraId="4CB94FD9" w14:textId="77777777" w:rsidR="00143BFF" w:rsidRPr="00FE4243" w:rsidRDefault="00143BFF" w:rsidP="00143BFF">
            <w:pPr>
              <w:jc w:val="left"/>
              <w:rPr>
                <w:rFonts w:ascii="Arial Narrow" w:hAnsi="Arial Narrow"/>
                <w:b/>
                <w:bCs/>
                <w:sz w:val="20"/>
                <w:szCs w:val="20"/>
              </w:rPr>
            </w:pPr>
          </w:p>
        </w:tc>
        <w:tc>
          <w:tcPr>
            <w:tcW w:w="4056" w:type="pct"/>
          </w:tcPr>
          <w:p w14:paraId="7C3909CD" w14:textId="63F96F93" w:rsidR="00143BFF" w:rsidRPr="00143BFF" w:rsidRDefault="00143BFF" w:rsidP="00143BFF">
            <w:pPr>
              <w:jc w:val="left"/>
              <w:rPr>
                <w:rFonts w:ascii="Arial Narrow" w:hAnsi="Arial Narrow"/>
                <w:b/>
                <w:bCs/>
                <w:strike/>
                <w:color w:val="000000"/>
                <w:sz w:val="20"/>
                <w:szCs w:val="20"/>
              </w:rPr>
            </w:pPr>
            <w:r w:rsidRPr="00143BFF">
              <w:rPr>
                <w:rFonts w:ascii="Arial Narrow" w:hAnsi="Arial Narrow"/>
                <w:b/>
                <w:bCs/>
                <w:strike/>
                <w:color w:val="000000"/>
                <w:sz w:val="20"/>
                <w:szCs w:val="20"/>
              </w:rPr>
              <w:t>AND</w:t>
            </w:r>
            <w:r w:rsidRPr="00143BFF">
              <w:rPr>
                <w:rFonts w:ascii="Arial Narrow" w:hAnsi="Arial Narrow"/>
                <w:b/>
                <w:bCs/>
                <w:i/>
                <w:iCs/>
                <w:color w:val="000000"/>
                <w:sz w:val="20"/>
                <w:szCs w:val="20"/>
              </w:rPr>
              <w:t xml:space="preserve"> OR</w:t>
            </w:r>
          </w:p>
        </w:tc>
      </w:tr>
      <w:tr w:rsidR="00143BFF" w:rsidRPr="00E2580F" w14:paraId="62D60444" w14:textId="77777777" w:rsidTr="1797D1E5">
        <w:tc>
          <w:tcPr>
            <w:tcW w:w="944" w:type="pct"/>
          </w:tcPr>
          <w:p w14:paraId="5121FA7A" w14:textId="77777777" w:rsidR="00143BFF" w:rsidRPr="00FE4243" w:rsidRDefault="00143BFF" w:rsidP="00143BFF">
            <w:pPr>
              <w:jc w:val="left"/>
              <w:rPr>
                <w:rFonts w:ascii="Arial Narrow" w:hAnsi="Arial Narrow"/>
                <w:b/>
                <w:bCs/>
                <w:sz w:val="20"/>
                <w:szCs w:val="20"/>
              </w:rPr>
            </w:pPr>
            <w:r>
              <w:rPr>
                <w:rFonts w:ascii="Arial Narrow" w:hAnsi="Arial Narrow"/>
                <w:b/>
                <w:bCs/>
                <w:sz w:val="20"/>
                <w:szCs w:val="20"/>
              </w:rPr>
              <w:t>Clinical criteria:</w:t>
            </w:r>
          </w:p>
        </w:tc>
        <w:tc>
          <w:tcPr>
            <w:tcW w:w="4056" w:type="pct"/>
          </w:tcPr>
          <w:p w14:paraId="1F92EE8B" w14:textId="1AF8BFF0" w:rsidR="00143BFF" w:rsidRPr="00143BFF" w:rsidRDefault="00143BFF" w:rsidP="00143BFF">
            <w:pPr>
              <w:jc w:val="left"/>
              <w:rPr>
                <w:rFonts w:ascii="Arial Narrow" w:hAnsi="Arial Narrow"/>
                <w:sz w:val="20"/>
                <w:szCs w:val="20"/>
              </w:rPr>
            </w:pPr>
            <w:r w:rsidRPr="00143BFF">
              <w:rPr>
                <w:rFonts w:ascii="Arial Narrow" w:hAnsi="Arial Narrow"/>
                <w:sz w:val="20"/>
                <w:szCs w:val="20"/>
              </w:rPr>
              <w:t xml:space="preserve">Patient must have </w:t>
            </w:r>
            <w:r w:rsidRPr="00143BFF">
              <w:rPr>
                <w:rFonts w:ascii="Arial Narrow" w:hAnsi="Arial Narrow"/>
                <w:i/>
                <w:iCs/>
                <w:sz w:val="20"/>
                <w:szCs w:val="20"/>
              </w:rPr>
              <w:t>achieved complete remission following intensive combination chemotherapy and</w:t>
            </w:r>
            <w:r w:rsidRPr="00143BFF">
              <w:rPr>
                <w:rFonts w:ascii="Arial Narrow" w:hAnsi="Arial Narrow"/>
                <w:sz w:val="20"/>
                <w:szCs w:val="20"/>
              </w:rPr>
              <w:t xml:space="preserve"> have measurable residual disease based on measurement in bone marrow, documented after an interval of at least 2 weeks from the last course of systemic chemotherapy given as intensive combination chemotherapy treatment of ALL/as subsequent salvage therapy, whichever was the later, measured using flow cytometry/molecular methods,</w:t>
            </w:r>
          </w:p>
        </w:tc>
      </w:tr>
      <w:tr w:rsidR="00AD3789" w:rsidRPr="00E2580F" w14:paraId="080B0A80" w14:textId="77777777" w:rsidTr="1797D1E5">
        <w:tc>
          <w:tcPr>
            <w:tcW w:w="944" w:type="pct"/>
          </w:tcPr>
          <w:p w14:paraId="476E8044" w14:textId="77777777" w:rsidR="00AD3789" w:rsidRPr="00FE4243" w:rsidRDefault="00AD3789" w:rsidP="001E7557">
            <w:pPr>
              <w:jc w:val="left"/>
              <w:rPr>
                <w:rFonts w:ascii="Arial Narrow" w:hAnsi="Arial Narrow"/>
                <w:b/>
                <w:bCs/>
                <w:sz w:val="20"/>
                <w:szCs w:val="20"/>
              </w:rPr>
            </w:pPr>
          </w:p>
        </w:tc>
        <w:tc>
          <w:tcPr>
            <w:tcW w:w="4056" w:type="pct"/>
          </w:tcPr>
          <w:p w14:paraId="753B8931" w14:textId="77777777" w:rsidR="00AD3789" w:rsidRPr="00FE4243" w:rsidRDefault="00AD3789" w:rsidP="001E7557">
            <w:pPr>
              <w:jc w:val="left"/>
              <w:rPr>
                <w:rFonts w:ascii="Arial Narrow" w:hAnsi="Arial Narrow"/>
                <w:b/>
                <w:bCs/>
                <w:color w:val="000000"/>
                <w:sz w:val="20"/>
                <w:szCs w:val="20"/>
              </w:rPr>
            </w:pPr>
            <w:r w:rsidRPr="00FE4243">
              <w:rPr>
                <w:rFonts w:ascii="Arial Narrow" w:hAnsi="Arial Narrow"/>
                <w:b/>
                <w:bCs/>
                <w:color w:val="000000"/>
                <w:sz w:val="20"/>
                <w:szCs w:val="20"/>
              </w:rPr>
              <w:t>AND</w:t>
            </w:r>
          </w:p>
        </w:tc>
      </w:tr>
      <w:tr w:rsidR="00AD3789" w:rsidRPr="00E2580F" w14:paraId="723F3289" w14:textId="77777777" w:rsidTr="1797D1E5">
        <w:tc>
          <w:tcPr>
            <w:tcW w:w="944" w:type="pct"/>
          </w:tcPr>
          <w:p w14:paraId="2A9E80FB" w14:textId="77777777" w:rsidR="00AD3789" w:rsidRPr="00FE4243" w:rsidRDefault="00AD3789" w:rsidP="001E7557">
            <w:pPr>
              <w:jc w:val="left"/>
              <w:rPr>
                <w:rFonts w:ascii="Arial Narrow" w:hAnsi="Arial Narrow"/>
                <w:b/>
                <w:bCs/>
                <w:sz w:val="20"/>
                <w:szCs w:val="20"/>
              </w:rPr>
            </w:pPr>
            <w:r>
              <w:rPr>
                <w:rFonts w:ascii="Arial Narrow" w:hAnsi="Arial Narrow"/>
                <w:b/>
                <w:bCs/>
                <w:sz w:val="20"/>
                <w:szCs w:val="20"/>
              </w:rPr>
              <w:t>Clinical criteria:</w:t>
            </w:r>
          </w:p>
        </w:tc>
        <w:tc>
          <w:tcPr>
            <w:tcW w:w="4056" w:type="pct"/>
          </w:tcPr>
          <w:p w14:paraId="1DC6E4AB" w14:textId="77777777" w:rsidR="00AD3789" w:rsidRPr="00FE4243" w:rsidRDefault="00AD3789" w:rsidP="001E7557">
            <w:pPr>
              <w:jc w:val="left"/>
              <w:rPr>
                <w:rFonts w:ascii="Arial Narrow" w:hAnsi="Arial Narrow"/>
                <w:sz w:val="20"/>
                <w:szCs w:val="20"/>
              </w:rPr>
            </w:pPr>
            <w:r w:rsidRPr="00E2580F">
              <w:rPr>
                <w:rFonts w:ascii="Arial Narrow" w:hAnsi="Arial Narrow"/>
                <w:sz w:val="20"/>
                <w:szCs w:val="20"/>
              </w:rPr>
              <w:t>The treatment must not be more than 2 treatment cycles under this restriction in a lifetime.</w:t>
            </w:r>
          </w:p>
        </w:tc>
      </w:tr>
      <w:tr w:rsidR="00AD3789" w:rsidRPr="00E2580F" w14:paraId="18F94745" w14:textId="77777777" w:rsidTr="1797D1E5">
        <w:tc>
          <w:tcPr>
            <w:tcW w:w="944" w:type="pct"/>
          </w:tcPr>
          <w:p w14:paraId="7D82975E" w14:textId="77777777" w:rsidR="00AD3789" w:rsidRDefault="00AD3789" w:rsidP="001E7557">
            <w:pPr>
              <w:jc w:val="left"/>
              <w:rPr>
                <w:rFonts w:ascii="Arial Narrow" w:hAnsi="Arial Narrow"/>
                <w:b/>
                <w:bCs/>
                <w:sz w:val="20"/>
                <w:szCs w:val="20"/>
              </w:rPr>
            </w:pPr>
          </w:p>
        </w:tc>
        <w:tc>
          <w:tcPr>
            <w:tcW w:w="4056" w:type="pct"/>
          </w:tcPr>
          <w:p w14:paraId="15F5FD0B" w14:textId="77777777" w:rsidR="00AD3789" w:rsidRPr="00E2580F" w:rsidRDefault="00AD3789" w:rsidP="001E7557">
            <w:pPr>
              <w:jc w:val="left"/>
              <w:rPr>
                <w:rFonts w:ascii="Arial Narrow" w:hAnsi="Arial Narrow"/>
                <w:sz w:val="20"/>
                <w:szCs w:val="20"/>
              </w:rPr>
            </w:pPr>
          </w:p>
        </w:tc>
      </w:tr>
      <w:tr w:rsidR="00AD3789" w:rsidRPr="00E2580F" w14:paraId="57C91CF0" w14:textId="77777777" w:rsidTr="1797D1E5">
        <w:tc>
          <w:tcPr>
            <w:tcW w:w="944" w:type="pct"/>
          </w:tcPr>
          <w:p w14:paraId="2E2FE55A" w14:textId="77777777" w:rsidR="00AD3789" w:rsidRPr="00FE4243" w:rsidRDefault="00AD3789" w:rsidP="001E7557">
            <w:pPr>
              <w:jc w:val="left"/>
              <w:rPr>
                <w:rFonts w:ascii="Arial Narrow" w:hAnsi="Arial Narrow"/>
                <w:b/>
                <w:bCs/>
                <w:sz w:val="20"/>
                <w:szCs w:val="20"/>
              </w:rPr>
            </w:pPr>
            <w:r>
              <w:rPr>
                <w:rFonts w:ascii="Arial Narrow" w:hAnsi="Arial Narrow"/>
                <w:b/>
                <w:bCs/>
                <w:sz w:val="20"/>
                <w:szCs w:val="20"/>
              </w:rPr>
              <w:t>Prescribing instructions:</w:t>
            </w:r>
          </w:p>
        </w:tc>
        <w:tc>
          <w:tcPr>
            <w:tcW w:w="4056" w:type="pct"/>
          </w:tcPr>
          <w:p w14:paraId="7E7E8BE0" w14:textId="77777777" w:rsidR="00AD3789" w:rsidRPr="00FE4243" w:rsidRDefault="00AD3789" w:rsidP="001E7557">
            <w:pPr>
              <w:jc w:val="left"/>
              <w:rPr>
                <w:rFonts w:ascii="Arial Narrow" w:hAnsi="Arial Narrow"/>
                <w:sz w:val="20"/>
                <w:szCs w:val="20"/>
              </w:rPr>
            </w:pPr>
            <w:r w:rsidRPr="00E2580F">
              <w:rPr>
                <w:rFonts w:ascii="Arial Narrow" w:hAnsi="Arial Narrow"/>
                <w:sz w:val="20"/>
                <w:szCs w:val="20"/>
              </w:rPr>
              <w:t>According to the TGA-approved Product Information, hospitalisation is recommended at minimum for the first 3 days of the first cycle and the first 2 days of the second cycle.</w:t>
            </w:r>
          </w:p>
        </w:tc>
      </w:tr>
      <w:tr w:rsidR="00AD3789" w:rsidRPr="00E2580F" w14:paraId="5C39DFF2" w14:textId="77777777" w:rsidTr="1797D1E5">
        <w:tc>
          <w:tcPr>
            <w:tcW w:w="944" w:type="pct"/>
          </w:tcPr>
          <w:p w14:paraId="59681A19" w14:textId="77777777" w:rsidR="00AD3789" w:rsidRPr="00FE4243" w:rsidRDefault="00AD3789" w:rsidP="001E7557">
            <w:pPr>
              <w:jc w:val="left"/>
              <w:rPr>
                <w:rFonts w:ascii="Arial Narrow" w:hAnsi="Arial Narrow"/>
                <w:b/>
                <w:bCs/>
                <w:sz w:val="20"/>
                <w:szCs w:val="20"/>
              </w:rPr>
            </w:pPr>
            <w:r>
              <w:rPr>
                <w:rFonts w:ascii="Arial Narrow" w:hAnsi="Arial Narrow"/>
                <w:b/>
                <w:bCs/>
                <w:sz w:val="20"/>
                <w:szCs w:val="20"/>
              </w:rPr>
              <w:t>Prescribing instructions:</w:t>
            </w:r>
          </w:p>
        </w:tc>
        <w:tc>
          <w:tcPr>
            <w:tcW w:w="4056" w:type="pct"/>
          </w:tcPr>
          <w:p w14:paraId="09BE150A" w14:textId="77777777" w:rsidR="00AD3789" w:rsidRPr="00FE4243" w:rsidRDefault="00AD3789" w:rsidP="001E7557">
            <w:pPr>
              <w:jc w:val="left"/>
              <w:rPr>
                <w:rFonts w:ascii="Arial Narrow" w:hAnsi="Arial Narrow"/>
                <w:sz w:val="20"/>
                <w:szCs w:val="20"/>
              </w:rPr>
            </w:pPr>
            <w:r w:rsidRPr="00E2580F">
              <w:rPr>
                <w:rFonts w:ascii="Arial Narrow" w:hAnsi="Arial Narrow"/>
                <w:sz w:val="20"/>
                <w:szCs w:val="20"/>
              </w:rPr>
              <w:t>For all subsequent cycle starts and re-initiation (e.g. if treatment is interrupted for four or more hours), supervision by a health care professional or hospitalisation is recommended</w:t>
            </w:r>
            <w:r>
              <w:rPr>
                <w:rFonts w:ascii="Arial Narrow" w:hAnsi="Arial Narrow"/>
                <w:sz w:val="20"/>
                <w:szCs w:val="20"/>
              </w:rPr>
              <w:t>.</w:t>
            </w:r>
          </w:p>
        </w:tc>
      </w:tr>
      <w:tr w:rsidR="00AD3789" w:rsidRPr="00E2580F" w14:paraId="7D31C02E" w14:textId="77777777" w:rsidTr="1797D1E5">
        <w:tc>
          <w:tcPr>
            <w:tcW w:w="944" w:type="pct"/>
          </w:tcPr>
          <w:p w14:paraId="33513369" w14:textId="77777777" w:rsidR="00AD3789" w:rsidRPr="00FE4243" w:rsidRDefault="00AD3789" w:rsidP="001E7557">
            <w:pPr>
              <w:jc w:val="left"/>
              <w:rPr>
                <w:rFonts w:ascii="Arial Narrow" w:hAnsi="Arial Narrow"/>
                <w:b/>
                <w:bCs/>
                <w:sz w:val="20"/>
                <w:szCs w:val="20"/>
              </w:rPr>
            </w:pPr>
            <w:r>
              <w:rPr>
                <w:rFonts w:ascii="Arial Narrow" w:hAnsi="Arial Narrow"/>
                <w:b/>
                <w:bCs/>
                <w:sz w:val="20"/>
                <w:szCs w:val="20"/>
              </w:rPr>
              <w:t>Prescribing instructions:</w:t>
            </w:r>
          </w:p>
        </w:tc>
        <w:tc>
          <w:tcPr>
            <w:tcW w:w="4056" w:type="pct"/>
          </w:tcPr>
          <w:p w14:paraId="4D2E1D95" w14:textId="77777777" w:rsidR="00AD3789" w:rsidRPr="00FE4243" w:rsidRDefault="00AD3789" w:rsidP="001E7557">
            <w:pPr>
              <w:jc w:val="left"/>
              <w:rPr>
                <w:rFonts w:ascii="Arial Narrow" w:hAnsi="Arial Narrow"/>
                <w:sz w:val="20"/>
                <w:szCs w:val="20"/>
              </w:rPr>
            </w:pPr>
            <w:r w:rsidRPr="00E2580F">
              <w:rPr>
                <w:rFonts w:ascii="Arial Narrow" w:hAnsi="Arial Narrow"/>
                <w:sz w:val="20"/>
                <w:szCs w:val="20"/>
              </w:rPr>
              <w:t>An amount of 784 mcg will be sufficient for a continuous infusion of blinatumomab over 28 days in each cycle.</w:t>
            </w:r>
          </w:p>
        </w:tc>
      </w:tr>
      <w:tr w:rsidR="00AD3789" w:rsidRPr="00E2580F" w14:paraId="232CF755" w14:textId="77777777" w:rsidTr="1797D1E5">
        <w:tc>
          <w:tcPr>
            <w:tcW w:w="944" w:type="pct"/>
          </w:tcPr>
          <w:p w14:paraId="78A6A9DB" w14:textId="77777777" w:rsidR="00AD3789" w:rsidRPr="00FE4243" w:rsidRDefault="00AD3789" w:rsidP="001E7557">
            <w:pPr>
              <w:jc w:val="left"/>
              <w:rPr>
                <w:rFonts w:ascii="Arial Narrow" w:hAnsi="Arial Narrow"/>
                <w:b/>
                <w:bCs/>
                <w:sz w:val="20"/>
                <w:szCs w:val="20"/>
              </w:rPr>
            </w:pPr>
            <w:r>
              <w:rPr>
                <w:rFonts w:ascii="Arial Narrow" w:hAnsi="Arial Narrow"/>
                <w:b/>
                <w:bCs/>
                <w:sz w:val="20"/>
                <w:szCs w:val="20"/>
              </w:rPr>
              <w:t>Prescribing instructions:</w:t>
            </w:r>
          </w:p>
        </w:tc>
        <w:tc>
          <w:tcPr>
            <w:tcW w:w="4056" w:type="pct"/>
          </w:tcPr>
          <w:p w14:paraId="2CCF2E38" w14:textId="77777777" w:rsidR="00AD3789" w:rsidRPr="00FE4243" w:rsidRDefault="00AD3789" w:rsidP="001E7557">
            <w:pPr>
              <w:jc w:val="left"/>
              <w:rPr>
                <w:rFonts w:ascii="Arial Narrow" w:hAnsi="Arial Narrow"/>
                <w:sz w:val="20"/>
                <w:szCs w:val="20"/>
              </w:rPr>
            </w:pPr>
            <w:r w:rsidRPr="00E2580F">
              <w:rPr>
                <w:rFonts w:ascii="Arial Narrow" w:hAnsi="Arial Narrow"/>
                <w:sz w:val="20"/>
                <w:szCs w:val="20"/>
              </w:rPr>
              <w:t>Blinatumomab is not PBS-subsidised if it is administered to an in-patient in a public hospital setting.</w:t>
            </w:r>
          </w:p>
        </w:tc>
      </w:tr>
      <w:tr w:rsidR="00AD3789" w:rsidRPr="00E2580F" w14:paraId="5ADE8278" w14:textId="77777777" w:rsidTr="1797D1E5">
        <w:tc>
          <w:tcPr>
            <w:tcW w:w="944" w:type="pct"/>
          </w:tcPr>
          <w:p w14:paraId="0F193B51" w14:textId="77777777" w:rsidR="00AD3789" w:rsidRPr="00FE4243" w:rsidRDefault="00AD3789" w:rsidP="001E7557">
            <w:pPr>
              <w:jc w:val="left"/>
              <w:rPr>
                <w:rFonts w:ascii="Arial Narrow" w:hAnsi="Arial Narrow"/>
                <w:b/>
                <w:bCs/>
                <w:sz w:val="20"/>
                <w:szCs w:val="20"/>
              </w:rPr>
            </w:pPr>
            <w:r>
              <w:rPr>
                <w:rFonts w:ascii="Arial Narrow" w:hAnsi="Arial Narrow"/>
                <w:b/>
                <w:bCs/>
                <w:sz w:val="20"/>
                <w:szCs w:val="20"/>
              </w:rPr>
              <w:t>Prescribing instructions:</w:t>
            </w:r>
          </w:p>
        </w:tc>
        <w:tc>
          <w:tcPr>
            <w:tcW w:w="4056" w:type="pct"/>
          </w:tcPr>
          <w:p w14:paraId="5605582F" w14:textId="77777777" w:rsidR="00AD3789" w:rsidRPr="00E2580F" w:rsidRDefault="00AD3789" w:rsidP="001E7557">
            <w:pPr>
              <w:jc w:val="left"/>
              <w:rPr>
                <w:rFonts w:ascii="Arial Narrow" w:hAnsi="Arial Narrow"/>
                <w:sz w:val="20"/>
                <w:szCs w:val="20"/>
              </w:rPr>
            </w:pPr>
            <w:r w:rsidRPr="00E2580F">
              <w:rPr>
                <w:rFonts w:ascii="Arial Narrow" w:hAnsi="Arial Narrow"/>
                <w:sz w:val="20"/>
                <w:szCs w:val="20"/>
              </w:rPr>
              <w:t>The authority application must be made in writing and must include:</w:t>
            </w:r>
          </w:p>
          <w:p w14:paraId="2614E109" w14:textId="77777777" w:rsidR="00AD3789" w:rsidRPr="00E2580F" w:rsidRDefault="00AD3789" w:rsidP="001E7557">
            <w:pPr>
              <w:jc w:val="left"/>
              <w:rPr>
                <w:rFonts w:ascii="Arial Narrow" w:hAnsi="Arial Narrow"/>
                <w:sz w:val="20"/>
                <w:szCs w:val="20"/>
              </w:rPr>
            </w:pPr>
          </w:p>
          <w:p w14:paraId="0A09E792" w14:textId="77777777" w:rsidR="00AD3789" w:rsidRPr="00E2580F" w:rsidRDefault="00AD3789" w:rsidP="001E7557">
            <w:pPr>
              <w:jc w:val="left"/>
              <w:rPr>
                <w:rFonts w:ascii="Arial Narrow" w:hAnsi="Arial Narrow"/>
                <w:sz w:val="20"/>
                <w:szCs w:val="20"/>
              </w:rPr>
            </w:pPr>
            <w:r w:rsidRPr="00E2580F">
              <w:rPr>
                <w:rFonts w:ascii="Arial Narrow" w:hAnsi="Arial Narrow"/>
                <w:sz w:val="20"/>
                <w:szCs w:val="20"/>
              </w:rPr>
              <w:t>(1) a completed authority prescription form; and</w:t>
            </w:r>
          </w:p>
          <w:p w14:paraId="39058296" w14:textId="77777777" w:rsidR="00AD3789" w:rsidRPr="00E2580F" w:rsidRDefault="00AD3789" w:rsidP="001E7557">
            <w:pPr>
              <w:jc w:val="left"/>
              <w:rPr>
                <w:rFonts w:ascii="Arial Narrow" w:hAnsi="Arial Narrow"/>
                <w:sz w:val="20"/>
                <w:szCs w:val="20"/>
              </w:rPr>
            </w:pPr>
          </w:p>
          <w:p w14:paraId="236F9753" w14:textId="77777777" w:rsidR="00AD3789" w:rsidRPr="00E2580F" w:rsidRDefault="00AD3789" w:rsidP="001E7557">
            <w:pPr>
              <w:jc w:val="left"/>
              <w:rPr>
                <w:rFonts w:ascii="Arial Narrow" w:hAnsi="Arial Narrow"/>
                <w:sz w:val="20"/>
                <w:szCs w:val="20"/>
              </w:rPr>
            </w:pPr>
            <w:r w:rsidRPr="00E2580F">
              <w:rPr>
                <w:rFonts w:ascii="Arial Narrow" w:hAnsi="Arial Narrow"/>
                <w:sz w:val="20"/>
                <w:szCs w:val="20"/>
              </w:rPr>
              <w:lastRenderedPageBreak/>
              <w:t xml:space="preserve">(2) a </w:t>
            </w:r>
            <w:r w:rsidRPr="00327E8F">
              <w:rPr>
                <w:rFonts w:ascii="Arial Narrow" w:hAnsi="Arial Narrow"/>
                <w:sz w:val="20"/>
                <w:szCs w:val="20"/>
              </w:rPr>
              <w:t xml:space="preserve">completed </w:t>
            </w:r>
            <w:r w:rsidRPr="00327E8F">
              <w:rPr>
                <w:rFonts w:ascii="Arial Narrow" w:hAnsi="Arial Narrow"/>
                <w:strike/>
                <w:sz w:val="20"/>
                <w:szCs w:val="20"/>
              </w:rPr>
              <w:t>Measurable residual disease positive</w:t>
            </w:r>
            <w:r w:rsidRPr="00327E8F">
              <w:rPr>
                <w:rFonts w:ascii="Arial Narrow" w:hAnsi="Arial Narrow"/>
                <w:sz w:val="20"/>
                <w:szCs w:val="20"/>
              </w:rPr>
              <w:t xml:space="preserve"> Acute Lymphoblastic Leukaemia </w:t>
            </w:r>
            <w:r w:rsidRPr="00327E8F">
              <w:rPr>
                <w:rFonts w:ascii="Arial Narrow" w:hAnsi="Arial Narrow"/>
                <w:i/>
                <w:iCs/>
                <w:sz w:val="20"/>
                <w:szCs w:val="20"/>
              </w:rPr>
              <w:t>in complete haematological remission</w:t>
            </w:r>
            <w:r w:rsidRPr="00327E8F">
              <w:rPr>
                <w:rFonts w:ascii="Arial Narrow" w:hAnsi="Arial Narrow"/>
                <w:sz w:val="20"/>
                <w:szCs w:val="20"/>
              </w:rPr>
              <w:t xml:space="preserve"> PBS Authority Application - Supporting Information Form; and</w:t>
            </w:r>
          </w:p>
          <w:p w14:paraId="0B0D1509" w14:textId="77777777" w:rsidR="00AD3789" w:rsidRPr="00E2580F" w:rsidRDefault="00AD3789" w:rsidP="001E7557">
            <w:pPr>
              <w:jc w:val="left"/>
              <w:rPr>
                <w:rFonts w:ascii="Arial Narrow" w:hAnsi="Arial Narrow"/>
                <w:sz w:val="20"/>
                <w:szCs w:val="20"/>
              </w:rPr>
            </w:pPr>
          </w:p>
          <w:p w14:paraId="0FECB17F" w14:textId="77777777" w:rsidR="00AD3789" w:rsidRPr="00E2580F" w:rsidRDefault="00AD3789" w:rsidP="001E7557">
            <w:pPr>
              <w:jc w:val="left"/>
              <w:rPr>
                <w:rFonts w:ascii="Arial Narrow" w:hAnsi="Arial Narrow"/>
                <w:sz w:val="20"/>
                <w:szCs w:val="20"/>
              </w:rPr>
            </w:pPr>
            <w:r w:rsidRPr="00E2580F">
              <w:rPr>
                <w:rFonts w:ascii="Arial Narrow" w:hAnsi="Arial Narrow"/>
                <w:sz w:val="20"/>
                <w:szCs w:val="20"/>
              </w:rPr>
              <w:t xml:space="preserve">(3) date of most recent chemotherapy, and if this was the initial chemotherapy regimen </w:t>
            </w:r>
            <w:r w:rsidRPr="00AA3BF6">
              <w:rPr>
                <w:rFonts w:ascii="Arial Narrow" w:hAnsi="Arial Narrow"/>
                <w:sz w:val="20"/>
                <w:szCs w:val="20"/>
              </w:rPr>
              <w:t>or salvage therapy</w:t>
            </w:r>
            <w:r w:rsidRPr="00E2580F">
              <w:rPr>
                <w:rFonts w:ascii="Arial Narrow" w:hAnsi="Arial Narrow"/>
                <w:sz w:val="20"/>
                <w:szCs w:val="20"/>
              </w:rPr>
              <w:t>; and</w:t>
            </w:r>
          </w:p>
          <w:p w14:paraId="06620399" w14:textId="77777777" w:rsidR="00AD3789" w:rsidRPr="00E2580F" w:rsidRDefault="00AD3789" w:rsidP="001E7557">
            <w:pPr>
              <w:jc w:val="left"/>
              <w:rPr>
                <w:rFonts w:ascii="Arial Narrow" w:hAnsi="Arial Narrow"/>
                <w:sz w:val="20"/>
                <w:szCs w:val="20"/>
              </w:rPr>
            </w:pPr>
          </w:p>
          <w:p w14:paraId="7930A95E" w14:textId="77777777" w:rsidR="00AD3789" w:rsidRPr="00FE4243" w:rsidRDefault="00AD3789" w:rsidP="001E7557">
            <w:pPr>
              <w:jc w:val="left"/>
              <w:rPr>
                <w:rFonts w:ascii="Arial Narrow" w:hAnsi="Arial Narrow"/>
                <w:sz w:val="20"/>
                <w:szCs w:val="20"/>
              </w:rPr>
            </w:pPr>
            <w:r w:rsidRPr="00E2580F">
              <w:rPr>
                <w:rFonts w:ascii="Arial Narrow" w:hAnsi="Arial Narrow"/>
                <w:sz w:val="20"/>
                <w:szCs w:val="20"/>
              </w:rPr>
              <w:t>(4) the percentage blasts in bone marrow count that is no more than 4 weeks old at the time of application.</w:t>
            </w:r>
          </w:p>
        </w:tc>
      </w:tr>
      <w:tr w:rsidR="00AD3789" w:rsidRPr="00E2580F" w14:paraId="65F08B66" w14:textId="77777777" w:rsidTr="1797D1E5">
        <w:tc>
          <w:tcPr>
            <w:tcW w:w="944" w:type="pct"/>
          </w:tcPr>
          <w:p w14:paraId="2540113C" w14:textId="77777777" w:rsidR="00AD3789" w:rsidRPr="00FE4243" w:rsidRDefault="00AD3789" w:rsidP="001E7557">
            <w:pPr>
              <w:jc w:val="left"/>
              <w:rPr>
                <w:rFonts w:ascii="Arial Narrow" w:hAnsi="Arial Narrow"/>
                <w:b/>
                <w:bCs/>
                <w:sz w:val="20"/>
                <w:szCs w:val="20"/>
              </w:rPr>
            </w:pPr>
            <w:r>
              <w:rPr>
                <w:rFonts w:ascii="Arial Narrow" w:hAnsi="Arial Narrow"/>
                <w:b/>
                <w:bCs/>
                <w:sz w:val="20"/>
                <w:szCs w:val="20"/>
              </w:rPr>
              <w:lastRenderedPageBreak/>
              <w:t>Prescribing instructions:</w:t>
            </w:r>
          </w:p>
        </w:tc>
        <w:tc>
          <w:tcPr>
            <w:tcW w:w="4056" w:type="pct"/>
          </w:tcPr>
          <w:p w14:paraId="25E1E3E5" w14:textId="77777777" w:rsidR="00AD3789" w:rsidRPr="00E2580F" w:rsidRDefault="00AD3789" w:rsidP="001E7557">
            <w:pPr>
              <w:jc w:val="left"/>
              <w:rPr>
                <w:rFonts w:ascii="Arial Narrow" w:hAnsi="Arial Narrow"/>
                <w:color w:val="000000"/>
                <w:sz w:val="20"/>
                <w:szCs w:val="20"/>
              </w:rPr>
            </w:pPr>
            <w:r w:rsidRPr="00E2580F">
              <w:rPr>
                <w:rFonts w:ascii="Arial Narrow" w:hAnsi="Arial Narrow"/>
                <w:sz w:val="20"/>
                <w:szCs w:val="20"/>
              </w:rPr>
              <w:t>Patients who fail to demonstrate a response to PBS-subsidised treatment with this agent at the time where an assessment is required must cease PBS-subsidised therapy with this agent.</w:t>
            </w:r>
          </w:p>
        </w:tc>
      </w:tr>
      <w:tr w:rsidR="00AD3789" w:rsidRPr="00E2580F" w14:paraId="5B080885" w14:textId="77777777" w:rsidTr="1797D1E5">
        <w:tc>
          <w:tcPr>
            <w:tcW w:w="944" w:type="pct"/>
          </w:tcPr>
          <w:p w14:paraId="5820C5A2" w14:textId="77777777" w:rsidR="00AD3789" w:rsidRPr="00FE4243" w:rsidRDefault="00AD3789" w:rsidP="001E7557">
            <w:pPr>
              <w:jc w:val="left"/>
              <w:rPr>
                <w:rFonts w:ascii="Arial Narrow" w:hAnsi="Arial Narrow"/>
                <w:b/>
                <w:bCs/>
                <w:sz w:val="20"/>
                <w:szCs w:val="20"/>
              </w:rPr>
            </w:pPr>
          </w:p>
        </w:tc>
        <w:tc>
          <w:tcPr>
            <w:tcW w:w="4056" w:type="pct"/>
          </w:tcPr>
          <w:p w14:paraId="7C4AC22C" w14:textId="77777777" w:rsidR="00AD3789" w:rsidRPr="00E2580F" w:rsidRDefault="00AD3789" w:rsidP="001E7557">
            <w:pPr>
              <w:jc w:val="left"/>
              <w:rPr>
                <w:rFonts w:ascii="Arial Narrow" w:hAnsi="Arial Narrow"/>
                <w:color w:val="000000"/>
                <w:sz w:val="20"/>
                <w:szCs w:val="20"/>
              </w:rPr>
            </w:pPr>
          </w:p>
        </w:tc>
      </w:tr>
      <w:tr w:rsidR="00AD3789" w:rsidRPr="00E2580F" w14:paraId="5C338029" w14:textId="77777777" w:rsidTr="1797D1E5">
        <w:tc>
          <w:tcPr>
            <w:tcW w:w="944" w:type="pct"/>
          </w:tcPr>
          <w:p w14:paraId="5E3BBDF1" w14:textId="77777777" w:rsidR="00AD3789" w:rsidRPr="00FE4243" w:rsidRDefault="00AD3789" w:rsidP="001E7557">
            <w:pPr>
              <w:jc w:val="left"/>
              <w:rPr>
                <w:rFonts w:ascii="Arial Narrow" w:hAnsi="Arial Narrow"/>
                <w:b/>
                <w:bCs/>
                <w:sz w:val="20"/>
                <w:szCs w:val="20"/>
              </w:rPr>
            </w:pPr>
            <w:r w:rsidRPr="00FE4243">
              <w:rPr>
                <w:rFonts w:ascii="Arial Narrow" w:hAnsi="Arial Narrow"/>
                <w:b/>
                <w:bCs/>
                <w:sz w:val="20"/>
                <w:szCs w:val="20"/>
              </w:rPr>
              <w:t>Notes</w:t>
            </w:r>
            <w:r>
              <w:rPr>
                <w:rFonts w:ascii="Arial Narrow" w:hAnsi="Arial Narrow"/>
                <w:b/>
                <w:bCs/>
                <w:sz w:val="20"/>
                <w:szCs w:val="20"/>
              </w:rPr>
              <w:t>:</w:t>
            </w:r>
          </w:p>
        </w:tc>
        <w:tc>
          <w:tcPr>
            <w:tcW w:w="4056" w:type="pct"/>
          </w:tcPr>
          <w:p w14:paraId="34F2A868" w14:textId="77777777" w:rsidR="00AD3789" w:rsidRPr="00FE4243" w:rsidRDefault="00AD3789" w:rsidP="001E7557">
            <w:pPr>
              <w:jc w:val="left"/>
              <w:rPr>
                <w:rFonts w:ascii="Arial Narrow" w:hAnsi="Arial Narrow"/>
                <w:sz w:val="20"/>
                <w:szCs w:val="20"/>
              </w:rPr>
            </w:pPr>
            <w:r w:rsidRPr="00E2580F">
              <w:rPr>
                <w:rFonts w:ascii="Arial Narrow" w:hAnsi="Arial Narrow"/>
                <w:sz w:val="20"/>
                <w:szCs w:val="20"/>
              </w:rPr>
              <w:t>A complete remission is defined as bone marrow blasts of less than or equal to 5%, no evidence of disease and a full recovery of peripheral blood counts with platelets of greater than 100,000 per microliter, and absolute neutrophil count (ANC) of greater than 1,000 per microliter.</w:t>
            </w:r>
          </w:p>
        </w:tc>
      </w:tr>
      <w:tr w:rsidR="00AD3789" w:rsidRPr="00E2580F" w14:paraId="5CAB80D2" w14:textId="77777777" w:rsidTr="1797D1E5">
        <w:tc>
          <w:tcPr>
            <w:tcW w:w="944" w:type="pct"/>
          </w:tcPr>
          <w:p w14:paraId="3EC891B1" w14:textId="77777777" w:rsidR="00AD3789" w:rsidRPr="00FE4243" w:rsidRDefault="00AD3789" w:rsidP="001E7557">
            <w:pPr>
              <w:jc w:val="left"/>
              <w:rPr>
                <w:rFonts w:ascii="Arial Narrow" w:hAnsi="Arial Narrow"/>
                <w:b/>
                <w:bCs/>
                <w:sz w:val="20"/>
                <w:szCs w:val="20"/>
              </w:rPr>
            </w:pPr>
          </w:p>
        </w:tc>
        <w:tc>
          <w:tcPr>
            <w:tcW w:w="4056" w:type="pct"/>
          </w:tcPr>
          <w:p w14:paraId="2F8A0340" w14:textId="77777777" w:rsidR="00AD3789" w:rsidRPr="00E2580F" w:rsidRDefault="00AD3789" w:rsidP="001E7557">
            <w:pPr>
              <w:jc w:val="left"/>
              <w:rPr>
                <w:rFonts w:ascii="Arial Narrow" w:hAnsi="Arial Narrow"/>
                <w:sz w:val="20"/>
                <w:szCs w:val="20"/>
              </w:rPr>
            </w:pPr>
          </w:p>
        </w:tc>
      </w:tr>
      <w:tr w:rsidR="00AD3789" w:rsidRPr="00E2580F" w14:paraId="26E37862" w14:textId="77777777" w:rsidTr="1797D1E5">
        <w:tc>
          <w:tcPr>
            <w:tcW w:w="944" w:type="pct"/>
          </w:tcPr>
          <w:p w14:paraId="3A79D893" w14:textId="77777777" w:rsidR="00AD3789" w:rsidRPr="00FE4243" w:rsidRDefault="00AD3789" w:rsidP="001E7557">
            <w:pPr>
              <w:jc w:val="left"/>
              <w:rPr>
                <w:rFonts w:ascii="Arial Narrow" w:hAnsi="Arial Narrow"/>
                <w:b/>
                <w:bCs/>
                <w:sz w:val="20"/>
                <w:szCs w:val="20"/>
              </w:rPr>
            </w:pPr>
            <w:r>
              <w:rPr>
                <w:rFonts w:ascii="Arial Narrow" w:hAnsi="Arial Narrow"/>
                <w:b/>
                <w:bCs/>
                <w:sz w:val="20"/>
                <w:szCs w:val="20"/>
              </w:rPr>
              <w:t>Administrative advice:</w:t>
            </w:r>
          </w:p>
        </w:tc>
        <w:tc>
          <w:tcPr>
            <w:tcW w:w="4056" w:type="pct"/>
          </w:tcPr>
          <w:p w14:paraId="6F764289" w14:textId="77777777" w:rsidR="00AD3789" w:rsidRPr="00E2580F" w:rsidRDefault="00AD3789" w:rsidP="001E7557">
            <w:pPr>
              <w:jc w:val="left"/>
              <w:rPr>
                <w:rFonts w:ascii="Arial Narrow" w:hAnsi="Arial Narrow"/>
                <w:sz w:val="20"/>
                <w:szCs w:val="20"/>
              </w:rPr>
            </w:pPr>
            <w:r w:rsidRPr="00E2580F">
              <w:rPr>
                <w:rFonts w:ascii="Arial Narrow" w:hAnsi="Arial Narrow"/>
                <w:sz w:val="20"/>
                <w:szCs w:val="20"/>
              </w:rPr>
              <w:t xml:space="preserve">No increase in the maximum number of repeats may be authorised. </w:t>
            </w:r>
          </w:p>
        </w:tc>
      </w:tr>
      <w:tr w:rsidR="00AD3789" w:rsidRPr="00E2580F" w14:paraId="6A829D8C" w14:textId="77777777" w:rsidTr="1797D1E5">
        <w:tc>
          <w:tcPr>
            <w:tcW w:w="944" w:type="pct"/>
          </w:tcPr>
          <w:p w14:paraId="7F8E0FC1" w14:textId="77777777" w:rsidR="00AD3789" w:rsidRPr="00FE4243" w:rsidRDefault="00AD3789" w:rsidP="001E7557">
            <w:pPr>
              <w:jc w:val="left"/>
              <w:rPr>
                <w:rFonts w:ascii="Arial Narrow" w:hAnsi="Arial Narrow"/>
                <w:b/>
                <w:bCs/>
                <w:sz w:val="20"/>
                <w:szCs w:val="20"/>
              </w:rPr>
            </w:pPr>
            <w:r>
              <w:rPr>
                <w:rFonts w:ascii="Arial Narrow" w:hAnsi="Arial Narrow"/>
                <w:b/>
                <w:bCs/>
                <w:sz w:val="20"/>
                <w:szCs w:val="20"/>
              </w:rPr>
              <w:t>Administrative advice:</w:t>
            </w:r>
          </w:p>
        </w:tc>
        <w:tc>
          <w:tcPr>
            <w:tcW w:w="4056" w:type="pct"/>
          </w:tcPr>
          <w:p w14:paraId="07FF5C3F" w14:textId="77777777" w:rsidR="00AD3789" w:rsidRPr="00E2580F" w:rsidRDefault="00AD3789" w:rsidP="001E7557">
            <w:pPr>
              <w:jc w:val="left"/>
              <w:rPr>
                <w:rFonts w:ascii="Arial Narrow" w:hAnsi="Arial Narrow"/>
                <w:sz w:val="20"/>
                <w:szCs w:val="20"/>
              </w:rPr>
            </w:pPr>
            <w:r w:rsidRPr="00E2580F">
              <w:rPr>
                <w:rFonts w:ascii="Arial Narrow" w:hAnsi="Arial Narrow"/>
                <w:sz w:val="20"/>
                <w:szCs w:val="20"/>
              </w:rPr>
              <w:t xml:space="preserve">No increase in the maximum quantity or number of units may be authorised. </w:t>
            </w:r>
          </w:p>
        </w:tc>
      </w:tr>
      <w:tr w:rsidR="00AD3789" w:rsidRPr="00E2580F" w14:paraId="08A0D91B" w14:textId="77777777" w:rsidTr="1797D1E5">
        <w:tc>
          <w:tcPr>
            <w:tcW w:w="944" w:type="pct"/>
          </w:tcPr>
          <w:p w14:paraId="2FE2FAB2" w14:textId="77777777" w:rsidR="00AD3789" w:rsidRPr="00FE4243" w:rsidRDefault="00AD3789" w:rsidP="001E7557">
            <w:pPr>
              <w:jc w:val="left"/>
              <w:rPr>
                <w:rFonts w:ascii="Arial Narrow" w:hAnsi="Arial Narrow"/>
                <w:b/>
                <w:bCs/>
                <w:sz w:val="20"/>
                <w:szCs w:val="20"/>
              </w:rPr>
            </w:pPr>
            <w:r>
              <w:rPr>
                <w:rFonts w:ascii="Arial Narrow" w:hAnsi="Arial Narrow"/>
                <w:b/>
                <w:bCs/>
                <w:sz w:val="20"/>
                <w:szCs w:val="20"/>
              </w:rPr>
              <w:t>Administrative advice:</w:t>
            </w:r>
          </w:p>
        </w:tc>
        <w:tc>
          <w:tcPr>
            <w:tcW w:w="4056" w:type="pct"/>
          </w:tcPr>
          <w:p w14:paraId="31B85BA7" w14:textId="77777777" w:rsidR="00AD3789" w:rsidRPr="00E2580F" w:rsidRDefault="00AD3789" w:rsidP="001E7557">
            <w:pPr>
              <w:jc w:val="left"/>
              <w:rPr>
                <w:rFonts w:ascii="Arial Narrow" w:hAnsi="Arial Narrow"/>
                <w:sz w:val="20"/>
                <w:szCs w:val="20"/>
              </w:rPr>
            </w:pPr>
            <w:r w:rsidRPr="00E2580F">
              <w:rPr>
                <w:rFonts w:ascii="Arial Narrow" w:hAnsi="Arial Narrow"/>
                <w:sz w:val="20"/>
                <w:szCs w:val="20"/>
              </w:rPr>
              <w:t>Special Pricing Arrangements apply.</w:t>
            </w:r>
          </w:p>
        </w:tc>
      </w:tr>
      <w:tr w:rsidR="00AD3789" w:rsidRPr="00E2580F" w14:paraId="54F63D48" w14:textId="77777777" w:rsidTr="1797D1E5">
        <w:tc>
          <w:tcPr>
            <w:tcW w:w="944" w:type="pct"/>
          </w:tcPr>
          <w:p w14:paraId="1DB5A692" w14:textId="77777777" w:rsidR="00AD3789" w:rsidRPr="009B3421" w:rsidRDefault="00AD3789" w:rsidP="001E7557">
            <w:pPr>
              <w:jc w:val="left"/>
              <w:rPr>
                <w:rFonts w:ascii="Arial Narrow" w:hAnsi="Arial Narrow"/>
                <w:b/>
                <w:bCs/>
                <w:i/>
                <w:iCs/>
                <w:sz w:val="20"/>
                <w:szCs w:val="20"/>
              </w:rPr>
            </w:pPr>
            <w:r w:rsidRPr="00663A76">
              <w:rPr>
                <w:rFonts w:ascii="Arial Narrow" w:hAnsi="Arial Narrow"/>
                <w:b/>
                <w:bCs/>
                <w:i/>
                <w:iCs/>
                <w:sz w:val="20"/>
                <w:szCs w:val="20"/>
              </w:rPr>
              <w:t>Administrative advice:</w:t>
            </w:r>
          </w:p>
        </w:tc>
        <w:tc>
          <w:tcPr>
            <w:tcW w:w="4056" w:type="pct"/>
          </w:tcPr>
          <w:p w14:paraId="5CC3E6A2" w14:textId="77777777" w:rsidR="00AD3789" w:rsidRPr="003975D6" w:rsidRDefault="00AD3789" w:rsidP="001E7557">
            <w:pPr>
              <w:tabs>
                <w:tab w:val="left" w:pos="1202"/>
              </w:tabs>
              <w:jc w:val="left"/>
              <w:rPr>
                <w:rFonts w:ascii="Arial Narrow" w:hAnsi="Arial Narrow"/>
                <w:i/>
                <w:iCs/>
                <w:sz w:val="20"/>
                <w:szCs w:val="20"/>
              </w:rPr>
            </w:pPr>
            <w:r w:rsidRPr="003975D6">
              <w:rPr>
                <w:rFonts w:ascii="Arial Narrow" w:hAnsi="Arial Narrow"/>
                <w:i/>
                <w:iCs/>
                <w:sz w:val="20"/>
                <w:szCs w:val="20"/>
              </w:rPr>
              <w:t>Any queries concerning the arrangements to prescribe may be directed to Services Australia on 1800 700 270 (hours of operation 8 a.m. to 5 p.m. Monday to Friday).</w:t>
            </w:r>
          </w:p>
          <w:p w14:paraId="6273CC83" w14:textId="77777777" w:rsidR="00AD3789" w:rsidRPr="003975D6" w:rsidRDefault="00AD3789" w:rsidP="001E7557">
            <w:pPr>
              <w:tabs>
                <w:tab w:val="left" w:pos="1202"/>
              </w:tabs>
              <w:jc w:val="left"/>
              <w:rPr>
                <w:rFonts w:ascii="Arial Narrow" w:hAnsi="Arial Narrow"/>
                <w:i/>
                <w:iCs/>
                <w:sz w:val="20"/>
                <w:szCs w:val="20"/>
              </w:rPr>
            </w:pPr>
          </w:p>
          <w:p w14:paraId="0F799A81" w14:textId="77777777" w:rsidR="00AD3789" w:rsidRPr="003975D6" w:rsidRDefault="00AD3789" w:rsidP="001E7557">
            <w:pPr>
              <w:tabs>
                <w:tab w:val="left" w:pos="1202"/>
              </w:tabs>
              <w:jc w:val="left"/>
              <w:rPr>
                <w:rFonts w:ascii="Arial Narrow" w:hAnsi="Arial Narrow"/>
                <w:i/>
                <w:iCs/>
                <w:sz w:val="20"/>
                <w:szCs w:val="20"/>
              </w:rPr>
            </w:pPr>
            <w:r w:rsidRPr="003975D6">
              <w:rPr>
                <w:rFonts w:ascii="Arial Narrow" w:hAnsi="Arial Narrow"/>
                <w:i/>
                <w:iCs/>
                <w:sz w:val="20"/>
                <w:szCs w:val="20"/>
              </w:rPr>
              <w:t>Prescribing information (including Authority Application forms and other relevant documentation as applicable) is available on the Services Australia website at www.servicesaustralia.gov.au</w:t>
            </w:r>
          </w:p>
          <w:p w14:paraId="47290355" w14:textId="77777777" w:rsidR="00AD3789" w:rsidRPr="003975D6" w:rsidRDefault="00AD3789" w:rsidP="001E7557">
            <w:pPr>
              <w:tabs>
                <w:tab w:val="left" w:pos="1202"/>
              </w:tabs>
              <w:jc w:val="left"/>
              <w:rPr>
                <w:rFonts w:ascii="Arial Narrow" w:hAnsi="Arial Narrow"/>
                <w:i/>
                <w:iCs/>
                <w:sz w:val="20"/>
                <w:szCs w:val="20"/>
              </w:rPr>
            </w:pPr>
          </w:p>
          <w:p w14:paraId="0B719DC3" w14:textId="77777777" w:rsidR="00AD3789" w:rsidRPr="003975D6" w:rsidRDefault="00AD3789" w:rsidP="001E7557">
            <w:pPr>
              <w:tabs>
                <w:tab w:val="left" w:pos="1202"/>
              </w:tabs>
              <w:jc w:val="left"/>
              <w:rPr>
                <w:rFonts w:ascii="Arial Narrow" w:hAnsi="Arial Narrow"/>
                <w:i/>
                <w:iCs/>
                <w:sz w:val="20"/>
                <w:szCs w:val="20"/>
              </w:rPr>
            </w:pPr>
            <w:r w:rsidRPr="003975D6">
              <w:rPr>
                <w:rFonts w:ascii="Arial Narrow" w:hAnsi="Arial Narrow"/>
                <w:i/>
                <w:iCs/>
                <w:sz w:val="20"/>
                <w:szCs w:val="20"/>
              </w:rPr>
              <w:t>Applications for authority to prescribe should be submitted online using the form upload facility in Health Professional Online Services (HPOS) at www.servicesaustralia.gov.au/hpos</w:t>
            </w:r>
          </w:p>
          <w:p w14:paraId="20BDF910" w14:textId="77777777" w:rsidR="00AD3789" w:rsidRPr="003975D6" w:rsidRDefault="00AD3789" w:rsidP="001E7557">
            <w:pPr>
              <w:tabs>
                <w:tab w:val="left" w:pos="1202"/>
              </w:tabs>
              <w:jc w:val="left"/>
              <w:rPr>
                <w:rFonts w:ascii="Arial Narrow" w:hAnsi="Arial Narrow"/>
                <w:i/>
                <w:iCs/>
                <w:sz w:val="20"/>
                <w:szCs w:val="20"/>
              </w:rPr>
            </w:pPr>
          </w:p>
          <w:p w14:paraId="3308AFA2" w14:textId="77777777" w:rsidR="00AD3789" w:rsidRPr="003975D6" w:rsidRDefault="00AD3789" w:rsidP="001E7557">
            <w:pPr>
              <w:tabs>
                <w:tab w:val="left" w:pos="1202"/>
              </w:tabs>
              <w:jc w:val="left"/>
              <w:rPr>
                <w:rFonts w:ascii="Arial Narrow" w:hAnsi="Arial Narrow"/>
                <w:i/>
                <w:iCs/>
                <w:sz w:val="20"/>
                <w:szCs w:val="20"/>
              </w:rPr>
            </w:pPr>
            <w:r w:rsidRPr="003975D6">
              <w:rPr>
                <w:rFonts w:ascii="Arial Narrow" w:hAnsi="Arial Narrow"/>
                <w:i/>
                <w:iCs/>
                <w:sz w:val="20"/>
                <w:szCs w:val="20"/>
              </w:rPr>
              <w:t>Or mailed to:</w:t>
            </w:r>
          </w:p>
          <w:p w14:paraId="0434F853" w14:textId="77777777" w:rsidR="00AD3789" w:rsidRPr="003975D6" w:rsidRDefault="00AD3789" w:rsidP="001E7557">
            <w:pPr>
              <w:tabs>
                <w:tab w:val="left" w:pos="1202"/>
              </w:tabs>
              <w:jc w:val="left"/>
              <w:rPr>
                <w:rFonts w:ascii="Arial Narrow" w:hAnsi="Arial Narrow"/>
                <w:i/>
                <w:iCs/>
                <w:sz w:val="20"/>
                <w:szCs w:val="20"/>
              </w:rPr>
            </w:pPr>
            <w:r w:rsidRPr="003975D6">
              <w:rPr>
                <w:rFonts w:ascii="Arial Narrow" w:hAnsi="Arial Narrow"/>
                <w:i/>
                <w:iCs/>
                <w:sz w:val="20"/>
                <w:szCs w:val="20"/>
              </w:rPr>
              <w:t>Services Australia</w:t>
            </w:r>
          </w:p>
          <w:p w14:paraId="1F6C5E0F" w14:textId="77777777" w:rsidR="00AD3789" w:rsidRPr="003975D6" w:rsidRDefault="00AD3789" w:rsidP="001E7557">
            <w:pPr>
              <w:tabs>
                <w:tab w:val="left" w:pos="1202"/>
              </w:tabs>
              <w:jc w:val="left"/>
              <w:rPr>
                <w:rFonts w:ascii="Arial Narrow" w:hAnsi="Arial Narrow"/>
                <w:i/>
                <w:iCs/>
                <w:sz w:val="20"/>
                <w:szCs w:val="20"/>
              </w:rPr>
            </w:pPr>
            <w:r w:rsidRPr="003975D6">
              <w:rPr>
                <w:rFonts w:ascii="Arial Narrow" w:hAnsi="Arial Narrow"/>
                <w:i/>
                <w:iCs/>
                <w:sz w:val="20"/>
                <w:szCs w:val="20"/>
              </w:rPr>
              <w:t>Complex Drugs</w:t>
            </w:r>
          </w:p>
          <w:p w14:paraId="79677259" w14:textId="77777777" w:rsidR="00AD3789" w:rsidRPr="003975D6" w:rsidRDefault="00AD3789" w:rsidP="001E7557">
            <w:pPr>
              <w:tabs>
                <w:tab w:val="left" w:pos="1202"/>
              </w:tabs>
              <w:jc w:val="left"/>
              <w:rPr>
                <w:rFonts w:ascii="Arial Narrow" w:hAnsi="Arial Narrow"/>
                <w:i/>
                <w:iCs/>
                <w:sz w:val="20"/>
                <w:szCs w:val="20"/>
              </w:rPr>
            </w:pPr>
            <w:r w:rsidRPr="003975D6">
              <w:rPr>
                <w:rFonts w:ascii="Arial Narrow" w:hAnsi="Arial Narrow"/>
                <w:i/>
                <w:iCs/>
                <w:sz w:val="20"/>
                <w:szCs w:val="20"/>
              </w:rPr>
              <w:t>Reply Paid 9826</w:t>
            </w:r>
          </w:p>
          <w:p w14:paraId="1D154B4B" w14:textId="77777777" w:rsidR="00AD3789" w:rsidRPr="009B3421" w:rsidRDefault="00AD3789" w:rsidP="001E7557">
            <w:pPr>
              <w:tabs>
                <w:tab w:val="left" w:pos="1202"/>
              </w:tabs>
              <w:jc w:val="left"/>
              <w:rPr>
                <w:rFonts w:ascii="Arial Narrow" w:hAnsi="Arial Narrow"/>
                <w:i/>
                <w:iCs/>
                <w:sz w:val="20"/>
                <w:szCs w:val="20"/>
              </w:rPr>
            </w:pPr>
            <w:r w:rsidRPr="003975D6">
              <w:rPr>
                <w:rFonts w:ascii="Arial Narrow" w:hAnsi="Arial Narrow"/>
                <w:i/>
                <w:iCs/>
                <w:sz w:val="20"/>
                <w:szCs w:val="20"/>
              </w:rPr>
              <w:t>HOBART TAS 7001</w:t>
            </w:r>
          </w:p>
        </w:tc>
      </w:tr>
      <w:tr w:rsidR="00AD3789" w:rsidRPr="00E2580F" w14:paraId="2AB466EA" w14:textId="77777777" w:rsidTr="1797D1E5">
        <w:tc>
          <w:tcPr>
            <w:tcW w:w="944" w:type="pct"/>
          </w:tcPr>
          <w:p w14:paraId="0599E67A" w14:textId="77777777" w:rsidR="00AD3789" w:rsidRPr="009B3421" w:rsidRDefault="00AD3789" w:rsidP="001E7557">
            <w:pPr>
              <w:jc w:val="left"/>
              <w:rPr>
                <w:rFonts w:ascii="Arial Narrow" w:hAnsi="Arial Narrow"/>
                <w:b/>
                <w:bCs/>
                <w:i/>
                <w:iCs/>
                <w:sz w:val="20"/>
                <w:szCs w:val="20"/>
              </w:rPr>
            </w:pPr>
            <w:r w:rsidRPr="009B3421">
              <w:rPr>
                <w:rFonts w:ascii="Arial Narrow" w:hAnsi="Arial Narrow"/>
                <w:b/>
                <w:bCs/>
                <w:i/>
                <w:iCs/>
                <w:sz w:val="20"/>
                <w:szCs w:val="20"/>
              </w:rPr>
              <w:t>Caution:</w:t>
            </w:r>
          </w:p>
        </w:tc>
        <w:tc>
          <w:tcPr>
            <w:tcW w:w="4056" w:type="pct"/>
          </w:tcPr>
          <w:p w14:paraId="7C2B7856" w14:textId="77777777" w:rsidR="00AD3789" w:rsidRPr="009B3421" w:rsidRDefault="00AD3789" w:rsidP="001E7557">
            <w:pPr>
              <w:jc w:val="left"/>
              <w:rPr>
                <w:rFonts w:ascii="Arial Narrow" w:hAnsi="Arial Narrow"/>
                <w:i/>
                <w:iCs/>
                <w:sz w:val="20"/>
                <w:szCs w:val="20"/>
              </w:rPr>
            </w:pPr>
            <w:r w:rsidRPr="009B3421">
              <w:rPr>
                <w:rFonts w:ascii="Arial Narrow" w:hAnsi="Arial Narrow"/>
                <w:i/>
                <w:iCs/>
                <w:sz w:val="20"/>
                <w:szCs w:val="20"/>
              </w:rPr>
              <w:t>Careful monitoring of patients is required due to risk of developing life-threatening Cytokine Release Syndrome, neurological toxicities and reactivation of John Cunningham virus (JC) viral infection.</w:t>
            </w:r>
          </w:p>
        </w:tc>
      </w:tr>
      <w:tr w:rsidR="00053B49" w:rsidRPr="00E2580F" w14:paraId="2D8CA2F0" w14:textId="77777777" w:rsidTr="1797D1E5">
        <w:tc>
          <w:tcPr>
            <w:tcW w:w="5000" w:type="pct"/>
            <w:gridSpan w:val="2"/>
          </w:tcPr>
          <w:p w14:paraId="603A0988" w14:textId="77777777" w:rsidR="00053B49" w:rsidRPr="009B3421" w:rsidRDefault="00053B49" w:rsidP="001E7557">
            <w:pPr>
              <w:jc w:val="left"/>
              <w:rPr>
                <w:rFonts w:ascii="Arial Narrow" w:hAnsi="Arial Narrow"/>
                <w:i/>
                <w:iCs/>
                <w:sz w:val="20"/>
                <w:szCs w:val="20"/>
              </w:rPr>
            </w:pPr>
          </w:p>
        </w:tc>
      </w:tr>
      <w:tr w:rsidR="00AD3789" w:rsidRPr="00E2580F" w14:paraId="53C3308C" w14:textId="77777777" w:rsidTr="1797D1E5">
        <w:tc>
          <w:tcPr>
            <w:tcW w:w="944" w:type="pct"/>
          </w:tcPr>
          <w:p w14:paraId="29B34729" w14:textId="77777777" w:rsidR="00AD3789" w:rsidRPr="00FE4243" w:rsidRDefault="00AD3789" w:rsidP="001E7557">
            <w:pPr>
              <w:jc w:val="left"/>
              <w:rPr>
                <w:rFonts w:ascii="Arial Narrow" w:hAnsi="Arial Narrow"/>
                <w:b/>
                <w:bCs/>
                <w:sz w:val="20"/>
                <w:szCs w:val="20"/>
              </w:rPr>
            </w:pPr>
            <w:r w:rsidRPr="00FE4243">
              <w:rPr>
                <w:rFonts w:ascii="Arial Narrow" w:hAnsi="Arial Narrow"/>
                <w:b/>
                <w:bCs/>
                <w:sz w:val="20"/>
                <w:szCs w:val="20"/>
              </w:rPr>
              <w:t>Category/Program</w:t>
            </w:r>
            <w:r>
              <w:rPr>
                <w:rFonts w:ascii="Arial Narrow" w:hAnsi="Arial Narrow"/>
                <w:b/>
                <w:bCs/>
                <w:sz w:val="20"/>
                <w:szCs w:val="20"/>
              </w:rPr>
              <w:t>:</w:t>
            </w:r>
          </w:p>
        </w:tc>
        <w:tc>
          <w:tcPr>
            <w:tcW w:w="4056" w:type="pct"/>
          </w:tcPr>
          <w:p w14:paraId="5DBDC1DD" w14:textId="1354EB5E" w:rsidR="00AD3789" w:rsidRPr="00E2580F" w:rsidRDefault="00AD3789" w:rsidP="001E7557">
            <w:pPr>
              <w:jc w:val="left"/>
              <w:rPr>
                <w:rFonts w:ascii="Arial Narrow" w:hAnsi="Arial Narrow"/>
                <w:sz w:val="20"/>
                <w:szCs w:val="20"/>
              </w:rPr>
            </w:pPr>
            <w:r w:rsidRPr="00E2580F">
              <w:rPr>
                <w:rFonts w:ascii="Arial Narrow" w:hAnsi="Arial Narrow"/>
                <w:sz w:val="20"/>
                <w:szCs w:val="20"/>
              </w:rPr>
              <w:t xml:space="preserve">Section 100 </w:t>
            </w:r>
            <w:r w:rsidR="00F64506">
              <w:rPr>
                <w:rFonts w:ascii="Arial Narrow" w:hAnsi="Arial Narrow"/>
                <w:sz w:val="20"/>
                <w:szCs w:val="20"/>
              </w:rPr>
              <w:t>EFC</w:t>
            </w:r>
            <w:r>
              <w:rPr>
                <w:rFonts w:ascii="Arial Narrow" w:hAnsi="Arial Narrow"/>
                <w:sz w:val="20"/>
                <w:szCs w:val="20"/>
              </w:rPr>
              <w:t xml:space="preserve">: </w:t>
            </w:r>
            <w:r w:rsidRPr="00E2580F">
              <w:rPr>
                <w:rFonts w:ascii="Arial Narrow" w:hAnsi="Arial Narrow"/>
                <w:sz w:val="20"/>
                <w:szCs w:val="20"/>
              </w:rPr>
              <w:t>Public Hospital Private Hospital/Private Clinic</w:t>
            </w:r>
          </w:p>
        </w:tc>
      </w:tr>
      <w:tr w:rsidR="00AD3789" w:rsidRPr="00E2580F" w14:paraId="01F84F72" w14:textId="77777777" w:rsidTr="1797D1E5">
        <w:tc>
          <w:tcPr>
            <w:tcW w:w="944" w:type="pct"/>
          </w:tcPr>
          <w:p w14:paraId="022A4EF8" w14:textId="77777777" w:rsidR="00AD3789" w:rsidRPr="00FE4243" w:rsidRDefault="00AD3789" w:rsidP="001E7557">
            <w:pPr>
              <w:jc w:val="left"/>
              <w:rPr>
                <w:rFonts w:ascii="Arial Narrow" w:hAnsi="Arial Narrow"/>
                <w:b/>
                <w:bCs/>
                <w:sz w:val="20"/>
                <w:szCs w:val="20"/>
              </w:rPr>
            </w:pPr>
            <w:r w:rsidRPr="00FE4243">
              <w:rPr>
                <w:rFonts w:ascii="Arial Narrow" w:hAnsi="Arial Narrow"/>
                <w:b/>
                <w:bCs/>
                <w:sz w:val="20"/>
                <w:szCs w:val="20"/>
              </w:rPr>
              <w:t>Prescriber type:</w:t>
            </w:r>
          </w:p>
        </w:tc>
        <w:tc>
          <w:tcPr>
            <w:tcW w:w="4056" w:type="pct"/>
          </w:tcPr>
          <w:p w14:paraId="2C2426FC" w14:textId="77777777" w:rsidR="00AD3789" w:rsidRPr="00E2580F" w:rsidRDefault="00AD3789" w:rsidP="001E7557">
            <w:pPr>
              <w:jc w:val="left"/>
              <w:rPr>
                <w:rFonts w:ascii="Arial Narrow" w:hAnsi="Arial Narrow"/>
                <w:sz w:val="20"/>
                <w:szCs w:val="20"/>
              </w:rPr>
            </w:pPr>
            <w:r w:rsidRPr="00E2580F">
              <w:rPr>
                <w:rFonts w:ascii="Arial Narrow" w:hAnsi="Arial Narrow"/>
                <w:sz w:val="20"/>
                <w:szCs w:val="20"/>
              </w:rPr>
              <w:fldChar w:fldCharType="begin" w:fldLock="1">
                <w:ffData>
                  <w:name w:val=""/>
                  <w:enabled/>
                  <w:calcOnExit w:val="0"/>
                  <w:checkBox>
                    <w:sizeAuto/>
                    <w:default w:val="1"/>
                  </w:checkBox>
                </w:ffData>
              </w:fldChar>
            </w:r>
            <w:r w:rsidRPr="00E2580F">
              <w:rPr>
                <w:rFonts w:ascii="Arial Narrow" w:hAnsi="Arial Narrow"/>
                <w:sz w:val="20"/>
                <w:szCs w:val="20"/>
              </w:rPr>
              <w:instrText xml:space="preserve"> FORMCHECKBOX </w:instrText>
            </w:r>
            <w:r w:rsidRPr="00E2580F">
              <w:rPr>
                <w:rFonts w:ascii="Arial Narrow" w:hAnsi="Arial Narrow"/>
                <w:sz w:val="20"/>
                <w:szCs w:val="20"/>
              </w:rPr>
            </w:r>
            <w:r w:rsidRPr="00E2580F">
              <w:rPr>
                <w:rFonts w:ascii="Arial Narrow" w:hAnsi="Arial Narrow"/>
                <w:sz w:val="20"/>
                <w:szCs w:val="20"/>
              </w:rPr>
              <w:fldChar w:fldCharType="separate"/>
            </w:r>
            <w:r w:rsidRPr="00E2580F">
              <w:rPr>
                <w:rFonts w:ascii="Arial Narrow" w:hAnsi="Arial Narrow"/>
                <w:sz w:val="20"/>
                <w:szCs w:val="20"/>
              </w:rPr>
              <w:fldChar w:fldCharType="end"/>
            </w:r>
            <w:r w:rsidRPr="00E2580F">
              <w:rPr>
                <w:rFonts w:ascii="Arial Narrow" w:hAnsi="Arial Narrow"/>
                <w:sz w:val="20"/>
                <w:szCs w:val="20"/>
              </w:rPr>
              <w:t xml:space="preserve">Medical Practitioners  </w:t>
            </w:r>
          </w:p>
        </w:tc>
      </w:tr>
      <w:tr w:rsidR="00AD3789" w:rsidRPr="00E2580F" w14:paraId="0AC5E458" w14:textId="77777777" w:rsidTr="1797D1E5">
        <w:tc>
          <w:tcPr>
            <w:tcW w:w="944" w:type="pct"/>
          </w:tcPr>
          <w:p w14:paraId="2E0C6DE1" w14:textId="77777777" w:rsidR="00AD3789" w:rsidRPr="00FE4243" w:rsidRDefault="00AD3789" w:rsidP="001E7557">
            <w:pPr>
              <w:jc w:val="left"/>
              <w:rPr>
                <w:rFonts w:ascii="Arial Narrow" w:hAnsi="Arial Narrow"/>
                <w:b/>
                <w:bCs/>
                <w:sz w:val="20"/>
                <w:szCs w:val="20"/>
              </w:rPr>
            </w:pPr>
            <w:r w:rsidRPr="00FE4243">
              <w:rPr>
                <w:rFonts w:ascii="Arial Narrow" w:hAnsi="Arial Narrow"/>
                <w:b/>
                <w:bCs/>
                <w:sz w:val="20"/>
                <w:szCs w:val="20"/>
              </w:rPr>
              <w:t>Condition:</w:t>
            </w:r>
          </w:p>
        </w:tc>
        <w:tc>
          <w:tcPr>
            <w:tcW w:w="4056" w:type="pct"/>
          </w:tcPr>
          <w:p w14:paraId="2DE023B0" w14:textId="77777777" w:rsidR="00AD3789" w:rsidRPr="00E2580F" w:rsidRDefault="00AD3789" w:rsidP="001E7557">
            <w:pPr>
              <w:jc w:val="left"/>
              <w:rPr>
                <w:rFonts w:ascii="Arial Narrow" w:hAnsi="Arial Narrow"/>
                <w:sz w:val="20"/>
                <w:szCs w:val="20"/>
              </w:rPr>
            </w:pPr>
            <w:r w:rsidRPr="00E2580F">
              <w:rPr>
                <w:rFonts w:ascii="Arial Narrow" w:hAnsi="Arial Narrow"/>
                <w:sz w:val="20"/>
                <w:szCs w:val="20"/>
              </w:rPr>
              <w:t>Acute lymphoblastic leukaemia (ALL)</w:t>
            </w:r>
          </w:p>
        </w:tc>
      </w:tr>
      <w:tr w:rsidR="00AD3789" w:rsidRPr="00E2580F" w14:paraId="54AF65D4" w14:textId="77777777" w:rsidTr="1797D1E5">
        <w:tc>
          <w:tcPr>
            <w:tcW w:w="944" w:type="pct"/>
          </w:tcPr>
          <w:p w14:paraId="64D5A96E" w14:textId="77777777" w:rsidR="00AD3789" w:rsidRPr="00FE4243" w:rsidRDefault="00AD3789" w:rsidP="001E7557">
            <w:pPr>
              <w:jc w:val="left"/>
              <w:rPr>
                <w:rFonts w:ascii="Arial Narrow" w:hAnsi="Arial Narrow"/>
                <w:b/>
                <w:bCs/>
                <w:sz w:val="20"/>
                <w:szCs w:val="20"/>
              </w:rPr>
            </w:pPr>
            <w:r w:rsidRPr="00FE4243">
              <w:rPr>
                <w:rFonts w:ascii="Arial Narrow" w:hAnsi="Arial Narrow"/>
                <w:b/>
                <w:bCs/>
                <w:sz w:val="20"/>
                <w:szCs w:val="20"/>
              </w:rPr>
              <w:t>PBS Indication:</w:t>
            </w:r>
          </w:p>
        </w:tc>
        <w:tc>
          <w:tcPr>
            <w:tcW w:w="4056" w:type="pct"/>
          </w:tcPr>
          <w:p w14:paraId="73D1DA44" w14:textId="77777777" w:rsidR="00AD3789" w:rsidRPr="00327E8F" w:rsidRDefault="00AD3789" w:rsidP="001E7557">
            <w:pPr>
              <w:jc w:val="left"/>
              <w:rPr>
                <w:rFonts w:ascii="Arial Narrow" w:hAnsi="Arial Narrow"/>
                <w:sz w:val="20"/>
                <w:szCs w:val="20"/>
              </w:rPr>
            </w:pPr>
            <w:r w:rsidRPr="1797D1E5">
              <w:rPr>
                <w:rFonts w:ascii="Arial Narrow" w:hAnsi="Arial Narrow"/>
                <w:strike/>
                <w:sz w:val="20"/>
                <w:szCs w:val="20"/>
              </w:rPr>
              <w:t>Measurable residual disease of</w:t>
            </w:r>
            <w:r w:rsidRPr="1797D1E5">
              <w:rPr>
                <w:rFonts w:ascii="Arial Narrow" w:hAnsi="Arial Narrow"/>
                <w:sz w:val="20"/>
                <w:szCs w:val="20"/>
              </w:rPr>
              <w:t xml:space="preserve"> precursor B-cell acute lymphoblastic leukaemia (Pre-B-cell ALL) </w:t>
            </w:r>
            <w:r w:rsidRPr="1797D1E5">
              <w:rPr>
                <w:rFonts w:ascii="Arial Narrow" w:hAnsi="Arial Narrow"/>
                <w:i/>
                <w:iCs/>
                <w:sz w:val="20"/>
                <w:szCs w:val="20"/>
              </w:rPr>
              <w:t>in complete haematological remission (CR)</w:t>
            </w:r>
          </w:p>
        </w:tc>
      </w:tr>
      <w:tr w:rsidR="00AD3789" w:rsidRPr="00E2580F" w14:paraId="6E68D5F9" w14:textId="77777777" w:rsidTr="1797D1E5">
        <w:tc>
          <w:tcPr>
            <w:tcW w:w="944" w:type="pct"/>
          </w:tcPr>
          <w:p w14:paraId="67E24B0F" w14:textId="77777777" w:rsidR="00AD3789" w:rsidRPr="00FE4243" w:rsidRDefault="00AD3789" w:rsidP="001E7557">
            <w:pPr>
              <w:jc w:val="left"/>
              <w:rPr>
                <w:rFonts w:ascii="Arial Narrow" w:hAnsi="Arial Narrow"/>
                <w:b/>
                <w:bCs/>
                <w:sz w:val="20"/>
                <w:szCs w:val="20"/>
              </w:rPr>
            </w:pPr>
            <w:r w:rsidRPr="00FE4243">
              <w:rPr>
                <w:rFonts w:ascii="Arial Narrow" w:hAnsi="Arial Narrow"/>
                <w:b/>
                <w:bCs/>
                <w:sz w:val="20"/>
                <w:szCs w:val="20"/>
              </w:rPr>
              <w:t>Restriction Level/Method:</w:t>
            </w:r>
          </w:p>
        </w:tc>
        <w:tc>
          <w:tcPr>
            <w:tcW w:w="4056" w:type="pct"/>
          </w:tcPr>
          <w:p w14:paraId="6F665E81" w14:textId="77777777" w:rsidR="00AD3789" w:rsidRPr="00327E8F" w:rsidRDefault="00AD3789" w:rsidP="001E7557">
            <w:pPr>
              <w:jc w:val="left"/>
              <w:rPr>
                <w:rFonts w:ascii="Arial Narrow" w:hAnsi="Arial Narrow"/>
                <w:sz w:val="20"/>
                <w:szCs w:val="20"/>
              </w:rPr>
            </w:pPr>
            <w:r w:rsidRPr="00327E8F">
              <w:rPr>
                <w:rFonts w:ascii="Arial Narrow" w:hAnsi="Arial Narrow"/>
                <w:sz w:val="20"/>
                <w:szCs w:val="20"/>
              </w:rPr>
              <w:fldChar w:fldCharType="begin" w:fldLock="1">
                <w:ffData>
                  <w:name w:val=""/>
                  <w:enabled/>
                  <w:calcOnExit w:val="0"/>
                  <w:checkBox>
                    <w:sizeAuto/>
                    <w:default w:val="1"/>
                  </w:checkBox>
                </w:ffData>
              </w:fldChar>
            </w:r>
            <w:r w:rsidRPr="00327E8F">
              <w:rPr>
                <w:rFonts w:ascii="Arial Narrow" w:hAnsi="Arial Narrow"/>
                <w:sz w:val="20"/>
                <w:szCs w:val="20"/>
              </w:rPr>
              <w:instrText xml:space="preserve"> FORMCHECKBOX </w:instrText>
            </w:r>
            <w:r w:rsidRPr="00327E8F">
              <w:rPr>
                <w:rFonts w:ascii="Arial Narrow" w:hAnsi="Arial Narrow"/>
                <w:sz w:val="20"/>
                <w:szCs w:val="20"/>
              </w:rPr>
            </w:r>
            <w:r w:rsidRPr="00327E8F">
              <w:rPr>
                <w:rFonts w:ascii="Arial Narrow" w:hAnsi="Arial Narrow"/>
                <w:sz w:val="20"/>
                <w:szCs w:val="20"/>
              </w:rPr>
              <w:fldChar w:fldCharType="separate"/>
            </w:r>
            <w:r w:rsidRPr="00327E8F">
              <w:rPr>
                <w:rFonts w:ascii="Arial Narrow" w:hAnsi="Arial Narrow"/>
                <w:sz w:val="20"/>
                <w:szCs w:val="20"/>
              </w:rPr>
              <w:fldChar w:fldCharType="end"/>
            </w:r>
            <w:r w:rsidRPr="00327E8F">
              <w:rPr>
                <w:rFonts w:ascii="Arial Narrow" w:hAnsi="Arial Narrow"/>
                <w:sz w:val="20"/>
                <w:szCs w:val="20"/>
              </w:rPr>
              <w:t>Authority Required - Telephone</w:t>
            </w:r>
          </w:p>
          <w:p w14:paraId="454475D2" w14:textId="77777777" w:rsidR="00AD3789" w:rsidRPr="00327E8F" w:rsidRDefault="00AD3789" w:rsidP="001E7557">
            <w:pPr>
              <w:jc w:val="left"/>
              <w:rPr>
                <w:rFonts w:ascii="Arial Narrow" w:hAnsi="Arial Narrow"/>
                <w:sz w:val="20"/>
                <w:szCs w:val="20"/>
              </w:rPr>
            </w:pPr>
            <w:r w:rsidRPr="00327E8F">
              <w:rPr>
                <w:rFonts w:ascii="Arial Narrow" w:hAnsi="Arial Narrow"/>
                <w:sz w:val="20"/>
                <w:szCs w:val="20"/>
              </w:rPr>
              <w:fldChar w:fldCharType="begin" w:fldLock="1">
                <w:ffData>
                  <w:name w:val=""/>
                  <w:enabled/>
                  <w:calcOnExit w:val="0"/>
                  <w:checkBox>
                    <w:sizeAuto/>
                    <w:default w:val="1"/>
                  </w:checkBox>
                </w:ffData>
              </w:fldChar>
            </w:r>
            <w:r w:rsidRPr="00327E8F">
              <w:rPr>
                <w:rFonts w:ascii="Arial Narrow" w:hAnsi="Arial Narrow"/>
                <w:sz w:val="20"/>
                <w:szCs w:val="20"/>
              </w:rPr>
              <w:instrText xml:space="preserve"> FORMCHECKBOX </w:instrText>
            </w:r>
            <w:r w:rsidRPr="00327E8F">
              <w:rPr>
                <w:rFonts w:ascii="Arial Narrow" w:hAnsi="Arial Narrow"/>
                <w:sz w:val="20"/>
                <w:szCs w:val="20"/>
              </w:rPr>
            </w:r>
            <w:r w:rsidRPr="00327E8F">
              <w:rPr>
                <w:rFonts w:ascii="Arial Narrow" w:hAnsi="Arial Narrow"/>
                <w:sz w:val="20"/>
                <w:szCs w:val="20"/>
              </w:rPr>
              <w:fldChar w:fldCharType="separate"/>
            </w:r>
            <w:r w:rsidRPr="00327E8F">
              <w:rPr>
                <w:rFonts w:ascii="Arial Narrow" w:hAnsi="Arial Narrow"/>
                <w:sz w:val="20"/>
                <w:szCs w:val="20"/>
              </w:rPr>
              <w:fldChar w:fldCharType="end"/>
            </w:r>
            <w:r w:rsidRPr="00327E8F">
              <w:rPr>
                <w:rFonts w:ascii="Arial Narrow" w:hAnsi="Arial Narrow"/>
                <w:sz w:val="20"/>
                <w:szCs w:val="20"/>
              </w:rPr>
              <w:t>Authority Required - Electronic</w:t>
            </w:r>
          </w:p>
        </w:tc>
      </w:tr>
      <w:tr w:rsidR="00AD3789" w:rsidRPr="00E2580F" w14:paraId="70B20AF2" w14:textId="77777777" w:rsidTr="1797D1E5">
        <w:tc>
          <w:tcPr>
            <w:tcW w:w="944" w:type="pct"/>
          </w:tcPr>
          <w:p w14:paraId="46E5A5BF" w14:textId="77777777" w:rsidR="00AD3789" w:rsidRPr="00FE4243" w:rsidRDefault="00AD3789" w:rsidP="001E7557">
            <w:pPr>
              <w:jc w:val="left"/>
              <w:rPr>
                <w:rFonts w:ascii="Arial Narrow" w:hAnsi="Arial Narrow"/>
                <w:b/>
                <w:bCs/>
                <w:sz w:val="20"/>
                <w:szCs w:val="20"/>
              </w:rPr>
            </w:pPr>
            <w:r w:rsidRPr="00FE4243">
              <w:rPr>
                <w:rFonts w:ascii="Arial Narrow" w:hAnsi="Arial Narrow"/>
                <w:b/>
                <w:bCs/>
                <w:sz w:val="20"/>
                <w:szCs w:val="20"/>
              </w:rPr>
              <w:t>Treatment phase</w:t>
            </w:r>
            <w:r>
              <w:rPr>
                <w:rFonts w:ascii="Arial Narrow" w:hAnsi="Arial Narrow"/>
                <w:b/>
                <w:bCs/>
                <w:sz w:val="20"/>
                <w:szCs w:val="20"/>
              </w:rPr>
              <w:t>:</w:t>
            </w:r>
          </w:p>
        </w:tc>
        <w:tc>
          <w:tcPr>
            <w:tcW w:w="4056" w:type="pct"/>
          </w:tcPr>
          <w:p w14:paraId="731466A0" w14:textId="77777777" w:rsidR="00AD3789" w:rsidRPr="00327E8F" w:rsidRDefault="00AD3789" w:rsidP="001E7557">
            <w:pPr>
              <w:jc w:val="left"/>
              <w:rPr>
                <w:rFonts w:ascii="Arial Narrow" w:hAnsi="Arial Narrow"/>
                <w:sz w:val="20"/>
                <w:szCs w:val="20"/>
              </w:rPr>
            </w:pPr>
            <w:r w:rsidRPr="1797D1E5">
              <w:rPr>
                <w:rFonts w:ascii="Arial Narrow" w:hAnsi="Arial Narrow"/>
                <w:sz w:val="20"/>
                <w:szCs w:val="20"/>
              </w:rPr>
              <w:t xml:space="preserve">Continuing treatment of previously </w:t>
            </w:r>
            <w:r w:rsidRPr="1797D1E5">
              <w:rPr>
                <w:rFonts w:ascii="Arial Narrow" w:hAnsi="Arial Narrow"/>
                <w:strike/>
                <w:sz w:val="20"/>
                <w:szCs w:val="20"/>
              </w:rPr>
              <w:t>measurable residual disease</w:t>
            </w:r>
            <w:r w:rsidRPr="1797D1E5">
              <w:rPr>
                <w:rFonts w:ascii="Arial Narrow" w:hAnsi="Arial Narrow"/>
                <w:sz w:val="20"/>
                <w:szCs w:val="20"/>
              </w:rPr>
              <w:t xml:space="preserve"> </w:t>
            </w:r>
            <w:r w:rsidRPr="1797D1E5">
              <w:rPr>
                <w:rFonts w:ascii="Arial Narrow" w:hAnsi="Arial Narrow"/>
                <w:strike/>
                <w:sz w:val="20"/>
                <w:szCs w:val="20"/>
              </w:rPr>
              <w:t>of</w:t>
            </w:r>
            <w:r w:rsidRPr="1797D1E5">
              <w:rPr>
                <w:rFonts w:ascii="Arial Narrow" w:hAnsi="Arial Narrow"/>
                <w:sz w:val="20"/>
                <w:szCs w:val="20"/>
              </w:rPr>
              <w:t xml:space="preserve"> Pre-B-cell ALL </w:t>
            </w:r>
            <w:r w:rsidRPr="1797D1E5">
              <w:rPr>
                <w:rFonts w:ascii="Arial Narrow" w:hAnsi="Arial Narrow"/>
                <w:i/>
                <w:iCs/>
                <w:sz w:val="20"/>
                <w:szCs w:val="20"/>
              </w:rPr>
              <w:t>in CR</w:t>
            </w:r>
          </w:p>
        </w:tc>
      </w:tr>
      <w:tr w:rsidR="00AD3789" w:rsidRPr="00E2580F" w14:paraId="3D63B011" w14:textId="77777777" w:rsidTr="1797D1E5">
        <w:tc>
          <w:tcPr>
            <w:tcW w:w="944" w:type="pct"/>
          </w:tcPr>
          <w:p w14:paraId="795AEBCF" w14:textId="77777777" w:rsidR="00AD3789" w:rsidRPr="00FE4243" w:rsidRDefault="00AD3789" w:rsidP="001E7557">
            <w:pPr>
              <w:jc w:val="left"/>
              <w:rPr>
                <w:rFonts w:ascii="Arial Narrow" w:hAnsi="Arial Narrow"/>
                <w:b/>
                <w:bCs/>
                <w:sz w:val="20"/>
                <w:szCs w:val="20"/>
              </w:rPr>
            </w:pPr>
          </w:p>
        </w:tc>
        <w:tc>
          <w:tcPr>
            <w:tcW w:w="4056" w:type="pct"/>
          </w:tcPr>
          <w:p w14:paraId="301554D1" w14:textId="77777777" w:rsidR="00AD3789" w:rsidRPr="00E2580F" w:rsidRDefault="00AD3789" w:rsidP="001E7557">
            <w:pPr>
              <w:jc w:val="left"/>
              <w:rPr>
                <w:rFonts w:ascii="Arial Narrow" w:hAnsi="Arial Narrow"/>
                <w:sz w:val="20"/>
                <w:szCs w:val="20"/>
              </w:rPr>
            </w:pPr>
          </w:p>
        </w:tc>
      </w:tr>
      <w:tr w:rsidR="00AD3789" w:rsidRPr="00E2580F" w14:paraId="062E0B3E" w14:textId="77777777" w:rsidTr="1797D1E5">
        <w:tc>
          <w:tcPr>
            <w:tcW w:w="944" w:type="pct"/>
          </w:tcPr>
          <w:p w14:paraId="3466435C" w14:textId="77777777" w:rsidR="00AD3789" w:rsidRPr="00FE4243" w:rsidRDefault="00AD3789" w:rsidP="001E7557">
            <w:pPr>
              <w:jc w:val="left"/>
              <w:rPr>
                <w:rFonts w:ascii="Arial Narrow" w:hAnsi="Arial Narrow"/>
                <w:b/>
                <w:bCs/>
                <w:sz w:val="20"/>
                <w:szCs w:val="20"/>
              </w:rPr>
            </w:pPr>
            <w:r w:rsidRPr="00FE4243">
              <w:rPr>
                <w:rFonts w:ascii="Arial Narrow" w:hAnsi="Arial Narrow"/>
                <w:b/>
                <w:bCs/>
                <w:sz w:val="20"/>
                <w:szCs w:val="20"/>
              </w:rPr>
              <w:t>Treatment criteria:</w:t>
            </w:r>
          </w:p>
        </w:tc>
        <w:tc>
          <w:tcPr>
            <w:tcW w:w="4056" w:type="pct"/>
          </w:tcPr>
          <w:p w14:paraId="5232E954" w14:textId="77777777" w:rsidR="00AD3789" w:rsidRPr="00E2580F" w:rsidRDefault="00AD3789" w:rsidP="001E7557">
            <w:pPr>
              <w:jc w:val="left"/>
              <w:rPr>
                <w:rFonts w:ascii="Arial Narrow" w:hAnsi="Arial Narrow"/>
                <w:color w:val="000000"/>
                <w:sz w:val="20"/>
                <w:szCs w:val="20"/>
              </w:rPr>
            </w:pPr>
            <w:r w:rsidRPr="00E2580F">
              <w:rPr>
                <w:rFonts w:ascii="Arial Narrow" w:hAnsi="Arial Narrow"/>
                <w:color w:val="000000"/>
                <w:sz w:val="20"/>
                <w:szCs w:val="20"/>
              </w:rPr>
              <w:t>Must be treated by a physician experienced in the treatment of haematological malignancies.</w:t>
            </w:r>
          </w:p>
        </w:tc>
      </w:tr>
      <w:tr w:rsidR="00AD3789" w:rsidRPr="00E2580F" w14:paraId="16857302" w14:textId="77777777" w:rsidTr="1797D1E5">
        <w:tc>
          <w:tcPr>
            <w:tcW w:w="944" w:type="pct"/>
          </w:tcPr>
          <w:p w14:paraId="2F720731" w14:textId="77777777" w:rsidR="00AD3789" w:rsidRPr="00FE4243" w:rsidRDefault="00AD3789" w:rsidP="001E7557">
            <w:pPr>
              <w:jc w:val="left"/>
              <w:rPr>
                <w:rFonts w:ascii="Arial Narrow" w:hAnsi="Arial Narrow"/>
                <w:b/>
                <w:bCs/>
                <w:sz w:val="20"/>
                <w:szCs w:val="20"/>
              </w:rPr>
            </w:pPr>
          </w:p>
        </w:tc>
        <w:tc>
          <w:tcPr>
            <w:tcW w:w="4056" w:type="pct"/>
          </w:tcPr>
          <w:p w14:paraId="448AA915" w14:textId="77777777" w:rsidR="00AD3789" w:rsidRPr="00E2580F" w:rsidRDefault="00AD3789" w:rsidP="001E7557">
            <w:pPr>
              <w:jc w:val="left"/>
              <w:rPr>
                <w:rFonts w:ascii="Arial Narrow" w:hAnsi="Arial Narrow"/>
                <w:sz w:val="20"/>
                <w:szCs w:val="20"/>
              </w:rPr>
            </w:pPr>
          </w:p>
        </w:tc>
      </w:tr>
      <w:tr w:rsidR="00AD3789" w:rsidRPr="00E2580F" w14:paraId="6C02B947" w14:textId="77777777" w:rsidTr="1797D1E5">
        <w:tc>
          <w:tcPr>
            <w:tcW w:w="944" w:type="pct"/>
          </w:tcPr>
          <w:p w14:paraId="1899C82E" w14:textId="77777777" w:rsidR="00AD3789" w:rsidRPr="00FE4243" w:rsidRDefault="00AD3789" w:rsidP="001E7557">
            <w:pPr>
              <w:jc w:val="left"/>
              <w:rPr>
                <w:rFonts w:ascii="Arial Narrow" w:hAnsi="Arial Narrow"/>
                <w:b/>
                <w:bCs/>
                <w:sz w:val="20"/>
                <w:szCs w:val="20"/>
              </w:rPr>
            </w:pPr>
            <w:r w:rsidRPr="00FE4243">
              <w:rPr>
                <w:rFonts w:ascii="Arial Narrow" w:hAnsi="Arial Narrow"/>
                <w:b/>
                <w:bCs/>
                <w:sz w:val="20"/>
                <w:szCs w:val="20"/>
              </w:rPr>
              <w:t>Clinical criteria:</w:t>
            </w:r>
          </w:p>
        </w:tc>
        <w:tc>
          <w:tcPr>
            <w:tcW w:w="4056" w:type="pct"/>
          </w:tcPr>
          <w:p w14:paraId="5EA145E1" w14:textId="77777777" w:rsidR="00AD3789" w:rsidRPr="00FE4243" w:rsidRDefault="00AD3789" w:rsidP="001E7557">
            <w:pPr>
              <w:jc w:val="left"/>
              <w:rPr>
                <w:rFonts w:ascii="Arial Narrow" w:hAnsi="Arial Narrow"/>
                <w:sz w:val="20"/>
                <w:szCs w:val="20"/>
              </w:rPr>
            </w:pPr>
            <w:r w:rsidRPr="00E2580F">
              <w:rPr>
                <w:rFonts w:ascii="Arial Narrow" w:hAnsi="Arial Narrow"/>
                <w:sz w:val="20"/>
                <w:szCs w:val="20"/>
              </w:rPr>
              <w:t>Patient must have previously received PBS-subsidised initial treatment with this drug for this condition,</w:t>
            </w:r>
          </w:p>
        </w:tc>
      </w:tr>
      <w:tr w:rsidR="00AD3789" w:rsidRPr="00E2580F" w14:paraId="588FD5CC" w14:textId="77777777" w:rsidTr="1797D1E5">
        <w:tc>
          <w:tcPr>
            <w:tcW w:w="944" w:type="pct"/>
          </w:tcPr>
          <w:p w14:paraId="3F8AD241" w14:textId="77777777" w:rsidR="00AD3789" w:rsidRPr="00FE4243" w:rsidRDefault="00AD3789" w:rsidP="001E7557">
            <w:pPr>
              <w:jc w:val="left"/>
              <w:rPr>
                <w:rFonts w:ascii="Arial Narrow" w:hAnsi="Arial Narrow"/>
                <w:b/>
                <w:bCs/>
                <w:sz w:val="20"/>
                <w:szCs w:val="20"/>
              </w:rPr>
            </w:pPr>
          </w:p>
        </w:tc>
        <w:tc>
          <w:tcPr>
            <w:tcW w:w="4056" w:type="pct"/>
          </w:tcPr>
          <w:p w14:paraId="4BB0CC06" w14:textId="77777777" w:rsidR="00AD3789" w:rsidRPr="00FE4243" w:rsidRDefault="00AD3789" w:rsidP="001E7557">
            <w:pPr>
              <w:jc w:val="left"/>
              <w:rPr>
                <w:rFonts w:ascii="Arial Narrow" w:hAnsi="Arial Narrow"/>
                <w:b/>
                <w:bCs/>
                <w:color w:val="000000"/>
                <w:sz w:val="20"/>
                <w:szCs w:val="20"/>
              </w:rPr>
            </w:pPr>
            <w:r w:rsidRPr="00FE4243">
              <w:rPr>
                <w:rFonts w:ascii="Arial Narrow" w:hAnsi="Arial Narrow"/>
                <w:b/>
                <w:bCs/>
                <w:color w:val="000000"/>
                <w:sz w:val="20"/>
                <w:szCs w:val="20"/>
              </w:rPr>
              <w:t>AND</w:t>
            </w:r>
          </w:p>
        </w:tc>
      </w:tr>
      <w:tr w:rsidR="00AD3789" w:rsidRPr="00E2580F" w14:paraId="77416EDD" w14:textId="77777777" w:rsidTr="1797D1E5">
        <w:tc>
          <w:tcPr>
            <w:tcW w:w="944" w:type="pct"/>
          </w:tcPr>
          <w:p w14:paraId="2109E839" w14:textId="77777777" w:rsidR="00AD3789" w:rsidRPr="00FE4243" w:rsidRDefault="00AD3789" w:rsidP="001E7557">
            <w:pPr>
              <w:jc w:val="left"/>
              <w:rPr>
                <w:rFonts w:ascii="Arial Narrow" w:hAnsi="Arial Narrow"/>
                <w:b/>
                <w:bCs/>
                <w:sz w:val="20"/>
                <w:szCs w:val="20"/>
              </w:rPr>
            </w:pPr>
            <w:r w:rsidRPr="00FE4243">
              <w:rPr>
                <w:rFonts w:ascii="Arial Narrow" w:hAnsi="Arial Narrow"/>
                <w:b/>
                <w:bCs/>
                <w:sz w:val="20"/>
                <w:szCs w:val="20"/>
              </w:rPr>
              <w:t>Clinical criteria:</w:t>
            </w:r>
          </w:p>
        </w:tc>
        <w:tc>
          <w:tcPr>
            <w:tcW w:w="4056" w:type="pct"/>
          </w:tcPr>
          <w:p w14:paraId="141EA8E1" w14:textId="77777777" w:rsidR="00AD3789" w:rsidRPr="00FE4243" w:rsidRDefault="00AD3789" w:rsidP="001E7557">
            <w:pPr>
              <w:jc w:val="left"/>
              <w:rPr>
                <w:rFonts w:ascii="Arial Narrow" w:hAnsi="Arial Narrow"/>
                <w:sz w:val="20"/>
                <w:szCs w:val="20"/>
              </w:rPr>
            </w:pPr>
            <w:r w:rsidRPr="00E2580F">
              <w:rPr>
                <w:rFonts w:ascii="Arial Narrow" w:hAnsi="Arial Narrow"/>
                <w:sz w:val="20"/>
                <w:szCs w:val="20"/>
              </w:rPr>
              <w:t>Patient must have achieved a complete remission,</w:t>
            </w:r>
          </w:p>
        </w:tc>
      </w:tr>
      <w:tr w:rsidR="00AD3789" w:rsidRPr="00E2580F" w14:paraId="178247EB" w14:textId="77777777" w:rsidTr="1797D1E5">
        <w:tc>
          <w:tcPr>
            <w:tcW w:w="944" w:type="pct"/>
          </w:tcPr>
          <w:p w14:paraId="24471E28" w14:textId="77777777" w:rsidR="00AD3789" w:rsidRPr="00FE4243" w:rsidRDefault="00AD3789" w:rsidP="001E7557">
            <w:pPr>
              <w:jc w:val="left"/>
              <w:rPr>
                <w:rFonts w:ascii="Arial Narrow" w:hAnsi="Arial Narrow"/>
                <w:b/>
                <w:bCs/>
                <w:sz w:val="20"/>
                <w:szCs w:val="20"/>
              </w:rPr>
            </w:pPr>
          </w:p>
        </w:tc>
        <w:tc>
          <w:tcPr>
            <w:tcW w:w="4056" w:type="pct"/>
          </w:tcPr>
          <w:p w14:paraId="575CA066" w14:textId="77777777" w:rsidR="00AD3789" w:rsidRPr="00FE4243" w:rsidRDefault="00AD3789" w:rsidP="001E7557">
            <w:pPr>
              <w:jc w:val="left"/>
              <w:rPr>
                <w:rFonts w:ascii="Arial Narrow" w:hAnsi="Arial Narrow"/>
                <w:b/>
                <w:bCs/>
                <w:color w:val="000000"/>
                <w:sz w:val="20"/>
                <w:szCs w:val="20"/>
              </w:rPr>
            </w:pPr>
            <w:r w:rsidRPr="00FE4243">
              <w:rPr>
                <w:rFonts w:ascii="Arial Narrow" w:hAnsi="Arial Narrow"/>
                <w:b/>
                <w:bCs/>
                <w:color w:val="000000"/>
                <w:sz w:val="20"/>
                <w:szCs w:val="20"/>
              </w:rPr>
              <w:t>AND</w:t>
            </w:r>
          </w:p>
        </w:tc>
      </w:tr>
      <w:tr w:rsidR="00AD3789" w:rsidRPr="00E2580F" w14:paraId="4BB36FA8" w14:textId="77777777" w:rsidTr="1797D1E5">
        <w:tc>
          <w:tcPr>
            <w:tcW w:w="944" w:type="pct"/>
          </w:tcPr>
          <w:p w14:paraId="7C0DB432" w14:textId="77777777" w:rsidR="00AD3789" w:rsidRPr="00FE4243" w:rsidRDefault="00AD3789" w:rsidP="001E7557">
            <w:pPr>
              <w:jc w:val="left"/>
              <w:rPr>
                <w:rFonts w:ascii="Arial Narrow" w:hAnsi="Arial Narrow"/>
                <w:b/>
                <w:bCs/>
                <w:sz w:val="20"/>
                <w:szCs w:val="20"/>
              </w:rPr>
            </w:pPr>
            <w:r w:rsidRPr="00FE4243">
              <w:rPr>
                <w:rFonts w:ascii="Arial Narrow" w:hAnsi="Arial Narrow"/>
                <w:b/>
                <w:bCs/>
                <w:sz w:val="20"/>
                <w:szCs w:val="20"/>
              </w:rPr>
              <w:t>Clinical criteria:</w:t>
            </w:r>
          </w:p>
        </w:tc>
        <w:tc>
          <w:tcPr>
            <w:tcW w:w="4056" w:type="pct"/>
          </w:tcPr>
          <w:p w14:paraId="34C6DA5A" w14:textId="77777777" w:rsidR="00AD3789" w:rsidRPr="00FE4243" w:rsidRDefault="00AD3789" w:rsidP="001E7557">
            <w:pPr>
              <w:jc w:val="left"/>
              <w:rPr>
                <w:rFonts w:ascii="Arial Narrow" w:hAnsi="Arial Narrow"/>
                <w:sz w:val="20"/>
                <w:szCs w:val="20"/>
              </w:rPr>
            </w:pPr>
            <w:r w:rsidRPr="00E2580F">
              <w:rPr>
                <w:rFonts w:ascii="Arial Narrow" w:hAnsi="Arial Narrow"/>
                <w:sz w:val="20"/>
                <w:szCs w:val="20"/>
              </w:rPr>
              <w:t xml:space="preserve">The condition must be negative for measurable residual disease using the same method used </w:t>
            </w:r>
            <w:r w:rsidRPr="00500DFD">
              <w:rPr>
                <w:rFonts w:ascii="Arial Narrow" w:hAnsi="Arial Narrow"/>
                <w:sz w:val="20"/>
                <w:szCs w:val="20"/>
              </w:rPr>
              <w:t xml:space="preserve">to </w:t>
            </w:r>
            <w:r w:rsidRPr="00327E8F">
              <w:rPr>
                <w:rFonts w:ascii="Arial Narrow" w:hAnsi="Arial Narrow"/>
                <w:strike/>
                <w:sz w:val="20"/>
                <w:szCs w:val="20"/>
              </w:rPr>
              <w:t>determine initial PBS eligibility</w:t>
            </w:r>
            <w:r w:rsidRPr="00327E8F">
              <w:rPr>
                <w:rFonts w:ascii="Arial Narrow" w:hAnsi="Arial Narrow"/>
                <w:sz w:val="20"/>
                <w:szCs w:val="20"/>
              </w:rPr>
              <w:t xml:space="preserve"> </w:t>
            </w:r>
            <w:r w:rsidRPr="00327E8F">
              <w:rPr>
                <w:rFonts w:ascii="Arial Narrow" w:hAnsi="Arial Narrow"/>
                <w:i/>
                <w:iCs/>
                <w:sz w:val="20"/>
                <w:szCs w:val="20"/>
              </w:rPr>
              <w:t>establish initial MRD status,</w:t>
            </w:r>
          </w:p>
        </w:tc>
      </w:tr>
      <w:tr w:rsidR="00AD3789" w:rsidRPr="00E2580F" w14:paraId="414CEAF5" w14:textId="77777777" w:rsidTr="1797D1E5">
        <w:tc>
          <w:tcPr>
            <w:tcW w:w="944" w:type="pct"/>
          </w:tcPr>
          <w:p w14:paraId="3DCF6C61" w14:textId="77777777" w:rsidR="00AD3789" w:rsidRPr="00FE4243" w:rsidRDefault="00AD3789" w:rsidP="001E7557">
            <w:pPr>
              <w:jc w:val="left"/>
              <w:rPr>
                <w:rFonts w:ascii="Arial Narrow" w:hAnsi="Arial Narrow"/>
                <w:b/>
                <w:bCs/>
                <w:sz w:val="20"/>
                <w:szCs w:val="20"/>
              </w:rPr>
            </w:pPr>
          </w:p>
        </w:tc>
        <w:tc>
          <w:tcPr>
            <w:tcW w:w="4056" w:type="pct"/>
          </w:tcPr>
          <w:p w14:paraId="597D91BD" w14:textId="77777777" w:rsidR="00AD3789" w:rsidRPr="00FE4243" w:rsidRDefault="00AD3789" w:rsidP="001E7557">
            <w:pPr>
              <w:jc w:val="left"/>
              <w:rPr>
                <w:rFonts w:ascii="Arial Narrow" w:hAnsi="Arial Narrow"/>
                <w:b/>
                <w:bCs/>
                <w:color w:val="000000"/>
                <w:sz w:val="20"/>
                <w:szCs w:val="20"/>
              </w:rPr>
            </w:pPr>
            <w:r w:rsidRPr="00FE4243">
              <w:rPr>
                <w:rFonts w:ascii="Arial Narrow" w:hAnsi="Arial Narrow"/>
                <w:b/>
                <w:bCs/>
                <w:color w:val="000000"/>
                <w:sz w:val="20"/>
                <w:szCs w:val="20"/>
              </w:rPr>
              <w:t>AND</w:t>
            </w:r>
          </w:p>
        </w:tc>
      </w:tr>
      <w:tr w:rsidR="00AD3789" w:rsidRPr="00E2580F" w14:paraId="6B8E7A58" w14:textId="77777777" w:rsidTr="1797D1E5">
        <w:tc>
          <w:tcPr>
            <w:tcW w:w="944" w:type="pct"/>
          </w:tcPr>
          <w:p w14:paraId="3EDE970A" w14:textId="77777777" w:rsidR="00AD3789" w:rsidRPr="00FE4243" w:rsidRDefault="00AD3789" w:rsidP="001E7557">
            <w:pPr>
              <w:jc w:val="left"/>
              <w:rPr>
                <w:rFonts w:ascii="Arial Narrow" w:hAnsi="Arial Narrow"/>
                <w:b/>
                <w:bCs/>
                <w:sz w:val="20"/>
                <w:szCs w:val="20"/>
              </w:rPr>
            </w:pPr>
            <w:r w:rsidRPr="00FE4243">
              <w:rPr>
                <w:rFonts w:ascii="Arial Narrow" w:hAnsi="Arial Narrow"/>
                <w:b/>
                <w:bCs/>
                <w:sz w:val="20"/>
                <w:szCs w:val="20"/>
              </w:rPr>
              <w:t>Clinical criteria:</w:t>
            </w:r>
          </w:p>
        </w:tc>
        <w:tc>
          <w:tcPr>
            <w:tcW w:w="4056" w:type="pct"/>
          </w:tcPr>
          <w:p w14:paraId="7C5532E5" w14:textId="77777777" w:rsidR="00AD3789" w:rsidRPr="00FE4243" w:rsidRDefault="00AD3789" w:rsidP="001E7557">
            <w:pPr>
              <w:jc w:val="left"/>
              <w:rPr>
                <w:rFonts w:ascii="Arial Narrow" w:hAnsi="Arial Narrow"/>
                <w:sz w:val="20"/>
                <w:szCs w:val="20"/>
              </w:rPr>
            </w:pPr>
            <w:r w:rsidRPr="00E2580F">
              <w:rPr>
                <w:rFonts w:ascii="Arial Narrow" w:hAnsi="Arial Narrow"/>
                <w:sz w:val="20"/>
                <w:szCs w:val="20"/>
              </w:rPr>
              <w:t>Patient must not have developed disease progression while receiving treatment with this drug for this condition,</w:t>
            </w:r>
          </w:p>
        </w:tc>
      </w:tr>
      <w:tr w:rsidR="00AD3789" w:rsidRPr="00E2580F" w14:paraId="70B8737E" w14:textId="77777777" w:rsidTr="1797D1E5">
        <w:tc>
          <w:tcPr>
            <w:tcW w:w="944" w:type="pct"/>
          </w:tcPr>
          <w:p w14:paraId="53F8653F" w14:textId="77777777" w:rsidR="00AD3789" w:rsidRPr="00FE4243" w:rsidRDefault="00AD3789" w:rsidP="001E7557">
            <w:pPr>
              <w:jc w:val="left"/>
              <w:rPr>
                <w:rFonts w:ascii="Arial Narrow" w:hAnsi="Arial Narrow"/>
                <w:b/>
                <w:bCs/>
                <w:sz w:val="20"/>
                <w:szCs w:val="20"/>
              </w:rPr>
            </w:pPr>
          </w:p>
        </w:tc>
        <w:tc>
          <w:tcPr>
            <w:tcW w:w="4056" w:type="pct"/>
          </w:tcPr>
          <w:p w14:paraId="7B5115A6" w14:textId="77777777" w:rsidR="00AD3789" w:rsidRPr="00FE4243" w:rsidRDefault="00AD3789" w:rsidP="001E7557">
            <w:pPr>
              <w:jc w:val="left"/>
              <w:rPr>
                <w:rFonts w:ascii="Arial Narrow" w:hAnsi="Arial Narrow"/>
                <w:b/>
                <w:bCs/>
                <w:color w:val="000000"/>
                <w:sz w:val="20"/>
                <w:szCs w:val="20"/>
              </w:rPr>
            </w:pPr>
            <w:r w:rsidRPr="00FE4243">
              <w:rPr>
                <w:rFonts w:ascii="Arial Narrow" w:hAnsi="Arial Narrow"/>
                <w:b/>
                <w:bCs/>
                <w:color w:val="000000"/>
                <w:sz w:val="20"/>
                <w:szCs w:val="20"/>
              </w:rPr>
              <w:t>AND</w:t>
            </w:r>
          </w:p>
        </w:tc>
      </w:tr>
      <w:tr w:rsidR="00AD3789" w:rsidRPr="00E2580F" w14:paraId="1C5F9D2C" w14:textId="77777777" w:rsidTr="1797D1E5">
        <w:tc>
          <w:tcPr>
            <w:tcW w:w="944" w:type="pct"/>
          </w:tcPr>
          <w:p w14:paraId="6F33A214" w14:textId="77777777" w:rsidR="00AD3789" w:rsidRPr="00FE4243" w:rsidRDefault="00AD3789" w:rsidP="001E7557">
            <w:pPr>
              <w:jc w:val="left"/>
              <w:rPr>
                <w:rFonts w:ascii="Arial Narrow" w:hAnsi="Arial Narrow"/>
                <w:b/>
                <w:bCs/>
                <w:sz w:val="20"/>
                <w:szCs w:val="20"/>
              </w:rPr>
            </w:pPr>
            <w:r w:rsidRPr="00FE4243">
              <w:rPr>
                <w:rFonts w:ascii="Arial Narrow" w:hAnsi="Arial Narrow"/>
                <w:b/>
                <w:bCs/>
                <w:sz w:val="20"/>
                <w:szCs w:val="20"/>
              </w:rPr>
              <w:t>Clinical criteria:</w:t>
            </w:r>
          </w:p>
        </w:tc>
        <w:tc>
          <w:tcPr>
            <w:tcW w:w="4056" w:type="pct"/>
          </w:tcPr>
          <w:p w14:paraId="2ADDDC77" w14:textId="77777777" w:rsidR="00AD3789" w:rsidRPr="00FE4243" w:rsidRDefault="00AD3789" w:rsidP="001E7557">
            <w:pPr>
              <w:jc w:val="left"/>
              <w:rPr>
                <w:rFonts w:ascii="Arial Narrow" w:hAnsi="Arial Narrow"/>
                <w:sz w:val="20"/>
                <w:szCs w:val="20"/>
              </w:rPr>
            </w:pPr>
            <w:r w:rsidRPr="00E2580F">
              <w:rPr>
                <w:rFonts w:ascii="Arial Narrow" w:hAnsi="Arial Narrow"/>
                <w:sz w:val="20"/>
                <w:szCs w:val="20"/>
              </w:rPr>
              <w:t>The treatment must not be more than 2 treatment cycles under this restriction in a lifetime.</w:t>
            </w:r>
          </w:p>
        </w:tc>
      </w:tr>
      <w:tr w:rsidR="00AD3789" w:rsidRPr="00E2580F" w14:paraId="196018A2" w14:textId="77777777" w:rsidTr="1797D1E5">
        <w:tc>
          <w:tcPr>
            <w:tcW w:w="944" w:type="pct"/>
          </w:tcPr>
          <w:p w14:paraId="1B1D4F98" w14:textId="77777777" w:rsidR="00AD3789" w:rsidRPr="00FE4243" w:rsidRDefault="00AD3789" w:rsidP="001E7557">
            <w:pPr>
              <w:jc w:val="left"/>
              <w:rPr>
                <w:rFonts w:ascii="Arial Narrow" w:hAnsi="Arial Narrow"/>
                <w:b/>
                <w:bCs/>
                <w:sz w:val="20"/>
                <w:szCs w:val="20"/>
              </w:rPr>
            </w:pPr>
          </w:p>
        </w:tc>
        <w:tc>
          <w:tcPr>
            <w:tcW w:w="4056" w:type="pct"/>
          </w:tcPr>
          <w:p w14:paraId="4E832CF2" w14:textId="77777777" w:rsidR="00AD3789" w:rsidRPr="00E2580F" w:rsidRDefault="00AD3789" w:rsidP="001E7557">
            <w:pPr>
              <w:jc w:val="left"/>
              <w:rPr>
                <w:rFonts w:ascii="Arial Narrow" w:hAnsi="Arial Narrow"/>
                <w:sz w:val="20"/>
                <w:szCs w:val="20"/>
              </w:rPr>
            </w:pPr>
          </w:p>
        </w:tc>
      </w:tr>
      <w:tr w:rsidR="00AD3789" w:rsidRPr="00E2580F" w14:paraId="7DC6D153" w14:textId="77777777" w:rsidTr="1797D1E5">
        <w:trPr>
          <w:trHeight w:val="590"/>
        </w:trPr>
        <w:tc>
          <w:tcPr>
            <w:tcW w:w="944" w:type="pct"/>
          </w:tcPr>
          <w:p w14:paraId="169DB4BA" w14:textId="77777777" w:rsidR="00AD3789" w:rsidRPr="00FE4243" w:rsidRDefault="00AD3789" w:rsidP="001E7557">
            <w:pPr>
              <w:jc w:val="left"/>
              <w:rPr>
                <w:rFonts w:ascii="Arial Narrow" w:hAnsi="Arial Narrow"/>
                <w:b/>
                <w:bCs/>
                <w:sz w:val="20"/>
                <w:szCs w:val="20"/>
              </w:rPr>
            </w:pPr>
            <w:r>
              <w:rPr>
                <w:rFonts w:ascii="Arial Narrow" w:hAnsi="Arial Narrow"/>
                <w:b/>
                <w:bCs/>
                <w:sz w:val="20"/>
                <w:szCs w:val="20"/>
              </w:rPr>
              <w:t>Prescribing instructions:</w:t>
            </w:r>
          </w:p>
        </w:tc>
        <w:tc>
          <w:tcPr>
            <w:tcW w:w="4056" w:type="pct"/>
          </w:tcPr>
          <w:p w14:paraId="3B2B0E0D" w14:textId="77777777" w:rsidR="00AD3789" w:rsidRPr="00E2580F" w:rsidRDefault="00AD3789" w:rsidP="001E7557">
            <w:pPr>
              <w:jc w:val="left"/>
              <w:rPr>
                <w:rFonts w:ascii="Arial Narrow" w:hAnsi="Arial Narrow"/>
                <w:sz w:val="20"/>
                <w:szCs w:val="20"/>
              </w:rPr>
            </w:pPr>
            <w:r w:rsidRPr="00E2580F">
              <w:rPr>
                <w:rFonts w:ascii="Arial Narrow" w:hAnsi="Arial Narrow"/>
                <w:sz w:val="20"/>
                <w:szCs w:val="20"/>
              </w:rPr>
              <w:t>For all subsequent cycle starts and re-initiation (e.g. if treatment is interrupted for four or more hours), supervision by a health care professional or hospitalisation is recommended.</w:t>
            </w:r>
          </w:p>
        </w:tc>
      </w:tr>
      <w:tr w:rsidR="00AD3789" w:rsidRPr="00E2580F" w14:paraId="323019C7" w14:textId="77777777" w:rsidTr="1797D1E5">
        <w:trPr>
          <w:trHeight w:val="542"/>
        </w:trPr>
        <w:tc>
          <w:tcPr>
            <w:tcW w:w="944" w:type="pct"/>
          </w:tcPr>
          <w:p w14:paraId="4F595DBB" w14:textId="77777777" w:rsidR="00AD3789" w:rsidRDefault="00AD3789" w:rsidP="001E7557">
            <w:pPr>
              <w:jc w:val="left"/>
              <w:rPr>
                <w:rFonts w:ascii="Arial Narrow" w:hAnsi="Arial Narrow"/>
                <w:b/>
                <w:bCs/>
                <w:sz w:val="20"/>
                <w:szCs w:val="20"/>
              </w:rPr>
            </w:pPr>
            <w:r>
              <w:rPr>
                <w:rFonts w:ascii="Arial Narrow" w:hAnsi="Arial Narrow"/>
                <w:b/>
                <w:bCs/>
                <w:sz w:val="20"/>
                <w:szCs w:val="20"/>
              </w:rPr>
              <w:t>Prescribing instructions:</w:t>
            </w:r>
          </w:p>
        </w:tc>
        <w:tc>
          <w:tcPr>
            <w:tcW w:w="4056" w:type="pct"/>
          </w:tcPr>
          <w:p w14:paraId="326D9D16" w14:textId="77777777" w:rsidR="00AD3789" w:rsidRPr="00E2580F" w:rsidRDefault="00AD3789" w:rsidP="001E7557">
            <w:pPr>
              <w:jc w:val="left"/>
              <w:rPr>
                <w:rFonts w:ascii="Arial Narrow" w:hAnsi="Arial Narrow"/>
                <w:sz w:val="20"/>
                <w:szCs w:val="20"/>
              </w:rPr>
            </w:pPr>
            <w:r w:rsidRPr="00E2580F">
              <w:rPr>
                <w:rFonts w:ascii="Arial Narrow" w:hAnsi="Arial Narrow"/>
                <w:sz w:val="20"/>
                <w:szCs w:val="20"/>
              </w:rPr>
              <w:t>An amount of 784 microgram will be sufficient for a continuous infusion of blinatumomab over 28 days in each cycle.</w:t>
            </w:r>
          </w:p>
        </w:tc>
      </w:tr>
      <w:tr w:rsidR="00AD3789" w:rsidRPr="00E2580F" w14:paraId="6C7F84C8" w14:textId="77777777" w:rsidTr="1797D1E5">
        <w:trPr>
          <w:trHeight w:val="314"/>
        </w:trPr>
        <w:tc>
          <w:tcPr>
            <w:tcW w:w="944" w:type="pct"/>
          </w:tcPr>
          <w:p w14:paraId="7A59B763" w14:textId="77777777" w:rsidR="00AD3789" w:rsidRDefault="00AD3789" w:rsidP="001E7557">
            <w:pPr>
              <w:jc w:val="left"/>
              <w:rPr>
                <w:rFonts w:ascii="Arial Narrow" w:hAnsi="Arial Narrow"/>
                <w:b/>
                <w:bCs/>
                <w:sz w:val="20"/>
                <w:szCs w:val="20"/>
              </w:rPr>
            </w:pPr>
            <w:r>
              <w:rPr>
                <w:rFonts w:ascii="Arial Narrow" w:hAnsi="Arial Narrow"/>
                <w:b/>
                <w:bCs/>
                <w:sz w:val="20"/>
                <w:szCs w:val="20"/>
              </w:rPr>
              <w:t>Prescribing instructions:</w:t>
            </w:r>
          </w:p>
        </w:tc>
        <w:tc>
          <w:tcPr>
            <w:tcW w:w="4056" w:type="pct"/>
          </w:tcPr>
          <w:p w14:paraId="5EDD57D6" w14:textId="77777777" w:rsidR="00AD3789" w:rsidRPr="00E2580F" w:rsidRDefault="00AD3789" w:rsidP="001E7557">
            <w:pPr>
              <w:jc w:val="left"/>
              <w:rPr>
                <w:rFonts w:ascii="Arial Narrow" w:hAnsi="Arial Narrow"/>
                <w:sz w:val="20"/>
                <w:szCs w:val="20"/>
              </w:rPr>
            </w:pPr>
            <w:r w:rsidRPr="00E2580F">
              <w:rPr>
                <w:rFonts w:ascii="Arial Narrow" w:hAnsi="Arial Narrow"/>
                <w:sz w:val="20"/>
                <w:szCs w:val="20"/>
              </w:rPr>
              <w:t>Blinatumomab is not PBS-subsidised if it is administered to an in-patient in a public hospital setting.</w:t>
            </w:r>
          </w:p>
        </w:tc>
      </w:tr>
      <w:tr w:rsidR="00AD3789" w:rsidRPr="00E2580F" w14:paraId="2F7C7F76" w14:textId="77777777" w:rsidTr="1797D1E5">
        <w:trPr>
          <w:trHeight w:val="518"/>
        </w:trPr>
        <w:tc>
          <w:tcPr>
            <w:tcW w:w="944" w:type="pct"/>
          </w:tcPr>
          <w:p w14:paraId="7315D6E7" w14:textId="77777777" w:rsidR="00AD3789" w:rsidRDefault="00AD3789" w:rsidP="001E7557">
            <w:pPr>
              <w:jc w:val="left"/>
              <w:rPr>
                <w:rFonts w:ascii="Arial Narrow" w:hAnsi="Arial Narrow"/>
                <w:b/>
                <w:bCs/>
                <w:sz w:val="20"/>
                <w:szCs w:val="20"/>
              </w:rPr>
            </w:pPr>
            <w:r>
              <w:rPr>
                <w:rFonts w:ascii="Arial Narrow" w:hAnsi="Arial Narrow"/>
                <w:b/>
                <w:bCs/>
                <w:sz w:val="20"/>
                <w:szCs w:val="20"/>
              </w:rPr>
              <w:t>Prescribing instructions:</w:t>
            </w:r>
          </w:p>
        </w:tc>
        <w:tc>
          <w:tcPr>
            <w:tcW w:w="4056" w:type="pct"/>
          </w:tcPr>
          <w:p w14:paraId="27E24BA3" w14:textId="77777777" w:rsidR="00AD3789" w:rsidRPr="00E2580F" w:rsidRDefault="00AD3789" w:rsidP="001E7557">
            <w:pPr>
              <w:jc w:val="left"/>
              <w:rPr>
                <w:rFonts w:ascii="Arial Narrow" w:hAnsi="Arial Narrow"/>
                <w:sz w:val="20"/>
                <w:szCs w:val="20"/>
              </w:rPr>
            </w:pPr>
            <w:r w:rsidRPr="00E2580F">
              <w:rPr>
                <w:rFonts w:ascii="Arial Narrow" w:hAnsi="Arial Narrow"/>
                <w:sz w:val="20"/>
                <w:szCs w:val="20"/>
              </w:rPr>
              <w:t>Patients who fail to demonstrate a response to PBS-subsidised treatment with this agent at the time where an assessment is required must cease PBS-subsidised therapy with this agent.</w:t>
            </w:r>
          </w:p>
        </w:tc>
      </w:tr>
      <w:tr w:rsidR="00AD3789" w:rsidRPr="00E2580F" w14:paraId="0FA53809" w14:textId="77777777" w:rsidTr="1797D1E5">
        <w:trPr>
          <w:trHeight w:val="242"/>
        </w:trPr>
        <w:tc>
          <w:tcPr>
            <w:tcW w:w="944" w:type="pct"/>
          </w:tcPr>
          <w:p w14:paraId="5632A423" w14:textId="77777777" w:rsidR="00AD3789" w:rsidRPr="00FE4243" w:rsidRDefault="00AD3789" w:rsidP="001E7557">
            <w:pPr>
              <w:jc w:val="left"/>
              <w:rPr>
                <w:rFonts w:ascii="Arial Narrow" w:hAnsi="Arial Narrow"/>
                <w:b/>
                <w:bCs/>
                <w:sz w:val="20"/>
                <w:szCs w:val="20"/>
              </w:rPr>
            </w:pPr>
          </w:p>
        </w:tc>
        <w:tc>
          <w:tcPr>
            <w:tcW w:w="4056" w:type="pct"/>
          </w:tcPr>
          <w:p w14:paraId="6FCFBD7C" w14:textId="77777777" w:rsidR="00AD3789" w:rsidRPr="00E2580F" w:rsidRDefault="00AD3789" w:rsidP="001E7557">
            <w:pPr>
              <w:jc w:val="left"/>
              <w:rPr>
                <w:rFonts w:ascii="Arial Narrow" w:hAnsi="Arial Narrow"/>
                <w:sz w:val="20"/>
                <w:szCs w:val="20"/>
              </w:rPr>
            </w:pPr>
          </w:p>
        </w:tc>
      </w:tr>
      <w:tr w:rsidR="00AD3789" w:rsidRPr="00E2580F" w14:paraId="7A0B7204" w14:textId="77777777" w:rsidTr="1797D1E5">
        <w:trPr>
          <w:trHeight w:val="674"/>
        </w:trPr>
        <w:tc>
          <w:tcPr>
            <w:tcW w:w="944" w:type="pct"/>
          </w:tcPr>
          <w:p w14:paraId="506359A8" w14:textId="77777777" w:rsidR="00AD3789" w:rsidRPr="00791EE2" w:rsidRDefault="00AD3789" w:rsidP="001E7557">
            <w:pPr>
              <w:jc w:val="left"/>
              <w:rPr>
                <w:rFonts w:ascii="Arial Narrow" w:hAnsi="Arial Narrow"/>
                <w:b/>
                <w:bCs/>
                <w:sz w:val="20"/>
                <w:szCs w:val="20"/>
              </w:rPr>
            </w:pPr>
            <w:r w:rsidRPr="00AA02D0">
              <w:rPr>
                <w:rFonts w:ascii="Arial Narrow" w:hAnsi="Arial Narrow"/>
                <w:b/>
                <w:bCs/>
                <w:strike/>
                <w:sz w:val="20"/>
                <w:szCs w:val="20"/>
              </w:rPr>
              <w:t>Notes</w:t>
            </w:r>
            <w:r>
              <w:rPr>
                <w:rFonts w:ascii="Arial Narrow" w:hAnsi="Arial Narrow"/>
                <w:b/>
                <w:bCs/>
                <w:sz w:val="20"/>
                <w:szCs w:val="20"/>
              </w:rPr>
              <w:t xml:space="preserve"> </w:t>
            </w:r>
            <w:r w:rsidRPr="00791EE2">
              <w:rPr>
                <w:rFonts w:ascii="Arial Narrow" w:hAnsi="Arial Narrow"/>
                <w:b/>
                <w:bCs/>
                <w:i/>
                <w:iCs/>
                <w:sz w:val="20"/>
                <w:szCs w:val="20"/>
              </w:rPr>
              <w:t>Administrative advice:</w:t>
            </w:r>
          </w:p>
        </w:tc>
        <w:tc>
          <w:tcPr>
            <w:tcW w:w="4056" w:type="pct"/>
          </w:tcPr>
          <w:p w14:paraId="0E735834" w14:textId="77777777" w:rsidR="00AD3789" w:rsidRPr="00E2580F" w:rsidRDefault="00AD3789" w:rsidP="001E7557">
            <w:pPr>
              <w:jc w:val="left"/>
              <w:rPr>
                <w:rFonts w:ascii="Arial Narrow" w:hAnsi="Arial Narrow"/>
                <w:sz w:val="20"/>
                <w:szCs w:val="20"/>
              </w:rPr>
            </w:pPr>
            <w:r w:rsidRPr="00E2580F">
              <w:rPr>
                <w:rFonts w:ascii="Arial Narrow" w:hAnsi="Arial Narrow"/>
                <w:sz w:val="20"/>
                <w:szCs w:val="20"/>
              </w:rPr>
              <w:t>Applications for authorisation under this restriction may be made in real time using the Online PBS Authorities system (see www.servicesaustralia.gov.au/HPOS) or by telephone by contacting Services Australia on 1800 700 270 (hours of operation 8 a.m. to 5 p.m. Monday to Friday).</w:t>
            </w:r>
          </w:p>
        </w:tc>
      </w:tr>
      <w:tr w:rsidR="00AD3789" w:rsidRPr="00E2580F" w14:paraId="650FCFAC" w14:textId="77777777" w:rsidTr="1797D1E5">
        <w:tc>
          <w:tcPr>
            <w:tcW w:w="944" w:type="pct"/>
          </w:tcPr>
          <w:p w14:paraId="24220D53" w14:textId="77777777" w:rsidR="00AD3789" w:rsidRPr="00FE4243" w:rsidRDefault="00AD3789" w:rsidP="001E7557">
            <w:pPr>
              <w:jc w:val="left"/>
              <w:rPr>
                <w:rFonts w:ascii="Arial Narrow" w:hAnsi="Arial Narrow"/>
                <w:b/>
                <w:bCs/>
                <w:sz w:val="20"/>
                <w:szCs w:val="20"/>
              </w:rPr>
            </w:pPr>
          </w:p>
        </w:tc>
        <w:tc>
          <w:tcPr>
            <w:tcW w:w="4056" w:type="pct"/>
          </w:tcPr>
          <w:p w14:paraId="4965E505" w14:textId="77777777" w:rsidR="00AD3789" w:rsidRPr="00E2580F" w:rsidRDefault="00AD3789" w:rsidP="001E7557">
            <w:pPr>
              <w:jc w:val="left"/>
              <w:rPr>
                <w:rFonts w:ascii="Arial Narrow" w:hAnsi="Arial Narrow"/>
                <w:sz w:val="20"/>
                <w:szCs w:val="20"/>
              </w:rPr>
            </w:pPr>
          </w:p>
        </w:tc>
      </w:tr>
      <w:tr w:rsidR="00AD3789" w:rsidRPr="00E2580F" w14:paraId="6B406E77" w14:textId="77777777" w:rsidTr="1797D1E5">
        <w:tc>
          <w:tcPr>
            <w:tcW w:w="944" w:type="pct"/>
          </w:tcPr>
          <w:p w14:paraId="2A9EF80A" w14:textId="77777777" w:rsidR="00AD3789" w:rsidRPr="00FE4243" w:rsidRDefault="00AD3789" w:rsidP="001E7557">
            <w:pPr>
              <w:jc w:val="left"/>
              <w:rPr>
                <w:rFonts w:ascii="Arial Narrow" w:hAnsi="Arial Narrow"/>
                <w:b/>
                <w:bCs/>
                <w:sz w:val="20"/>
                <w:szCs w:val="20"/>
              </w:rPr>
            </w:pPr>
            <w:r>
              <w:rPr>
                <w:rFonts w:ascii="Arial Narrow" w:hAnsi="Arial Narrow"/>
                <w:b/>
                <w:bCs/>
                <w:sz w:val="20"/>
                <w:szCs w:val="20"/>
              </w:rPr>
              <w:t>Administrative advice:</w:t>
            </w:r>
          </w:p>
        </w:tc>
        <w:tc>
          <w:tcPr>
            <w:tcW w:w="4056" w:type="pct"/>
          </w:tcPr>
          <w:p w14:paraId="2F9E6975" w14:textId="77777777" w:rsidR="00AD3789" w:rsidRPr="00E2580F" w:rsidRDefault="00AD3789" w:rsidP="001E7557">
            <w:pPr>
              <w:jc w:val="left"/>
              <w:rPr>
                <w:rFonts w:ascii="Arial Narrow" w:hAnsi="Arial Narrow"/>
                <w:sz w:val="20"/>
                <w:szCs w:val="20"/>
              </w:rPr>
            </w:pPr>
            <w:r w:rsidRPr="00E2580F">
              <w:rPr>
                <w:rFonts w:ascii="Arial Narrow" w:hAnsi="Arial Narrow"/>
                <w:sz w:val="20"/>
                <w:szCs w:val="20"/>
              </w:rPr>
              <w:t xml:space="preserve">No increase in the maximum number of repeats may be authorised. </w:t>
            </w:r>
          </w:p>
        </w:tc>
      </w:tr>
      <w:tr w:rsidR="00AD3789" w:rsidRPr="00E2580F" w14:paraId="3EC25CBE" w14:textId="77777777" w:rsidTr="1797D1E5">
        <w:tc>
          <w:tcPr>
            <w:tcW w:w="944" w:type="pct"/>
          </w:tcPr>
          <w:p w14:paraId="21DAB794" w14:textId="77777777" w:rsidR="00AD3789" w:rsidRPr="00FE4243" w:rsidRDefault="00AD3789" w:rsidP="001E7557">
            <w:pPr>
              <w:jc w:val="left"/>
              <w:rPr>
                <w:rFonts w:ascii="Arial Narrow" w:hAnsi="Arial Narrow"/>
                <w:b/>
                <w:bCs/>
                <w:sz w:val="20"/>
                <w:szCs w:val="20"/>
              </w:rPr>
            </w:pPr>
            <w:r>
              <w:rPr>
                <w:rFonts w:ascii="Arial Narrow" w:hAnsi="Arial Narrow"/>
                <w:b/>
                <w:bCs/>
                <w:sz w:val="20"/>
                <w:szCs w:val="20"/>
              </w:rPr>
              <w:t>Administrative advice:</w:t>
            </w:r>
          </w:p>
        </w:tc>
        <w:tc>
          <w:tcPr>
            <w:tcW w:w="4056" w:type="pct"/>
          </w:tcPr>
          <w:p w14:paraId="5EC1756A" w14:textId="77777777" w:rsidR="00AD3789" w:rsidRPr="00E2580F" w:rsidRDefault="00AD3789" w:rsidP="001E7557">
            <w:pPr>
              <w:jc w:val="left"/>
              <w:rPr>
                <w:rFonts w:ascii="Arial Narrow" w:hAnsi="Arial Narrow"/>
                <w:sz w:val="20"/>
                <w:szCs w:val="20"/>
              </w:rPr>
            </w:pPr>
            <w:r w:rsidRPr="00E2580F">
              <w:rPr>
                <w:rFonts w:ascii="Arial Narrow" w:hAnsi="Arial Narrow"/>
                <w:sz w:val="20"/>
                <w:szCs w:val="20"/>
              </w:rPr>
              <w:t xml:space="preserve">No increase in the maximum quantity or number of units may be authorised. </w:t>
            </w:r>
          </w:p>
        </w:tc>
      </w:tr>
      <w:tr w:rsidR="00AD3789" w:rsidRPr="00E2580F" w14:paraId="72283B4B" w14:textId="77777777" w:rsidTr="1797D1E5">
        <w:tc>
          <w:tcPr>
            <w:tcW w:w="944" w:type="pct"/>
          </w:tcPr>
          <w:p w14:paraId="416CBAD1" w14:textId="77777777" w:rsidR="00AD3789" w:rsidRPr="00FE4243" w:rsidRDefault="00AD3789" w:rsidP="001E7557">
            <w:pPr>
              <w:jc w:val="left"/>
              <w:rPr>
                <w:rFonts w:ascii="Arial Narrow" w:hAnsi="Arial Narrow"/>
                <w:b/>
                <w:bCs/>
                <w:sz w:val="20"/>
                <w:szCs w:val="20"/>
              </w:rPr>
            </w:pPr>
            <w:r>
              <w:rPr>
                <w:rFonts w:ascii="Arial Narrow" w:hAnsi="Arial Narrow"/>
                <w:b/>
                <w:bCs/>
                <w:sz w:val="20"/>
                <w:szCs w:val="20"/>
              </w:rPr>
              <w:t>Administrative advice:</w:t>
            </w:r>
          </w:p>
        </w:tc>
        <w:tc>
          <w:tcPr>
            <w:tcW w:w="4056" w:type="pct"/>
          </w:tcPr>
          <w:p w14:paraId="0347BCF2" w14:textId="77777777" w:rsidR="00AD3789" w:rsidRPr="00E2580F" w:rsidRDefault="00AD3789" w:rsidP="001E7557">
            <w:pPr>
              <w:jc w:val="left"/>
              <w:rPr>
                <w:rFonts w:ascii="Arial Narrow" w:hAnsi="Arial Narrow"/>
                <w:sz w:val="20"/>
                <w:szCs w:val="20"/>
              </w:rPr>
            </w:pPr>
            <w:r w:rsidRPr="00E2580F">
              <w:rPr>
                <w:rFonts w:ascii="Arial Narrow" w:hAnsi="Arial Narrow"/>
                <w:sz w:val="20"/>
                <w:szCs w:val="20"/>
              </w:rPr>
              <w:t>Special Pricing Arrangements apply.</w:t>
            </w:r>
          </w:p>
        </w:tc>
      </w:tr>
      <w:tr w:rsidR="00AD3789" w:rsidRPr="00E2580F" w14:paraId="604C2ED2" w14:textId="77777777" w:rsidTr="1797D1E5">
        <w:tc>
          <w:tcPr>
            <w:tcW w:w="944" w:type="pct"/>
          </w:tcPr>
          <w:p w14:paraId="0C77B2F9" w14:textId="77777777" w:rsidR="00AD3789" w:rsidRPr="00AF26C1" w:rsidRDefault="00AD3789" w:rsidP="001E7557">
            <w:pPr>
              <w:jc w:val="left"/>
              <w:rPr>
                <w:rFonts w:ascii="Arial Narrow" w:hAnsi="Arial Narrow"/>
                <w:b/>
                <w:bCs/>
                <w:i/>
                <w:iCs/>
                <w:sz w:val="20"/>
                <w:szCs w:val="20"/>
              </w:rPr>
            </w:pPr>
            <w:r w:rsidRPr="00AF26C1">
              <w:rPr>
                <w:rFonts w:ascii="Arial Narrow" w:hAnsi="Arial Narrow"/>
                <w:b/>
                <w:bCs/>
                <w:i/>
                <w:iCs/>
                <w:sz w:val="20"/>
                <w:szCs w:val="20"/>
              </w:rPr>
              <w:t>Notes:</w:t>
            </w:r>
          </w:p>
        </w:tc>
        <w:tc>
          <w:tcPr>
            <w:tcW w:w="4056" w:type="pct"/>
          </w:tcPr>
          <w:p w14:paraId="6719B546" w14:textId="77777777" w:rsidR="00AD3789" w:rsidRPr="00AF26C1" w:rsidRDefault="00AD3789" w:rsidP="001E7557">
            <w:pPr>
              <w:jc w:val="left"/>
              <w:rPr>
                <w:rFonts w:ascii="Arial Narrow" w:hAnsi="Arial Narrow"/>
                <w:i/>
                <w:iCs/>
                <w:sz w:val="20"/>
                <w:szCs w:val="20"/>
              </w:rPr>
            </w:pPr>
            <w:r w:rsidRPr="00AF26C1">
              <w:rPr>
                <w:rFonts w:ascii="Arial Narrow" w:hAnsi="Arial Narrow"/>
                <w:i/>
                <w:iCs/>
                <w:sz w:val="20"/>
                <w:szCs w:val="20"/>
              </w:rPr>
              <w:t>A complete remission is defined as bone marrow blasts of less than or equal to 5%, no evidence of disease and a full recovery of peripheral blood counts with platelets of greater than 100,000 per microliter, and absolute neutrophil count (ANC) of greater than 1,000 per microliter.</w:t>
            </w:r>
          </w:p>
        </w:tc>
      </w:tr>
      <w:tr w:rsidR="00AD3789" w:rsidRPr="00E2580F" w14:paraId="4838E9FB" w14:textId="77777777" w:rsidTr="1797D1E5">
        <w:trPr>
          <w:trHeight w:val="526"/>
        </w:trPr>
        <w:tc>
          <w:tcPr>
            <w:tcW w:w="944" w:type="pct"/>
          </w:tcPr>
          <w:p w14:paraId="65AD19CF" w14:textId="77777777" w:rsidR="00AD3789" w:rsidRPr="009B3421" w:rsidRDefault="00AD3789" w:rsidP="001E7557">
            <w:pPr>
              <w:jc w:val="left"/>
              <w:rPr>
                <w:rFonts w:ascii="Arial Narrow" w:hAnsi="Arial Narrow"/>
                <w:b/>
                <w:bCs/>
                <w:i/>
                <w:iCs/>
                <w:sz w:val="20"/>
                <w:szCs w:val="20"/>
              </w:rPr>
            </w:pPr>
            <w:r w:rsidRPr="009B3421">
              <w:rPr>
                <w:rFonts w:ascii="Arial Narrow" w:hAnsi="Arial Narrow"/>
                <w:b/>
                <w:bCs/>
                <w:i/>
                <w:iCs/>
                <w:sz w:val="20"/>
                <w:szCs w:val="20"/>
              </w:rPr>
              <w:t>Caution:</w:t>
            </w:r>
          </w:p>
        </w:tc>
        <w:tc>
          <w:tcPr>
            <w:tcW w:w="4056" w:type="pct"/>
          </w:tcPr>
          <w:p w14:paraId="3CC40D24" w14:textId="77777777" w:rsidR="00AD3789" w:rsidRPr="009B3421" w:rsidRDefault="00AD3789" w:rsidP="001E7557">
            <w:pPr>
              <w:jc w:val="left"/>
              <w:rPr>
                <w:rFonts w:ascii="Arial Narrow" w:hAnsi="Arial Narrow"/>
                <w:i/>
                <w:iCs/>
                <w:sz w:val="20"/>
                <w:szCs w:val="20"/>
              </w:rPr>
            </w:pPr>
            <w:r w:rsidRPr="009B3421">
              <w:rPr>
                <w:rFonts w:ascii="Arial Narrow" w:hAnsi="Arial Narrow"/>
                <w:i/>
                <w:iCs/>
                <w:sz w:val="20"/>
                <w:szCs w:val="20"/>
              </w:rPr>
              <w:t>Careful monitoring of patients is required due to risk of developing life-threatening Cytokine Release Syndrome, neurological toxicities and reactivation of John Cunningham virus (JC) viral infection.</w:t>
            </w:r>
          </w:p>
        </w:tc>
      </w:tr>
    </w:tbl>
    <w:p w14:paraId="09C3C3BA" w14:textId="77777777" w:rsidR="00AD3789" w:rsidRDefault="00AD3789" w:rsidP="00AD3789"/>
    <w:p w14:paraId="3638657A" w14:textId="77777777" w:rsidR="00AD3789" w:rsidRPr="008C25F8" w:rsidRDefault="00AD3789" w:rsidP="00AD3789">
      <w:pPr>
        <w:pStyle w:val="COMBody"/>
        <w:rPr>
          <w:b/>
          <w:bCs/>
          <w:i/>
        </w:rPr>
      </w:pPr>
      <w:r w:rsidRPr="008C25F8">
        <w:rPr>
          <w:b/>
          <w:bCs/>
        </w:rPr>
        <w:t>Flow on changes to other blinatumomab PBS listings (11116C and 11118E):</w:t>
      </w:r>
    </w:p>
    <w:tbl>
      <w:tblPr>
        <w:tblStyle w:val="TableGrid"/>
        <w:tblW w:w="5000" w:type="pct"/>
        <w:tblLook w:val="0020" w:firstRow="1" w:lastRow="0" w:firstColumn="0" w:lastColumn="0" w:noHBand="0" w:noVBand="0"/>
      </w:tblPr>
      <w:tblGrid>
        <w:gridCol w:w="1702"/>
        <w:gridCol w:w="7315"/>
      </w:tblGrid>
      <w:tr w:rsidR="00AD3789" w:rsidRPr="00E2580F" w14:paraId="26D59178" w14:textId="77777777" w:rsidTr="00CA1F11">
        <w:tc>
          <w:tcPr>
            <w:tcW w:w="939" w:type="pct"/>
          </w:tcPr>
          <w:p w14:paraId="2C99C7EC" w14:textId="77777777" w:rsidR="00AD3789" w:rsidRPr="00FE4243" w:rsidRDefault="00AD3789" w:rsidP="001E7557">
            <w:pPr>
              <w:jc w:val="left"/>
              <w:rPr>
                <w:rFonts w:ascii="Arial Narrow" w:hAnsi="Arial Narrow"/>
                <w:b/>
                <w:bCs/>
                <w:sz w:val="20"/>
                <w:szCs w:val="20"/>
              </w:rPr>
            </w:pPr>
            <w:r w:rsidRPr="00FE4243">
              <w:rPr>
                <w:rFonts w:ascii="Arial Narrow" w:hAnsi="Arial Narrow"/>
                <w:b/>
                <w:bCs/>
                <w:sz w:val="20"/>
                <w:szCs w:val="20"/>
              </w:rPr>
              <w:t>Category/Program</w:t>
            </w:r>
            <w:r>
              <w:rPr>
                <w:rFonts w:ascii="Arial Narrow" w:hAnsi="Arial Narrow"/>
                <w:b/>
                <w:bCs/>
                <w:sz w:val="20"/>
                <w:szCs w:val="20"/>
              </w:rPr>
              <w:t>:</w:t>
            </w:r>
          </w:p>
        </w:tc>
        <w:tc>
          <w:tcPr>
            <w:tcW w:w="4061" w:type="pct"/>
          </w:tcPr>
          <w:p w14:paraId="229770F8" w14:textId="0C6908AC" w:rsidR="00AD3789" w:rsidRPr="00E2580F" w:rsidRDefault="00AD3789" w:rsidP="001E7557">
            <w:pPr>
              <w:jc w:val="left"/>
              <w:rPr>
                <w:rFonts w:ascii="Arial Narrow" w:hAnsi="Arial Narrow"/>
                <w:sz w:val="20"/>
                <w:szCs w:val="20"/>
              </w:rPr>
            </w:pPr>
            <w:r w:rsidRPr="00E2580F">
              <w:rPr>
                <w:rFonts w:ascii="Arial Narrow" w:hAnsi="Arial Narrow"/>
                <w:sz w:val="20"/>
                <w:szCs w:val="20"/>
              </w:rPr>
              <w:t xml:space="preserve">Section 100 </w:t>
            </w:r>
            <w:r w:rsidR="00F64506">
              <w:rPr>
                <w:rFonts w:ascii="Arial Narrow" w:hAnsi="Arial Narrow"/>
                <w:sz w:val="20"/>
                <w:szCs w:val="20"/>
              </w:rPr>
              <w:t>EFC</w:t>
            </w:r>
            <w:r>
              <w:rPr>
                <w:rFonts w:ascii="Arial Narrow" w:hAnsi="Arial Narrow"/>
                <w:sz w:val="20"/>
                <w:szCs w:val="20"/>
              </w:rPr>
              <w:t xml:space="preserve">: </w:t>
            </w:r>
            <w:r w:rsidRPr="00E2580F">
              <w:rPr>
                <w:rFonts w:ascii="Arial Narrow" w:hAnsi="Arial Narrow"/>
                <w:sz w:val="20"/>
                <w:szCs w:val="20"/>
              </w:rPr>
              <w:t>Public Hospital Private Hospital/Private Clinic</w:t>
            </w:r>
          </w:p>
        </w:tc>
      </w:tr>
      <w:tr w:rsidR="00AD3789" w:rsidRPr="00E2580F" w14:paraId="21C959FF" w14:textId="77777777" w:rsidTr="00CA1F11">
        <w:tc>
          <w:tcPr>
            <w:tcW w:w="939" w:type="pct"/>
          </w:tcPr>
          <w:p w14:paraId="6A3A64FC" w14:textId="77777777" w:rsidR="00AD3789" w:rsidRPr="00FE4243" w:rsidRDefault="00AD3789" w:rsidP="001E7557">
            <w:pPr>
              <w:jc w:val="left"/>
              <w:rPr>
                <w:rFonts w:ascii="Arial Narrow" w:hAnsi="Arial Narrow"/>
                <w:b/>
                <w:bCs/>
                <w:sz w:val="20"/>
                <w:szCs w:val="20"/>
              </w:rPr>
            </w:pPr>
            <w:r w:rsidRPr="00FE4243">
              <w:rPr>
                <w:rFonts w:ascii="Arial Narrow" w:hAnsi="Arial Narrow"/>
                <w:b/>
                <w:bCs/>
                <w:sz w:val="20"/>
                <w:szCs w:val="20"/>
              </w:rPr>
              <w:t>Prescriber type:</w:t>
            </w:r>
          </w:p>
        </w:tc>
        <w:tc>
          <w:tcPr>
            <w:tcW w:w="4061" w:type="pct"/>
          </w:tcPr>
          <w:p w14:paraId="5D4100D2" w14:textId="77777777" w:rsidR="00AD3789" w:rsidRPr="00E2580F" w:rsidRDefault="00AD3789" w:rsidP="001E7557">
            <w:pPr>
              <w:jc w:val="left"/>
              <w:rPr>
                <w:rFonts w:ascii="Arial Narrow" w:hAnsi="Arial Narrow"/>
                <w:sz w:val="20"/>
                <w:szCs w:val="20"/>
              </w:rPr>
            </w:pPr>
            <w:r w:rsidRPr="00E2580F">
              <w:rPr>
                <w:rFonts w:ascii="Arial Narrow" w:hAnsi="Arial Narrow"/>
                <w:sz w:val="20"/>
                <w:szCs w:val="20"/>
              </w:rPr>
              <w:fldChar w:fldCharType="begin" w:fldLock="1">
                <w:ffData>
                  <w:name w:val=""/>
                  <w:enabled/>
                  <w:calcOnExit w:val="0"/>
                  <w:checkBox>
                    <w:sizeAuto/>
                    <w:default w:val="1"/>
                  </w:checkBox>
                </w:ffData>
              </w:fldChar>
            </w:r>
            <w:r w:rsidRPr="00E2580F">
              <w:rPr>
                <w:rFonts w:ascii="Arial Narrow" w:hAnsi="Arial Narrow"/>
                <w:sz w:val="20"/>
                <w:szCs w:val="20"/>
              </w:rPr>
              <w:instrText xml:space="preserve"> FORMCHECKBOX </w:instrText>
            </w:r>
            <w:r w:rsidRPr="00E2580F">
              <w:rPr>
                <w:rFonts w:ascii="Arial Narrow" w:hAnsi="Arial Narrow"/>
                <w:sz w:val="20"/>
                <w:szCs w:val="20"/>
              </w:rPr>
            </w:r>
            <w:r w:rsidRPr="00E2580F">
              <w:rPr>
                <w:rFonts w:ascii="Arial Narrow" w:hAnsi="Arial Narrow"/>
                <w:sz w:val="20"/>
                <w:szCs w:val="20"/>
              </w:rPr>
              <w:fldChar w:fldCharType="separate"/>
            </w:r>
            <w:r w:rsidRPr="00E2580F">
              <w:rPr>
                <w:rFonts w:ascii="Arial Narrow" w:hAnsi="Arial Narrow"/>
                <w:sz w:val="20"/>
                <w:szCs w:val="20"/>
              </w:rPr>
              <w:fldChar w:fldCharType="end"/>
            </w:r>
            <w:r w:rsidRPr="00E2580F">
              <w:rPr>
                <w:rFonts w:ascii="Arial Narrow" w:hAnsi="Arial Narrow"/>
                <w:sz w:val="20"/>
                <w:szCs w:val="20"/>
              </w:rPr>
              <w:t xml:space="preserve">Medical Practitioners  </w:t>
            </w:r>
          </w:p>
        </w:tc>
      </w:tr>
      <w:tr w:rsidR="00AD3789" w:rsidRPr="00E2580F" w14:paraId="5EC58389" w14:textId="77777777" w:rsidTr="00CA1F11">
        <w:tc>
          <w:tcPr>
            <w:tcW w:w="939" w:type="pct"/>
          </w:tcPr>
          <w:p w14:paraId="448E6015" w14:textId="77777777" w:rsidR="00AD3789" w:rsidRPr="00FE4243" w:rsidRDefault="00AD3789" w:rsidP="001E7557">
            <w:pPr>
              <w:jc w:val="left"/>
              <w:rPr>
                <w:rFonts w:ascii="Arial Narrow" w:hAnsi="Arial Narrow"/>
                <w:b/>
                <w:bCs/>
                <w:sz w:val="20"/>
                <w:szCs w:val="20"/>
              </w:rPr>
            </w:pPr>
            <w:r w:rsidRPr="00FE4243">
              <w:rPr>
                <w:rFonts w:ascii="Arial Narrow" w:hAnsi="Arial Narrow"/>
                <w:b/>
                <w:bCs/>
                <w:sz w:val="20"/>
                <w:szCs w:val="20"/>
              </w:rPr>
              <w:t>Condition:</w:t>
            </w:r>
          </w:p>
        </w:tc>
        <w:tc>
          <w:tcPr>
            <w:tcW w:w="4061" w:type="pct"/>
          </w:tcPr>
          <w:p w14:paraId="2508D44E" w14:textId="77777777" w:rsidR="00AD3789" w:rsidRPr="00E2580F" w:rsidRDefault="00AD3789" w:rsidP="001E7557">
            <w:pPr>
              <w:jc w:val="left"/>
              <w:rPr>
                <w:rFonts w:ascii="Arial Narrow" w:hAnsi="Arial Narrow"/>
                <w:sz w:val="20"/>
                <w:szCs w:val="20"/>
              </w:rPr>
            </w:pPr>
            <w:r w:rsidRPr="00E2580F">
              <w:rPr>
                <w:rFonts w:ascii="Arial Narrow" w:hAnsi="Arial Narrow"/>
                <w:sz w:val="20"/>
                <w:szCs w:val="20"/>
              </w:rPr>
              <w:t>Acute lymphoblastic leukaemia (ALL)</w:t>
            </w:r>
          </w:p>
        </w:tc>
      </w:tr>
      <w:tr w:rsidR="00AD3789" w:rsidRPr="00E2580F" w14:paraId="7DDEADAF" w14:textId="77777777" w:rsidTr="00CA1F11">
        <w:tc>
          <w:tcPr>
            <w:tcW w:w="939" w:type="pct"/>
          </w:tcPr>
          <w:p w14:paraId="5A53F862" w14:textId="77777777" w:rsidR="00AD3789" w:rsidRPr="00FE4243" w:rsidRDefault="00AD3789" w:rsidP="001E7557">
            <w:pPr>
              <w:jc w:val="left"/>
              <w:rPr>
                <w:rFonts w:ascii="Arial Narrow" w:hAnsi="Arial Narrow"/>
                <w:b/>
                <w:bCs/>
                <w:sz w:val="20"/>
                <w:szCs w:val="20"/>
              </w:rPr>
            </w:pPr>
            <w:r w:rsidRPr="00FE4243">
              <w:rPr>
                <w:rFonts w:ascii="Arial Narrow" w:hAnsi="Arial Narrow"/>
                <w:b/>
                <w:bCs/>
                <w:sz w:val="20"/>
                <w:szCs w:val="20"/>
              </w:rPr>
              <w:t>PBS Indication:</w:t>
            </w:r>
          </w:p>
        </w:tc>
        <w:tc>
          <w:tcPr>
            <w:tcW w:w="4061" w:type="pct"/>
          </w:tcPr>
          <w:p w14:paraId="626CAABB" w14:textId="77777777" w:rsidR="00AD3789" w:rsidRPr="00E2580F" w:rsidRDefault="00AD3789" w:rsidP="001E7557">
            <w:pPr>
              <w:jc w:val="left"/>
              <w:rPr>
                <w:rFonts w:ascii="Arial Narrow" w:hAnsi="Arial Narrow"/>
                <w:sz w:val="20"/>
                <w:szCs w:val="20"/>
                <w:highlight w:val="yellow"/>
              </w:rPr>
            </w:pPr>
            <w:r w:rsidRPr="00327E8F">
              <w:rPr>
                <w:rFonts w:ascii="Arial Narrow" w:hAnsi="Arial Narrow"/>
                <w:i/>
                <w:iCs/>
                <w:strike/>
                <w:sz w:val="20"/>
                <w:szCs w:val="20"/>
              </w:rPr>
              <w:t>Relapsed or refractory ALL</w:t>
            </w:r>
            <w:r w:rsidRPr="00327E8F">
              <w:rPr>
                <w:rFonts w:ascii="Arial Narrow" w:hAnsi="Arial Narrow"/>
                <w:i/>
                <w:iCs/>
                <w:sz w:val="20"/>
                <w:szCs w:val="20"/>
              </w:rPr>
              <w:t xml:space="preserve"> Acute</w:t>
            </w:r>
            <w:r w:rsidRPr="00E55E35">
              <w:rPr>
                <w:rFonts w:ascii="Arial Narrow" w:hAnsi="Arial Narrow"/>
                <w:i/>
                <w:iCs/>
                <w:sz w:val="20"/>
                <w:szCs w:val="20"/>
              </w:rPr>
              <w:t xml:space="preserve"> lymphoblastic leukaemia</w:t>
            </w:r>
          </w:p>
        </w:tc>
      </w:tr>
      <w:tr w:rsidR="00AD3789" w:rsidRPr="00E2580F" w14:paraId="6483C493" w14:textId="77777777" w:rsidTr="00CA1F11">
        <w:tc>
          <w:tcPr>
            <w:tcW w:w="939" w:type="pct"/>
          </w:tcPr>
          <w:p w14:paraId="62BA0609" w14:textId="77777777" w:rsidR="00AD3789" w:rsidRPr="00FE4243" w:rsidRDefault="00AD3789" w:rsidP="001E7557">
            <w:pPr>
              <w:jc w:val="left"/>
              <w:rPr>
                <w:rFonts w:ascii="Arial Narrow" w:hAnsi="Arial Narrow"/>
                <w:b/>
                <w:bCs/>
                <w:sz w:val="20"/>
                <w:szCs w:val="20"/>
              </w:rPr>
            </w:pPr>
            <w:r w:rsidRPr="00FE4243">
              <w:rPr>
                <w:rFonts w:ascii="Arial Narrow" w:hAnsi="Arial Narrow"/>
                <w:b/>
                <w:bCs/>
                <w:sz w:val="20"/>
                <w:szCs w:val="20"/>
              </w:rPr>
              <w:t>Restriction Level/Method:</w:t>
            </w:r>
          </w:p>
        </w:tc>
        <w:tc>
          <w:tcPr>
            <w:tcW w:w="4061" w:type="pct"/>
          </w:tcPr>
          <w:p w14:paraId="15868407" w14:textId="77777777" w:rsidR="00AD3789" w:rsidRPr="00E2580F" w:rsidRDefault="00AD3789" w:rsidP="001E7557">
            <w:pPr>
              <w:jc w:val="left"/>
              <w:rPr>
                <w:rFonts w:ascii="Arial Narrow" w:hAnsi="Arial Narrow"/>
                <w:sz w:val="20"/>
                <w:szCs w:val="20"/>
              </w:rPr>
            </w:pPr>
            <w:r w:rsidRPr="00E2580F">
              <w:rPr>
                <w:rFonts w:ascii="Arial Narrow" w:hAnsi="Arial Narrow"/>
                <w:sz w:val="20"/>
                <w:szCs w:val="20"/>
              </w:rPr>
              <w:fldChar w:fldCharType="begin" w:fldLock="1">
                <w:ffData>
                  <w:name w:val=""/>
                  <w:enabled/>
                  <w:calcOnExit w:val="0"/>
                  <w:checkBox>
                    <w:sizeAuto/>
                    <w:default w:val="1"/>
                  </w:checkBox>
                </w:ffData>
              </w:fldChar>
            </w:r>
            <w:r w:rsidRPr="00E2580F">
              <w:rPr>
                <w:rFonts w:ascii="Arial Narrow" w:hAnsi="Arial Narrow"/>
                <w:sz w:val="20"/>
                <w:szCs w:val="20"/>
              </w:rPr>
              <w:instrText xml:space="preserve"> FORMCHECKBOX </w:instrText>
            </w:r>
            <w:r w:rsidRPr="00E2580F">
              <w:rPr>
                <w:rFonts w:ascii="Arial Narrow" w:hAnsi="Arial Narrow"/>
                <w:sz w:val="20"/>
                <w:szCs w:val="20"/>
              </w:rPr>
            </w:r>
            <w:r w:rsidRPr="00E2580F">
              <w:rPr>
                <w:rFonts w:ascii="Arial Narrow" w:hAnsi="Arial Narrow"/>
                <w:sz w:val="20"/>
                <w:szCs w:val="20"/>
              </w:rPr>
              <w:fldChar w:fldCharType="separate"/>
            </w:r>
            <w:r w:rsidRPr="00E2580F">
              <w:rPr>
                <w:rFonts w:ascii="Arial Narrow" w:hAnsi="Arial Narrow"/>
                <w:sz w:val="20"/>
                <w:szCs w:val="20"/>
              </w:rPr>
              <w:fldChar w:fldCharType="end"/>
            </w:r>
            <w:r w:rsidRPr="00E2580F">
              <w:rPr>
                <w:rFonts w:ascii="Arial Narrow" w:hAnsi="Arial Narrow"/>
                <w:sz w:val="20"/>
                <w:szCs w:val="20"/>
              </w:rPr>
              <w:t>Authority Required - In Writing</w:t>
            </w:r>
          </w:p>
        </w:tc>
      </w:tr>
      <w:tr w:rsidR="00AD3789" w:rsidRPr="00E2580F" w14:paraId="2663E483" w14:textId="77777777" w:rsidTr="00CA1F11">
        <w:tc>
          <w:tcPr>
            <w:tcW w:w="939" w:type="pct"/>
          </w:tcPr>
          <w:p w14:paraId="2E1938E9" w14:textId="77777777" w:rsidR="00AD3789" w:rsidRPr="00FE4243" w:rsidRDefault="00AD3789" w:rsidP="001E7557">
            <w:pPr>
              <w:jc w:val="left"/>
              <w:rPr>
                <w:rFonts w:ascii="Arial Narrow" w:hAnsi="Arial Narrow"/>
                <w:b/>
                <w:bCs/>
                <w:sz w:val="20"/>
                <w:szCs w:val="20"/>
              </w:rPr>
            </w:pPr>
            <w:r w:rsidRPr="00FE4243">
              <w:rPr>
                <w:rFonts w:ascii="Arial Narrow" w:hAnsi="Arial Narrow"/>
                <w:b/>
                <w:bCs/>
                <w:sz w:val="20"/>
                <w:szCs w:val="20"/>
              </w:rPr>
              <w:t>Treatment phase</w:t>
            </w:r>
            <w:r>
              <w:rPr>
                <w:rFonts w:ascii="Arial Narrow" w:hAnsi="Arial Narrow"/>
                <w:b/>
                <w:bCs/>
                <w:sz w:val="20"/>
                <w:szCs w:val="20"/>
              </w:rPr>
              <w:t>:</w:t>
            </w:r>
          </w:p>
        </w:tc>
        <w:tc>
          <w:tcPr>
            <w:tcW w:w="4061" w:type="pct"/>
          </w:tcPr>
          <w:p w14:paraId="18A8FFA4" w14:textId="77777777" w:rsidR="00AD3789" w:rsidRPr="00E2580F" w:rsidRDefault="00AD3789" w:rsidP="001E7557">
            <w:pPr>
              <w:jc w:val="left"/>
              <w:rPr>
                <w:rFonts w:ascii="Arial Narrow" w:hAnsi="Arial Narrow"/>
                <w:sz w:val="20"/>
                <w:szCs w:val="20"/>
              </w:rPr>
            </w:pPr>
            <w:r w:rsidRPr="00E2580F">
              <w:rPr>
                <w:rFonts w:ascii="Arial Narrow" w:hAnsi="Arial Narrow"/>
                <w:sz w:val="20"/>
                <w:szCs w:val="20"/>
              </w:rPr>
              <w:t>Induction treatment</w:t>
            </w:r>
          </w:p>
        </w:tc>
      </w:tr>
      <w:tr w:rsidR="00AD3789" w:rsidRPr="00E2580F" w14:paraId="42768EDE" w14:textId="77777777" w:rsidTr="00CA1F11">
        <w:tc>
          <w:tcPr>
            <w:tcW w:w="939" w:type="pct"/>
          </w:tcPr>
          <w:p w14:paraId="61423654" w14:textId="77777777" w:rsidR="00AD3789" w:rsidRPr="00FE4243" w:rsidRDefault="00AD3789" w:rsidP="001E7557">
            <w:pPr>
              <w:jc w:val="left"/>
              <w:rPr>
                <w:rFonts w:ascii="Arial Narrow" w:hAnsi="Arial Narrow"/>
                <w:b/>
                <w:bCs/>
                <w:sz w:val="20"/>
                <w:szCs w:val="20"/>
              </w:rPr>
            </w:pPr>
          </w:p>
        </w:tc>
        <w:tc>
          <w:tcPr>
            <w:tcW w:w="4061" w:type="pct"/>
          </w:tcPr>
          <w:p w14:paraId="442B0BF5" w14:textId="77777777" w:rsidR="00AD3789" w:rsidRPr="00E2580F" w:rsidRDefault="00AD3789" w:rsidP="001E7557">
            <w:pPr>
              <w:jc w:val="left"/>
              <w:rPr>
                <w:rFonts w:ascii="Arial Narrow" w:hAnsi="Arial Narrow"/>
                <w:sz w:val="20"/>
                <w:szCs w:val="20"/>
              </w:rPr>
            </w:pPr>
          </w:p>
        </w:tc>
      </w:tr>
      <w:tr w:rsidR="00AD3789" w:rsidRPr="00E2580F" w14:paraId="4706B82F" w14:textId="77777777" w:rsidTr="00CA1F11">
        <w:tc>
          <w:tcPr>
            <w:tcW w:w="939" w:type="pct"/>
          </w:tcPr>
          <w:p w14:paraId="5953C4D2" w14:textId="77777777" w:rsidR="00AD3789" w:rsidRPr="00FE4243" w:rsidRDefault="00AD3789" w:rsidP="001E7557">
            <w:pPr>
              <w:jc w:val="left"/>
              <w:rPr>
                <w:rFonts w:ascii="Arial Narrow" w:hAnsi="Arial Narrow"/>
                <w:b/>
                <w:bCs/>
                <w:sz w:val="20"/>
                <w:szCs w:val="20"/>
              </w:rPr>
            </w:pPr>
            <w:r w:rsidRPr="00FE4243">
              <w:rPr>
                <w:rFonts w:ascii="Arial Narrow" w:hAnsi="Arial Narrow"/>
                <w:b/>
                <w:bCs/>
                <w:sz w:val="20"/>
                <w:szCs w:val="20"/>
              </w:rPr>
              <w:t>Treatment criteria:</w:t>
            </w:r>
          </w:p>
        </w:tc>
        <w:tc>
          <w:tcPr>
            <w:tcW w:w="4061" w:type="pct"/>
          </w:tcPr>
          <w:p w14:paraId="7DB294E3" w14:textId="77777777" w:rsidR="00AD3789" w:rsidRPr="00E2580F" w:rsidRDefault="00AD3789" w:rsidP="001E7557">
            <w:pPr>
              <w:jc w:val="left"/>
              <w:rPr>
                <w:rFonts w:ascii="Arial Narrow" w:hAnsi="Arial Narrow"/>
                <w:color w:val="000000"/>
                <w:sz w:val="20"/>
                <w:szCs w:val="20"/>
              </w:rPr>
            </w:pPr>
            <w:r w:rsidRPr="00E2580F">
              <w:rPr>
                <w:rFonts w:ascii="Arial Narrow" w:hAnsi="Arial Narrow"/>
                <w:color w:val="000000"/>
                <w:sz w:val="20"/>
                <w:szCs w:val="20"/>
              </w:rPr>
              <w:t>Must be treated by a physician experienced in the treatment of haematological malignancies.</w:t>
            </w:r>
          </w:p>
        </w:tc>
      </w:tr>
      <w:tr w:rsidR="00AD3789" w:rsidRPr="00E2580F" w14:paraId="07B73C3A" w14:textId="77777777" w:rsidTr="00CA1F11">
        <w:tc>
          <w:tcPr>
            <w:tcW w:w="939" w:type="pct"/>
          </w:tcPr>
          <w:p w14:paraId="67D4B651" w14:textId="77777777" w:rsidR="00AD3789" w:rsidRPr="00FE4243" w:rsidRDefault="00AD3789" w:rsidP="001E7557">
            <w:pPr>
              <w:jc w:val="left"/>
              <w:rPr>
                <w:rFonts w:ascii="Arial Narrow" w:hAnsi="Arial Narrow"/>
                <w:b/>
                <w:bCs/>
                <w:sz w:val="20"/>
                <w:szCs w:val="20"/>
              </w:rPr>
            </w:pPr>
          </w:p>
        </w:tc>
        <w:tc>
          <w:tcPr>
            <w:tcW w:w="4061" w:type="pct"/>
          </w:tcPr>
          <w:p w14:paraId="66633A0F" w14:textId="77777777" w:rsidR="00AD3789" w:rsidRPr="00E2580F" w:rsidRDefault="00AD3789" w:rsidP="001E7557">
            <w:pPr>
              <w:jc w:val="left"/>
              <w:rPr>
                <w:rFonts w:ascii="Arial Narrow" w:hAnsi="Arial Narrow"/>
                <w:sz w:val="20"/>
                <w:szCs w:val="20"/>
              </w:rPr>
            </w:pPr>
          </w:p>
        </w:tc>
      </w:tr>
      <w:tr w:rsidR="00AD3789" w:rsidRPr="00E2580F" w14:paraId="25EFB1DF" w14:textId="77777777" w:rsidTr="00CA1F11">
        <w:trPr>
          <w:trHeight w:val="386"/>
        </w:trPr>
        <w:tc>
          <w:tcPr>
            <w:tcW w:w="939" w:type="pct"/>
          </w:tcPr>
          <w:p w14:paraId="1B8E2A54" w14:textId="77777777" w:rsidR="00AD3789" w:rsidRPr="00FE4243" w:rsidRDefault="00AD3789" w:rsidP="001E7557">
            <w:pPr>
              <w:jc w:val="left"/>
              <w:rPr>
                <w:rFonts w:ascii="Arial Narrow" w:hAnsi="Arial Narrow"/>
                <w:b/>
                <w:bCs/>
                <w:sz w:val="20"/>
                <w:szCs w:val="20"/>
              </w:rPr>
            </w:pPr>
            <w:r w:rsidRPr="00FE4243">
              <w:rPr>
                <w:rFonts w:ascii="Arial Narrow" w:hAnsi="Arial Narrow"/>
                <w:b/>
                <w:bCs/>
                <w:sz w:val="20"/>
                <w:szCs w:val="20"/>
              </w:rPr>
              <w:t>Clinical criteria:</w:t>
            </w:r>
          </w:p>
        </w:tc>
        <w:tc>
          <w:tcPr>
            <w:tcW w:w="4061" w:type="pct"/>
          </w:tcPr>
          <w:p w14:paraId="37FAA744" w14:textId="77777777" w:rsidR="00AD3789" w:rsidRPr="00E2580F" w:rsidRDefault="00AD3789" w:rsidP="001E7557">
            <w:pPr>
              <w:jc w:val="left"/>
              <w:rPr>
                <w:rFonts w:ascii="Arial Narrow" w:hAnsi="Arial Narrow"/>
                <w:sz w:val="20"/>
                <w:szCs w:val="20"/>
              </w:rPr>
            </w:pPr>
            <w:r w:rsidRPr="00E2580F">
              <w:rPr>
                <w:rFonts w:ascii="Arial Narrow" w:hAnsi="Arial Narrow"/>
                <w:sz w:val="20"/>
                <w:szCs w:val="20"/>
              </w:rPr>
              <w:t>The condition must be relapsed or refractory B-precursor cell ALL, with an Eastern Cooperative Oncology Group (ECOG) performance status of 2 or less,</w:t>
            </w:r>
          </w:p>
        </w:tc>
      </w:tr>
      <w:tr w:rsidR="00AD3789" w:rsidRPr="00E2580F" w14:paraId="5DA60561" w14:textId="77777777" w:rsidTr="00CA1F11">
        <w:trPr>
          <w:trHeight w:val="230"/>
        </w:trPr>
        <w:tc>
          <w:tcPr>
            <w:tcW w:w="939" w:type="pct"/>
          </w:tcPr>
          <w:p w14:paraId="77878D80" w14:textId="77777777" w:rsidR="00AD3789" w:rsidRPr="00FE4243" w:rsidRDefault="00AD3789" w:rsidP="001E7557">
            <w:pPr>
              <w:jc w:val="left"/>
              <w:rPr>
                <w:rFonts w:ascii="Arial Narrow" w:hAnsi="Arial Narrow"/>
                <w:b/>
                <w:bCs/>
                <w:sz w:val="20"/>
                <w:szCs w:val="20"/>
              </w:rPr>
            </w:pPr>
          </w:p>
        </w:tc>
        <w:tc>
          <w:tcPr>
            <w:tcW w:w="4061" w:type="pct"/>
          </w:tcPr>
          <w:p w14:paraId="264C715F" w14:textId="77777777" w:rsidR="00AD3789" w:rsidRPr="00FE4243" w:rsidRDefault="00AD3789" w:rsidP="001E7557">
            <w:pPr>
              <w:jc w:val="left"/>
              <w:rPr>
                <w:rFonts w:ascii="Arial Narrow" w:hAnsi="Arial Narrow"/>
                <w:b/>
                <w:bCs/>
                <w:sz w:val="20"/>
                <w:szCs w:val="20"/>
              </w:rPr>
            </w:pPr>
            <w:r w:rsidRPr="00FE4243">
              <w:rPr>
                <w:rFonts w:ascii="Arial Narrow" w:hAnsi="Arial Narrow"/>
                <w:b/>
                <w:bCs/>
                <w:sz w:val="20"/>
                <w:szCs w:val="20"/>
              </w:rPr>
              <w:t>AND</w:t>
            </w:r>
          </w:p>
        </w:tc>
      </w:tr>
      <w:tr w:rsidR="00AD3789" w:rsidRPr="00E2580F" w14:paraId="29FAEB41" w14:textId="77777777" w:rsidTr="00CA1F11">
        <w:trPr>
          <w:trHeight w:val="374"/>
        </w:trPr>
        <w:tc>
          <w:tcPr>
            <w:tcW w:w="939" w:type="pct"/>
          </w:tcPr>
          <w:p w14:paraId="45293919" w14:textId="77777777" w:rsidR="00AD3789" w:rsidRPr="00FE4243" w:rsidRDefault="00AD3789" w:rsidP="001E7557">
            <w:pPr>
              <w:jc w:val="left"/>
              <w:rPr>
                <w:rFonts w:ascii="Arial Narrow" w:hAnsi="Arial Narrow"/>
                <w:b/>
                <w:bCs/>
                <w:sz w:val="20"/>
                <w:szCs w:val="20"/>
              </w:rPr>
            </w:pPr>
            <w:r w:rsidRPr="00FE4243">
              <w:rPr>
                <w:rFonts w:ascii="Arial Narrow" w:hAnsi="Arial Narrow"/>
                <w:b/>
                <w:bCs/>
                <w:sz w:val="20"/>
                <w:szCs w:val="20"/>
              </w:rPr>
              <w:t>Clinical criteria:</w:t>
            </w:r>
          </w:p>
        </w:tc>
        <w:tc>
          <w:tcPr>
            <w:tcW w:w="4061" w:type="pct"/>
          </w:tcPr>
          <w:p w14:paraId="59804C45" w14:textId="77777777" w:rsidR="00AD3789" w:rsidRPr="00E2580F" w:rsidRDefault="00AD3789" w:rsidP="001E7557">
            <w:pPr>
              <w:jc w:val="left"/>
              <w:rPr>
                <w:rFonts w:ascii="Arial Narrow" w:hAnsi="Arial Narrow"/>
                <w:sz w:val="20"/>
                <w:szCs w:val="20"/>
              </w:rPr>
            </w:pPr>
            <w:r w:rsidRPr="00E2580F">
              <w:rPr>
                <w:rFonts w:ascii="Arial Narrow" w:hAnsi="Arial Narrow"/>
                <w:sz w:val="20"/>
                <w:szCs w:val="20"/>
              </w:rPr>
              <w:t>The condition must not be present in the central nervous system or testis,</w:t>
            </w:r>
          </w:p>
        </w:tc>
      </w:tr>
      <w:tr w:rsidR="00AD3789" w:rsidRPr="00E2580F" w14:paraId="131B5E41" w14:textId="77777777" w:rsidTr="00CA1F11">
        <w:trPr>
          <w:trHeight w:val="218"/>
        </w:trPr>
        <w:tc>
          <w:tcPr>
            <w:tcW w:w="939" w:type="pct"/>
          </w:tcPr>
          <w:p w14:paraId="1A1FDD94" w14:textId="77777777" w:rsidR="00AD3789" w:rsidRPr="00FE4243" w:rsidRDefault="00AD3789" w:rsidP="001E7557">
            <w:pPr>
              <w:jc w:val="left"/>
              <w:rPr>
                <w:rFonts w:ascii="Arial Narrow" w:hAnsi="Arial Narrow"/>
                <w:b/>
                <w:bCs/>
                <w:sz w:val="20"/>
                <w:szCs w:val="20"/>
              </w:rPr>
            </w:pPr>
          </w:p>
        </w:tc>
        <w:tc>
          <w:tcPr>
            <w:tcW w:w="4061" w:type="pct"/>
          </w:tcPr>
          <w:p w14:paraId="53843CBF" w14:textId="77777777" w:rsidR="00AD3789" w:rsidRPr="00FE4243" w:rsidRDefault="00AD3789" w:rsidP="001E7557">
            <w:pPr>
              <w:jc w:val="left"/>
              <w:rPr>
                <w:rFonts w:ascii="Arial Narrow" w:hAnsi="Arial Narrow"/>
                <w:b/>
                <w:bCs/>
                <w:sz w:val="20"/>
                <w:szCs w:val="20"/>
              </w:rPr>
            </w:pPr>
            <w:r w:rsidRPr="00FE4243">
              <w:rPr>
                <w:rFonts w:ascii="Arial Narrow" w:hAnsi="Arial Narrow"/>
                <w:b/>
                <w:bCs/>
                <w:sz w:val="20"/>
                <w:szCs w:val="20"/>
              </w:rPr>
              <w:t>AND</w:t>
            </w:r>
          </w:p>
        </w:tc>
      </w:tr>
      <w:tr w:rsidR="00AD3789" w:rsidRPr="00E2580F" w14:paraId="18298976" w14:textId="77777777" w:rsidTr="00CA1F11">
        <w:trPr>
          <w:trHeight w:val="218"/>
        </w:trPr>
        <w:tc>
          <w:tcPr>
            <w:tcW w:w="939" w:type="pct"/>
          </w:tcPr>
          <w:p w14:paraId="1BFBA88D" w14:textId="77777777" w:rsidR="00AD3789" w:rsidRPr="00FE4243" w:rsidRDefault="00AD3789" w:rsidP="001E7557">
            <w:pPr>
              <w:jc w:val="left"/>
              <w:rPr>
                <w:rFonts w:ascii="Arial Narrow" w:hAnsi="Arial Narrow"/>
                <w:b/>
                <w:bCs/>
                <w:sz w:val="20"/>
                <w:szCs w:val="20"/>
              </w:rPr>
            </w:pPr>
            <w:r w:rsidRPr="00FE4243">
              <w:rPr>
                <w:rFonts w:ascii="Arial Narrow" w:hAnsi="Arial Narrow"/>
                <w:b/>
                <w:bCs/>
                <w:sz w:val="20"/>
                <w:szCs w:val="20"/>
              </w:rPr>
              <w:lastRenderedPageBreak/>
              <w:t>Clinical criteria:</w:t>
            </w:r>
          </w:p>
        </w:tc>
        <w:tc>
          <w:tcPr>
            <w:tcW w:w="4061" w:type="pct"/>
          </w:tcPr>
          <w:p w14:paraId="207DE0E6" w14:textId="77777777" w:rsidR="00AD3789" w:rsidRPr="00E2580F" w:rsidRDefault="00AD3789" w:rsidP="001E7557">
            <w:pPr>
              <w:jc w:val="left"/>
              <w:rPr>
                <w:rFonts w:ascii="Arial Narrow" w:hAnsi="Arial Narrow"/>
                <w:sz w:val="20"/>
                <w:szCs w:val="20"/>
              </w:rPr>
            </w:pPr>
            <w:r w:rsidRPr="00E2580F">
              <w:rPr>
                <w:rFonts w:ascii="Arial Narrow" w:hAnsi="Arial Narrow"/>
                <w:sz w:val="20"/>
                <w:szCs w:val="20"/>
              </w:rPr>
              <w:t>Patient must have previously received a tyrosine kinase inhibitor (TKI) if the condition is Philadelphia chromosome positive,</w:t>
            </w:r>
          </w:p>
        </w:tc>
      </w:tr>
      <w:tr w:rsidR="00AD3789" w:rsidRPr="00E2580F" w14:paraId="75F09E7F" w14:textId="77777777" w:rsidTr="00CA1F11">
        <w:trPr>
          <w:trHeight w:val="218"/>
        </w:trPr>
        <w:tc>
          <w:tcPr>
            <w:tcW w:w="939" w:type="pct"/>
          </w:tcPr>
          <w:p w14:paraId="0C8B264C" w14:textId="77777777" w:rsidR="00AD3789" w:rsidRPr="00FE4243" w:rsidRDefault="00AD3789" w:rsidP="001E7557">
            <w:pPr>
              <w:jc w:val="left"/>
              <w:rPr>
                <w:rFonts w:ascii="Arial Narrow" w:hAnsi="Arial Narrow"/>
                <w:b/>
                <w:bCs/>
                <w:sz w:val="20"/>
                <w:szCs w:val="20"/>
              </w:rPr>
            </w:pPr>
          </w:p>
        </w:tc>
        <w:tc>
          <w:tcPr>
            <w:tcW w:w="4061" w:type="pct"/>
          </w:tcPr>
          <w:p w14:paraId="5148EE73" w14:textId="77777777" w:rsidR="00AD3789" w:rsidRPr="00E2580F" w:rsidRDefault="00AD3789" w:rsidP="001E7557">
            <w:pPr>
              <w:jc w:val="left"/>
              <w:rPr>
                <w:rFonts w:ascii="Arial Narrow" w:hAnsi="Arial Narrow"/>
                <w:sz w:val="20"/>
                <w:szCs w:val="20"/>
              </w:rPr>
            </w:pPr>
            <w:r w:rsidRPr="00FE4243">
              <w:rPr>
                <w:rFonts w:ascii="Arial Narrow" w:hAnsi="Arial Narrow"/>
                <w:b/>
                <w:bCs/>
                <w:sz w:val="20"/>
                <w:szCs w:val="20"/>
              </w:rPr>
              <w:t>AND</w:t>
            </w:r>
          </w:p>
        </w:tc>
      </w:tr>
      <w:tr w:rsidR="00AD3789" w:rsidRPr="00E2580F" w14:paraId="4B521886" w14:textId="77777777" w:rsidTr="00CA1F11">
        <w:trPr>
          <w:trHeight w:val="218"/>
        </w:trPr>
        <w:tc>
          <w:tcPr>
            <w:tcW w:w="939" w:type="pct"/>
          </w:tcPr>
          <w:p w14:paraId="2AFD5D7B" w14:textId="77777777" w:rsidR="00AD3789" w:rsidRPr="00FE4243" w:rsidRDefault="00AD3789" w:rsidP="001E7557">
            <w:pPr>
              <w:jc w:val="left"/>
              <w:rPr>
                <w:rFonts w:ascii="Arial Narrow" w:hAnsi="Arial Narrow"/>
                <w:b/>
                <w:bCs/>
                <w:sz w:val="20"/>
                <w:szCs w:val="20"/>
              </w:rPr>
            </w:pPr>
            <w:r w:rsidRPr="00FE4243">
              <w:rPr>
                <w:rFonts w:ascii="Arial Narrow" w:hAnsi="Arial Narrow"/>
                <w:b/>
                <w:bCs/>
                <w:sz w:val="20"/>
                <w:szCs w:val="20"/>
              </w:rPr>
              <w:t>Clinical criteria:</w:t>
            </w:r>
          </w:p>
        </w:tc>
        <w:tc>
          <w:tcPr>
            <w:tcW w:w="4061" w:type="pct"/>
          </w:tcPr>
          <w:p w14:paraId="54F80E86" w14:textId="77777777" w:rsidR="00AD3789" w:rsidRPr="00E2580F" w:rsidRDefault="00AD3789" w:rsidP="001E7557">
            <w:pPr>
              <w:jc w:val="left"/>
              <w:rPr>
                <w:rFonts w:ascii="Arial Narrow" w:hAnsi="Arial Narrow"/>
                <w:sz w:val="20"/>
                <w:szCs w:val="20"/>
              </w:rPr>
            </w:pPr>
            <w:r w:rsidRPr="00E2580F">
              <w:rPr>
                <w:rFonts w:ascii="Arial Narrow" w:hAnsi="Arial Narrow"/>
                <w:sz w:val="20"/>
                <w:szCs w:val="20"/>
              </w:rPr>
              <w:t>Patient must have received intensive combination chemotherapy for initial treatment of ALL or for subsequent salvage therapy,</w:t>
            </w:r>
          </w:p>
        </w:tc>
      </w:tr>
      <w:tr w:rsidR="00AD3789" w:rsidRPr="00E2580F" w14:paraId="4885E056" w14:textId="77777777" w:rsidTr="00CA1F11">
        <w:trPr>
          <w:trHeight w:val="218"/>
        </w:trPr>
        <w:tc>
          <w:tcPr>
            <w:tcW w:w="939" w:type="pct"/>
          </w:tcPr>
          <w:p w14:paraId="2783B176" w14:textId="77777777" w:rsidR="00AD3789" w:rsidRPr="00FE4243" w:rsidRDefault="00AD3789" w:rsidP="001E7557">
            <w:pPr>
              <w:jc w:val="left"/>
              <w:rPr>
                <w:rFonts w:ascii="Arial Narrow" w:hAnsi="Arial Narrow"/>
                <w:b/>
                <w:bCs/>
                <w:sz w:val="20"/>
                <w:szCs w:val="20"/>
              </w:rPr>
            </w:pPr>
          </w:p>
        </w:tc>
        <w:tc>
          <w:tcPr>
            <w:tcW w:w="4061" w:type="pct"/>
          </w:tcPr>
          <w:p w14:paraId="023BBB1C" w14:textId="77777777" w:rsidR="00AD3789" w:rsidRPr="00E2580F" w:rsidRDefault="00AD3789" w:rsidP="001E7557">
            <w:pPr>
              <w:jc w:val="left"/>
              <w:rPr>
                <w:rFonts w:ascii="Arial Narrow" w:hAnsi="Arial Narrow"/>
                <w:sz w:val="20"/>
                <w:szCs w:val="20"/>
              </w:rPr>
            </w:pPr>
            <w:r w:rsidRPr="00FE4243">
              <w:rPr>
                <w:rFonts w:ascii="Arial Narrow" w:hAnsi="Arial Narrow"/>
                <w:b/>
                <w:bCs/>
                <w:sz w:val="20"/>
                <w:szCs w:val="20"/>
              </w:rPr>
              <w:t>AND</w:t>
            </w:r>
          </w:p>
        </w:tc>
      </w:tr>
      <w:tr w:rsidR="00AD3789" w:rsidRPr="00E2580F" w14:paraId="61B16AC5" w14:textId="77777777" w:rsidTr="00CA1F11">
        <w:trPr>
          <w:trHeight w:val="218"/>
        </w:trPr>
        <w:tc>
          <w:tcPr>
            <w:tcW w:w="939" w:type="pct"/>
          </w:tcPr>
          <w:p w14:paraId="52FC21CE" w14:textId="77777777" w:rsidR="00AD3789" w:rsidRPr="00FE4243" w:rsidRDefault="00AD3789" w:rsidP="001E7557">
            <w:pPr>
              <w:jc w:val="left"/>
              <w:rPr>
                <w:rFonts w:ascii="Arial Narrow" w:hAnsi="Arial Narrow"/>
                <w:b/>
                <w:bCs/>
                <w:sz w:val="20"/>
                <w:szCs w:val="20"/>
              </w:rPr>
            </w:pPr>
            <w:r w:rsidRPr="00FE4243">
              <w:rPr>
                <w:rFonts w:ascii="Arial Narrow" w:hAnsi="Arial Narrow"/>
                <w:b/>
                <w:bCs/>
                <w:sz w:val="20"/>
                <w:szCs w:val="20"/>
              </w:rPr>
              <w:t>Clinical criteria:</w:t>
            </w:r>
          </w:p>
        </w:tc>
        <w:tc>
          <w:tcPr>
            <w:tcW w:w="4061" w:type="pct"/>
          </w:tcPr>
          <w:p w14:paraId="2DA9AF28" w14:textId="77777777" w:rsidR="00AD3789" w:rsidRPr="00E2580F" w:rsidRDefault="00AD3789" w:rsidP="001E7557">
            <w:pPr>
              <w:jc w:val="left"/>
              <w:rPr>
                <w:rFonts w:ascii="Arial Narrow" w:hAnsi="Arial Narrow"/>
                <w:sz w:val="20"/>
                <w:szCs w:val="20"/>
              </w:rPr>
            </w:pPr>
            <w:r w:rsidRPr="00E2580F">
              <w:rPr>
                <w:rFonts w:ascii="Arial Narrow" w:hAnsi="Arial Narrow"/>
                <w:sz w:val="20"/>
                <w:szCs w:val="20"/>
              </w:rPr>
              <w:t>Patient must not have received more than 1 line of salvage therapy,</w:t>
            </w:r>
          </w:p>
        </w:tc>
      </w:tr>
      <w:tr w:rsidR="00AD3789" w:rsidRPr="00E2580F" w14:paraId="33710AE9" w14:textId="77777777" w:rsidTr="00CA1F11">
        <w:trPr>
          <w:trHeight w:val="218"/>
        </w:trPr>
        <w:tc>
          <w:tcPr>
            <w:tcW w:w="939" w:type="pct"/>
          </w:tcPr>
          <w:p w14:paraId="6E59EE37" w14:textId="77777777" w:rsidR="00AD3789" w:rsidRPr="00FE4243" w:rsidRDefault="00AD3789" w:rsidP="001E7557">
            <w:pPr>
              <w:jc w:val="left"/>
              <w:rPr>
                <w:rFonts w:ascii="Arial Narrow" w:hAnsi="Arial Narrow"/>
                <w:b/>
                <w:bCs/>
                <w:sz w:val="20"/>
                <w:szCs w:val="20"/>
              </w:rPr>
            </w:pPr>
          </w:p>
        </w:tc>
        <w:tc>
          <w:tcPr>
            <w:tcW w:w="4061" w:type="pct"/>
          </w:tcPr>
          <w:p w14:paraId="0B14AE58" w14:textId="77777777" w:rsidR="00AD3789" w:rsidRPr="00E2580F" w:rsidRDefault="00AD3789" w:rsidP="001E7557">
            <w:pPr>
              <w:jc w:val="left"/>
              <w:rPr>
                <w:rFonts w:ascii="Arial Narrow" w:hAnsi="Arial Narrow"/>
                <w:sz w:val="20"/>
                <w:szCs w:val="20"/>
              </w:rPr>
            </w:pPr>
            <w:r w:rsidRPr="00FE4243">
              <w:rPr>
                <w:rFonts w:ascii="Arial Narrow" w:hAnsi="Arial Narrow"/>
                <w:b/>
                <w:bCs/>
                <w:sz w:val="20"/>
                <w:szCs w:val="20"/>
              </w:rPr>
              <w:t>AND</w:t>
            </w:r>
          </w:p>
        </w:tc>
      </w:tr>
      <w:tr w:rsidR="00AD3789" w:rsidRPr="00E2580F" w14:paraId="0465037E" w14:textId="77777777" w:rsidTr="00CA1F11">
        <w:trPr>
          <w:trHeight w:val="218"/>
        </w:trPr>
        <w:tc>
          <w:tcPr>
            <w:tcW w:w="939" w:type="pct"/>
          </w:tcPr>
          <w:p w14:paraId="12BC552E" w14:textId="77777777" w:rsidR="00AD3789" w:rsidRPr="00FE4243" w:rsidRDefault="00AD3789" w:rsidP="001E7557">
            <w:pPr>
              <w:jc w:val="left"/>
              <w:rPr>
                <w:rFonts w:ascii="Arial Narrow" w:hAnsi="Arial Narrow"/>
                <w:b/>
                <w:bCs/>
                <w:sz w:val="20"/>
                <w:szCs w:val="20"/>
              </w:rPr>
            </w:pPr>
            <w:r w:rsidRPr="00FE4243">
              <w:rPr>
                <w:rFonts w:ascii="Arial Narrow" w:hAnsi="Arial Narrow"/>
                <w:b/>
                <w:bCs/>
                <w:sz w:val="20"/>
                <w:szCs w:val="20"/>
              </w:rPr>
              <w:t>Clinical criteria:</w:t>
            </w:r>
          </w:p>
        </w:tc>
        <w:tc>
          <w:tcPr>
            <w:tcW w:w="4061" w:type="pct"/>
          </w:tcPr>
          <w:p w14:paraId="5E1C7297" w14:textId="6C54F3B8" w:rsidR="00AD3789" w:rsidRPr="00E2580F" w:rsidRDefault="00AD3789" w:rsidP="001E7557">
            <w:pPr>
              <w:jc w:val="left"/>
              <w:rPr>
                <w:rFonts w:ascii="Arial Narrow" w:hAnsi="Arial Narrow"/>
                <w:sz w:val="20"/>
                <w:szCs w:val="20"/>
              </w:rPr>
            </w:pPr>
            <w:r w:rsidRPr="00327E8F">
              <w:rPr>
                <w:rFonts w:ascii="Arial Narrow" w:hAnsi="Arial Narrow"/>
                <w:sz w:val="20"/>
                <w:szCs w:val="20"/>
              </w:rPr>
              <w:t>The condition must be one of the following: (i) untreated with this drug for</w:t>
            </w:r>
            <w:r w:rsidRPr="00327E8F">
              <w:rPr>
                <w:rFonts w:ascii="Arial Narrow" w:hAnsi="Arial Narrow"/>
                <w:strike/>
                <w:sz w:val="20"/>
                <w:szCs w:val="20"/>
              </w:rPr>
              <w:t xml:space="preserve"> measurable residual disease</w:t>
            </w:r>
            <w:r w:rsidRPr="00327E8F">
              <w:rPr>
                <w:rFonts w:ascii="Arial Narrow" w:hAnsi="Arial Narrow"/>
                <w:sz w:val="20"/>
                <w:szCs w:val="20"/>
              </w:rPr>
              <w:t xml:space="preserve"> </w:t>
            </w:r>
            <w:r w:rsidRPr="00327E8F">
              <w:rPr>
                <w:rFonts w:ascii="Arial Narrow" w:hAnsi="Arial Narrow"/>
                <w:i/>
                <w:iCs/>
                <w:sz w:val="20"/>
                <w:szCs w:val="20"/>
              </w:rPr>
              <w:t>Pre-B-cell ALL in CR</w:t>
            </w:r>
            <w:r w:rsidRPr="00327E8F">
              <w:rPr>
                <w:rFonts w:ascii="Arial Narrow" w:hAnsi="Arial Narrow"/>
                <w:sz w:val="20"/>
                <w:szCs w:val="20"/>
              </w:rPr>
              <w:t xml:space="preserve">, (ii) treated with this drug for </w:t>
            </w:r>
            <w:r w:rsidRPr="00327E8F">
              <w:rPr>
                <w:rFonts w:ascii="Arial Narrow" w:hAnsi="Arial Narrow"/>
                <w:strike/>
                <w:sz w:val="20"/>
                <w:szCs w:val="20"/>
              </w:rPr>
              <w:t>measurable residual disease</w:t>
            </w:r>
            <w:r w:rsidRPr="00327E8F">
              <w:rPr>
                <w:rFonts w:ascii="Arial Narrow" w:hAnsi="Arial Narrow"/>
                <w:sz w:val="20"/>
                <w:szCs w:val="20"/>
              </w:rPr>
              <w:t xml:space="preserve"> </w:t>
            </w:r>
            <w:r w:rsidRPr="00327E8F">
              <w:rPr>
                <w:rFonts w:ascii="Arial Narrow" w:hAnsi="Arial Narrow"/>
                <w:i/>
                <w:iCs/>
                <w:sz w:val="20"/>
                <w:szCs w:val="20"/>
              </w:rPr>
              <w:t>Pre-B-cell ALL in CR</w:t>
            </w:r>
            <w:r w:rsidRPr="00327E8F">
              <w:rPr>
                <w:rFonts w:ascii="Arial Narrow" w:hAnsi="Arial Narrow"/>
                <w:sz w:val="20"/>
                <w:szCs w:val="20"/>
              </w:rPr>
              <w:t>, but the condition has not relapsed within 6 months of completing that course of treatment,</w:t>
            </w:r>
          </w:p>
        </w:tc>
      </w:tr>
      <w:tr w:rsidR="00AD3789" w:rsidRPr="00E2580F" w14:paraId="610B8669" w14:textId="77777777" w:rsidTr="00CA1F11">
        <w:trPr>
          <w:trHeight w:val="218"/>
        </w:trPr>
        <w:tc>
          <w:tcPr>
            <w:tcW w:w="939" w:type="pct"/>
          </w:tcPr>
          <w:p w14:paraId="3243BD2F" w14:textId="77777777" w:rsidR="00AD3789" w:rsidRPr="00FE4243" w:rsidRDefault="00AD3789" w:rsidP="001E7557">
            <w:pPr>
              <w:jc w:val="left"/>
              <w:rPr>
                <w:rFonts w:ascii="Arial Narrow" w:hAnsi="Arial Narrow"/>
                <w:b/>
                <w:bCs/>
                <w:sz w:val="20"/>
                <w:szCs w:val="20"/>
              </w:rPr>
            </w:pPr>
          </w:p>
        </w:tc>
        <w:tc>
          <w:tcPr>
            <w:tcW w:w="4061" w:type="pct"/>
          </w:tcPr>
          <w:p w14:paraId="6BBD87B1" w14:textId="77777777" w:rsidR="00AD3789" w:rsidRPr="00E2580F" w:rsidRDefault="00AD3789" w:rsidP="001E7557">
            <w:pPr>
              <w:jc w:val="left"/>
              <w:rPr>
                <w:rFonts w:ascii="Arial Narrow" w:hAnsi="Arial Narrow"/>
                <w:sz w:val="20"/>
                <w:szCs w:val="20"/>
              </w:rPr>
            </w:pPr>
            <w:r w:rsidRPr="00FE4243">
              <w:rPr>
                <w:rFonts w:ascii="Arial Narrow" w:hAnsi="Arial Narrow"/>
                <w:b/>
                <w:bCs/>
                <w:sz w:val="20"/>
                <w:szCs w:val="20"/>
              </w:rPr>
              <w:t>AND</w:t>
            </w:r>
          </w:p>
        </w:tc>
      </w:tr>
      <w:tr w:rsidR="00AD3789" w:rsidRPr="00E2580F" w14:paraId="448EE700" w14:textId="77777777" w:rsidTr="00CA1F11">
        <w:trPr>
          <w:trHeight w:val="218"/>
        </w:trPr>
        <w:tc>
          <w:tcPr>
            <w:tcW w:w="939" w:type="pct"/>
          </w:tcPr>
          <w:p w14:paraId="123066C1" w14:textId="77777777" w:rsidR="00AD3789" w:rsidRPr="00FE4243" w:rsidRDefault="00AD3789" w:rsidP="001E7557">
            <w:pPr>
              <w:jc w:val="left"/>
              <w:rPr>
                <w:rFonts w:ascii="Arial Narrow" w:hAnsi="Arial Narrow"/>
                <w:b/>
                <w:bCs/>
                <w:sz w:val="20"/>
                <w:szCs w:val="20"/>
              </w:rPr>
            </w:pPr>
            <w:r w:rsidRPr="00FE4243">
              <w:rPr>
                <w:rFonts w:ascii="Arial Narrow" w:hAnsi="Arial Narrow"/>
                <w:b/>
                <w:bCs/>
                <w:sz w:val="20"/>
                <w:szCs w:val="20"/>
              </w:rPr>
              <w:t>Clinical criteria:</w:t>
            </w:r>
          </w:p>
        </w:tc>
        <w:tc>
          <w:tcPr>
            <w:tcW w:w="4061" w:type="pct"/>
          </w:tcPr>
          <w:p w14:paraId="65E2B036" w14:textId="77777777" w:rsidR="00AD3789" w:rsidRPr="00E2580F" w:rsidRDefault="00AD3789" w:rsidP="001E7557">
            <w:pPr>
              <w:jc w:val="left"/>
              <w:rPr>
                <w:rFonts w:ascii="Arial Narrow" w:hAnsi="Arial Narrow"/>
                <w:sz w:val="20"/>
                <w:szCs w:val="20"/>
              </w:rPr>
            </w:pPr>
            <w:r w:rsidRPr="00E2580F">
              <w:rPr>
                <w:rFonts w:ascii="Arial Narrow" w:hAnsi="Arial Narrow"/>
                <w:sz w:val="20"/>
                <w:szCs w:val="20"/>
              </w:rPr>
              <w:t>The condition must have more than 5% blasts in bone marrow,</w:t>
            </w:r>
          </w:p>
        </w:tc>
      </w:tr>
      <w:tr w:rsidR="00AD3789" w:rsidRPr="00E2580F" w14:paraId="109939E5" w14:textId="77777777" w:rsidTr="00CA1F11">
        <w:trPr>
          <w:trHeight w:val="218"/>
        </w:trPr>
        <w:tc>
          <w:tcPr>
            <w:tcW w:w="939" w:type="pct"/>
          </w:tcPr>
          <w:p w14:paraId="3940CD9B" w14:textId="77777777" w:rsidR="00AD3789" w:rsidRPr="00FE4243" w:rsidRDefault="00AD3789" w:rsidP="001E7557">
            <w:pPr>
              <w:jc w:val="left"/>
              <w:rPr>
                <w:rFonts w:ascii="Arial Narrow" w:hAnsi="Arial Narrow"/>
                <w:b/>
                <w:bCs/>
                <w:sz w:val="20"/>
                <w:szCs w:val="20"/>
              </w:rPr>
            </w:pPr>
          </w:p>
        </w:tc>
        <w:tc>
          <w:tcPr>
            <w:tcW w:w="4061" w:type="pct"/>
          </w:tcPr>
          <w:p w14:paraId="061C8EA6" w14:textId="77777777" w:rsidR="00AD3789" w:rsidRPr="00E2580F" w:rsidRDefault="00AD3789" w:rsidP="001E7557">
            <w:pPr>
              <w:jc w:val="left"/>
              <w:rPr>
                <w:rFonts w:ascii="Arial Narrow" w:hAnsi="Arial Narrow"/>
                <w:sz w:val="20"/>
                <w:szCs w:val="20"/>
              </w:rPr>
            </w:pPr>
            <w:r w:rsidRPr="00FE4243">
              <w:rPr>
                <w:rFonts w:ascii="Arial Narrow" w:hAnsi="Arial Narrow"/>
                <w:b/>
                <w:bCs/>
                <w:sz w:val="20"/>
                <w:szCs w:val="20"/>
              </w:rPr>
              <w:t>AND</w:t>
            </w:r>
          </w:p>
        </w:tc>
      </w:tr>
      <w:tr w:rsidR="00AD3789" w:rsidRPr="00E2580F" w14:paraId="66BEA819" w14:textId="77777777" w:rsidTr="00CA1F11">
        <w:trPr>
          <w:trHeight w:val="218"/>
        </w:trPr>
        <w:tc>
          <w:tcPr>
            <w:tcW w:w="939" w:type="pct"/>
          </w:tcPr>
          <w:p w14:paraId="614EB385" w14:textId="77777777" w:rsidR="00AD3789" w:rsidRPr="00FE4243" w:rsidRDefault="00AD3789" w:rsidP="001E7557">
            <w:pPr>
              <w:jc w:val="left"/>
              <w:rPr>
                <w:rFonts w:ascii="Arial Narrow" w:hAnsi="Arial Narrow"/>
                <w:b/>
                <w:bCs/>
                <w:sz w:val="20"/>
                <w:szCs w:val="20"/>
              </w:rPr>
            </w:pPr>
            <w:r w:rsidRPr="00FE4243">
              <w:rPr>
                <w:rFonts w:ascii="Arial Narrow" w:hAnsi="Arial Narrow"/>
                <w:b/>
                <w:bCs/>
                <w:sz w:val="20"/>
                <w:szCs w:val="20"/>
              </w:rPr>
              <w:t>Clinical criteria:</w:t>
            </w:r>
          </w:p>
        </w:tc>
        <w:tc>
          <w:tcPr>
            <w:tcW w:w="4061" w:type="pct"/>
          </w:tcPr>
          <w:p w14:paraId="2349F166" w14:textId="77777777" w:rsidR="00AD3789" w:rsidRPr="00E2580F" w:rsidRDefault="00AD3789" w:rsidP="001E7557">
            <w:pPr>
              <w:jc w:val="left"/>
              <w:rPr>
                <w:rFonts w:ascii="Arial Narrow" w:hAnsi="Arial Narrow"/>
                <w:sz w:val="20"/>
                <w:szCs w:val="20"/>
              </w:rPr>
            </w:pPr>
            <w:r w:rsidRPr="00E2580F">
              <w:rPr>
                <w:rFonts w:ascii="Arial Narrow" w:hAnsi="Arial Narrow"/>
                <w:sz w:val="20"/>
                <w:szCs w:val="20"/>
              </w:rPr>
              <w:t>The treatment must not be more than 2 treatment cycles under this restriction in a lifetime.</w:t>
            </w:r>
          </w:p>
        </w:tc>
      </w:tr>
      <w:tr w:rsidR="00AD3789" w:rsidRPr="00E2580F" w14:paraId="300FFDFD" w14:textId="77777777" w:rsidTr="00CA1F11">
        <w:trPr>
          <w:trHeight w:val="218"/>
        </w:trPr>
        <w:tc>
          <w:tcPr>
            <w:tcW w:w="939" w:type="pct"/>
          </w:tcPr>
          <w:p w14:paraId="3B43C350" w14:textId="77777777" w:rsidR="00AD3789" w:rsidRPr="00FE4243" w:rsidRDefault="00AD3789" w:rsidP="001E7557">
            <w:pPr>
              <w:jc w:val="left"/>
              <w:rPr>
                <w:rFonts w:ascii="Arial Narrow" w:hAnsi="Arial Narrow"/>
                <w:b/>
                <w:bCs/>
                <w:sz w:val="20"/>
                <w:szCs w:val="20"/>
              </w:rPr>
            </w:pPr>
          </w:p>
        </w:tc>
        <w:tc>
          <w:tcPr>
            <w:tcW w:w="4061" w:type="pct"/>
          </w:tcPr>
          <w:p w14:paraId="31A8B40C" w14:textId="77777777" w:rsidR="00AD3789" w:rsidRPr="00E2580F" w:rsidRDefault="00AD3789" w:rsidP="001E7557">
            <w:pPr>
              <w:jc w:val="left"/>
              <w:rPr>
                <w:rFonts w:ascii="Arial Narrow" w:hAnsi="Arial Narrow"/>
                <w:sz w:val="20"/>
                <w:szCs w:val="20"/>
              </w:rPr>
            </w:pPr>
          </w:p>
        </w:tc>
      </w:tr>
      <w:tr w:rsidR="00AD3789" w:rsidRPr="00E2580F" w14:paraId="00E735B3" w14:textId="77777777" w:rsidTr="00CA1F11">
        <w:trPr>
          <w:trHeight w:val="218"/>
        </w:trPr>
        <w:tc>
          <w:tcPr>
            <w:tcW w:w="939" w:type="pct"/>
          </w:tcPr>
          <w:p w14:paraId="708F8D47" w14:textId="77777777" w:rsidR="00AD3789" w:rsidRPr="00FE4243" w:rsidRDefault="00AD3789" w:rsidP="001E7557">
            <w:pPr>
              <w:jc w:val="left"/>
              <w:rPr>
                <w:rFonts w:ascii="Arial Narrow" w:hAnsi="Arial Narrow"/>
                <w:b/>
                <w:bCs/>
                <w:sz w:val="20"/>
                <w:szCs w:val="20"/>
              </w:rPr>
            </w:pPr>
            <w:r>
              <w:rPr>
                <w:rFonts w:ascii="Arial Narrow" w:hAnsi="Arial Narrow"/>
                <w:b/>
                <w:bCs/>
                <w:sz w:val="20"/>
                <w:szCs w:val="20"/>
              </w:rPr>
              <w:t>Prescribing instructions:</w:t>
            </w:r>
          </w:p>
        </w:tc>
        <w:tc>
          <w:tcPr>
            <w:tcW w:w="4061" w:type="pct"/>
          </w:tcPr>
          <w:p w14:paraId="4E2BC9BD" w14:textId="77777777" w:rsidR="00AD3789" w:rsidRPr="00E2580F" w:rsidRDefault="00AD3789" w:rsidP="001E7557">
            <w:pPr>
              <w:jc w:val="left"/>
              <w:rPr>
                <w:rFonts w:ascii="Arial Narrow" w:hAnsi="Arial Narrow"/>
                <w:sz w:val="20"/>
                <w:szCs w:val="20"/>
              </w:rPr>
            </w:pPr>
            <w:r w:rsidRPr="00E2580F">
              <w:rPr>
                <w:rFonts w:ascii="Arial Narrow" w:hAnsi="Arial Narrow"/>
                <w:sz w:val="20"/>
                <w:szCs w:val="20"/>
              </w:rPr>
              <w:t>According to the TGA-approved Product Information, hospitalisation is recommended at minimum for the first 9 days of the first cycle and the first 2 days of the second cycle. For all subsequent cycle starts and re-initiation (e.g. if treatment is interrupted for 4 or more hours), supervision by a health care professional or hospitalisation is recommended.</w:t>
            </w:r>
          </w:p>
        </w:tc>
      </w:tr>
      <w:tr w:rsidR="00AD3789" w:rsidRPr="00E2580F" w14:paraId="7E8EC9EA" w14:textId="77777777" w:rsidTr="00CA1F11">
        <w:trPr>
          <w:trHeight w:val="218"/>
        </w:trPr>
        <w:tc>
          <w:tcPr>
            <w:tcW w:w="939" w:type="pct"/>
          </w:tcPr>
          <w:p w14:paraId="4103C5EE" w14:textId="77777777" w:rsidR="00AD3789" w:rsidRPr="00FE4243" w:rsidRDefault="00AD3789" w:rsidP="001E7557">
            <w:pPr>
              <w:jc w:val="left"/>
              <w:rPr>
                <w:rFonts w:ascii="Arial Narrow" w:hAnsi="Arial Narrow"/>
                <w:b/>
                <w:bCs/>
                <w:sz w:val="20"/>
                <w:szCs w:val="20"/>
              </w:rPr>
            </w:pPr>
            <w:r>
              <w:rPr>
                <w:rFonts w:ascii="Arial Narrow" w:hAnsi="Arial Narrow"/>
                <w:b/>
                <w:bCs/>
                <w:sz w:val="20"/>
                <w:szCs w:val="20"/>
              </w:rPr>
              <w:t>Prescribing instructions:</w:t>
            </w:r>
          </w:p>
        </w:tc>
        <w:tc>
          <w:tcPr>
            <w:tcW w:w="4061" w:type="pct"/>
          </w:tcPr>
          <w:p w14:paraId="48CD1440" w14:textId="77777777" w:rsidR="00AD3789" w:rsidRPr="00E2580F" w:rsidRDefault="00AD3789" w:rsidP="001E7557">
            <w:pPr>
              <w:jc w:val="left"/>
              <w:rPr>
                <w:rFonts w:ascii="Arial Narrow" w:hAnsi="Arial Narrow"/>
                <w:sz w:val="20"/>
                <w:szCs w:val="20"/>
              </w:rPr>
            </w:pPr>
            <w:r w:rsidRPr="00E2580F">
              <w:rPr>
                <w:rFonts w:ascii="Arial Narrow" w:hAnsi="Arial Narrow"/>
                <w:sz w:val="20"/>
                <w:szCs w:val="20"/>
              </w:rPr>
              <w:t>An amount of 651 microgram will be sufficient for a continuous infusion of blinatumomab over 28 days in cycle 1. An amount of 784 microgram, which may be obtained under Induction treatment - balance of supply restriction, will be sufficient for a continuous infusion of blinatumomab over 28 days in cycle 2.</w:t>
            </w:r>
          </w:p>
        </w:tc>
      </w:tr>
      <w:tr w:rsidR="00AD3789" w:rsidRPr="00E2580F" w14:paraId="3744D56B" w14:textId="77777777" w:rsidTr="00CA1F11">
        <w:trPr>
          <w:trHeight w:val="218"/>
        </w:trPr>
        <w:tc>
          <w:tcPr>
            <w:tcW w:w="939" w:type="pct"/>
          </w:tcPr>
          <w:p w14:paraId="46E52113" w14:textId="77777777" w:rsidR="00AD3789" w:rsidRPr="00FE4243" w:rsidRDefault="00AD3789" w:rsidP="001E7557">
            <w:pPr>
              <w:jc w:val="left"/>
              <w:rPr>
                <w:rFonts w:ascii="Arial Narrow" w:hAnsi="Arial Narrow"/>
                <w:b/>
                <w:bCs/>
                <w:sz w:val="20"/>
                <w:szCs w:val="20"/>
              </w:rPr>
            </w:pPr>
            <w:r>
              <w:rPr>
                <w:rFonts w:ascii="Arial Narrow" w:hAnsi="Arial Narrow"/>
                <w:b/>
                <w:bCs/>
                <w:sz w:val="20"/>
                <w:szCs w:val="20"/>
              </w:rPr>
              <w:t>Prescribing instructions:</w:t>
            </w:r>
          </w:p>
        </w:tc>
        <w:tc>
          <w:tcPr>
            <w:tcW w:w="4061" w:type="pct"/>
          </w:tcPr>
          <w:p w14:paraId="5F32B489" w14:textId="77777777" w:rsidR="00AD3789" w:rsidRPr="00E2580F" w:rsidRDefault="00AD3789" w:rsidP="001E7557">
            <w:pPr>
              <w:jc w:val="left"/>
              <w:rPr>
                <w:rFonts w:ascii="Arial Narrow" w:hAnsi="Arial Narrow"/>
                <w:sz w:val="20"/>
                <w:szCs w:val="20"/>
              </w:rPr>
            </w:pPr>
            <w:r w:rsidRPr="00E2580F">
              <w:rPr>
                <w:rFonts w:ascii="Arial Narrow" w:hAnsi="Arial Narrow"/>
                <w:sz w:val="20"/>
                <w:szCs w:val="20"/>
              </w:rPr>
              <w:t>Blinatumomab is not PBS-subsidised if it is administered to an in-patient in a public hospital setting.</w:t>
            </w:r>
          </w:p>
        </w:tc>
      </w:tr>
      <w:tr w:rsidR="00AD3789" w:rsidRPr="00E2580F" w14:paraId="6FA9571C" w14:textId="77777777" w:rsidTr="00CA1F11">
        <w:trPr>
          <w:trHeight w:val="218"/>
        </w:trPr>
        <w:tc>
          <w:tcPr>
            <w:tcW w:w="939" w:type="pct"/>
          </w:tcPr>
          <w:p w14:paraId="66BC480E" w14:textId="77777777" w:rsidR="00AD3789" w:rsidRPr="00FE4243" w:rsidRDefault="00AD3789" w:rsidP="001E7557">
            <w:pPr>
              <w:jc w:val="left"/>
              <w:rPr>
                <w:rFonts w:ascii="Arial Narrow" w:hAnsi="Arial Narrow"/>
                <w:b/>
                <w:bCs/>
                <w:sz w:val="20"/>
                <w:szCs w:val="20"/>
              </w:rPr>
            </w:pPr>
            <w:r>
              <w:rPr>
                <w:rFonts w:ascii="Arial Narrow" w:hAnsi="Arial Narrow"/>
                <w:b/>
                <w:bCs/>
                <w:sz w:val="20"/>
                <w:szCs w:val="20"/>
              </w:rPr>
              <w:t>Prescribing instructions:</w:t>
            </w:r>
          </w:p>
        </w:tc>
        <w:tc>
          <w:tcPr>
            <w:tcW w:w="4061" w:type="pct"/>
          </w:tcPr>
          <w:p w14:paraId="60252749" w14:textId="77777777" w:rsidR="00AD3789" w:rsidRPr="00E2580F" w:rsidRDefault="00AD3789" w:rsidP="001E7557">
            <w:pPr>
              <w:jc w:val="left"/>
              <w:rPr>
                <w:rFonts w:ascii="Arial Narrow" w:hAnsi="Arial Narrow"/>
                <w:sz w:val="20"/>
                <w:szCs w:val="20"/>
              </w:rPr>
            </w:pPr>
            <w:r w:rsidRPr="00E2580F">
              <w:rPr>
                <w:rFonts w:ascii="Arial Narrow" w:hAnsi="Arial Narrow"/>
                <w:sz w:val="20"/>
                <w:szCs w:val="20"/>
              </w:rPr>
              <w:t>The authority application must be made in writing and must include:</w:t>
            </w:r>
          </w:p>
          <w:p w14:paraId="0C61126F" w14:textId="77777777" w:rsidR="00AD3789" w:rsidRPr="00E2580F" w:rsidRDefault="00AD3789" w:rsidP="001E7557">
            <w:pPr>
              <w:jc w:val="left"/>
              <w:rPr>
                <w:rFonts w:ascii="Arial Narrow" w:hAnsi="Arial Narrow"/>
                <w:sz w:val="20"/>
                <w:szCs w:val="20"/>
              </w:rPr>
            </w:pPr>
          </w:p>
          <w:p w14:paraId="030CE9EB" w14:textId="77777777" w:rsidR="00AD3789" w:rsidRPr="00E2580F" w:rsidRDefault="00AD3789" w:rsidP="001E7557">
            <w:pPr>
              <w:jc w:val="left"/>
              <w:rPr>
                <w:rFonts w:ascii="Arial Narrow" w:hAnsi="Arial Narrow"/>
                <w:sz w:val="20"/>
                <w:szCs w:val="20"/>
              </w:rPr>
            </w:pPr>
            <w:r w:rsidRPr="00E2580F">
              <w:rPr>
                <w:rFonts w:ascii="Arial Narrow" w:hAnsi="Arial Narrow"/>
                <w:sz w:val="20"/>
                <w:szCs w:val="20"/>
              </w:rPr>
              <w:t>(1) a completed authority prescription form; and</w:t>
            </w:r>
          </w:p>
          <w:p w14:paraId="21769BB0" w14:textId="77777777" w:rsidR="00AD3789" w:rsidRPr="00E2580F" w:rsidRDefault="00AD3789" w:rsidP="001E7557">
            <w:pPr>
              <w:jc w:val="left"/>
              <w:rPr>
                <w:rFonts w:ascii="Arial Narrow" w:hAnsi="Arial Narrow"/>
                <w:sz w:val="20"/>
                <w:szCs w:val="20"/>
              </w:rPr>
            </w:pPr>
          </w:p>
          <w:p w14:paraId="5E3F7512" w14:textId="77777777" w:rsidR="00AD3789" w:rsidRPr="00E2580F" w:rsidRDefault="00AD3789" w:rsidP="001E7557">
            <w:pPr>
              <w:jc w:val="left"/>
              <w:rPr>
                <w:rFonts w:ascii="Arial Narrow" w:hAnsi="Arial Narrow"/>
                <w:sz w:val="20"/>
                <w:szCs w:val="20"/>
              </w:rPr>
            </w:pPr>
            <w:r w:rsidRPr="00E2580F">
              <w:rPr>
                <w:rFonts w:ascii="Arial Narrow" w:hAnsi="Arial Narrow"/>
                <w:sz w:val="20"/>
                <w:szCs w:val="20"/>
              </w:rPr>
              <w:t>(2) a completed Acute Lymphoblastic Leukaemia PBS Authority Application - Supporting Information Form; and</w:t>
            </w:r>
          </w:p>
          <w:p w14:paraId="437B24FB" w14:textId="77777777" w:rsidR="00AD3789" w:rsidRPr="00E2580F" w:rsidRDefault="00AD3789" w:rsidP="001E7557">
            <w:pPr>
              <w:jc w:val="left"/>
              <w:rPr>
                <w:rFonts w:ascii="Arial Narrow" w:hAnsi="Arial Narrow"/>
                <w:sz w:val="20"/>
                <w:szCs w:val="20"/>
              </w:rPr>
            </w:pPr>
          </w:p>
          <w:p w14:paraId="66468B2C" w14:textId="77777777" w:rsidR="00AD3789" w:rsidRPr="00E2580F" w:rsidRDefault="00AD3789" w:rsidP="001E7557">
            <w:pPr>
              <w:jc w:val="left"/>
              <w:rPr>
                <w:rFonts w:ascii="Arial Narrow" w:hAnsi="Arial Narrow"/>
                <w:sz w:val="20"/>
                <w:szCs w:val="20"/>
              </w:rPr>
            </w:pPr>
            <w:r w:rsidRPr="00E2580F">
              <w:rPr>
                <w:rFonts w:ascii="Arial Narrow" w:hAnsi="Arial Narrow"/>
                <w:sz w:val="20"/>
                <w:szCs w:val="20"/>
              </w:rPr>
              <w:t>(3) date of most recent chemotherapy, and if this was the initial chemotherapy regimen or salvage therapy, including what line of salvage; and</w:t>
            </w:r>
          </w:p>
          <w:p w14:paraId="3B55F698" w14:textId="77777777" w:rsidR="00AD3789" w:rsidRPr="00E2580F" w:rsidRDefault="00AD3789" w:rsidP="001E7557">
            <w:pPr>
              <w:jc w:val="left"/>
              <w:rPr>
                <w:rFonts w:ascii="Arial Narrow" w:hAnsi="Arial Narrow"/>
                <w:sz w:val="20"/>
                <w:szCs w:val="20"/>
              </w:rPr>
            </w:pPr>
          </w:p>
          <w:p w14:paraId="6BE1F65D" w14:textId="77777777" w:rsidR="00AD3789" w:rsidRPr="00E2580F" w:rsidRDefault="00AD3789" w:rsidP="001E7557">
            <w:pPr>
              <w:jc w:val="left"/>
              <w:rPr>
                <w:rFonts w:ascii="Arial Narrow" w:hAnsi="Arial Narrow"/>
                <w:sz w:val="20"/>
                <w:szCs w:val="20"/>
              </w:rPr>
            </w:pPr>
            <w:r w:rsidRPr="00E2580F">
              <w:rPr>
                <w:rFonts w:ascii="Arial Narrow" w:hAnsi="Arial Narrow"/>
                <w:sz w:val="20"/>
                <w:szCs w:val="20"/>
              </w:rPr>
              <w:t xml:space="preserve">(4) if </w:t>
            </w:r>
            <w:r w:rsidRPr="00327E8F">
              <w:rPr>
                <w:rFonts w:ascii="Arial Narrow" w:hAnsi="Arial Narrow"/>
                <w:sz w:val="20"/>
                <w:szCs w:val="20"/>
              </w:rPr>
              <w:t xml:space="preserve">applicable, the date of completion of blinatumomab treatment for </w:t>
            </w:r>
            <w:r w:rsidRPr="00327E8F">
              <w:rPr>
                <w:rFonts w:ascii="Arial Narrow" w:hAnsi="Arial Narrow"/>
                <w:strike/>
                <w:sz w:val="20"/>
                <w:szCs w:val="20"/>
              </w:rPr>
              <w:t>measurable residual disease</w:t>
            </w:r>
            <w:r w:rsidRPr="00327E8F">
              <w:rPr>
                <w:rFonts w:ascii="Arial Narrow" w:hAnsi="Arial Narrow"/>
                <w:sz w:val="20"/>
                <w:szCs w:val="20"/>
              </w:rPr>
              <w:t xml:space="preserve"> </w:t>
            </w:r>
            <w:r w:rsidRPr="00327E8F">
              <w:rPr>
                <w:rFonts w:ascii="Arial Narrow" w:hAnsi="Arial Narrow"/>
                <w:i/>
                <w:iCs/>
                <w:sz w:val="20"/>
                <w:szCs w:val="20"/>
              </w:rPr>
              <w:t>Pre-B-cell ALL in CR</w:t>
            </w:r>
            <w:r w:rsidRPr="00327E8F">
              <w:rPr>
                <w:rFonts w:ascii="Arial Narrow" w:hAnsi="Arial Narrow"/>
                <w:sz w:val="20"/>
                <w:szCs w:val="20"/>
              </w:rPr>
              <w:t xml:space="preserve"> and the date of the patient's subsequent relapse; and</w:t>
            </w:r>
          </w:p>
          <w:p w14:paraId="56B5431F" w14:textId="77777777" w:rsidR="00AD3789" w:rsidRPr="00E2580F" w:rsidRDefault="00AD3789" w:rsidP="001E7557">
            <w:pPr>
              <w:jc w:val="left"/>
              <w:rPr>
                <w:rFonts w:ascii="Arial Narrow" w:hAnsi="Arial Narrow"/>
                <w:sz w:val="20"/>
                <w:szCs w:val="20"/>
              </w:rPr>
            </w:pPr>
          </w:p>
          <w:p w14:paraId="02DCE77D" w14:textId="77777777" w:rsidR="00AD3789" w:rsidRPr="00E2580F" w:rsidRDefault="00AD3789" w:rsidP="001E7557">
            <w:pPr>
              <w:jc w:val="left"/>
              <w:rPr>
                <w:rFonts w:ascii="Arial Narrow" w:hAnsi="Arial Narrow"/>
                <w:sz w:val="20"/>
                <w:szCs w:val="20"/>
              </w:rPr>
            </w:pPr>
            <w:r w:rsidRPr="00E2580F">
              <w:rPr>
                <w:rFonts w:ascii="Arial Narrow" w:hAnsi="Arial Narrow"/>
                <w:sz w:val="20"/>
                <w:szCs w:val="20"/>
              </w:rPr>
              <w:t>(5) the percentage blasts in bone marrow count that is no more than 4 weeks old at the time of application.</w:t>
            </w:r>
          </w:p>
        </w:tc>
      </w:tr>
      <w:tr w:rsidR="00AD3789" w:rsidRPr="00E2580F" w14:paraId="163935D5" w14:textId="77777777" w:rsidTr="00CA1F11">
        <w:trPr>
          <w:trHeight w:val="218"/>
        </w:trPr>
        <w:tc>
          <w:tcPr>
            <w:tcW w:w="939" w:type="pct"/>
          </w:tcPr>
          <w:p w14:paraId="4E7FCFEC" w14:textId="77777777" w:rsidR="00AD3789" w:rsidRPr="00FE4243" w:rsidRDefault="00AD3789" w:rsidP="001E7557">
            <w:pPr>
              <w:jc w:val="left"/>
              <w:rPr>
                <w:rFonts w:ascii="Arial Narrow" w:hAnsi="Arial Narrow"/>
                <w:b/>
                <w:bCs/>
                <w:sz w:val="20"/>
                <w:szCs w:val="20"/>
              </w:rPr>
            </w:pPr>
          </w:p>
        </w:tc>
        <w:tc>
          <w:tcPr>
            <w:tcW w:w="4061" w:type="pct"/>
          </w:tcPr>
          <w:p w14:paraId="18588028" w14:textId="77777777" w:rsidR="00AD3789" w:rsidRPr="00E2580F" w:rsidRDefault="00AD3789" w:rsidP="001E7557">
            <w:pPr>
              <w:jc w:val="left"/>
              <w:rPr>
                <w:rFonts w:ascii="Arial Narrow" w:hAnsi="Arial Narrow"/>
                <w:sz w:val="20"/>
                <w:szCs w:val="20"/>
              </w:rPr>
            </w:pPr>
          </w:p>
        </w:tc>
      </w:tr>
      <w:tr w:rsidR="00AD3789" w:rsidRPr="00E2580F" w14:paraId="6ABB5118" w14:textId="77777777" w:rsidTr="00CA1F11">
        <w:trPr>
          <w:trHeight w:val="1210"/>
        </w:trPr>
        <w:tc>
          <w:tcPr>
            <w:tcW w:w="939" w:type="pct"/>
          </w:tcPr>
          <w:p w14:paraId="2BD2E1CE" w14:textId="77777777" w:rsidR="00AD3789" w:rsidRPr="00FE4243" w:rsidRDefault="00AD3789" w:rsidP="001E7557">
            <w:pPr>
              <w:jc w:val="left"/>
              <w:rPr>
                <w:rFonts w:ascii="Arial Narrow" w:hAnsi="Arial Narrow"/>
                <w:b/>
                <w:bCs/>
                <w:sz w:val="20"/>
                <w:szCs w:val="20"/>
              </w:rPr>
            </w:pPr>
            <w:r w:rsidRPr="00FE4243">
              <w:rPr>
                <w:rFonts w:ascii="Arial Narrow" w:hAnsi="Arial Narrow"/>
                <w:b/>
                <w:bCs/>
                <w:sz w:val="20"/>
                <w:szCs w:val="20"/>
              </w:rPr>
              <w:t>Notes</w:t>
            </w:r>
            <w:r>
              <w:rPr>
                <w:rFonts w:ascii="Arial Narrow" w:hAnsi="Arial Narrow"/>
                <w:b/>
                <w:bCs/>
                <w:sz w:val="20"/>
                <w:szCs w:val="20"/>
              </w:rPr>
              <w:t>:</w:t>
            </w:r>
          </w:p>
        </w:tc>
        <w:tc>
          <w:tcPr>
            <w:tcW w:w="4061" w:type="pct"/>
          </w:tcPr>
          <w:p w14:paraId="542D62DE" w14:textId="77777777" w:rsidR="00AD3789" w:rsidRPr="00E2580F" w:rsidRDefault="00AD3789" w:rsidP="001E7557">
            <w:pPr>
              <w:jc w:val="left"/>
              <w:rPr>
                <w:rFonts w:ascii="Arial Narrow" w:hAnsi="Arial Narrow"/>
                <w:sz w:val="20"/>
                <w:szCs w:val="20"/>
              </w:rPr>
            </w:pPr>
            <w:r w:rsidRPr="00E2580F">
              <w:rPr>
                <w:rFonts w:ascii="Arial Narrow" w:hAnsi="Arial Narrow"/>
                <w:sz w:val="20"/>
                <w:szCs w:val="20"/>
              </w:rPr>
              <w:t>Any queries concerning the arrangements to prescribe may be directed to Services Australia on 1800 700 270 (hours of operation 8 a.m. to 5 p.m. Monday to Friday).</w:t>
            </w:r>
          </w:p>
          <w:p w14:paraId="6C36BFFA" w14:textId="77777777" w:rsidR="00AD3789" w:rsidRPr="00E2580F" w:rsidRDefault="00AD3789" w:rsidP="001E7557">
            <w:pPr>
              <w:jc w:val="left"/>
              <w:rPr>
                <w:rFonts w:ascii="Arial Narrow" w:hAnsi="Arial Narrow"/>
                <w:sz w:val="20"/>
                <w:szCs w:val="20"/>
              </w:rPr>
            </w:pPr>
          </w:p>
          <w:p w14:paraId="0B6FD827" w14:textId="77777777" w:rsidR="00AD3789" w:rsidRPr="00E2580F" w:rsidRDefault="00AD3789" w:rsidP="001E7557">
            <w:pPr>
              <w:jc w:val="left"/>
              <w:rPr>
                <w:rFonts w:ascii="Arial Narrow" w:hAnsi="Arial Narrow"/>
                <w:sz w:val="20"/>
                <w:szCs w:val="20"/>
              </w:rPr>
            </w:pPr>
            <w:r w:rsidRPr="00E2580F">
              <w:rPr>
                <w:rFonts w:ascii="Arial Narrow" w:hAnsi="Arial Narrow"/>
                <w:sz w:val="20"/>
                <w:szCs w:val="20"/>
              </w:rPr>
              <w:t>Prescribing information (including Authority Application forms and other relevant documentation as applicable) is available on the Services Australia website at www.servicesaustralia.gov.au</w:t>
            </w:r>
          </w:p>
          <w:p w14:paraId="5CC40D3C" w14:textId="77777777" w:rsidR="00AD3789" w:rsidRPr="00E2580F" w:rsidRDefault="00AD3789" w:rsidP="001E7557">
            <w:pPr>
              <w:jc w:val="left"/>
              <w:rPr>
                <w:rFonts w:ascii="Arial Narrow" w:hAnsi="Arial Narrow"/>
                <w:sz w:val="20"/>
                <w:szCs w:val="20"/>
              </w:rPr>
            </w:pPr>
          </w:p>
          <w:p w14:paraId="683C920F" w14:textId="77777777" w:rsidR="00AD3789" w:rsidRPr="00E2580F" w:rsidRDefault="00AD3789" w:rsidP="001E7557">
            <w:pPr>
              <w:jc w:val="left"/>
              <w:rPr>
                <w:rFonts w:ascii="Arial Narrow" w:hAnsi="Arial Narrow"/>
                <w:sz w:val="20"/>
                <w:szCs w:val="20"/>
              </w:rPr>
            </w:pPr>
            <w:r w:rsidRPr="00E2580F">
              <w:rPr>
                <w:rFonts w:ascii="Arial Narrow" w:hAnsi="Arial Narrow"/>
                <w:sz w:val="20"/>
                <w:szCs w:val="20"/>
              </w:rPr>
              <w:t>Applications for authority to prescribe should be submitted online using the form upload facility in Health Professional Online Services (HPOS) at www.servicesaustralia.gov.au/hpos</w:t>
            </w:r>
          </w:p>
          <w:p w14:paraId="76BC2C6D" w14:textId="77777777" w:rsidR="00AD3789" w:rsidRPr="00E2580F" w:rsidRDefault="00AD3789" w:rsidP="001E7557">
            <w:pPr>
              <w:jc w:val="left"/>
              <w:rPr>
                <w:rFonts w:ascii="Arial Narrow" w:hAnsi="Arial Narrow"/>
                <w:sz w:val="20"/>
                <w:szCs w:val="20"/>
              </w:rPr>
            </w:pPr>
          </w:p>
          <w:p w14:paraId="2C014FC7" w14:textId="77777777" w:rsidR="00AD3789" w:rsidRPr="00E2580F" w:rsidRDefault="00AD3789" w:rsidP="001E7557">
            <w:pPr>
              <w:jc w:val="left"/>
              <w:rPr>
                <w:rFonts w:ascii="Arial Narrow" w:hAnsi="Arial Narrow"/>
                <w:sz w:val="20"/>
                <w:szCs w:val="20"/>
              </w:rPr>
            </w:pPr>
            <w:r w:rsidRPr="00E2580F">
              <w:rPr>
                <w:rFonts w:ascii="Arial Narrow" w:hAnsi="Arial Narrow"/>
                <w:sz w:val="20"/>
                <w:szCs w:val="20"/>
              </w:rPr>
              <w:t>Or mailed to:</w:t>
            </w:r>
          </w:p>
          <w:p w14:paraId="495E5AA3" w14:textId="77777777" w:rsidR="00AD3789" w:rsidRPr="00E2580F" w:rsidRDefault="00AD3789" w:rsidP="001E7557">
            <w:pPr>
              <w:jc w:val="left"/>
              <w:rPr>
                <w:rFonts w:ascii="Arial Narrow" w:hAnsi="Arial Narrow"/>
                <w:sz w:val="20"/>
                <w:szCs w:val="20"/>
              </w:rPr>
            </w:pPr>
          </w:p>
          <w:p w14:paraId="43C7F4C8" w14:textId="77777777" w:rsidR="00AD3789" w:rsidRPr="00E2580F" w:rsidRDefault="00AD3789" w:rsidP="001E7557">
            <w:pPr>
              <w:jc w:val="left"/>
              <w:rPr>
                <w:rFonts w:ascii="Arial Narrow" w:hAnsi="Arial Narrow"/>
                <w:sz w:val="20"/>
                <w:szCs w:val="20"/>
              </w:rPr>
            </w:pPr>
            <w:r w:rsidRPr="00E2580F">
              <w:rPr>
                <w:rFonts w:ascii="Arial Narrow" w:hAnsi="Arial Narrow"/>
                <w:sz w:val="20"/>
                <w:szCs w:val="20"/>
              </w:rPr>
              <w:lastRenderedPageBreak/>
              <w:t>Services Australia</w:t>
            </w:r>
          </w:p>
          <w:p w14:paraId="69068721" w14:textId="77777777" w:rsidR="00AD3789" w:rsidRPr="00E2580F" w:rsidRDefault="00AD3789" w:rsidP="001E7557">
            <w:pPr>
              <w:jc w:val="left"/>
              <w:rPr>
                <w:rFonts w:ascii="Arial Narrow" w:hAnsi="Arial Narrow"/>
                <w:sz w:val="20"/>
                <w:szCs w:val="20"/>
              </w:rPr>
            </w:pPr>
            <w:r w:rsidRPr="00E2580F">
              <w:rPr>
                <w:rFonts w:ascii="Arial Narrow" w:hAnsi="Arial Narrow"/>
                <w:sz w:val="20"/>
                <w:szCs w:val="20"/>
              </w:rPr>
              <w:t>Complex Drugs</w:t>
            </w:r>
          </w:p>
          <w:p w14:paraId="3A7ADB19" w14:textId="77777777" w:rsidR="00AD3789" w:rsidRPr="00E2580F" w:rsidRDefault="00AD3789" w:rsidP="001E7557">
            <w:pPr>
              <w:jc w:val="left"/>
              <w:rPr>
                <w:rFonts w:ascii="Arial Narrow" w:hAnsi="Arial Narrow"/>
                <w:sz w:val="20"/>
                <w:szCs w:val="20"/>
              </w:rPr>
            </w:pPr>
            <w:r w:rsidRPr="00E2580F">
              <w:rPr>
                <w:rFonts w:ascii="Arial Narrow" w:hAnsi="Arial Narrow"/>
                <w:sz w:val="20"/>
                <w:szCs w:val="20"/>
              </w:rPr>
              <w:t>Reply Paid 9826</w:t>
            </w:r>
          </w:p>
          <w:p w14:paraId="16342D52" w14:textId="77777777" w:rsidR="00AD3789" w:rsidRPr="00E2580F" w:rsidRDefault="00AD3789" w:rsidP="001E7557">
            <w:pPr>
              <w:jc w:val="left"/>
              <w:rPr>
                <w:rFonts w:ascii="Arial Narrow" w:hAnsi="Arial Narrow"/>
                <w:sz w:val="20"/>
                <w:szCs w:val="20"/>
              </w:rPr>
            </w:pPr>
            <w:r w:rsidRPr="00E2580F">
              <w:rPr>
                <w:rFonts w:ascii="Arial Narrow" w:hAnsi="Arial Narrow"/>
                <w:sz w:val="20"/>
                <w:szCs w:val="20"/>
              </w:rPr>
              <w:t>HOBART TAS 7001</w:t>
            </w:r>
          </w:p>
        </w:tc>
      </w:tr>
      <w:tr w:rsidR="00AD3789" w:rsidRPr="00E2580F" w14:paraId="2DB56CF0" w14:textId="77777777" w:rsidTr="00CA1F11">
        <w:tc>
          <w:tcPr>
            <w:tcW w:w="939" w:type="pct"/>
          </w:tcPr>
          <w:p w14:paraId="2F22E94D" w14:textId="77777777" w:rsidR="00AD3789" w:rsidRPr="00FE4243" w:rsidRDefault="00AD3789" w:rsidP="001E7557">
            <w:pPr>
              <w:jc w:val="left"/>
              <w:rPr>
                <w:rFonts w:ascii="Arial Narrow" w:hAnsi="Arial Narrow"/>
                <w:b/>
                <w:bCs/>
                <w:sz w:val="20"/>
                <w:szCs w:val="20"/>
              </w:rPr>
            </w:pPr>
            <w:r>
              <w:rPr>
                <w:rFonts w:ascii="Arial Narrow" w:hAnsi="Arial Narrow"/>
                <w:b/>
                <w:bCs/>
                <w:sz w:val="20"/>
                <w:szCs w:val="20"/>
              </w:rPr>
              <w:lastRenderedPageBreak/>
              <w:t>Administrative advice:</w:t>
            </w:r>
          </w:p>
        </w:tc>
        <w:tc>
          <w:tcPr>
            <w:tcW w:w="4061" w:type="pct"/>
          </w:tcPr>
          <w:p w14:paraId="695CF1CE" w14:textId="77777777" w:rsidR="00AD3789" w:rsidRPr="00E2580F" w:rsidRDefault="00AD3789" w:rsidP="001E7557">
            <w:pPr>
              <w:jc w:val="left"/>
              <w:rPr>
                <w:rFonts w:ascii="Arial Narrow" w:hAnsi="Arial Narrow"/>
                <w:sz w:val="20"/>
                <w:szCs w:val="20"/>
              </w:rPr>
            </w:pPr>
            <w:r w:rsidRPr="00E2580F">
              <w:rPr>
                <w:rFonts w:ascii="Arial Narrow" w:hAnsi="Arial Narrow"/>
                <w:sz w:val="20"/>
                <w:szCs w:val="20"/>
              </w:rPr>
              <w:t xml:space="preserve">No increase in the maximum number of repeats may be authorised. </w:t>
            </w:r>
          </w:p>
        </w:tc>
      </w:tr>
      <w:tr w:rsidR="00AD3789" w:rsidRPr="00E2580F" w14:paraId="22F1EA3B" w14:textId="77777777" w:rsidTr="00CA1F11">
        <w:tc>
          <w:tcPr>
            <w:tcW w:w="939" w:type="pct"/>
          </w:tcPr>
          <w:p w14:paraId="24210BC1" w14:textId="77777777" w:rsidR="00AD3789" w:rsidRPr="00FE4243" w:rsidRDefault="00AD3789" w:rsidP="001E7557">
            <w:pPr>
              <w:jc w:val="left"/>
              <w:rPr>
                <w:rFonts w:ascii="Arial Narrow" w:hAnsi="Arial Narrow"/>
                <w:b/>
                <w:bCs/>
                <w:sz w:val="20"/>
                <w:szCs w:val="20"/>
              </w:rPr>
            </w:pPr>
            <w:r>
              <w:rPr>
                <w:rFonts w:ascii="Arial Narrow" w:hAnsi="Arial Narrow"/>
                <w:b/>
                <w:bCs/>
                <w:sz w:val="20"/>
                <w:szCs w:val="20"/>
              </w:rPr>
              <w:t>Administrative advice:</w:t>
            </w:r>
          </w:p>
        </w:tc>
        <w:tc>
          <w:tcPr>
            <w:tcW w:w="4061" w:type="pct"/>
          </w:tcPr>
          <w:p w14:paraId="22CCB96A" w14:textId="77777777" w:rsidR="00AD3789" w:rsidRPr="00E2580F" w:rsidRDefault="00AD3789" w:rsidP="001E7557">
            <w:pPr>
              <w:jc w:val="left"/>
              <w:rPr>
                <w:rFonts w:ascii="Arial Narrow" w:hAnsi="Arial Narrow"/>
                <w:sz w:val="20"/>
                <w:szCs w:val="20"/>
              </w:rPr>
            </w:pPr>
            <w:r w:rsidRPr="00E2580F">
              <w:rPr>
                <w:rFonts w:ascii="Arial Narrow" w:hAnsi="Arial Narrow"/>
                <w:sz w:val="20"/>
                <w:szCs w:val="20"/>
              </w:rPr>
              <w:t xml:space="preserve">No increase in the maximum quantity or number of units may be authorised. </w:t>
            </w:r>
          </w:p>
        </w:tc>
      </w:tr>
      <w:tr w:rsidR="00AD3789" w:rsidRPr="00E2580F" w14:paraId="687DB713" w14:textId="77777777" w:rsidTr="00CA1F11">
        <w:tc>
          <w:tcPr>
            <w:tcW w:w="939" w:type="pct"/>
          </w:tcPr>
          <w:p w14:paraId="35B3A14A" w14:textId="77777777" w:rsidR="00AD3789" w:rsidRPr="00FE4243" w:rsidRDefault="00AD3789" w:rsidP="001E7557">
            <w:pPr>
              <w:jc w:val="left"/>
              <w:rPr>
                <w:rFonts w:ascii="Arial Narrow" w:hAnsi="Arial Narrow"/>
                <w:b/>
                <w:bCs/>
                <w:sz w:val="20"/>
                <w:szCs w:val="20"/>
              </w:rPr>
            </w:pPr>
            <w:r>
              <w:rPr>
                <w:rFonts w:ascii="Arial Narrow" w:hAnsi="Arial Narrow"/>
                <w:b/>
                <w:bCs/>
                <w:sz w:val="20"/>
                <w:szCs w:val="20"/>
              </w:rPr>
              <w:t>Administrative advice:</w:t>
            </w:r>
          </w:p>
        </w:tc>
        <w:tc>
          <w:tcPr>
            <w:tcW w:w="4061" w:type="pct"/>
          </w:tcPr>
          <w:p w14:paraId="473F7524" w14:textId="77777777" w:rsidR="00AD3789" w:rsidRPr="00E2580F" w:rsidRDefault="00AD3789" w:rsidP="001E7557">
            <w:pPr>
              <w:jc w:val="left"/>
              <w:rPr>
                <w:rFonts w:ascii="Arial Narrow" w:hAnsi="Arial Narrow"/>
                <w:sz w:val="20"/>
                <w:szCs w:val="20"/>
              </w:rPr>
            </w:pPr>
            <w:r w:rsidRPr="00E2580F">
              <w:rPr>
                <w:rFonts w:ascii="Arial Narrow" w:hAnsi="Arial Narrow"/>
                <w:sz w:val="20"/>
                <w:szCs w:val="20"/>
              </w:rPr>
              <w:t>Special Pricing Arrangements apply.</w:t>
            </w:r>
          </w:p>
        </w:tc>
      </w:tr>
    </w:tbl>
    <w:p w14:paraId="5395A80F" w14:textId="04827033" w:rsidR="00335CE2" w:rsidRPr="008C335E" w:rsidRDefault="00423858" w:rsidP="00EE279A">
      <w:pPr>
        <w:pStyle w:val="COMexecsumnumberedpara"/>
        <w:spacing w:before="120"/>
      </w:pPr>
      <w:bookmarkStart w:id="11" w:name="_Ref169710691"/>
      <w:bookmarkStart w:id="12" w:name="_Ref173841998"/>
      <w:r w:rsidRPr="008C335E">
        <w:t>T</w:t>
      </w:r>
      <w:r w:rsidR="001A223A" w:rsidRPr="008C335E">
        <w:t xml:space="preserve">he </w:t>
      </w:r>
      <w:r w:rsidR="002F148D" w:rsidRPr="008C335E">
        <w:t xml:space="preserve">submission stated that the </w:t>
      </w:r>
      <w:r w:rsidR="001A223A" w:rsidRPr="008C335E">
        <w:t xml:space="preserve">proposed effective AEMP per vial </w:t>
      </w:r>
      <w:r w:rsidR="00D8109C" w:rsidRPr="008C335E">
        <w:t>($</w:t>
      </w:r>
      <w:r w:rsidR="00AF1BA2" w:rsidRPr="00C64633">
        <w:rPr>
          <w:color w:val="000000"/>
          <w:w w:val="60"/>
          <w:shd w:val="solid" w:color="000000" w:fill="000000"/>
          <w:fitText w:val="470" w:id="-894171896"/>
          <w14:textFill>
            <w14:solidFill>
              <w14:srgbClr w14:val="000000">
                <w14:alpha w14:val="100000"/>
              </w14:srgbClr>
            </w14:solidFill>
          </w14:textFill>
        </w:rPr>
        <w:t>|||  |||</w:t>
      </w:r>
      <w:r w:rsidR="00D8109C" w:rsidRPr="008C335E">
        <w:t xml:space="preserve">) </w:t>
      </w:r>
      <w:r w:rsidR="002F148D" w:rsidRPr="008C335E">
        <w:t xml:space="preserve">was based on the current pricing of blinatumomab in the relapsed/refractory setting. However, the proposed price </w:t>
      </w:r>
      <w:r w:rsidR="001A223A" w:rsidRPr="008C335E">
        <w:t>is higher than the effective AEMP per vial in the relapsed/refractory setting ($</w:t>
      </w:r>
      <w:r w:rsidR="00AF1BA2" w:rsidRPr="004D5C66">
        <w:rPr>
          <w:color w:val="000000"/>
          <w:w w:val="15"/>
          <w:shd w:val="solid" w:color="000000" w:fill="000000"/>
          <w:fitText w:val="-20" w:id="-894171895"/>
          <w14:textFill>
            <w14:solidFill>
              <w14:srgbClr w14:val="000000">
                <w14:alpha w14:val="100000"/>
              </w14:srgbClr>
            </w14:solidFill>
          </w14:textFill>
        </w:rPr>
        <w:t xml:space="preserve">|  </w:t>
      </w:r>
      <w:r w:rsidR="00AF1BA2" w:rsidRPr="004D5C66">
        <w:rPr>
          <w:color w:val="000000"/>
          <w:spacing w:val="-69"/>
          <w:w w:val="15"/>
          <w:shd w:val="solid" w:color="000000" w:fill="000000"/>
          <w:fitText w:val="-20" w:id="-894171895"/>
          <w14:textFill>
            <w14:solidFill>
              <w14:srgbClr w14:val="000000">
                <w14:alpha w14:val="100000"/>
              </w14:srgbClr>
            </w14:solidFill>
          </w14:textFill>
        </w:rPr>
        <w:t>|</w:t>
      </w:r>
      <w:r w:rsidR="001A223A" w:rsidRPr="008C335E">
        <w:t>), and the MRD-positive setting (</w:t>
      </w:r>
      <w:r w:rsidR="001A223A" w:rsidRPr="008C335E">
        <w:rPr>
          <w:color w:val="000000"/>
        </w:rPr>
        <w:t>$</w:t>
      </w:r>
      <w:r w:rsidR="00AF1BA2" w:rsidRPr="004D5C66">
        <w:rPr>
          <w:color w:val="000000"/>
          <w:w w:val="15"/>
          <w:shd w:val="solid" w:color="000000" w:fill="000000"/>
          <w:fitText w:val="-20" w:id="-894171894"/>
          <w14:textFill>
            <w14:solidFill>
              <w14:srgbClr w14:val="000000">
                <w14:alpha w14:val="100000"/>
              </w14:srgbClr>
            </w14:solidFill>
          </w14:textFill>
        </w:rPr>
        <w:t xml:space="preserve">|  </w:t>
      </w:r>
      <w:r w:rsidR="00AF1BA2" w:rsidRPr="004D5C66">
        <w:rPr>
          <w:color w:val="000000"/>
          <w:spacing w:val="-69"/>
          <w:w w:val="15"/>
          <w:shd w:val="solid" w:color="000000" w:fill="000000"/>
          <w:fitText w:val="-20" w:id="-894171894"/>
          <w14:textFill>
            <w14:solidFill>
              <w14:srgbClr w14:val="000000">
                <w14:alpha w14:val="100000"/>
              </w14:srgbClr>
            </w14:solidFill>
          </w14:textFill>
        </w:rPr>
        <w:t>|</w:t>
      </w:r>
      <w:r w:rsidR="001A223A" w:rsidRPr="008C335E">
        <w:rPr>
          <w:color w:val="000000"/>
        </w:rPr>
        <w:t>).</w:t>
      </w:r>
      <w:r w:rsidR="0047009E" w:rsidRPr="008C335E">
        <w:rPr>
          <w:color w:val="000000"/>
        </w:rPr>
        <w:t xml:space="preserve"> </w:t>
      </w:r>
      <w:r w:rsidR="00335CE2" w:rsidRPr="008C335E">
        <w:t xml:space="preserve">The </w:t>
      </w:r>
      <w:r w:rsidR="002F148D" w:rsidRPr="008C335E">
        <w:t xml:space="preserve">proposed listing allows use in both MRD-positive and MRD-negative settings; however, </w:t>
      </w:r>
      <w:r w:rsidR="00335CE2" w:rsidRPr="008C335E">
        <w:t xml:space="preserve">a weighted price </w:t>
      </w:r>
      <w:r w:rsidR="002F148D" w:rsidRPr="008C335E">
        <w:t>was not proposed in the submission</w:t>
      </w:r>
      <w:r w:rsidR="00335CE2" w:rsidRPr="008C335E">
        <w:t>.</w:t>
      </w:r>
      <w:r w:rsidR="00146982" w:rsidRPr="008C335E">
        <w:t xml:space="preserve"> </w:t>
      </w:r>
      <w:r w:rsidR="00305F7D" w:rsidRPr="008C335E">
        <w:t xml:space="preserve">The ESC considered the higher price proposed in the MRD-negative setting compared to the MRD-positive setting </w:t>
      </w:r>
      <w:r w:rsidR="00051CCD" w:rsidRPr="008C335E">
        <w:t xml:space="preserve">was not </w:t>
      </w:r>
      <w:r w:rsidR="00BF6787" w:rsidRPr="008C335E">
        <w:t xml:space="preserve">well </w:t>
      </w:r>
      <w:r w:rsidR="00305F7D" w:rsidRPr="008C335E">
        <w:t>justified.</w:t>
      </w:r>
      <w:r w:rsidR="0043213E" w:rsidRPr="008C335E">
        <w:t xml:space="preserve"> The ESC noted that thresholds and methods for MRD detection have changed since blinatumomab was recommended in the MRD-positive setting (i.e. </w:t>
      </w:r>
      <w:r w:rsidR="00EE279A" w:rsidRPr="008C335E">
        <w:t xml:space="preserve">recently established MBS items allow for MRD detection at </w:t>
      </w:r>
      <w:r w:rsidR="0043213E" w:rsidRPr="008C335E">
        <w:t>lower thresholds for than those that were used in the key evidence supporting listing in this population). As such, there is likely to be a degree of overlap between the two settings, with the two populations not necessarily being distinct, and thus different prices may be difficult to justify.</w:t>
      </w:r>
      <w:bookmarkEnd w:id="11"/>
      <w:r w:rsidR="00BC6D26">
        <w:t xml:space="preserve"> </w:t>
      </w:r>
      <w:bookmarkStart w:id="13" w:name="_Hlk173843932"/>
      <w:r w:rsidR="00D40E9C">
        <w:t>The pre-PBAC response offered a blinatumomab ex-manufacturer price of $</w:t>
      </w:r>
      <w:r w:rsidR="00AF1BA2" w:rsidRPr="004D5C66">
        <w:rPr>
          <w:color w:val="000000"/>
          <w:w w:val="15"/>
          <w:shd w:val="solid" w:color="000000" w:fill="000000"/>
          <w:fitText w:val="-20" w:id="-894171893"/>
          <w14:textFill>
            <w14:solidFill>
              <w14:srgbClr w14:val="000000">
                <w14:alpha w14:val="100000"/>
              </w14:srgbClr>
            </w14:solidFill>
          </w14:textFill>
        </w:rPr>
        <w:t xml:space="preserve">|  </w:t>
      </w:r>
      <w:r w:rsidR="00AF1BA2" w:rsidRPr="004D5C66">
        <w:rPr>
          <w:color w:val="000000"/>
          <w:spacing w:val="-69"/>
          <w:w w:val="15"/>
          <w:shd w:val="solid" w:color="000000" w:fill="000000"/>
          <w:fitText w:val="-20" w:id="-894171893"/>
          <w14:textFill>
            <w14:solidFill>
              <w14:srgbClr w14:val="000000">
                <w14:alpha w14:val="100000"/>
              </w14:srgbClr>
            </w14:solidFill>
          </w14:textFill>
        </w:rPr>
        <w:t>|</w:t>
      </w:r>
      <w:r w:rsidR="00D40E9C">
        <w:t xml:space="preserve"> per vial in the MRD-negative setting.</w:t>
      </w:r>
      <w:bookmarkEnd w:id="12"/>
      <w:r w:rsidR="00D40E9C">
        <w:t xml:space="preserve"> </w:t>
      </w:r>
    </w:p>
    <w:bookmarkEnd w:id="13"/>
    <w:p w14:paraId="5065BC69" w14:textId="52A0D17D" w:rsidR="00680F1C" w:rsidRPr="008C335E" w:rsidRDefault="008378A4" w:rsidP="001D1D52">
      <w:pPr>
        <w:pStyle w:val="COMexecsumnumberedpara"/>
      </w:pPr>
      <w:r w:rsidRPr="008C335E">
        <w:t>Clinical criteria in terms of ECOG performance status, presence of disease in the CNS or testes, complete haematological remission following intensive combination chemotherapy, limit of 2 treatment cycles per lifetime (</w:t>
      </w:r>
      <w:r w:rsidR="007A31D6" w:rsidRPr="008C335E">
        <w:t xml:space="preserve">for each of the initial and </w:t>
      </w:r>
      <w:r w:rsidR="00054958" w:rsidRPr="008C335E">
        <w:t>continuing restrictions</w:t>
      </w:r>
      <w:r w:rsidRPr="008C335E">
        <w:t>), and a response-based stopping rule</w:t>
      </w:r>
      <w:r w:rsidR="007A31D6" w:rsidRPr="008C335E">
        <w:t xml:space="preserve"> (in the continuing restriction)</w:t>
      </w:r>
      <w:r w:rsidRPr="008C335E">
        <w:t>, are unchanged from the MRD-positive listing. Response to therapy is not defined.</w:t>
      </w:r>
      <w:r w:rsidR="00AD1019" w:rsidRPr="008C335E">
        <w:t xml:space="preserve"> The ESC advised that if a separate restriction for MRD-negative patients is proposed then the continuing treatment restriction would not need a clinical criteri</w:t>
      </w:r>
      <w:r w:rsidR="00632204" w:rsidRPr="008C335E">
        <w:t>on</w:t>
      </w:r>
      <w:r w:rsidR="00AD1019" w:rsidRPr="008C335E">
        <w:t xml:space="preserve"> </w:t>
      </w:r>
      <w:proofErr w:type="gramStart"/>
      <w:r w:rsidR="00AD1019" w:rsidRPr="008C335E">
        <w:t>stating</w:t>
      </w:r>
      <w:proofErr w:type="gramEnd"/>
      <w:r w:rsidR="00AD1019" w:rsidRPr="008C335E">
        <w:t xml:space="preserve"> ‘the condition must be negative for measurable residual disease using the same method used to establish initial MRD status’.</w:t>
      </w:r>
      <w:r w:rsidR="000C6D4B" w:rsidRPr="008C335E">
        <w:t xml:space="preserve"> However, the ESC considered a listing that covered both MRD-positive and MRD-negative patients was </w:t>
      </w:r>
      <w:r w:rsidR="002104EF" w:rsidRPr="008C335E">
        <w:t xml:space="preserve">preferred. </w:t>
      </w:r>
      <w:r w:rsidR="00BC6D26">
        <w:t>The pre-PBAC response considered a MRD-agnostic PBS listing appropriate.</w:t>
      </w:r>
    </w:p>
    <w:p w14:paraId="5AF0F7F1" w14:textId="1497D73C" w:rsidR="00680F1C" w:rsidRPr="008C335E" w:rsidRDefault="008378A4" w:rsidP="001D1D52">
      <w:pPr>
        <w:pStyle w:val="COMexecsumnumberedpara"/>
      </w:pPr>
      <w:r w:rsidRPr="008C335E">
        <w:t xml:space="preserve">The requested restriction is narrower than the proposed TGA indication, as it restricts access to patients with ECOG performance status </w:t>
      </w:r>
      <w:r w:rsidR="00AF3207">
        <w:t>of 0 or 1</w:t>
      </w:r>
      <w:r w:rsidRPr="008C335E">
        <w:t xml:space="preserve">, achieving complete haematological remission, with no evidence of MRD in the CNS or testes. In addition, the requested restriction is not consistent with </w:t>
      </w:r>
      <w:r w:rsidR="004017B9" w:rsidRPr="008C335E">
        <w:t xml:space="preserve">the </w:t>
      </w:r>
      <w:r w:rsidRPr="008C335E">
        <w:t xml:space="preserve">population recruited in the key clinical trial (E1910), which included patients aged 30-70 years, with ECOG performance status of 0-2, and excluded patients who were Philadelphia chromosome </w:t>
      </w:r>
      <w:r w:rsidR="005371B6" w:rsidRPr="008C335E">
        <w:t xml:space="preserve">(Ph) </w:t>
      </w:r>
      <w:r w:rsidRPr="008C335E">
        <w:t>positive.</w:t>
      </w:r>
      <w:r w:rsidR="005371B6" w:rsidRPr="008C335E">
        <w:t xml:space="preserve"> </w:t>
      </w:r>
    </w:p>
    <w:p w14:paraId="1722B3F6" w14:textId="726A7AE1" w:rsidR="00AA04E8" w:rsidRPr="008C335E" w:rsidRDefault="00AA04E8" w:rsidP="001D1D52">
      <w:pPr>
        <w:pStyle w:val="COMexecsumnumberedpara"/>
      </w:pPr>
      <w:r w:rsidRPr="008C335E">
        <w:lastRenderedPageBreak/>
        <w:t xml:space="preserve">The submission acknowledged that no evidence was presented supporting the use of blinatumomab in MRD-negative patients aged less than 30 years, but argued that the unmet clinical need and limited treatment options outside of clinical trials for </w:t>
      </w:r>
      <w:r w:rsidR="0077243B" w:rsidRPr="008C335E">
        <w:t xml:space="preserve">younger </w:t>
      </w:r>
      <w:r w:rsidRPr="008C335E">
        <w:t>patients was appropriately addressed with an age-agnostic PBS listing.</w:t>
      </w:r>
      <w:r w:rsidR="00561E64" w:rsidRPr="008C335E">
        <w:t xml:space="preserve"> No evidence was presented for patients aged </w:t>
      </w:r>
      <w:r w:rsidR="00045EAA" w:rsidRPr="008C335E">
        <w:t>older</w:t>
      </w:r>
      <w:r w:rsidR="00561E64" w:rsidRPr="008C335E">
        <w:t xml:space="preserve"> than 70 years.</w:t>
      </w:r>
      <w:r w:rsidR="005371B6" w:rsidRPr="008C335E">
        <w:t xml:space="preserve"> The ESC considered it would be appropriate for the proposed restriction to be age agnostic. </w:t>
      </w:r>
    </w:p>
    <w:p w14:paraId="3964A3A4" w14:textId="1810209F" w:rsidR="0064632C" w:rsidRPr="008C335E" w:rsidRDefault="0064632C" w:rsidP="001D1D52">
      <w:pPr>
        <w:pStyle w:val="COMexecsumnumberedpara"/>
      </w:pPr>
      <w:r w:rsidRPr="008C335E">
        <w:t xml:space="preserve">The requested restriction is agnostic to </w:t>
      </w:r>
      <w:r w:rsidR="005371B6" w:rsidRPr="008C335E">
        <w:t>Ph</w:t>
      </w:r>
      <w:r w:rsidRPr="008C335E">
        <w:t xml:space="preserve"> status. No evidence was presented supporting the use of blinatumomab in Ph positive patients in consolidation therapy. The PBAC previously considered the treatment effect of blinatumomab was unlikely to differ by Ph-status, and recommended both blinatumomab and inotuzumab ozogamicin for patients with Ph-positive relapsed/refractory B-ALL</w:t>
      </w:r>
      <w:r w:rsidR="009F7560" w:rsidRPr="008C335E">
        <w:t xml:space="preserve"> (</w:t>
      </w:r>
      <w:r w:rsidR="00F63846" w:rsidRPr="008C335E">
        <w:t>para 5.3, Blinatumomab Public Summary Document, May 2019 PBAC meeting)</w:t>
      </w:r>
      <w:r w:rsidRPr="008C335E">
        <w:t>.</w:t>
      </w:r>
      <w:r w:rsidR="005371B6" w:rsidRPr="008C335E">
        <w:t xml:space="preserve"> The ESC considered it would be appropriate for the proposed restriction to be Ph</w:t>
      </w:r>
      <w:r w:rsidR="00632204" w:rsidRPr="008C335E">
        <w:t>-status</w:t>
      </w:r>
      <w:r w:rsidR="005371B6" w:rsidRPr="008C335E">
        <w:t xml:space="preserve"> agnostic. </w:t>
      </w:r>
    </w:p>
    <w:p w14:paraId="7F91CACA" w14:textId="26058C5D" w:rsidR="0064632C" w:rsidRPr="008C335E" w:rsidRDefault="0064632C" w:rsidP="001D1D52">
      <w:pPr>
        <w:pStyle w:val="COMexecsumnumberedpara"/>
      </w:pPr>
      <w:r w:rsidRPr="008C335E">
        <w:t>The requested restriction is also broader than the available evidence for blinatumomab that was based on MRD</w:t>
      </w:r>
      <w:r w:rsidR="00561E64" w:rsidRPr="008C335E">
        <w:t xml:space="preserve"> </w:t>
      </w:r>
      <w:r w:rsidRPr="008C335E">
        <w:t>directed treatment settings only. The role of blinatumomab in non-MRD</w:t>
      </w:r>
      <w:r w:rsidR="00561E64" w:rsidRPr="008C335E">
        <w:t xml:space="preserve"> </w:t>
      </w:r>
      <w:r w:rsidRPr="008C335E">
        <w:t xml:space="preserve">directed treatment settings is unknown. </w:t>
      </w:r>
      <w:r w:rsidR="005371B6" w:rsidRPr="008C335E">
        <w:t>The ESC advised that MRD testing</w:t>
      </w:r>
      <w:r w:rsidR="00590A8B" w:rsidRPr="008C335E">
        <w:t xml:space="preserve"> is</w:t>
      </w:r>
      <w:r w:rsidR="005371B6" w:rsidRPr="008C335E">
        <w:t xml:space="preserve"> standard </w:t>
      </w:r>
      <w:r w:rsidR="00590A8B" w:rsidRPr="008C335E">
        <w:t xml:space="preserve">of </w:t>
      </w:r>
      <w:r w:rsidR="005371B6" w:rsidRPr="008C335E">
        <w:t xml:space="preserve">care in </w:t>
      </w:r>
      <w:r w:rsidR="00590A8B" w:rsidRPr="008C335E">
        <w:t xml:space="preserve">Australian </w:t>
      </w:r>
      <w:r w:rsidR="005371B6" w:rsidRPr="008C335E">
        <w:t>clinical practice</w:t>
      </w:r>
      <w:r w:rsidR="00590A8B" w:rsidRPr="008C335E">
        <w:t>. Hence, it would be highly unusual to treat this condition and not test for MRD.</w:t>
      </w:r>
    </w:p>
    <w:p w14:paraId="7FD509CC" w14:textId="0D3FD06D" w:rsidR="008378A4" w:rsidRDefault="007D0CAA" w:rsidP="001D1D52">
      <w:pPr>
        <w:pStyle w:val="COMexecsumnumberedpara"/>
      </w:pPr>
      <w:r w:rsidRPr="008C335E">
        <w:t>T</w:t>
      </w:r>
      <w:r w:rsidR="008378A4" w:rsidRPr="008C335E">
        <w:t xml:space="preserve">he submission </w:t>
      </w:r>
      <w:r w:rsidRPr="008C335E">
        <w:t xml:space="preserve">also </w:t>
      </w:r>
      <w:r w:rsidR="008378A4" w:rsidRPr="008C335E">
        <w:t xml:space="preserve">proposed amendments to the relapsed/refractory </w:t>
      </w:r>
      <w:r w:rsidRPr="008C335E">
        <w:t xml:space="preserve">PBS </w:t>
      </w:r>
      <w:r w:rsidR="008378A4" w:rsidRPr="008C335E">
        <w:t>listing for the use of blinatumomab regardless of MRD status.</w:t>
      </w:r>
      <w:r w:rsidR="008D4221" w:rsidRPr="008C335E">
        <w:t xml:space="preserve"> </w:t>
      </w:r>
      <w:r w:rsidR="008378A4" w:rsidRPr="008C335E">
        <w:t>The PBAC previously considered that it would be clinically appropriate to allow retreatment in the relapsed/refractory setting for patients who responded to blinatumomab in the MRD</w:t>
      </w:r>
      <w:r w:rsidR="00561E64" w:rsidRPr="008C335E">
        <w:t>-</w:t>
      </w:r>
      <w:r w:rsidR="008378A4" w:rsidRPr="008C335E">
        <w:t xml:space="preserve">positive setting (para 7.4, blinatumomab </w:t>
      </w:r>
      <w:r w:rsidR="00ED5473" w:rsidRPr="00ED5473">
        <w:t xml:space="preserve">Public Summary Document </w:t>
      </w:r>
      <w:r w:rsidR="00ED5473">
        <w:t>(</w:t>
      </w:r>
      <w:r w:rsidR="008378A4" w:rsidRPr="008C335E">
        <w:t>PSD</w:t>
      </w:r>
      <w:r w:rsidR="00ED5473">
        <w:t>)</w:t>
      </w:r>
      <w:r w:rsidR="008378A4" w:rsidRPr="008C335E">
        <w:t>, March 2019 PBAC meeting). No evidence was presented in the submission supporting the use of blinatumomab for retreatment following blinatumomab consolidation therapy for MRD-negative disease.</w:t>
      </w:r>
      <w:r w:rsidR="00221F06" w:rsidRPr="008C335E">
        <w:t xml:space="preserve"> The ESC considered </w:t>
      </w:r>
      <w:r w:rsidR="001A3919" w:rsidRPr="008C335E">
        <w:t xml:space="preserve">that, consistent with the listing for MRD-positive patients, </w:t>
      </w:r>
      <w:r w:rsidR="00221F06" w:rsidRPr="008C335E">
        <w:t xml:space="preserve">it </w:t>
      </w:r>
      <w:r w:rsidR="001A3919" w:rsidRPr="008C335E">
        <w:t xml:space="preserve">would be appropriate to allow retreatment in the relapsed/refractory setting for patients </w:t>
      </w:r>
      <w:r w:rsidR="00324C9A" w:rsidRPr="008C335E">
        <w:t xml:space="preserve">who responded to blinatumomab in the </w:t>
      </w:r>
      <w:r w:rsidR="001A3919" w:rsidRPr="008C335E">
        <w:t xml:space="preserve">MRD-negative </w:t>
      </w:r>
      <w:r w:rsidR="00324C9A" w:rsidRPr="008C335E">
        <w:t>setting</w:t>
      </w:r>
      <w:r w:rsidR="001A3919" w:rsidRPr="008C335E">
        <w:t xml:space="preserve">. </w:t>
      </w:r>
    </w:p>
    <w:p w14:paraId="79974EF7" w14:textId="761C36DE" w:rsidR="008C335E" w:rsidRPr="008C335E" w:rsidRDefault="008C335E" w:rsidP="008C335E">
      <w:pPr>
        <w:pStyle w:val="COMexecsumnumberedpara"/>
        <w:numPr>
          <w:ilvl w:val="0"/>
          <w:numId w:val="0"/>
        </w:numPr>
        <w:ind w:left="720"/>
        <w:rPr>
          <w:i/>
          <w:iCs/>
        </w:rPr>
      </w:pPr>
      <w:r w:rsidRPr="008C335E">
        <w:rPr>
          <w:i/>
          <w:iCs/>
        </w:rPr>
        <w:t>For more detail on PBAC’s view, see section 7 PBAC outcome.</w:t>
      </w:r>
    </w:p>
    <w:p w14:paraId="7075B85C" w14:textId="321C9B30" w:rsidR="00B50DB8" w:rsidRPr="00225248" w:rsidDel="00195452" w:rsidRDefault="00203181" w:rsidP="004E18E9">
      <w:pPr>
        <w:pStyle w:val="COMH1numbered"/>
      </w:pPr>
      <w:bookmarkStart w:id="14" w:name="_Toc167265603"/>
      <w:r w:rsidRPr="00225248" w:rsidDel="00195452">
        <w:t xml:space="preserve">Population and </w:t>
      </w:r>
      <w:r w:rsidR="008E0D3C" w:rsidRPr="00225248" w:rsidDel="00195452">
        <w:t>d</w:t>
      </w:r>
      <w:r w:rsidRPr="00225248" w:rsidDel="00195452">
        <w:t>isease</w:t>
      </w:r>
      <w:bookmarkEnd w:id="14"/>
    </w:p>
    <w:p w14:paraId="496A8601" w14:textId="0659D437" w:rsidR="005B13C4" w:rsidRPr="008C335E" w:rsidRDefault="005B13C4" w:rsidP="001D1D52">
      <w:pPr>
        <w:pStyle w:val="COMexecsumnumberedpara"/>
      </w:pPr>
      <w:r w:rsidRPr="008C335E">
        <w:t>Acute lymphoblastic leukaemia (ALL) is a rare, aggressive malignancy of the bone marrow, characterised by the proliferation of immature and abnormal lymphoid cells (lymphoblasts) in the bone marrow and peripheral blood. ALL is generally characterised by the emergence of haematological deficiencies, anaemia, thrombocytopenia</w:t>
      </w:r>
      <w:r w:rsidR="00BE24EF" w:rsidRPr="008C335E">
        <w:t>,</w:t>
      </w:r>
      <w:r w:rsidRPr="008C335E">
        <w:t xml:space="preserve"> and neutropenia that give rise to the distinctive symptoms of fatigue, bruising, bleeding, enlarged lymph nodes, fever and infections. Hepatomegaly, splenomegaly</w:t>
      </w:r>
      <w:r w:rsidR="00BE24EF" w:rsidRPr="008C335E">
        <w:t>,</w:t>
      </w:r>
      <w:r w:rsidRPr="008C335E">
        <w:t xml:space="preserve"> and lymphadenopathy may also be observed, as well </w:t>
      </w:r>
      <w:r w:rsidRPr="008C335E">
        <w:lastRenderedPageBreak/>
        <w:t>as symptoms related to central nervous system or testicular involvement (headache, weakness, seizures, vomiting, testicular enlargement).</w:t>
      </w:r>
    </w:p>
    <w:p w14:paraId="37488C28" w14:textId="4D2ABB66" w:rsidR="00707800" w:rsidRPr="008C335E" w:rsidRDefault="005B13C4" w:rsidP="001D1D52">
      <w:pPr>
        <w:pStyle w:val="COMexecsumnumberedpara"/>
      </w:pPr>
      <w:r w:rsidRPr="008C335E">
        <w:t xml:space="preserve">The incidence of ALL </w:t>
      </w:r>
      <w:r w:rsidR="00F670D5" w:rsidRPr="008C335E">
        <w:t>is highest in children under 5 years of age</w:t>
      </w:r>
      <w:r w:rsidR="00227B75" w:rsidRPr="008C335E">
        <w:t xml:space="preserve">, </w:t>
      </w:r>
      <w:r w:rsidR="00960BAD" w:rsidRPr="008C335E">
        <w:t xml:space="preserve">and peaks again in patients aged </w:t>
      </w:r>
      <w:r w:rsidR="005C07BD" w:rsidRPr="008C335E">
        <w:t xml:space="preserve">over 50 years. </w:t>
      </w:r>
      <w:r w:rsidR="00707800" w:rsidRPr="008C335E">
        <w:t xml:space="preserve">ALL </w:t>
      </w:r>
      <w:r w:rsidR="00B40C9F" w:rsidRPr="008C335E">
        <w:t xml:space="preserve">may be related to </w:t>
      </w:r>
      <w:r w:rsidR="00707800" w:rsidRPr="008C335E">
        <w:t>either B-cell or T-cell precursor</w:t>
      </w:r>
      <w:r w:rsidR="00B40C9F" w:rsidRPr="008C335E">
        <w:t>s (with the majority identified as B-cell)</w:t>
      </w:r>
      <w:r w:rsidR="002B1735" w:rsidRPr="008C335E">
        <w:t xml:space="preserve">, </w:t>
      </w:r>
      <w:r w:rsidR="00707800" w:rsidRPr="008C335E">
        <w:t>and by genetic variant (</w:t>
      </w:r>
      <w:r w:rsidR="005371B6" w:rsidRPr="008C335E">
        <w:t>Ph</w:t>
      </w:r>
      <w:r w:rsidR="00707800" w:rsidRPr="008C335E">
        <w:t xml:space="preserve"> status).</w:t>
      </w:r>
      <w:r w:rsidR="00707800" w:rsidRPr="008C335E" w:rsidDel="00195452">
        <w:t xml:space="preserve"> </w:t>
      </w:r>
    </w:p>
    <w:p w14:paraId="6CE4609B" w14:textId="7C0FB07B" w:rsidR="004A15E0" w:rsidRPr="008C335E" w:rsidRDefault="00643DEB" w:rsidP="001D1D52">
      <w:pPr>
        <w:pStyle w:val="COMexecsumnumberedpara"/>
      </w:pPr>
      <w:r w:rsidRPr="008C335E">
        <w:t xml:space="preserve">Diagnosis by initial blood test is confirmed by bone marrow aspiration showing </w:t>
      </w:r>
      <w:r w:rsidR="00DE6209" w:rsidRPr="008C335E">
        <w:t xml:space="preserve">at least </w:t>
      </w:r>
      <w:r w:rsidRPr="008C335E">
        <w:t>20% lymphoblasts. Comprehensive morphological and cytogenetic testing is conducted to determine the extent, subtype, and genetic profile of the disease, as well as to identify suitable donors for stem cell transplantation (Jain 2013; Yeoh 2013). Molecular characterisation during diagnosis differentiates between a complex range of genetic abnormalities that can influence outcomes and response to targeted treatments (Inaba 2013). MRD is assessed following induction and consolidation chemotherapy for patients achieving complete haematological remission (CR), to determine risk stratification, treatment options and candidacy for allogeneic stem cell transplant (ASCT) and is a strong prognostic factor for risk of relapse.</w:t>
      </w:r>
    </w:p>
    <w:p w14:paraId="526CB90D" w14:textId="20B1701B" w:rsidR="00A73EC5" w:rsidRPr="008C335E" w:rsidRDefault="005046FD" w:rsidP="001D1D52">
      <w:pPr>
        <w:pStyle w:val="COMexecsumnumberedpara"/>
      </w:pPr>
      <w:r w:rsidRPr="008C335E">
        <w:t xml:space="preserve">The submission positioned blinatumomab </w:t>
      </w:r>
      <w:r w:rsidR="00A73EC5" w:rsidRPr="008C335E">
        <w:t>as an add on to standard of care consolidation chemotherapy in patients achieving complete haematological remission who are MRD</w:t>
      </w:r>
      <w:r w:rsidR="00561E64" w:rsidRPr="008C335E">
        <w:t>-</w:t>
      </w:r>
      <w:r w:rsidR="00A73EC5" w:rsidRPr="008C335E">
        <w:t>positive or MRD</w:t>
      </w:r>
      <w:r w:rsidR="00561E64" w:rsidRPr="008C335E">
        <w:t>-</w:t>
      </w:r>
      <w:r w:rsidR="00A73EC5" w:rsidRPr="008C335E">
        <w:t>negative after induction chemotherapy, regardless of Ph expression.</w:t>
      </w:r>
    </w:p>
    <w:p w14:paraId="33CFDFBE" w14:textId="3D571B97" w:rsidR="004261B0" w:rsidRDefault="00324C9A" w:rsidP="001D1D52">
      <w:pPr>
        <w:pStyle w:val="COMexecsumnumberedpara"/>
      </w:pPr>
      <w:r w:rsidRPr="008C335E">
        <w:t>The evaluation considered it was</w:t>
      </w:r>
      <w:r w:rsidR="004261B0" w:rsidRPr="008C335E">
        <w:t xml:space="preserve"> unclear if the combination blinatumomab and standard of care protocols used in the key clinical trial (E1910) will be preferred to standard of care chemotherapies currently used in the Australian setting, given the reported benefits and safety profile associated with blinatumomab in the clinical trial were impacted by the overall efficacy, tolerability and safety of the combined components.</w:t>
      </w:r>
      <w:r w:rsidR="002B56DE" w:rsidRPr="008C335E">
        <w:t xml:space="preserve"> The </w:t>
      </w:r>
      <w:r w:rsidR="00476B94" w:rsidRPr="00476B94">
        <w:t xml:space="preserve">Pre-Sub-Committee Response </w:t>
      </w:r>
      <w:r w:rsidR="00476B94">
        <w:t>(</w:t>
      </w:r>
      <w:r w:rsidR="002B56DE" w:rsidRPr="008C335E">
        <w:t>PSCR</w:t>
      </w:r>
      <w:r w:rsidR="00476B94">
        <w:t>)</w:t>
      </w:r>
      <w:r w:rsidR="002B56DE" w:rsidRPr="008C335E">
        <w:t xml:space="preserve"> stated that Australian ALL experts have stated that they will not adopt the chemotherapy regimen used in E1910 as the</w:t>
      </w:r>
      <w:r w:rsidR="0061246B" w:rsidRPr="008C335E">
        <w:t>re</w:t>
      </w:r>
      <w:r w:rsidR="002B56DE" w:rsidRPr="008C335E">
        <w:t xml:space="preserve"> is no evidence that it is superior and there are considerable risks associated with changing chemotherapy regimens.</w:t>
      </w:r>
    </w:p>
    <w:p w14:paraId="32386108" w14:textId="23F24807" w:rsidR="008C335E" w:rsidRPr="008C335E" w:rsidRDefault="008C335E" w:rsidP="008C335E">
      <w:pPr>
        <w:pStyle w:val="COMexecsumnumberedpara"/>
        <w:numPr>
          <w:ilvl w:val="0"/>
          <w:numId w:val="0"/>
        </w:numPr>
        <w:ind w:left="720"/>
        <w:rPr>
          <w:i/>
          <w:iCs/>
        </w:rPr>
      </w:pPr>
      <w:r w:rsidRPr="008C335E">
        <w:rPr>
          <w:i/>
          <w:iCs/>
        </w:rPr>
        <w:t>For more detail on PBAC’s view, see section 7 PBAC outcome.</w:t>
      </w:r>
    </w:p>
    <w:p w14:paraId="51E5AE96" w14:textId="5945884B" w:rsidR="00B50DB8" w:rsidRPr="00225248" w:rsidRDefault="00B50DB8" w:rsidP="004E18E9">
      <w:pPr>
        <w:pStyle w:val="COMH1numbered"/>
      </w:pPr>
      <w:bookmarkStart w:id="15" w:name="_Toc167265604"/>
      <w:r w:rsidRPr="00225248">
        <w:t>Comparator</w:t>
      </w:r>
      <w:bookmarkEnd w:id="15"/>
    </w:p>
    <w:p w14:paraId="268BD338" w14:textId="05EFE47B" w:rsidR="008A37E4" w:rsidRPr="008C335E" w:rsidRDefault="008A37E4" w:rsidP="001D1D52">
      <w:pPr>
        <w:pStyle w:val="COMexecsumnumberedpara"/>
        <w:rPr>
          <w:snapToGrid/>
        </w:rPr>
      </w:pPr>
      <w:r w:rsidRPr="008C335E">
        <w:t xml:space="preserve">The submission nominated standard of care chemotherapy, with or without ASCT, as the main comparator. </w:t>
      </w:r>
      <w:r w:rsidR="00BB35AC" w:rsidRPr="008C335E">
        <w:t>The ESC considered s</w:t>
      </w:r>
      <w:r w:rsidR="008160E9" w:rsidRPr="008C335E">
        <w:t>tandard of care is an appropriate comparator.</w:t>
      </w:r>
      <w:r w:rsidR="008160E9" w:rsidRPr="008C335E">
        <w:rPr>
          <w:snapToGrid/>
        </w:rPr>
        <w:t xml:space="preserve"> </w:t>
      </w:r>
    </w:p>
    <w:p w14:paraId="23D33163" w14:textId="419E0482" w:rsidR="00E2274A" w:rsidRPr="008C335E" w:rsidRDefault="00E2274A" w:rsidP="001D1D52">
      <w:pPr>
        <w:pStyle w:val="COMexecsumnumberedpara"/>
        <w:rPr>
          <w:snapToGrid/>
        </w:rPr>
      </w:pPr>
      <w:r w:rsidRPr="008C335E">
        <w:rPr>
          <w:snapToGrid/>
        </w:rPr>
        <w:t>The PBAC previously considered that standard of care chemotherapy was the appropriate comparator for blinatumomab in MRD-positive B-ALL, and that blinatumomab may be used in multiple discrete roles including as primary treatment, bridge to haematopoietic stem cell transplant (HSCT), optimisation of HSCT by eliminating MRD and treatment of molecular relapse (para</w:t>
      </w:r>
      <w:r w:rsidR="00D8109C" w:rsidRPr="008C335E">
        <w:rPr>
          <w:snapToGrid/>
        </w:rPr>
        <w:t>graph</w:t>
      </w:r>
      <w:r w:rsidR="0003099F" w:rsidRPr="008C335E">
        <w:rPr>
          <w:snapToGrid/>
        </w:rPr>
        <w:t>s</w:t>
      </w:r>
      <w:r w:rsidRPr="008C335E">
        <w:rPr>
          <w:snapToGrid/>
        </w:rPr>
        <w:t xml:space="preserve"> 5.4</w:t>
      </w:r>
      <w:r w:rsidR="0003099F" w:rsidRPr="008C335E">
        <w:rPr>
          <w:snapToGrid/>
        </w:rPr>
        <w:t xml:space="preserve">, </w:t>
      </w:r>
      <w:r w:rsidRPr="008C335E">
        <w:rPr>
          <w:snapToGrid/>
        </w:rPr>
        <w:t>5.5</w:t>
      </w:r>
      <w:r w:rsidR="0003099F" w:rsidRPr="008C335E">
        <w:rPr>
          <w:snapToGrid/>
        </w:rPr>
        <w:t>,</w:t>
      </w:r>
      <w:r w:rsidRPr="008C335E">
        <w:rPr>
          <w:snapToGrid/>
        </w:rPr>
        <w:t xml:space="preserve"> 7.9, </w:t>
      </w:r>
      <w:r w:rsidR="0003099F" w:rsidRPr="008C335E">
        <w:rPr>
          <w:snapToGrid/>
        </w:rPr>
        <w:t>B</w:t>
      </w:r>
      <w:r w:rsidRPr="008C335E">
        <w:rPr>
          <w:snapToGrid/>
        </w:rPr>
        <w:t>linatumomab PSD, July 2018 PBAC meeting).</w:t>
      </w:r>
    </w:p>
    <w:p w14:paraId="08E77F58" w14:textId="30415749" w:rsidR="00223F01" w:rsidRPr="008C335E" w:rsidRDefault="00E2274A" w:rsidP="001D1D52">
      <w:pPr>
        <w:pStyle w:val="COMexecsumnumberedpara"/>
        <w:rPr>
          <w:snapToGrid/>
        </w:rPr>
      </w:pPr>
      <w:r w:rsidRPr="008C335E">
        <w:rPr>
          <w:snapToGrid/>
        </w:rPr>
        <w:lastRenderedPageBreak/>
        <w:t>The likely role of blinatumomab in the MRD-negative setting is uncertain given the key trial included ASCT as a randomisation stratification factor. The impact of blinatumomab on the use of subsequent therapies including ASCT is uncertain due to limited reporting in the trial.</w:t>
      </w:r>
    </w:p>
    <w:p w14:paraId="004ABEE5" w14:textId="71DEE44A" w:rsidR="008A37E4" w:rsidRDefault="002E4AC7" w:rsidP="001D1D52">
      <w:pPr>
        <w:pStyle w:val="COMexecsumnumberedpara"/>
        <w:rPr>
          <w:snapToGrid/>
        </w:rPr>
      </w:pPr>
      <w:r w:rsidRPr="008C335E">
        <w:rPr>
          <w:snapToGrid/>
        </w:rPr>
        <w:t xml:space="preserve">The submission characterised </w:t>
      </w:r>
      <w:r w:rsidR="00EF7726" w:rsidRPr="008C335E">
        <w:rPr>
          <w:snapToGrid/>
        </w:rPr>
        <w:t>standard of care</w:t>
      </w:r>
      <w:r w:rsidRPr="008C335E">
        <w:rPr>
          <w:snapToGrid/>
        </w:rPr>
        <w:t xml:space="preserve"> as consolidation chemotherapy and subsequent treatments including ASCT, adjusted for age, prognostic risk factors and response to therapy</w:t>
      </w:r>
      <w:r w:rsidR="001F4F4E" w:rsidRPr="008C335E">
        <w:rPr>
          <w:snapToGrid/>
        </w:rPr>
        <w:t xml:space="preserve">. </w:t>
      </w:r>
    </w:p>
    <w:p w14:paraId="4C0B412D" w14:textId="7B19C71B" w:rsidR="008C335E" w:rsidRPr="008C335E" w:rsidRDefault="008C335E" w:rsidP="008C335E">
      <w:pPr>
        <w:pStyle w:val="COMexecsumnumberedpara"/>
        <w:numPr>
          <w:ilvl w:val="0"/>
          <w:numId w:val="0"/>
        </w:numPr>
        <w:ind w:left="720"/>
        <w:rPr>
          <w:i/>
          <w:iCs/>
          <w:snapToGrid/>
        </w:rPr>
      </w:pPr>
      <w:r w:rsidRPr="008C335E">
        <w:rPr>
          <w:i/>
          <w:iCs/>
          <w:snapToGrid/>
        </w:rPr>
        <w:t>For more detail on PBAC’s view, see section 7 PBAC outcome.</w:t>
      </w:r>
    </w:p>
    <w:p w14:paraId="7F9C27C8" w14:textId="73EBD390" w:rsidR="00223D5A" w:rsidRPr="00225248" w:rsidRDefault="00223D5A" w:rsidP="0089087A">
      <w:pPr>
        <w:pStyle w:val="COMH1numbered"/>
      </w:pPr>
      <w:bookmarkStart w:id="16" w:name="_Toc167265605"/>
      <w:r w:rsidRPr="00225248">
        <w:t>Consideration of the evidence</w:t>
      </w:r>
      <w:bookmarkStart w:id="17" w:name="_Toc22897640"/>
      <w:bookmarkEnd w:id="16"/>
    </w:p>
    <w:p w14:paraId="6E2AD135" w14:textId="77777777" w:rsidR="008C335E" w:rsidRPr="00E12C2E" w:rsidRDefault="008C335E" w:rsidP="008C335E">
      <w:pPr>
        <w:pStyle w:val="COMH2-numbered"/>
      </w:pPr>
      <w:bookmarkStart w:id="18" w:name="_Hlk76375935"/>
      <w:bookmarkStart w:id="19" w:name="_Toc167265606"/>
      <w:r w:rsidRPr="00E12C2E">
        <w:t>Sponsor hearing</w:t>
      </w:r>
    </w:p>
    <w:p w14:paraId="7BA8CC66" w14:textId="3A7ED950" w:rsidR="008C335E" w:rsidRPr="00E12C2E" w:rsidRDefault="008C335E" w:rsidP="008C335E">
      <w:pPr>
        <w:widowControl w:val="0"/>
        <w:numPr>
          <w:ilvl w:val="1"/>
          <w:numId w:val="1"/>
        </w:numPr>
        <w:spacing w:after="120"/>
        <w:ind w:left="720"/>
        <w:rPr>
          <w:rFonts w:asciiTheme="minorHAnsi" w:hAnsiTheme="minorHAnsi"/>
          <w:bCs/>
          <w:snapToGrid w:val="0"/>
        </w:rPr>
      </w:pPr>
      <w:bookmarkStart w:id="20" w:name="_Hlk76382586"/>
      <w:r w:rsidRPr="00E12C2E">
        <w:rPr>
          <w:rFonts w:asciiTheme="minorHAnsi" w:hAnsiTheme="minorHAnsi"/>
          <w:bCs/>
          <w:snapToGrid w:val="0"/>
        </w:rPr>
        <w:t xml:space="preserve">The sponsor requested a hearing for this item. </w:t>
      </w:r>
      <w:r w:rsidRPr="000C44CA">
        <w:rPr>
          <w:rFonts w:asciiTheme="minorHAnsi" w:hAnsiTheme="minorHAnsi"/>
          <w:bCs/>
          <w:snapToGrid w:val="0"/>
        </w:rPr>
        <w:t xml:space="preserve">The clinician </w:t>
      </w:r>
      <w:r w:rsidR="0061657F" w:rsidRPr="000C44CA">
        <w:rPr>
          <w:rFonts w:asciiTheme="minorHAnsi" w:hAnsiTheme="minorHAnsi"/>
          <w:bCs/>
          <w:snapToGrid w:val="0"/>
        </w:rPr>
        <w:t>discussed outcomes expected with current standard of care regimens noting the impact of age on event free survival</w:t>
      </w:r>
      <w:r w:rsidR="00AF3207">
        <w:rPr>
          <w:rFonts w:asciiTheme="minorHAnsi" w:hAnsiTheme="minorHAnsi"/>
          <w:bCs/>
          <w:snapToGrid w:val="0"/>
        </w:rPr>
        <w:t xml:space="preserve"> (event free survival lower in patients </w:t>
      </w:r>
      <w:r w:rsidR="00AF3207">
        <w:rPr>
          <w:rFonts w:asciiTheme="minorHAnsi" w:hAnsiTheme="minorHAnsi" w:cstheme="minorHAnsi"/>
          <w:bCs/>
          <w:snapToGrid w:val="0"/>
        </w:rPr>
        <w:t>≥</w:t>
      </w:r>
      <w:r w:rsidR="00AF3207">
        <w:rPr>
          <w:rFonts w:asciiTheme="minorHAnsi" w:hAnsiTheme="minorHAnsi"/>
          <w:bCs/>
          <w:snapToGrid w:val="0"/>
        </w:rPr>
        <w:t xml:space="preserve"> 55 years of age for than younger patients)</w:t>
      </w:r>
      <w:r w:rsidR="0061657F" w:rsidRPr="000C44CA">
        <w:rPr>
          <w:rFonts w:asciiTheme="minorHAnsi" w:hAnsiTheme="minorHAnsi"/>
          <w:bCs/>
          <w:snapToGrid w:val="0"/>
        </w:rPr>
        <w:t xml:space="preserve">. The clinician </w:t>
      </w:r>
      <w:r w:rsidR="000C44CA">
        <w:rPr>
          <w:rFonts w:asciiTheme="minorHAnsi" w:hAnsiTheme="minorHAnsi"/>
          <w:bCs/>
          <w:snapToGrid w:val="0"/>
        </w:rPr>
        <w:t>noted</w:t>
      </w:r>
      <w:r w:rsidR="00B11902" w:rsidRPr="000C44CA">
        <w:rPr>
          <w:rFonts w:asciiTheme="minorHAnsi" w:hAnsiTheme="minorHAnsi"/>
          <w:bCs/>
          <w:snapToGrid w:val="0"/>
        </w:rPr>
        <w:t xml:space="preserve"> the standard of care regimen used in the E1910 study was different to</w:t>
      </w:r>
      <w:r w:rsidR="007931BC" w:rsidRPr="000C44CA">
        <w:t xml:space="preserve"> standard of care chemotherapy regimens </w:t>
      </w:r>
      <w:r w:rsidR="00B11902" w:rsidRPr="000C44CA">
        <w:t xml:space="preserve">used in the Australian context but </w:t>
      </w:r>
      <w:r w:rsidR="000C44CA" w:rsidRPr="000C44CA">
        <w:t xml:space="preserve">advised </w:t>
      </w:r>
      <w:r w:rsidR="00B11902" w:rsidRPr="000C44CA">
        <w:t xml:space="preserve">that they were broadly comparable </w:t>
      </w:r>
      <w:r w:rsidR="000C44CA" w:rsidRPr="000C44CA">
        <w:t xml:space="preserve">and considered this was not an issue for the applicability of the E1910 clinical trial. </w:t>
      </w:r>
      <w:r w:rsidR="000C44CA">
        <w:t xml:space="preserve">The clinician </w:t>
      </w:r>
      <w:r w:rsidR="00A25C21">
        <w:t xml:space="preserve">also </w:t>
      </w:r>
      <w:r w:rsidR="00054958">
        <w:t>considered the</w:t>
      </w:r>
      <w:r w:rsidR="00697704">
        <w:t xml:space="preserve"> </w:t>
      </w:r>
      <w:r w:rsidR="00697704" w:rsidRPr="008C335E">
        <w:t>treatment effect of blinatumomab was unlikely to differ by Ph-status</w:t>
      </w:r>
      <w:r w:rsidR="00697704">
        <w:t xml:space="preserve">, and </w:t>
      </w:r>
      <w:r w:rsidR="007A21A6" w:rsidRPr="000C44CA">
        <w:t xml:space="preserve">addressed </w:t>
      </w:r>
      <w:r w:rsidRPr="000C44CA">
        <w:rPr>
          <w:rFonts w:asciiTheme="minorHAnsi" w:hAnsiTheme="minorHAnsi"/>
          <w:bCs/>
          <w:snapToGrid w:val="0"/>
        </w:rPr>
        <w:t>other matters in response to the Committee’s questions</w:t>
      </w:r>
      <w:r w:rsidR="007931BC" w:rsidRPr="000C44CA">
        <w:rPr>
          <w:rFonts w:asciiTheme="minorHAnsi" w:hAnsiTheme="minorHAnsi"/>
          <w:bCs/>
          <w:snapToGrid w:val="0"/>
        </w:rPr>
        <w:t>.</w:t>
      </w:r>
      <w:r w:rsidR="007931BC">
        <w:rPr>
          <w:rFonts w:asciiTheme="minorHAnsi" w:hAnsiTheme="minorHAnsi"/>
          <w:bCs/>
          <w:snapToGrid w:val="0"/>
        </w:rPr>
        <w:t xml:space="preserve"> </w:t>
      </w:r>
      <w:r w:rsidRPr="00E12C2E">
        <w:rPr>
          <w:rFonts w:asciiTheme="minorHAnsi" w:hAnsiTheme="minorHAnsi"/>
          <w:bCs/>
          <w:snapToGrid w:val="0"/>
        </w:rPr>
        <w:t>The PBAC considered that the hearing was informative as it provided a clinical perspective on treating this disease.</w:t>
      </w:r>
    </w:p>
    <w:bookmarkEnd w:id="20"/>
    <w:p w14:paraId="2C7B76C6" w14:textId="77777777" w:rsidR="008C335E" w:rsidRPr="00697704" w:rsidRDefault="008C335E" w:rsidP="008C335E">
      <w:pPr>
        <w:pStyle w:val="COMH2-numbered"/>
      </w:pPr>
      <w:r w:rsidRPr="00697704">
        <w:t>Consumer comments</w:t>
      </w:r>
    </w:p>
    <w:p w14:paraId="626A3690" w14:textId="45EA3E47" w:rsidR="00852E4F" w:rsidRPr="00852E4F" w:rsidRDefault="008C335E" w:rsidP="008C335E">
      <w:pPr>
        <w:widowControl w:val="0"/>
        <w:numPr>
          <w:ilvl w:val="1"/>
          <w:numId w:val="1"/>
        </w:numPr>
        <w:spacing w:after="120"/>
        <w:ind w:left="720"/>
        <w:rPr>
          <w:rFonts w:asciiTheme="minorHAnsi" w:hAnsiTheme="minorHAnsi"/>
          <w:bCs/>
          <w:snapToGrid w:val="0"/>
        </w:rPr>
      </w:pPr>
      <w:bookmarkStart w:id="21" w:name="_Hlk76382618"/>
      <w:r w:rsidRPr="00697704">
        <w:rPr>
          <w:rFonts w:asciiTheme="minorHAnsi" w:hAnsiTheme="minorHAnsi"/>
          <w:bCs/>
          <w:snapToGrid w:val="0"/>
        </w:rPr>
        <w:t>The PBAC noted and welcomed the input from health care professionals (</w:t>
      </w:r>
      <w:r w:rsidR="00697704">
        <w:rPr>
          <w:rFonts w:asciiTheme="minorHAnsi" w:hAnsiTheme="minorHAnsi"/>
          <w:bCs/>
          <w:snapToGrid w:val="0"/>
        </w:rPr>
        <w:t>2</w:t>
      </w:r>
      <w:r w:rsidRPr="00697704">
        <w:rPr>
          <w:rFonts w:asciiTheme="minorHAnsi" w:hAnsiTheme="minorHAnsi"/>
          <w:bCs/>
          <w:snapToGrid w:val="0"/>
        </w:rPr>
        <w:t>) and organisations (</w:t>
      </w:r>
      <w:r w:rsidR="00697704">
        <w:rPr>
          <w:rFonts w:asciiTheme="minorHAnsi" w:hAnsiTheme="minorHAnsi"/>
          <w:bCs/>
          <w:snapToGrid w:val="0"/>
        </w:rPr>
        <w:t>2</w:t>
      </w:r>
      <w:r w:rsidRPr="00697704">
        <w:rPr>
          <w:rFonts w:asciiTheme="minorHAnsi" w:hAnsiTheme="minorHAnsi"/>
          <w:bCs/>
          <w:snapToGrid w:val="0"/>
        </w:rPr>
        <w:t xml:space="preserve">) via the Consumer Comments facility on the PBS website. The comments </w:t>
      </w:r>
      <w:r w:rsidR="007B717B">
        <w:rPr>
          <w:rFonts w:asciiTheme="minorHAnsi" w:hAnsiTheme="minorHAnsi"/>
          <w:bCs/>
          <w:snapToGrid w:val="0"/>
        </w:rPr>
        <w:t xml:space="preserve">from health care professionals </w:t>
      </w:r>
      <w:r w:rsidRPr="00697704">
        <w:rPr>
          <w:rFonts w:asciiTheme="minorHAnsi" w:hAnsiTheme="minorHAnsi"/>
          <w:bCs/>
          <w:snapToGrid w:val="0"/>
        </w:rPr>
        <w:t xml:space="preserve">described </w:t>
      </w:r>
      <w:r w:rsidR="007B717B">
        <w:rPr>
          <w:rFonts w:asciiTheme="minorHAnsi" w:hAnsiTheme="minorHAnsi"/>
          <w:bCs/>
          <w:snapToGrid w:val="0"/>
        </w:rPr>
        <w:t xml:space="preserve">the efficacy of blinatumomab as a frontline therapy in the treatment of </w:t>
      </w:r>
      <w:r w:rsidR="007B717B">
        <w:t>B-ALL</w:t>
      </w:r>
      <w:r w:rsidR="00AF3207">
        <w:t xml:space="preserve"> based on the E1910 trial</w:t>
      </w:r>
      <w:r w:rsidR="007B717B">
        <w:t xml:space="preserve">. The input from health care professionals also described blinatumomab as less toxic than chemotherapy and noted that it can be delivered in an outpatient setting in </w:t>
      </w:r>
      <w:proofErr w:type="gramStart"/>
      <w:r w:rsidR="007B717B">
        <w:t>the majority of</w:t>
      </w:r>
      <w:proofErr w:type="gramEnd"/>
      <w:r w:rsidR="007B717B">
        <w:t xml:space="preserve"> cases. The comments also argued that the proposed blinatumomab listing should be age agnostic and requested access for patients for which the use of conventional chemotherapy </w:t>
      </w:r>
      <w:r w:rsidR="007B717B">
        <w:rPr>
          <w:rFonts w:asciiTheme="minorHAnsi" w:hAnsiTheme="minorHAnsi"/>
          <w:bCs/>
          <w:snapToGrid w:val="0"/>
        </w:rPr>
        <w:t>is difficult (e.g. Down syndrome, hereditary cancer syndromes, immunodeficiency) or for patients with ALL who experience early onset, severe treatment related toxicity (such as severe fungal or bacterial infection).</w:t>
      </w:r>
      <w:r w:rsidR="00852E4F">
        <w:rPr>
          <w:rFonts w:asciiTheme="minorHAnsi" w:hAnsiTheme="minorHAnsi"/>
          <w:bCs/>
          <w:snapToGrid w:val="0"/>
        </w:rPr>
        <w:t xml:space="preserve"> Input from the Leukaemia Foundation highlighted the need for new therapies due to the high mortality </w:t>
      </w:r>
      <w:r w:rsidR="002842F2">
        <w:rPr>
          <w:rFonts w:asciiTheme="minorHAnsi" w:hAnsiTheme="minorHAnsi"/>
          <w:bCs/>
          <w:snapToGrid w:val="0"/>
        </w:rPr>
        <w:t xml:space="preserve">rate </w:t>
      </w:r>
      <w:r w:rsidR="00852E4F">
        <w:rPr>
          <w:rFonts w:asciiTheme="minorHAnsi" w:hAnsiTheme="minorHAnsi"/>
          <w:bCs/>
          <w:snapToGrid w:val="0"/>
        </w:rPr>
        <w:t xml:space="preserve">for patients with ALL and the highly toxic nature of existing treatments. The comments from the Australian &amp; New Zealand </w:t>
      </w:r>
      <w:proofErr w:type="spellStart"/>
      <w:r w:rsidR="00852E4F">
        <w:rPr>
          <w:rFonts w:asciiTheme="minorHAnsi" w:hAnsiTheme="minorHAnsi"/>
          <w:bCs/>
          <w:snapToGrid w:val="0"/>
        </w:rPr>
        <w:t>Childrens</w:t>
      </w:r>
      <w:proofErr w:type="spellEnd"/>
      <w:r w:rsidR="00852E4F">
        <w:rPr>
          <w:rFonts w:asciiTheme="minorHAnsi" w:hAnsiTheme="minorHAnsi"/>
          <w:bCs/>
          <w:snapToGrid w:val="0"/>
        </w:rPr>
        <w:t xml:space="preserve"> </w:t>
      </w:r>
      <w:r w:rsidR="00852E4F" w:rsidRPr="00852E4F">
        <w:rPr>
          <w:rFonts w:asciiTheme="minorHAnsi" w:hAnsiTheme="minorHAnsi"/>
          <w:bCs/>
          <w:snapToGrid w:val="0"/>
        </w:rPr>
        <w:t xml:space="preserve">Haematology/Oncology Group (ANZCHOG) highlight data suggesting a benefit of blinatumomab across age groups and advocate for children to also have access </w:t>
      </w:r>
      <w:r w:rsidR="002842F2">
        <w:rPr>
          <w:rFonts w:asciiTheme="minorHAnsi" w:hAnsiTheme="minorHAnsi"/>
          <w:bCs/>
          <w:snapToGrid w:val="0"/>
        </w:rPr>
        <w:t>to</w:t>
      </w:r>
      <w:r w:rsidR="00852E4F" w:rsidRPr="00852E4F">
        <w:rPr>
          <w:rFonts w:asciiTheme="minorHAnsi" w:hAnsiTheme="minorHAnsi"/>
          <w:bCs/>
          <w:snapToGrid w:val="0"/>
        </w:rPr>
        <w:t xml:space="preserve"> </w:t>
      </w:r>
      <w:r w:rsidR="00852E4F" w:rsidRPr="00852E4F">
        <w:rPr>
          <w:rFonts w:asciiTheme="minorHAnsi" w:hAnsiTheme="minorHAnsi"/>
          <w:bCs/>
          <w:snapToGrid w:val="0"/>
        </w:rPr>
        <w:lastRenderedPageBreak/>
        <w:t xml:space="preserve">frontline therapy. </w:t>
      </w:r>
    </w:p>
    <w:bookmarkEnd w:id="18"/>
    <w:bookmarkEnd w:id="21"/>
    <w:p w14:paraId="609C0765" w14:textId="7DE61DFE" w:rsidR="00B60939" w:rsidRPr="00852E4F" w:rsidRDefault="00B60939" w:rsidP="002E4F02">
      <w:pPr>
        <w:pStyle w:val="COMH2-non-numbered"/>
      </w:pPr>
      <w:r w:rsidRPr="00852E4F">
        <w:t>Clinical trials</w:t>
      </w:r>
      <w:bookmarkEnd w:id="17"/>
      <w:bookmarkEnd w:id="19"/>
    </w:p>
    <w:p w14:paraId="17DE34DC" w14:textId="0C228346" w:rsidR="007F1017" w:rsidRPr="00225248" w:rsidRDefault="00A73134" w:rsidP="001D1D52">
      <w:pPr>
        <w:pStyle w:val="COMexecsumnumberedpara"/>
        <w:rPr>
          <w:color w:val="0066FF"/>
        </w:rPr>
      </w:pPr>
      <w:r w:rsidRPr="00852E4F">
        <w:rPr>
          <w:snapToGrid/>
        </w:rPr>
        <w:t xml:space="preserve">The submission </w:t>
      </w:r>
      <w:r w:rsidR="00D5243B" w:rsidRPr="00852E4F">
        <w:rPr>
          <w:snapToGrid/>
        </w:rPr>
        <w:t>wa</w:t>
      </w:r>
      <w:r w:rsidRPr="00852E4F">
        <w:rPr>
          <w:snapToGrid/>
        </w:rPr>
        <w:t xml:space="preserve">s based on one head-to-head trial comparing </w:t>
      </w:r>
      <w:r w:rsidR="001071FD" w:rsidRPr="00852E4F">
        <w:rPr>
          <w:snapToGrid/>
        </w:rPr>
        <w:t>blinatumomab in combination with standard of care</w:t>
      </w:r>
      <w:r w:rsidR="001071FD" w:rsidRPr="001071FD">
        <w:rPr>
          <w:snapToGrid/>
        </w:rPr>
        <w:t xml:space="preserve"> to </w:t>
      </w:r>
      <w:r w:rsidR="001071FD">
        <w:rPr>
          <w:snapToGrid/>
        </w:rPr>
        <w:t>standard of care</w:t>
      </w:r>
      <w:r w:rsidR="001071FD" w:rsidRPr="001071FD">
        <w:rPr>
          <w:snapToGrid/>
        </w:rPr>
        <w:t xml:space="preserve"> alone, in patients with newly diagnosed Philadelphia chromosome-negative B-ALL in complete haematological remission who are MRD-negative or MRD-positive after initial induction chemotherapy</w:t>
      </w:r>
      <w:r w:rsidR="001071FD">
        <w:rPr>
          <w:snapToGrid/>
        </w:rPr>
        <w:t xml:space="preserve"> (</w:t>
      </w:r>
      <w:r w:rsidR="00FE2AC3">
        <w:rPr>
          <w:snapToGrid/>
        </w:rPr>
        <w:t>E1910).</w:t>
      </w:r>
    </w:p>
    <w:p w14:paraId="2B59ABAC" w14:textId="742210EE" w:rsidR="00862502" w:rsidRPr="00225248" w:rsidRDefault="00A73134" w:rsidP="001D1D52">
      <w:pPr>
        <w:pStyle w:val="COMexecsumnumberedpara"/>
      </w:pPr>
      <w:r w:rsidRPr="00225248">
        <w:rPr>
          <w:snapToGrid/>
        </w:rPr>
        <w:t>Details of the trial</w:t>
      </w:r>
      <w:r w:rsidR="00FE2AC3">
        <w:rPr>
          <w:snapToGrid/>
        </w:rPr>
        <w:t xml:space="preserve"> </w:t>
      </w:r>
      <w:r w:rsidRPr="00225248">
        <w:rPr>
          <w:snapToGrid/>
        </w:rPr>
        <w:t xml:space="preserve">presented in the submission are provided in </w:t>
      </w:r>
      <w:r w:rsidR="00696EF9" w:rsidRPr="00225248">
        <w:rPr>
          <w:snapToGrid/>
        </w:rPr>
        <w:fldChar w:fldCharType="begin" w:fldLock="1"/>
      </w:r>
      <w:r w:rsidR="00696EF9" w:rsidRPr="00225248">
        <w:rPr>
          <w:snapToGrid/>
        </w:rPr>
        <w:instrText xml:space="preserve"> REF _Ref104803956 \h </w:instrText>
      </w:r>
      <w:r w:rsidR="00696EF9" w:rsidRPr="00225248">
        <w:rPr>
          <w:snapToGrid/>
        </w:rPr>
      </w:r>
      <w:r w:rsidR="00696EF9" w:rsidRPr="00225248">
        <w:rPr>
          <w:snapToGrid/>
        </w:rPr>
        <w:fldChar w:fldCharType="separate"/>
      </w:r>
      <w:r w:rsidR="00356F14" w:rsidRPr="00225248">
        <w:t xml:space="preserve">Table </w:t>
      </w:r>
      <w:r w:rsidR="00356F14">
        <w:rPr>
          <w:noProof/>
        </w:rPr>
        <w:t>2</w:t>
      </w:r>
      <w:r w:rsidR="00696EF9" w:rsidRPr="00225248">
        <w:rPr>
          <w:snapToGrid/>
        </w:rPr>
        <w:fldChar w:fldCharType="end"/>
      </w:r>
      <w:r w:rsidRPr="00225248">
        <w:rPr>
          <w:snapToGrid/>
        </w:rPr>
        <w:t>.</w:t>
      </w:r>
    </w:p>
    <w:p w14:paraId="7DE3A286" w14:textId="1EB0FE87" w:rsidR="008E0D3C" w:rsidRPr="00225248" w:rsidRDefault="00696EF9" w:rsidP="002E4F02">
      <w:pPr>
        <w:pStyle w:val="COMtablefigcaption"/>
      </w:pPr>
      <w:bookmarkStart w:id="22" w:name="_Ref104803956"/>
      <w:r w:rsidRPr="00225248">
        <w:t xml:space="preserve">Table </w:t>
      </w:r>
      <w:r w:rsidR="006F0D54">
        <w:fldChar w:fldCharType="begin" w:fldLock="1"/>
      </w:r>
      <w:r w:rsidR="006F0D54">
        <w:instrText xml:space="preserve"> SEQ Table \* ARABIC </w:instrText>
      </w:r>
      <w:r w:rsidR="006F0D54">
        <w:fldChar w:fldCharType="separate"/>
      </w:r>
      <w:r w:rsidR="00356F14">
        <w:rPr>
          <w:noProof/>
        </w:rPr>
        <w:t>2</w:t>
      </w:r>
      <w:r w:rsidR="006F0D54">
        <w:rPr>
          <w:noProof/>
        </w:rPr>
        <w:fldChar w:fldCharType="end"/>
      </w:r>
      <w:bookmarkEnd w:id="22"/>
      <w:r w:rsidRPr="00225248">
        <w:t>:</w:t>
      </w:r>
      <w:r w:rsidR="00BC591F" w:rsidRPr="00225248">
        <w:t xml:space="preserve"> </w:t>
      </w:r>
      <w:r w:rsidR="008E0D3C" w:rsidRPr="00225248">
        <w:t>Trial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Caption w:val="Table 2: Trial and associated reports presented in the submission"/>
      </w:tblPr>
      <w:tblGrid>
        <w:gridCol w:w="1696"/>
        <w:gridCol w:w="4820"/>
        <w:gridCol w:w="2501"/>
      </w:tblGrid>
      <w:tr w:rsidR="00E12FD2" w:rsidRPr="000F4C1C" w14:paraId="332A7CDD" w14:textId="77777777" w:rsidTr="00EE75EE">
        <w:trPr>
          <w:tblHeader/>
        </w:trPr>
        <w:tc>
          <w:tcPr>
            <w:tcW w:w="940" w:type="pct"/>
            <w:tcBorders>
              <w:bottom w:val="single" w:sz="4" w:space="0" w:color="auto"/>
            </w:tcBorders>
            <w:vAlign w:val="center"/>
          </w:tcPr>
          <w:p w14:paraId="48304BBB" w14:textId="77777777" w:rsidR="00E12FD2" w:rsidRPr="000F4C1C" w:rsidRDefault="00E12FD2" w:rsidP="0020672F">
            <w:pPr>
              <w:pStyle w:val="COMTableheadingrow"/>
            </w:pPr>
            <w:r w:rsidRPr="000F4C1C">
              <w:t>Trial ID</w:t>
            </w:r>
          </w:p>
        </w:tc>
        <w:tc>
          <w:tcPr>
            <w:tcW w:w="2673" w:type="pct"/>
            <w:tcBorders>
              <w:bottom w:val="single" w:sz="4" w:space="0" w:color="auto"/>
            </w:tcBorders>
            <w:vAlign w:val="center"/>
          </w:tcPr>
          <w:p w14:paraId="7FD61A59" w14:textId="7EB911E0" w:rsidR="00E12FD2" w:rsidRPr="000F4C1C" w:rsidRDefault="00E12FD2" w:rsidP="0020672F">
            <w:pPr>
              <w:pStyle w:val="COMTableheadingrow"/>
            </w:pPr>
            <w:r w:rsidRPr="000F4C1C">
              <w:t>Protocol title/Publication title</w:t>
            </w:r>
          </w:p>
        </w:tc>
        <w:tc>
          <w:tcPr>
            <w:tcW w:w="1387" w:type="pct"/>
            <w:tcBorders>
              <w:bottom w:val="single" w:sz="4" w:space="0" w:color="auto"/>
            </w:tcBorders>
            <w:vAlign w:val="center"/>
          </w:tcPr>
          <w:p w14:paraId="53BDCB3B" w14:textId="77777777" w:rsidR="00E12FD2" w:rsidRPr="000F4C1C" w:rsidRDefault="00E12FD2" w:rsidP="0020672F">
            <w:pPr>
              <w:pStyle w:val="COMTableheadingrow"/>
            </w:pPr>
            <w:r w:rsidRPr="000F4C1C">
              <w:t>Publication citation</w:t>
            </w:r>
          </w:p>
        </w:tc>
      </w:tr>
      <w:tr w:rsidR="00E12FD2" w:rsidRPr="000F4C1C" w14:paraId="0E7385B4" w14:textId="77777777" w:rsidTr="00EE75EE">
        <w:tc>
          <w:tcPr>
            <w:tcW w:w="940" w:type="pct"/>
            <w:vMerge w:val="restart"/>
          </w:tcPr>
          <w:p w14:paraId="0004E961" w14:textId="77777777" w:rsidR="00E12FD2" w:rsidRPr="000F4C1C" w:rsidRDefault="00E12FD2" w:rsidP="009245B7">
            <w:pPr>
              <w:pStyle w:val="COMTabletext"/>
            </w:pPr>
            <w:r w:rsidRPr="000F4C1C">
              <w:t>ECOG-ACRIN E1910</w:t>
            </w:r>
          </w:p>
        </w:tc>
        <w:tc>
          <w:tcPr>
            <w:tcW w:w="2673" w:type="pct"/>
            <w:tcBorders>
              <w:bottom w:val="nil"/>
            </w:tcBorders>
          </w:tcPr>
          <w:p w14:paraId="5779DF77" w14:textId="77777777" w:rsidR="00E12FD2" w:rsidRPr="000F4C1C" w:rsidRDefault="00E12FD2" w:rsidP="009245B7">
            <w:pPr>
              <w:pStyle w:val="COMTabletext"/>
              <w:spacing w:after="60"/>
              <w:rPr>
                <w:szCs w:val="18"/>
              </w:rPr>
            </w:pPr>
            <w:r w:rsidRPr="000F4C1C">
              <w:rPr>
                <w:szCs w:val="18"/>
              </w:rPr>
              <w:t>A phase 3 randomised trial of blinatumomab (IND# 117467, NSC# 765986) for newly diagnosed BCR-ABL negative B lineage acute lymphoblastic leukemia in adults.</w:t>
            </w:r>
          </w:p>
        </w:tc>
        <w:tc>
          <w:tcPr>
            <w:tcW w:w="1387" w:type="pct"/>
            <w:tcBorders>
              <w:bottom w:val="nil"/>
            </w:tcBorders>
          </w:tcPr>
          <w:p w14:paraId="797EBF08" w14:textId="77777777" w:rsidR="00E12FD2" w:rsidRPr="000F4C1C" w:rsidRDefault="00E12FD2" w:rsidP="009245B7">
            <w:pPr>
              <w:pStyle w:val="COMTabletext"/>
              <w:spacing w:after="60"/>
            </w:pPr>
            <w:r w:rsidRPr="000F4C1C">
              <w:rPr>
                <w:rFonts w:eastAsia="Times New Roman"/>
              </w:rPr>
              <w:t xml:space="preserve">Clinical Study Report: </w:t>
            </w:r>
            <w:r w:rsidRPr="000F4C1C">
              <w:rPr>
                <w:rFonts w:eastAsia="Times New Roman"/>
              </w:rPr>
              <w:br/>
              <w:t>18 October 2023.</w:t>
            </w:r>
          </w:p>
        </w:tc>
      </w:tr>
      <w:tr w:rsidR="00E12FD2" w:rsidRPr="000F4C1C" w14:paraId="33FEED36" w14:textId="77777777" w:rsidTr="00EE75EE">
        <w:tc>
          <w:tcPr>
            <w:tcW w:w="940" w:type="pct"/>
            <w:vMerge/>
          </w:tcPr>
          <w:p w14:paraId="00DCFE2C" w14:textId="77777777" w:rsidR="00E12FD2" w:rsidRPr="000F4C1C" w:rsidRDefault="00E12FD2" w:rsidP="009245B7">
            <w:pPr>
              <w:pStyle w:val="COMTabletext"/>
            </w:pPr>
          </w:p>
        </w:tc>
        <w:tc>
          <w:tcPr>
            <w:tcW w:w="2673" w:type="pct"/>
            <w:tcBorders>
              <w:top w:val="nil"/>
              <w:bottom w:val="nil"/>
            </w:tcBorders>
          </w:tcPr>
          <w:p w14:paraId="390F7ECE" w14:textId="77777777" w:rsidR="00E12FD2" w:rsidRPr="000F4C1C" w:rsidRDefault="00E12FD2" w:rsidP="009245B7">
            <w:pPr>
              <w:pStyle w:val="COMTabletext"/>
              <w:spacing w:after="60"/>
              <w:rPr>
                <w:szCs w:val="18"/>
              </w:rPr>
            </w:pPr>
            <w:r w:rsidRPr="000F4C1C">
              <w:t xml:space="preserve">Litzow MR, et al. Consolidation therapy with blinatumomab improves overall survival in newly diagnosed adult patients with B-lineage acute lymphoblastic leukemia in measurable residual disease negative remission: results from the ECOG-ACRIN E1910 randomized phase 3 National Cooperative Clinical Trials Network trial. </w:t>
            </w:r>
          </w:p>
        </w:tc>
        <w:tc>
          <w:tcPr>
            <w:tcW w:w="1387" w:type="pct"/>
            <w:tcBorders>
              <w:top w:val="nil"/>
              <w:bottom w:val="nil"/>
            </w:tcBorders>
          </w:tcPr>
          <w:p w14:paraId="22806DBF" w14:textId="09B99E4C" w:rsidR="00E12FD2" w:rsidRPr="000F4C1C" w:rsidRDefault="00E12FD2" w:rsidP="009245B7">
            <w:pPr>
              <w:pStyle w:val="COMTabletext"/>
              <w:spacing w:after="60"/>
              <w:rPr>
                <w:szCs w:val="18"/>
              </w:rPr>
            </w:pPr>
            <w:r w:rsidRPr="000F4C1C">
              <w:rPr>
                <w:i/>
                <w:iCs/>
              </w:rPr>
              <w:t>64th American Society of Hematology Annual Meeting and Exposition</w:t>
            </w:r>
            <w:r w:rsidRPr="000F4C1C">
              <w:t>; New Orleans, Louisiana, December 10-13, 2022; LBA-1</w:t>
            </w:r>
            <w:r w:rsidR="005F7DF2">
              <w:t xml:space="preserve"> (abstract)</w:t>
            </w:r>
            <w:r w:rsidRPr="000F4C1C">
              <w:t>.</w:t>
            </w:r>
          </w:p>
        </w:tc>
      </w:tr>
      <w:tr w:rsidR="00E12FD2" w:rsidRPr="000F4C1C" w14:paraId="3DC7EDC4" w14:textId="77777777" w:rsidTr="00EE75EE">
        <w:tc>
          <w:tcPr>
            <w:tcW w:w="940" w:type="pct"/>
            <w:vMerge/>
          </w:tcPr>
          <w:p w14:paraId="55DF0CA1" w14:textId="77777777" w:rsidR="00E12FD2" w:rsidRPr="000F4C1C" w:rsidRDefault="00E12FD2" w:rsidP="009245B7">
            <w:pPr>
              <w:pStyle w:val="COMTabletext"/>
            </w:pPr>
          </w:p>
        </w:tc>
        <w:tc>
          <w:tcPr>
            <w:tcW w:w="2673" w:type="pct"/>
            <w:tcBorders>
              <w:top w:val="nil"/>
              <w:bottom w:val="nil"/>
            </w:tcBorders>
          </w:tcPr>
          <w:p w14:paraId="68F4586C" w14:textId="77777777" w:rsidR="00E12FD2" w:rsidRPr="000F4C1C" w:rsidRDefault="00E12FD2" w:rsidP="009245B7">
            <w:pPr>
              <w:pStyle w:val="COMTabletext"/>
              <w:spacing w:after="60"/>
              <w:rPr>
                <w:szCs w:val="18"/>
              </w:rPr>
            </w:pPr>
            <w:r w:rsidRPr="000F4C1C">
              <w:t xml:space="preserve">Litzow MR, et al. Consolidation with blinatumomab improves overall and relapse-free survival in patients with newly diagnosed B-cell acute lymphoblastic leukemia: Impact of age and MRD level; ECOG-ACRIN E1910. </w:t>
            </w:r>
          </w:p>
        </w:tc>
        <w:tc>
          <w:tcPr>
            <w:tcW w:w="1387" w:type="pct"/>
            <w:tcBorders>
              <w:top w:val="nil"/>
              <w:bottom w:val="nil"/>
            </w:tcBorders>
          </w:tcPr>
          <w:p w14:paraId="00F12292" w14:textId="7E163A68" w:rsidR="00E12FD2" w:rsidRPr="000F4C1C" w:rsidRDefault="00E12FD2" w:rsidP="009245B7">
            <w:pPr>
              <w:pStyle w:val="COMTabletext"/>
              <w:spacing w:after="60"/>
              <w:rPr>
                <w:i/>
                <w:szCs w:val="18"/>
              </w:rPr>
            </w:pPr>
            <w:r w:rsidRPr="000F4C1C">
              <w:rPr>
                <w:i/>
                <w:iCs/>
              </w:rPr>
              <w:t>28th Congress of the European Hematology Association</w:t>
            </w:r>
            <w:r w:rsidRPr="000F4C1C">
              <w:t>: Frankfurt, Germany, June 8-11, 2023; S115</w:t>
            </w:r>
            <w:r w:rsidR="005F7DF2">
              <w:t xml:space="preserve"> (abstract)</w:t>
            </w:r>
            <w:r w:rsidRPr="000F4C1C">
              <w:t>.</w:t>
            </w:r>
          </w:p>
        </w:tc>
      </w:tr>
      <w:tr w:rsidR="00E12FD2" w:rsidRPr="000F4C1C" w14:paraId="19D2040C" w14:textId="77777777" w:rsidTr="00EE75EE">
        <w:tc>
          <w:tcPr>
            <w:tcW w:w="940" w:type="pct"/>
            <w:vMerge/>
            <w:tcBorders>
              <w:bottom w:val="single" w:sz="4" w:space="0" w:color="auto"/>
            </w:tcBorders>
          </w:tcPr>
          <w:p w14:paraId="39F950EC" w14:textId="77777777" w:rsidR="00E12FD2" w:rsidRPr="000F4C1C" w:rsidRDefault="00E12FD2" w:rsidP="009245B7">
            <w:pPr>
              <w:pStyle w:val="COMTabletext"/>
            </w:pPr>
          </w:p>
        </w:tc>
        <w:tc>
          <w:tcPr>
            <w:tcW w:w="2673" w:type="pct"/>
            <w:tcBorders>
              <w:top w:val="nil"/>
              <w:bottom w:val="single" w:sz="4" w:space="0" w:color="auto"/>
            </w:tcBorders>
          </w:tcPr>
          <w:p w14:paraId="2CA22F13" w14:textId="77777777" w:rsidR="00E12FD2" w:rsidRPr="000F4C1C" w:rsidRDefault="00E12FD2" w:rsidP="009245B7">
            <w:pPr>
              <w:pStyle w:val="COMTabletext"/>
            </w:pPr>
            <w:r w:rsidRPr="000F4C1C">
              <w:t xml:space="preserve">Luger SM, et al. Assessment of outcomes of consolidation therapy by number of cycles of blinatumomab received in newly diagnosed measurable residual disease negative patients with B-lineage acute lymphoblastic leukaemia in the ECOG-ACRIN E1910 randomised phase III National Clinical Trials Network trial. </w:t>
            </w:r>
          </w:p>
        </w:tc>
        <w:tc>
          <w:tcPr>
            <w:tcW w:w="1387" w:type="pct"/>
            <w:tcBorders>
              <w:top w:val="nil"/>
              <w:bottom w:val="single" w:sz="4" w:space="0" w:color="auto"/>
            </w:tcBorders>
          </w:tcPr>
          <w:p w14:paraId="64F4AE5D" w14:textId="1860298F" w:rsidR="00E12FD2" w:rsidRPr="000F4C1C" w:rsidRDefault="00E12FD2" w:rsidP="009245B7">
            <w:pPr>
              <w:pStyle w:val="COMTabletext"/>
            </w:pPr>
            <w:r w:rsidRPr="000F4C1C">
              <w:rPr>
                <w:i/>
                <w:iCs/>
              </w:rPr>
              <w:t>65th American Society of Hematology Annual Meeting and Exposition</w:t>
            </w:r>
            <w:r w:rsidRPr="000F4C1C">
              <w:t>; San Diego, California, December 9-12, 2023; 2877</w:t>
            </w:r>
            <w:r w:rsidR="005F7DF2">
              <w:t xml:space="preserve"> (poster)</w:t>
            </w:r>
            <w:r w:rsidRPr="000F4C1C">
              <w:t>.</w:t>
            </w:r>
          </w:p>
        </w:tc>
      </w:tr>
    </w:tbl>
    <w:p w14:paraId="51D8173A" w14:textId="4FBACC9B" w:rsidR="008E0D3C" w:rsidRPr="00225248" w:rsidRDefault="008E0D3C" w:rsidP="00EC5836">
      <w:pPr>
        <w:pStyle w:val="COMTablefooter"/>
        <w:rPr>
          <w:sz w:val="20"/>
        </w:rPr>
      </w:pPr>
      <w:r w:rsidRPr="00225248">
        <w:t>Source: Table</w:t>
      </w:r>
      <w:r w:rsidR="00E12FD2">
        <w:t xml:space="preserve"> 2-4 of the</w:t>
      </w:r>
      <w:r w:rsidRPr="00225248">
        <w:t xml:space="preserve"> submission.</w:t>
      </w:r>
    </w:p>
    <w:p w14:paraId="1DD06D7D" w14:textId="63BAEB62" w:rsidR="007F1017" w:rsidRPr="00225248" w:rsidRDefault="008F120A" w:rsidP="001D1D52">
      <w:pPr>
        <w:pStyle w:val="COMexecsumnumberedpara"/>
        <w:rPr>
          <w:color w:val="0066FF"/>
        </w:rPr>
      </w:pPr>
      <w:r w:rsidRPr="00225248">
        <w:t>The key features of the</w:t>
      </w:r>
      <w:r w:rsidR="003E6EBB">
        <w:t xml:space="preserve"> E1910 trial</w:t>
      </w:r>
      <w:r w:rsidRPr="00225248">
        <w:t xml:space="preserve"> are summarised in</w:t>
      </w:r>
      <w:r w:rsidR="00D6076E" w:rsidRPr="00225248">
        <w:t xml:space="preserve"> </w:t>
      </w:r>
      <w:r w:rsidR="00D6076E" w:rsidRPr="00225248">
        <w:fldChar w:fldCharType="begin" w:fldLock="1"/>
      </w:r>
      <w:r w:rsidR="00D6076E" w:rsidRPr="00225248">
        <w:instrText xml:space="preserve"> REF _Ref104804098 \h  \* MERGEFORMAT </w:instrText>
      </w:r>
      <w:r w:rsidR="00D6076E" w:rsidRPr="00225248">
        <w:fldChar w:fldCharType="separate"/>
      </w:r>
      <w:r w:rsidR="00356F14" w:rsidRPr="00225248">
        <w:t xml:space="preserve">Table </w:t>
      </w:r>
      <w:r w:rsidR="00356F14">
        <w:t>3</w:t>
      </w:r>
      <w:r w:rsidR="00D6076E" w:rsidRPr="00225248">
        <w:fldChar w:fldCharType="end"/>
      </w:r>
      <w:r w:rsidRPr="00225248">
        <w:t>.</w:t>
      </w:r>
    </w:p>
    <w:p w14:paraId="355E2F15" w14:textId="4E2F7169" w:rsidR="007F1017" w:rsidRPr="00225248" w:rsidRDefault="00696EF9" w:rsidP="00FD4ED6">
      <w:pPr>
        <w:pStyle w:val="COMtablefigcaption"/>
      </w:pPr>
      <w:bookmarkStart w:id="23" w:name="_Ref104804098"/>
      <w:r w:rsidRPr="00225248">
        <w:t xml:space="preserve">Table </w:t>
      </w:r>
      <w:r w:rsidR="006F0D54">
        <w:fldChar w:fldCharType="begin" w:fldLock="1"/>
      </w:r>
      <w:r w:rsidR="006F0D54">
        <w:instrText xml:space="preserve"> SEQ Table \* ARABIC </w:instrText>
      </w:r>
      <w:r w:rsidR="006F0D54">
        <w:fldChar w:fldCharType="separate"/>
      </w:r>
      <w:r w:rsidR="00356F14">
        <w:rPr>
          <w:noProof/>
        </w:rPr>
        <w:t>3</w:t>
      </w:r>
      <w:r w:rsidR="006F0D54">
        <w:rPr>
          <w:noProof/>
        </w:rPr>
        <w:fldChar w:fldCharType="end"/>
      </w:r>
      <w:bookmarkEnd w:id="23"/>
      <w:r w:rsidR="00D6076E" w:rsidRPr="00225248">
        <w:t xml:space="preserve">: </w:t>
      </w:r>
      <w:r w:rsidR="007F1017" w:rsidRPr="00225248">
        <w:t>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3: Key features of the included evidence"/>
      </w:tblPr>
      <w:tblGrid>
        <w:gridCol w:w="848"/>
        <w:gridCol w:w="849"/>
        <w:gridCol w:w="1560"/>
        <w:gridCol w:w="707"/>
        <w:gridCol w:w="1843"/>
        <w:gridCol w:w="1648"/>
        <w:gridCol w:w="1562"/>
      </w:tblGrid>
      <w:tr w:rsidR="00B41614" w:rsidRPr="00225248" w14:paraId="53DD7CC6" w14:textId="77777777" w:rsidTr="000747CD">
        <w:trPr>
          <w:cantSplit/>
          <w:tblHeader/>
        </w:trPr>
        <w:tc>
          <w:tcPr>
            <w:tcW w:w="470" w:type="pct"/>
            <w:shd w:val="clear" w:color="auto" w:fill="auto"/>
            <w:vAlign w:val="center"/>
          </w:tcPr>
          <w:p w14:paraId="794116BC" w14:textId="77777777" w:rsidR="007F1017" w:rsidRPr="00225248" w:rsidRDefault="007F1017" w:rsidP="0020672F">
            <w:pPr>
              <w:pStyle w:val="COMTableheadingrow"/>
            </w:pPr>
            <w:r w:rsidRPr="00225248">
              <w:t>Trial</w:t>
            </w:r>
          </w:p>
        </w:tc>
        <w:tc>
          <w:tcPr>
            <w:tcW w:w="471" w:type="pct"/>
            <w:shd w:val="clear" w:color="auto" w:fill="auto"/>
            <w:vAlign w:val="center"/>
          </w:tcPr>
          <w:p w14:paraId="51122FE5" w14:textId="77777777" w:rsidR="007F1017" w:rsidRPr="00225248" w:rsidRDefault="007F1017" w:rsidP="00E86AA4">
            <w:pPr>
              <w:pStyle w:val="COMTableheadingrow"/>
              <w:jc w:val="center"/>
            </w:pPr>
            <w:r w:rsidRPr="00225248">
              <w:t>N</w:t>
            </w:r>
          </w:p>
        </w:tc>
        <w:tc>
          <w:tcPr>
            <w:tcW w:w="865" w:type="pct"/>
            <w:shd w:val="clear" w:color="auto" w:fill="auto"/>
            <w:vAlign w:val="center"/>
          </w:tcPr>
          <w:p w14:paraId="41C438EF" w14:textId="455FFF55" w:rsidR="007F1017" w:rsidRPr="00225248" w:rsidRDefault="007F1017" w:rsidP="00E86AA4">
            <w:pPr>
              <w:pStyle w:val="COMTableheadingrow"/>
              <w:jc w:val="center"/>
            </w:pPr>
            <w:r w:rsidRPr="00225248">
              <w:t>Design/duration</w:t>
            </w:r>
          </w:p>
        </w:tc>
        <w:tc>
          <w:tcPr>
            <w:tcW w:w="392" w:type="pct"/>
            <w:shd w:val="clear" w:color="auto" w:fill="auto"/>
            <w:vAlign w:val="center"/>
          </w:tcPr>
          <w:p w14:paraId="1FC91360" w14:textId="77777777" w:rsidR="007F1017" w:rsidRPr="00225248" w:rsidRDefault="007F1017" w:rsidP="00E86AA4">
            <w:pPr>
              <w:pStyle w:val="COMTableheadingrow"/>
              <w:jc w:val="center"/>
            </w:pPr>
            <w:r w:rsidRPr="00225248">
              <w:t>Risk of bias</w:t>
            </w:r>
          </w:p>
        </w:tc>
        <w:tc>
          <w:tcPr>
            <w:tcW w:w="1022" w:type="pct"/>
            <w:shd w:val="clear" w:color="auto" w:fill="auto"/>
            <w:vAlign w:val="center"/>
          </w:tcPr>
          <w:p w14:paraId="7FF90896" w14:textId="77777777" w:rsidR="007F1017" w:rsidRPr="00225248" w:rsidRDefault="007F1017" w:rsidP="00E86AA4">
            <w:pPr>
              <w:pStyle w:val="COMTableheadingrow"/>
              <w:jc w:val="center"/>
            </w:pPr>
            <w:r w:rsidRPr="00225248">
              <w:t>Patient population</w:t>
            </w:r>
          </w:p>
        </w:tc>
        <w:tc>
          <w:tcPr>
            <w:tcW w:w="914" w:type="pct"/>
            <w:shd w:val="clear" w:color="auto" w:fill="auto"/>
            <w:vAlign w:val="center"/>
          </w:tcPr>
          <w:p w14:paraId="0FCB63F9" w14:textId="6D96E67B" w:rsidR="007F1017" w:rsidRPr="00225248" w:rsidRDefault="007F1017" w:rsidP="00E86AA4">
            <w:pPr>
              <w:pStyle w:val="COMTableheadingrow"/>
              <w:jc w:val="center"/>
            </w:pPr>
            <w:r w:rsidRPr="00225248">
              <w:t>Outcomes</w:t>
            </w:r>
          </w:p>
        </w:tc>
        <w:tc>
          <w:tcPr>
            <w:tcW w:w="866" w:type="pct"/>
            <w:shd w:val="clear" w:color="auto" w:fill="auto"/>
            <w:vAlign w:val="center"/>
          </w:tcPr>
          <w:p w14:paraId="08C6F624" w14:textId="77777777" w:rsidR="007F1017" w:rsidRPr="00225248" w:rsidRDefault="007F1017" w:rsidP="00E86AA4">
            <w:pPr>
              <w:pStyle w:val="COMTableheadingrow"/>
              <w:jc w:val="center"/>
            </w:pPr>
            <w:r w:rsidRPr="00225248">
              <w:t>Use in modelled evaluation</w:t>
            </w:r>
          </w:p>
        </w:tc>
      </w:tr>
      <w:tr w:rsidR="007F1017" w:rsidRPr="00225248" w14:paraId="2A03CD4B" w14:textId="77777777" w:rsidTr="00682BA6">
        <w:trPr>
          <w:cantSplit/>
        </w:trPr>
        <w:tc>
          <w:tcPr>
            <w:tcW w:w="5000" w:type="pct"/>
            <w:gridSpan w:val="7"/>
            <w:shd w:val="clear" w:color="auto" w:fill="auto"/>
            <w:vAlign w:val="center"/>
          </w:tcPr>
          <w:p w14:paraId="73088C85" w14:textId="6D340378" w:rsidR="007F1017" w:rsidRPr="00225248" w:rsidRDefault="00F50615" w:rsidP="0020672F">
            <w:pPr>
              <w:pStyle w:val="COMTableheadingrow"/>
            </w:pPr>
            <w:r>
              <w:t>Blinatumomab plus standard of care versus standard of care</w:t>
            </w:r>
          </w:p>
        </w:tc>
      </w:tr>
      <w:tr w:rsidR="00B41614" w:rsidRPr="00225248" w14:paraId="4EE88DCB" w14:textId="77777777" w:rsidTr="000747CD">
        <w:trPr>
          <w:cantSplit/>
        </w:trPr>
        <w:tc>
          <w:tcPr>
            <w:tcW w:w="470" w:type="pct"/>
            <w:shd w:val="clear" w:color="auto" w:fill="auto"/>
            <w:vAlign w:val="center"/>
          </w:tcPr>
          <w:p w14:paraId="6EE77D33" w14:textId="1EC1C21B" w:rsidR="007F1017" w:rsidRPr="00225248" w:rsidRDefault="00F50615" w:rsidP="00EC5836">
            <w:pPr>
              <w:pStyle w:val="COMTabletext"/>
            </w:pPr>
            <w:r>
              <w:t>E1910</w:t>
            </w:r>
          </w:p>
        </w:tc>
        <w:tc>
          <w:tcPr>
            <w:tcW w:w="471" w:type="pct"/>
            <w:shd w:val="clear" w:color="auto" w:fill="auto"/>
            <w:vAlign w:val="center"/>
          </w:tcPr>
          <w:p w14:paraId="41BB0E41" w14:textId="1CE58264" w:rsidR="007F1017" w:rsidRPr="00225248" w:rsidRDefault="00262E99" w:rsidP="00EC5836">
            <w:pPr>
              <w:pStyle w:val="COMTabletext"/>
              <w:jc w:val="center"/>
            </w:pPr>
            <w:r>
              <w:t>488</w:t>
            </w:r>
          </w:p>
        </w:tc>
        <w:tc>
          <w:tcPr>
            <w:tcW w:w="865" w:type="pct"/>
            <w:shd w:val="clear" w:color="auto" w:fill="auto"/>
            <w:vAlign w:val="center"/>
          </w:tcPr>
          <w:p w14:paraId="744D08AC" w14:textId="0E43BDA8" w:rsidR="007F1017" w:rsidRPr="00225248" w:rsidRDefault="00041F9B" w:rsidP="00EC5836">
            <w:pPr>
              <w:pStyle w:val="COMTabletext"/>
              <w:jc w:val="center"/>
            </w:pPr>
            <w:r>
              <w:t xml:space="preserve">Phase 3, multicentre, </w:t>
            </w:r>
            <w:r w:rsidR="00B4569E">
              <w:t>open-label</w:t>
            </w:r>
            <w:r w:rsidR="00B84B94">
              <w:t xml:space="preserve"> RCT</w:t>
            </w:r>
            <w:r w:rsidR="00C00148">
              <w:t xml:space="preserve">. </w:t>
            </w:r>
            <w:r w:rsidR="00D8109C">
              <w:br/>
            </w:r>
            <w:r w:rsidR="00C00148">
              <w:t>Median follow-up 4.5 years</w:t>
            </w:r>
          </w:p>
        </w:tc>
        <w:tc>
          <w:tcPr>
            <w:tcW w:w="392" w:type="pct"/>
            <w:shd w:val="clear" w:color="auto" w:fill="auto"/>
            <w:vAlign w:val="center"/>
          </w:tcPr>
          <w:p w14:paraId="4A529D74" w14:textId="1DBD5FEF" w:rsidR="007F1017" w:rsidRPr="0061246B" w:rsidRDefault="00B4569E" w:rsidP="00EC5836">
            <w:pPr>
              <w:pStyle w:val="COMTabletext"/>
              <w:jc w:val="center"/>
              <w:rPr>
                <w:iCs/>
              </w:rPr>
            </w:pPr>
            <w:r w:rsidRPr="0061246B">
              <w:rPr>
                <w:iCs/>
              </w:rPr>
              <w:t>High</w:t>
            </w:r>
          </w:p>
        </w:tc>
        <w:tc>
          <w:tcPr>
            <w:tcW w:w="1022" w:type="pct"/>
            <w:shd w:val="clear" w:color="auto" w:fill="auto"/>
            <w:vAlign w:val="center"/>
          </w:tcPr>
          <w:p w14:paraId="5E6F456D" w14:textId="01792B86" w:rsidR="007F1017" w:rsidRPr="00225248" w:rsidRDefault="005F2D17" w:rsidP="000C5567">
            <w:pPr>
              <w:pStyle w:val="COMTabletext"/>
              <w:jc w:val="center"/>
            </w:pPr>
            <w:r>
              <w:t>Patients aged 30-70 years with newly diagnosed Philadelphia chromosome negative B-ALL</w:t>
            </w:r>
          </w:p>
        </w:tc>
        <w:tc>
          <w:tcPr>
            <w:tcW w:w="914" w:type="pct"/>
            <w:shd w:val="clear" w:color="auto" w:fill="auto"/>
            <w:vAlign w:val="center"/>
          </w:tcPr>
          <w:p w14:paraId="516C4C89" w14:textId="77777777" w:rsidR="00EC0226" w:rsidRDefault="006E02BA" w:rsidP="00EC5836">
            <w:pPr>
              <w:pStyle w:val="COMTabletext"/>
              <w:jc w:val="center"/>
            </w:pPr>
            <w:r>
              <w:t>OS, RFS</w:t>
            </w:r>
            <w:r w:rsidR="00D72B35">
              <w:t xml:space="preserve">, </w:t>
            </w:r>
          </w:p>
          <w:p w14:paraId="0BF47C87" w14:textId="302424AE" w:rsidR="00EC0226" w:rsidRDefault="00EC0226" w:rsidP="00EC0226">
            <w:pPr>
              <w:pStyle w:val="COMTabletext"/>
              <w:jc w:val="center"/>
            </w:pPr>
            <w:r>
              <w:t>(MRD-negative, MRD-positive and overall populations),</w:t>
            </w:r>
          </w:p>
          <w:p w14:paraId="6DC76214" w14:textId="751212E8" w:rsidR="007F1017" w:rsidRPr="00225248" w:rsidRDefault="00D72B35" w:rsidP="00EC5836">
            <w:pPr>
              <w:pStyle w:val="COMTabletext"/>
              <w:jc w:val="center"/>
            </w:pPr>
            <w:r>
              <w:t>adverse events</w:t>
            </w:r>
          </w:p>
        </w:tc>
        <w:tc>
          <w:tcPr>
            <w:tcW w:w="866" w:type="pct"/>
            <w:shd w:val="clear" w:color="auto" w:fill="auto"/>
            <w:vAlign w:val="center"/>
          </w:tcPr>
          <w:p w14:paraId="150A804C" w14:textId="45710740" w:rsidR="007F1017" w:rsidRPr="00225248" w:rsidRDefault="006D2D94" w:rsidP="00EC5836">
            <w:pPr>
              <w:pStyle w:val="COMTabletext"/>
              <w:jc w:val="center"/>
            </w:pPr>
            <w:r>
              <w:t xml:space="preserve">OS and RFS censored </w:t>
            </w:r>
            <w:r w:rsidR="005F4647">
              <w:t>at on-protocol</w:t>
            </w:r>
            <w:r>
              <w:t xml:space="preserve"> ASCT; OS and RFS </w:t>
            </w:r>
            <w:r w:rsidR="005F4647">
              <w:t>after on-protocol</w:t>
            </w:r>
            <w:r>
              <w:t xml:space="preserve"> ASCT</w:t>
            </w:r>
          </w:p>
        </w:tc>
      </w:tr>
    </w:tbl>
    <w:p w14:paraId="560080D2" w14:textId="0AB3793A" w:rsidR="00045017" w:rsidRPr="00B42A2B" w:rsidRDefault="00045017" w:rsidP="00B42A2B">
      <w:pPr>
        <w:pStyle w:val="COMTablefooter"/>
      </w:pPr>
      <w:r w:rsidRPr="00B42A2B">
        <w:t xml:space="preserve">Source: </w:t>
      </w:r>
      <w:r w:rsidR="006E02BA" w:rsidRPr="00B42A2B">
        <w:t xml:space="preserve">Table 2-5, </w:t>
      </w:r>
      <w:r w:rsidRPr="00B42A2B">
        <w:t>of the submission.</w:t>
      </w:r>
    </w:p>
    <w:p w14:paraId="1095487C" w14:textId="3FD62341" w:rsidR="00620C25" w:rsidRPr="00B42A2B" w:rsidRDefault="00B84B94" w:rsidP="00B42A2B">
      <w:pPr>
        <w:pStyle w:val="COMTablefooter"/>
      </w:pPr>
      <w:r w:rsidRPr="00B42A2B">
        <w:t xml:space="preserve">Abbreviations: </w:t>
      </w:r>
      <w:r w:rsidR="002434BB" w:rsidRPr="00B42A2B">
        <w:t xml:space="preserve">ASCT, </w:t>
      </w:r>
      <w:r w:rsidR="003A5AE5" w:rsidRPr="00B42A2B">
        <w:t xml:space="preserve">allogeneic stem cell transplant; </w:t>
      </w:r>
      <w:r w:rsidR="00EC0226" w:rsidRPr="00B42A2B">
        <w:t xml:space="preserve">MRD, measurable residual disease; </w:t>
      </w:r>
      <w:r w:rsidR="003A5AE5" w:rsidRPr="00B42A2B">
        <w:t xml:space="preserve">OS, overall survival; </w:t>
      </w:r>
      <w:r w:rsidRPr="00B42A2B">
        <w:t>RCT, randomised controlled trial</w:t>
      </w:r>
      <w:r w:rsidR="005F4647" w:rsidRPr="00B42A2B">
        <w:t>; RFS, relapse-free survival</w:t>
      </w:r>
      <w:r w:rsidRPr="00B42A2B">
        <w:t>.</w:t>
      </w:r>
    </w:p>
    <w:p w14:paraId="6DD4D2C3" w14:textId="0E174E66" w:rsidR="00024CF2" w:rsidRPr="00DF0226" w:rsidRDefault="00024CF2" w:rsidP="00B42A2B">
      <w:pPr>
        <w:pStyle w:val="COMexecsumnumberedpara"/>
      </w:pPr>
      <w:bookmarkStart w:id="24" w:name="_Ref173919497"/>
      <w:r w:rsidRPr="00DF0226">
        <w:t>The E1910 trial used a 4-step study design to identify eligible patients with B-ALL who achieve complete haematological remission after initial induction chemotherapy and induction intensification:</w:t>
      </w:r>
      <w:bookmarkEnd w:id="24"/>
      <w:r w:rsidRPr="00DF0226">
        <w:t xml:space="preserve"> </w:t>
      </w:r>
    </w:p>
    <w:p w14:paraId="3A6C9DF8" w14:textId="77777777" w:rsidR="007B47D1" w:rsidRPr="00DF0226" w:rsidRDefault="007B47D1" w:rsidP="002B1C76">
      <w:pPr>
        <w:pStyle w:val="COMexecsummbulletlist"/>
        <w:spacing w:after="0"/>
        <w:ind w:left="1134"/>
      </w:pPr>
      <w:r w:rsidRPr="00DF0226">
        <w:lastRenderedPageBreak/>
        <w:t>Step 1 Induction (Arm A): all enrolled patients with newly diagnosed B-ALL aged 30-70 years with an ECOG performance status of 0-3 (N=488) assigned to receive induction chemotherapy. Patients who achieved complete haematological remission (CR) or complete remission with incomplete peripheral blood count recovery (</w:t>
      </w:r>
      <w:proofErr w:type="spellStart"/>
      <w:r w:rsidRPr="00DF0226">
        <w:t>CRi</w:t>
      </w:r>
      <w:proofErr w:type="spellEnd"/>
      <w:r w:rsidRPr="00DF0226">
        <w:t xml:space="preserve">) progressed to Step 2. </w:t>
      </w:r>
    </w:p>
    <w:p w14:paraId="73F4FCD2" w14:textId="77777777" w:rsidR="007B47D1" w:rsidRPr="00DF0226" w:rsidRDefault="007B47D1" w:rsidP="002B1C76">
      <w:pPr>
        <w:pStyle w:val="COMexecsummbulletlist"/>
        <w:spacing w:after="0"/>
        <w:ind w:left="1134"/>
      </w:pPr>
      <w:r w:rsidRPr="00DF0226">
        <w:t>Step 2 Induction intensification (Arm B): all patients (N=333) assigned to receive induction intensification chemotherapy. Patients with an ECOG performance status of 0-2, who maintained CR/</w:t>
      </w:r>
      <w:proofErr w:type="spellStart"/>
      <w:r w:rsidRPr="00DF0226">
        <w:t>CRi</w:t>
      </w:r>
      <w:proofErr w:type="spellEnd"/>
      <w:r w:rsidRPr="00DF0226">
        <w:t xml:space="preserve"> progressed to Step 3.</w:t>
      </w:r>
    </w:p>
    <w:p w14:paraId="1893FA4E" w14:textId="2D52A6E2" w:rsidR="007B47D1" w:rsidRPr="00DF0226" w:rsidRDefault="007B47D1" w:rsidP="002B1C76">
      <w:pPr>
        <w:pStyle w:val="COMexecsummbulletlist"/>
        <w:spacing w:after="0"/>
        <w:ind w:left="1134"/>
      </w:pPr>
      <w:r w:rsidRPr="00DF0226">
        <w:t xml:space="preserve">Step 3 Consolidation therapy (randomised treatment phase): all patients (N=286) were randomised to either blinatumomab plus </w:t>
      </w:r>
      <w:r w:rsidR="00C8038C" w:rsidRPr="00DF0226">
        <w:t>standard of care</w:t>
      </w:r>
      <w:r w:rsidRPr="00DF0226">
        <w:t xml:space="preserve"> chemotherapy (Arm C) or </w:t>
      </w:r>
      <w:r w:rsidR="00C8038C" w:rsidRPr="00DF0226">
        <w:t>standard of care</w:t>
      </w:r>
      <w:r w:rsidRPr="00DF0226">
        <w:t xml:space="preserve"> chemotherapy alone (Arm D), risk stratified by age (30 to &lt;55 years vs ≥55 years), CD20 status, rituximab use, and intention for ASCT, in two cohorts (MRD-</w:t>
      </w:r>
      <w:r w:rsidR="000C7E2B" w:rsidRPr="00DF0226">
        <w:t>negative</w:t>
      </w:r>
      <w:r w:rsidRPr="00DF0226">
        <w:t xml:space="preserve"> N=224; MRD</w:t>
      </w:r>
      <w:r w:rsidR="000C7E2B" w:rsidRPr="00DF0226">
        <w:t>-positive</w:t>
      </w:r>
      <w:r w:rsidRPr="00DF0226">
        <w:t xml:space="preserve"> N=62). </w:t>
      </w:r>
    </w:p>
    <w:p w14:paraId="7FF6391B" w14:textId="77777777" w:rsidR="007B47D1" w:rsidRPr="00DF0226" w:rsidRDefault="007B47D1" w:rsidP="007B47D1">
      <w:pPr>
        <w:pStyle w:val="COMexecsummbulletlist"/>
        <w:ind w:left="1134"/>
      </w:pPr>
      <w:r w:rsidRPr="00DF0226">
        <w:t xml:space="preserve">Step 4 Maintenance therapy (Arm E): All patients received 2.5 years of maintenance chemotherapy from the start of the Step 2 induction intensification phase. </w:t>
      </w:r>
    </w:p>
    <w:p w14:paraId="752C2955" w14:textId="2D16AA53" w:rsidR="0007489A" w:rsidRPr="00DF0226" w:rsidRDefault="000747CD" w:rsidP="001D1D52">
      <w:pPr>
        <w:pStyle w:val="COMexecsumnumberedpara"/>
      </w:pPr>
      <w:r w:rsidRPr="00DF0226">
        <w:t>The primary outcomes of the E1910 trial were conducted in the MRD-negative cohort, with the MRD-positive cohort and overall population analyses conducted as secondary outcomes</w:t>
      </w:r>
      <w:r w:rsidR="0007489A" w:rsidRPr="00DF0226">
        <w:t xml:space="preserve">. </w:t>
      </w:r>
    </w:p>
    <w:p w14:paraId="4BC31B79" w14:textId="65908ADD" w:rsidR="00DD4BA3" w:rsidRPr="00DF0226" w:rsidRDefault="00DD4BA3" w:rsidP="001D1D52">
      <w:pPr>
        <w:pStyle w:val="COMexecsumnumberedpara"/>
      </w:pPr>
      <w:r w:rsidRPr="00DF0226">
        <w:t>The risk of bias in the MRD-negative population was high, given the open</w:t>
      </w:r>
      <w:r w:rsidR="00B4012D" w:rsidRPr="00DF0226">
        <w:t>-</w:t>
      </w:r>
      <w:r w:rsidRPr="00DF0226">
        <w:t>label</w:t>
      </w:r>
      <w:r w:rsidR="00443E24" w:rsidRPr="00DF0226">
        <w:t xml:space="preserve"> </w:t>
      </w:r>
      <w:r w:rsidRPr="00DF0226">
        <w:t xml:space="preserve">trial design, that could </w:t>
      </w:r>
      <w:r w:rsidR="00443E24" w:rsidRPr="00DF0226">
        <w:t>affect disease management decisions on</w:t>
      </w:r>
      <w:r w:rsidRPr="00DF0226">
        <w:t xml:space="preserve"> the use of subsequent therapies</w:t>
      </w:r>
      <w:r w:rsidR="003428B1" w:rsidRPr="00DF0226">
        <w:t xml:space="preserve"> (</w:t>
      </w:r>
      <w:r w:rsidRPr="00DF0226">
        <w:t>including ASCT</w:t>
      </w:r>
      <w:r w:rsidR="003428B1" w:rsidRPr="00DF0226">
        <w:t>)</w:t>
      </w:r>
      <w:r w:rsidRPr="00DF0226">
        <w:t xml:space="preserve"> and reporting of treatment-related adverse events.</w:t>
      </w:r>
    </w:p>
    <w:p w14:paraId="0DAE0410" w14:textId="053C1423" w:rsidR="00A01A40" w:rsidRPr="00DF0226" w:rsidRDefault="00A01A40" w:rsidP="001D1D52">
      <w:pPr>
        <w:pStyle w:val="COMexecsumnumberedpara"/>
        <w:rPr>
          <w:color w:val="0066FF"/>
        </w:rPr>
      </w:pPr>
      <w:r w:rsidRPr="00DF0226">
        <w:t xml:space="preserve">The E1910 trial protocol was amended 6 months after commencing (24 November 2014) to </w:t>
      </w:r>
      <w:r w:rsidR="00F73191" w:rsidRPr="00DF0226">
        <w:t>cease</w:t>
      </w:r>
      <w:r w:rsidRPr="00DF0226">
        <w:t xml:space="preserve"> randomisation of patients with MRD-positive B-ALL to the </w:t>
      </w:r>
      <w:r w:rsidR="003428B1" w:rsidRPr="00DF0226">
        <w:t>standard of care</w:t>
      </w:r>
      <w:r w:rsidRPr="00DF0226">
        <w:t xml:space="preserve"> comparator arm, following FDA approval of blinatumomab in the MRD-positive setting for children and adults. </w:t>
      </w:r>
      <w:r w:rsidR="008A14BC" w:rsidRPr="00DF0226">
        <w:t>The risk of bias in the MRD-positive cohort is therefore high, and comparative analyses between treatment arms may not be reliable.</w:t>
      </w:r>
      <w:r w:rsidR="00051CCD">
        <w:t xml:space="preserve"> </w:t>
      </w:r>
    </w:p>
    <w:p w14:paraId="4C2FB1D0" w14:textId="55BE4B48" w:rsidR="00AE3CAC" w:rsidRPr="008C335E" w:rsidRDefault="00AE3CAC" w:rsidP="001D1D52">
      <w:pPr>
        <w:pStyle w:val="COMexecsumnumberedpara"/>
      </w:pPr>
      <w:r w:rsidRPr="008C335E">
        <w:t xml:space="preserve">The trial included multiple randomisation stratification factors, including intent to receive ASCT (32% in the blinatumomab plus standard of care arm and 31% in the standard of care arm). </w:t>
      </w:r>
      <w:r w:rsidR="00EC0226" w:rsidRPr="008C335E">
        <w:t>P</w:t>
      </w:r>
      <w:r w:rsidR="004E24C2" w:rsidRPr="008C335E">
        <w:t>rogression to ASCT was at clinician discretion</w:t>
      </w:r>
      <w:r w:rsidR="00FF3AB8" w:rsidRPr="008C335E">
        <w:t>.</w:t>
      </w:r>
      <w:r w:rsidR="004E24C2" w:rsidRPr="008C335E">
        <w:t xml:space="preserve"> </w:t>
      </w:r>
      <w:r w:rsidR="00FF3AB8" w:rsidRPr="008C335E">
        <w:t xml:space="preserve">Only </w:t>
      </w:r>
      <w:r w:rsidR="004E24C2" w:rsidRPr="008C335E">
        <w:t>p</w:t>
      </w:r>
      <w:r w:rsidR="00EC0226" w:rsidRPr="008C335E">
        <w:t xml:space="preserve">atients </w:t>
      </w:r>
      <w:r w:rsidR="004E24C2" w:rsidRPr="008C335E">
        <w:t xml:space="preserve">stratified at randomisation </w:t>
      </w:r>
      <w:r w:rsidR="00C96717" w:rsidRPr="008C335E">
        <w:t>with</w:t>
      </w:r>
      <w:r w:rsidR="00EC0226" w:rsidRPr="008C335E">
        <w:t xml:space="preserve"> intent to receive ASCT </w:t>
      </w:r>
      <w:r w:rsidR="00C96717" w:rsidRPr="008C335E">
        <w:t xml:space="preserve">could </w:t>
      </w:r>
      <w:r w:rsidR="00EC0226" w:rsidRPr="008C335E">
        <w:t xml:space="preserve">progress to </w:t>
      </w:r>
      <w:r w:rsidR="00FF3AB8" w:rsidRPr="008C335E">
        <w:t>on-protocol ASCT</w:t>
      </w:r>
      <w:r w:rsidR="0007489A" w:rsidRPr="008C335E">
        <w:t>. A</w:t>
      </w:r>
      <w:r w:rsidR="004E24C2" w:rsidRPr="008C335E">
        <w:t xml:space="preserve">ll other patients progressing to </w:t>
      </w:r>
      <w:r w:rsidR="00FF3AB8" w:rsidRPr="008C335E">
        <w:t xml:space="preserve">ASCT received off-protocol </w:t>
      </w:r>
      <w:r w:rsidR="004E24C2" w:rsidRPr="008C335E">
        <w:t>ASCT.</w:t>
      </w:r>
      <w:r w:rsidR="00EC0226" w:rsidRPr="008C335E">
        <w:t xml:space="preserve"> </w:t>
      </w:r>
      <w:r w:rsidRPr="008C335E">
        <w:t>Overall, fewer patients received on-</w:t>
      </w:r>
      <w:r w:rsidR="00EC0226" w:rsidRPr="008C335E">
        <w:t>protocol</w:t>
      </w:r>
      <w:r w:rsidRPr="008C335E">
        <w:t xml:space="preserve"> or off-protocol ASCT in the blinatumomab </w:t>
      </w:r>
      <w:r w:rsidR="004E24C2" w:rsidRPr="008C335E">
        <w:t xml:space="preserve">plus </w:t>
      </w:r>
      <w:r w:rsidR="0007489A" w:rsidRPr="008C335E">
        <w:t>standard of care</w:t>
      </w:r>
      <w:r w:rsidR="004E24C2" w:rsidRPr="008C335E">
        <w:t xml:space="preserve"> treatment arm </w:t>
      </w:r>
      <w:r w:rsidRPr="008C335E">
        <w:t xml:space="preserve">(25.0%) </w:t>
      </w:r>
      <w:r w:rsidR="004E24C2" w:rsidRPr="008C335E">
        <w:t xml:space="preserve">compared to </w:t>
      </w:r>
      <w:r w:rsidR="0007489A" w:rsidRPr="008C335E">
        <w:t>standard of care</w:t>
      </w:r>
      <w:r w:rsidR="004E24C2" w:rsidRPr="008C335E">
        <w:t xml:space="preserve"> </w:t>
      </w:r>
      <w:r w:rsidRPr="008C335E">
        <w:t>(29.5%)</w:t>
      </w:r>
      <w:r w:rsidR="00EF2930" w:rsidRPr="008C335E">
        <w:t xml:space="preserve"> (22 on-protocol ASCT in each arm, 6 and 12 off-protocol ASCT in the blinatumomab and standard of care arms respectively).</w:t>
      </w:r>
      <w:r w:rsidR="0007489A" w:rsidRPr="008C335E">
        <w:t xml:space="preserve"> </w:t>
      </w:r>
      <w:r w:rsidR="00EF2930" w:rsidRPr="008C335E">
        <w:t>F</w:t>
      </w:r>
      <w:r w:rsidR="0007489A" w:rsidRPr="008C335E">
        <w:t xml:space="preserve">ewer patients progressed to on-protocol or off-protocol ASCT than </w:t>
      </w:r>
      <w:r w:rsidR="00796A02" w:rsidRPr="008C335E">
        <w:t xml:space="preserve">were identified </w:t>
      </w:r>
      <w:r w:rsidR="0045748B" w:rsidRPr="008C335E">
        <w:t>by</w:t>
      </w:r>
      <w:r w:rsidR="00796A02" w:rsidRPr="008C335E">
        <w:t xml:space="preserve"> intent to receive ASCT</w:t>
      </w:r>
      <w:r w:rsidR="00F71D21" w:rsidRPr="008C335E">
        <w:t xml:space="preserve"> at randomisation</w:t>
      </w:r>
      <w:r w:rsidRPr="008C335E">
        <w:t xml:space="preserve">. The reasons for this difference are unknown due to </w:t>
      </w:r>
      <w:r w:rsidR="00796A02" w:rsidRPr="008C335E">
        <w:t xml:space="preserve">the </w:t>
      </w:r>
      <w:r w:rsidRPr="008C335E">
        <w:t>limited documentation on clinical criteria for progression to ASCT in the trial.</w:t>
      </w:r>
    </w:p>
    <w:p w14:paraId="27A7277C" w14:textId="205CCC96" w:rsidR="003106F9" w:rsidRPr="008C335E" w:rsidRDefault="00AE3CAC" w:rsidP="001D1D52">
      <w:pPr>
        <w:pStyle w:val="COMexecsumnumberedpara"/>
      </w:pPr>
      <w:r w:rsidRPr="008C335E">
        <w:t xml:space="preserve">Off-protocol blinatumomab treatment was also reported in 19.6% of patients receiving standard of care </w:t>
      </w:r>
      <w:r w:rsidR="00F30C8E" w:rsidRPr="008C335E">
        <w:t>but no</w:t>
      </w:r>
      <w:r w:rsidR="003A3C4A" w:rsidRPr="008C335E">
        <w:t xml:space="preserve"> off-protocol use was </w:t>
      </w:r>
      <w:r w:rsidRPr="008C335E">
        <w:t xml:space="preserve">reported in the blinatumomab </w:t>
      </w:r>
      <w:r w:rsidRPr="008C335E">
        <w:lastRenderedPageBreak/>
        <w:t>arm. The circumstances of off-protocol blinatumomab use was not reported in the trial. The impact of these differences on survival outcomes is uncertain.</w:t>
      </w:r>
    </w:p>
    <w:p w14:paraId="4A4FE085" w14:textId="5931EC34" w:rsidR="00B60939" w:rsidRPr="00225248" w:rsidRDefault="00B60939" w:rsidP="00EC5836">
      <w:pPr>
        <w:pStyle w:val="COMH2-non-numbered"/>
      </w:pPr>
      <w:bookmarkStart w:id="25" w:name="_Toc22897641"/>
      <w:bookmarkStart w:id="26" w:name="_Toc167265607"/>
      <w:r w:rsidRPr="00225248">
        <w:t>Comparative effectiveness</w:t>
      </w:r>
      <w:bookmarkEnd w:id="25"/>
      <w:bookmarkEnd w:id="26"/>
    </w:p>
    <w:p w14:paraId="310F49B7" w14:textId="59A1F3E6" w:rsidR="0067324F" w:rsidRPr="0067324F" w:rsidRDefault="0067324F" w:rsidP="0067324F">
      <w:pPr>
        <w:pStyle w:val="COMH3"/>
        <w:rPr>
          <w:sz w:val="24"/>
          <w:szCs w:val="22"/>
        </w:rPr>
      </w:pPr>
      <w:r w:rsidRPr="0067324F">
        <w:rPr>
          <w:rFonts w:cstheme="minorHAnsi"/>
          <w:sz w:val="24"/>
          <w:szCs w:val="22"/>
        </w:rPr>
        <w:t>MRD-</w:t>
      </w:r>
      <w:r>
        <w:rPr>
          <w:rFonts w:cstheme="minorHAnsi"/>
          <w:sz w:val="24"/>
          <w:szCs w:val="22"/>
        </w:rPr>
        <w:t>negative</w:t>
      </w:r>
      <w:r w:rsidRPr="0067324F">
        <w:rPr>
          <w:sz w:val="24"/>
          <w:szCs w:val="22"/>
        </w:rPr>
        <w:t xml:space="preserve"> cohort</w:t>
      </w:r>
    </w:p>
    <w:p w14:paraId="71AAC853" w14:textId="005CAB83" w:rsidR="001C47B5" w:rsidRPr="001D4902" w:rsidRDefault="00687F62" w:rsidP="001D1D52">
      <w:pPr>
        <w:pStyle w:val="COMexecsumnumberedpara"/>
      </w:pPr>
      <w:r w:rsidRPr="001D4902">
        <w:rPr>
          <w:snapToGrid/>
        </w:rPr>
        <w:t xml:space="preserve">The results </w:t>
      </w:r>
      <w:r w:rsidR="001D4902" w:rsidRPr="001D4902">
        <w:rPr>
          <w:snapToGrid/>
        </w:rPr>
        <w:t xml:space="preserve">for the primary outcome of the E1910 trial, overall survival in the MRD-negative cohort, </w:t>
      </w:r>
      <w:r w:rsidRPr="001D4902">
        <w:rPr>
          <w:snapToGrid/>
        </w:rPr>
        <w:t>are presented in</w:t>
      </w:r>
      <w:r w:rsidR="00C742BE" w:rsidRPr="001D4902">
        <w:rPr>
          <w:snapToGrid/>
        </w:rPr>
        <w:t xml:space="preserve"> </w:t>
      </w:r>
      <w:r w:rsidR="00C742BE" w:rsidRPr="001D4902">
        <w:rPr>
          <w:snapToGrid/>
        </w:rPr>
        <w:fldChar w:fldCharType="begin" w:fldLock="1"/>
      </w:r>
      <w:r w:rsidR="00C742BE" w:rsidRPr="001D4902">
        <w:rPr>
          <w:snapToGrid/>
        </w:rPr>
        <w:instrText xml:space="preserve"> REF _Ref166156958 \h </w:instrText>
      </w:r>
      <w:r w:rsidR="00C742BE" w:rsidRPr="001D4902">
        <w:rPr>
          <w:snapToGrid/>
        </w:rPr>
      </w:r>
      <w:r w:rsidR="00C742BE" w:rsidRPr="001D4902">
        <w:rPr>
          <w:snapToGrid/>
        </w:rPr>
        <w:fldChar w:fldCharType="separate"/>
      </w:r>
      <w:r w:rsidR="00356F14" w:rsidRPr="001D4902">
        <w:t xml:space="preserve">Figure </w:t>
      </w:r>
      <w:r w:rsidR="00356F14">
        <w:rPr>
          <w:noProof/>
        </w:rPr>
        <w:t>1</w:t>
      </w:r>
      <w:r w:rsidR="00C742BE" w:rsidRPr="001D4902">
        <w:rPr>
          <w:snapToGrid/>
        </w:rPr>
        <w:fldChar w:fldCharType="end"/>
      </w:r>
      <w:r w:rsidRPr="001D4902">
        <w:rPr>
          <w:snapToGrid/>
        </w:rPr>
        <w:t xml:space="preserve"> and </w:t>
      </w:r>
      <w:r w:rsidR="0033519F" w:rsidRPr="001D4902">
        <w:rPr>
          <w:snapToGrid/>
        </w:rPr>
        <w:fldChar w:fldCharType="begin" w:fldLock="1"/>
      </w:r>
      <w:r w:rsidR="0033519F" w:rsidRPr="001D4902">
        <w:rPr>
          <w:snapToGrid/>
        </w:rPr>
        <w:instrText xml:space="preserve"> REF _Ref166157030 \h </w:instrText>
      </w:r>
      <w:r w:rsidR="0033519F" w:rsidRPr="001D4902">
        <w:rPr>
          <w:snapToGrid/>
        </w:rPr>
      </w:r>
      <w:r w:rsidR="0033519F" w:rsidRPr="001D4902">
        <w:rPr>
          <w:snapToGrid/>
        </w:rPr>
        <w:fldChar w:fldCharType="separate"/>
      </w:r>
      <w:r w:rsidR="00356F14">
        <w:t xml:space="preserve">Table </w:t>
      </w:r>
      <w:r w:rsidR="00356F14">
        <w:rPr>
          <w:noProof/>
        </w:rPr>
        <w:t>4</w:t>
      </w:r>
      <w:r w:rsidR="0033519F" w:rsidRPr="001D4902">
        <w:rPr>
          <w:snapToGrid/>
        </w:rPr>
        <w:fldChar w:fldCharType="end"/>
      </w:r>
      <w:r w:rsidR="0033519F" w:rsidRPr="001D4902">
        <w:rPr>
          <w:snapToGrid/>
        </w:rPr>
        <w:t xml:space="preserve"> </w:t>
      </w:r>
      <w:r w:rsidRPr="001D4902">
        <w:rPr>
          <w:snapToGrid/>
        </w:rPr>
        <w:t>below.</w:t>
      </w:r>
    </w:p>
    <w:p w14:paraId="7AF82419" w14:textId="092AEF07" w:rsidR="007C4E1F" w:rsidRPr="001C47B5" w:rsidRDefault="007C4E1F" w:rsidP="0020672F">
      <w:pPr>
        <w:pStyle w:val="COMTableheadingrow"/>
        <w:rPr>
          <w:snapToGrid w:val="0"/>
        </w:rPr>
      </w:pPr>
      <w:bookmarkStart w:id="27" w:name="_Ref166156958"/>
      <w:r w:rsidRPr="001D4902">
        <w:t>Figure</w:t>
      </w:r>
      <w:r w:rsidR="00C742BE" w:rsidRPr="001D4902">
        <w:t xml:space="preserve"> </w:t>
      </w:r>
      <w:r w:rsidR="006F0D54">
        <w:fldChar w:fldCharType="begin" w:fldLock="1"/>
      </w:r>
      <w:r w:rsidR="006F0D54">
        <w:instrText xml:space="preserve"> SEQ Figure \* ARABIC </w:instrText>
      </w:r>
      <w:r w:rsidR="006F0D54">
        <w:fldChar w:fldCharType="separate"/>
      </w:r>
      <w:r w:rsidR="00356F14">
        <w:rPr>
          <w:noProof/>
        </w:rPr>
        <w:t>1</w:t>
      </w:r>
      <w:r w:rsidR="006F0D54">
        <w:rPr>
          <w:noProof/>
        </w:rPr>
        <w:fldChar w:fldCharType="end"/>
      </w:r>
      <w:bookmarkEnd w:id="27"/>
      <w:r w:rsidRPr="001D4902">
        <w:t xml:space="preserve">: </w:t>
      </w:r>
      <w:r>
        <w:t>Kaplan-Meier</w:t>
      </w:r>
      <w:r w:rsidR="00E77593">
        <w:t xml:space="preserve"> for overall survival </w:t>
      </w:r>
      <w:r w:rsidR="00C742BE">
        <w:t>in</w:t>
      </w:r>
      <w:r w:rsidR="00E77593">
        <w:t xml:space="preserve"> MRD-negative </w:t>
      </w:r>
      <w:r w:rsidR="00C742BE">
        <w:t>patients in Trial E1910 (Step 3; FAS</w:t>
      </w:r>
      <w:r w:rsidR="002673E2">
        <w:t>;</w:t>
      </w:r>
      <w:r w:rsidR="002673E2" w:rsidRPr="002673E2">
        <w:t xml:space="preserve"> </w:t>
      </w:r>
      <w:r w:rsidR="002673E2" w:rsidRPr="001B208E">
        <w:t>cut-off 2</w:t>
      </w:r>
      <w:r w:rsidR="002673E2">
        <w:t xml:space="preserve">3 June </w:t>
      </w:r>
      <w:r w:rsidR="002673E2" w:rsidRPr="001B208E">
        <w:t>2023</w:t>
      </w:r>
      <w:r w:rsidR="002673E2" w:rsidRPr="00F1376D">
        <w:t>)</w:t>
      </w:r>
    </w:p>
    <w:p w14:paraId="372B95F9" w14:textId="48AB8CEA" w:rsidR="00687F62" w:rsidRDefault="006445A0" w:rsidP="001733B3">
      <w:pPr>
        <w:pStyle w:val="COMexecsumnumberedpara"/>
        <w:numPr>
          <w:ilvl w:val="0"/>
          <w:numId w:val="0"/>
        </w:numPr>
        <w:spacing w:after="0"/>
        <w:rPr>
          <w:color w:val="0066FF"/>
        </w:rPr>
      </w:pPr>
      <w:r w:rsidRPr="00E2580F">
        <w:rPr>
          <w:noProof/>
        </w:rPr>
        <w:drawing>
          <wp:inline distT="0" distB="0" distL="0" distR="0" wp14:anchorId="7849BFCD" wp14:editId="7E2F9038">
            <wp:extent cx="5755134" cy="2536166"/>
            <wp:effectExtent l="0" t="0" r="0" b="0"/>
            <wp:docPr id="25" name="Picture 25" descr="Figure 1: Kaplan-Meier for overall survival in MRD-negative patients in Trial E1910 (Step 3; FAS; cut-off 23 June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Figure 1: Kaplan-Meier for overall survival in MRD-negative patients in Trial E1910 (Step 3; FAS; cut-off 23 June 2023)"/>
                    <pic:cNvPicPr/>
                  </pic:nvPicPr>
                  <pic:blipFill rotWithShape="1">
                    <a:blip r:embed="rId8"/>
                    <a:srcRect l="2173" t="8961" r="3820" b="10803"/>
                    <a:stretch/>
                  </pic:blipFill>
                  <pic:spPr bwMode="auto">
                    <a:xfrm>
                      <a:off x="0" y="0"/>
                      <a:ext cx="5777024" cy="2545812"/>
                    </a:xfrm>
                    <a:prstGeom prst="rect">
                      <a:avLst/>
                    </a:prstGeom>
                    <a:ln>
                      <a:noFill/>
                    </a:ln>
                    <a:extLst>
                      <a:ext uri="{53640926-AAD7-44D8-BBD7-CCE9431645EC}">
                        <a14:shadowObscured xmlns:a14="http://schemas.microsoft.com/office/drawing/2010/main"/>
                      </a:ext>
                    </a:extLst>
                  </pic:spPr>
                </pic:pic>
              </a:graphicData>
            </a:graphic>
          </wp:inline>
        </w:drawing>
      </w:r>
    </w:p>
    <w:p w14:paraId="3459F0EB" w14:textId="223E6084" w:rsidR="004748D1" w:rsidRDefault="004748D1" w:rsidP="004748D1">
      <w:pPr>
        <w:pStyle w:val="COMTablefooter"/>
      </w:pPr>
      <w:r>
        <w:t>Source: Figure 2-3, of the submission.</w:t>
      </w:r>
    </w:p>
    <w:p w14:paraId="6E127490" w14:textId="77777777" w:rsidR="00E163B2" w:rsidRDefault="00E163B2" w:rsidP="00E163B2">
      <w:pPr>
        <w:pStyle w:val="COMTablefooter"/>
      </w:pPr>
      <w:r>
        <w:t xml:space="preserve">Abbreviations: </w:t>
      </w:r>
      <w:r w:rsidRPr="00D86211">
        <w:rPr>
          <w:szCs w:val="18"/>
        </w:rPr>
        <w:t>CI, confidence interval</w:t>
      </w:r>
      <w:r>
        <w:rPr>
          <w:szCs w:val="18"/>
        </w:rPr>
        <w:t>;</w:t>
      </w:r>
      <w:r w:rsidRPr="00D86211">
        <w:rPr>
          <w:szCs w:val="18"/>
        </w:rPr>
        <w:t xml:space="preserve"> </w:t>
      </w:r>
      <w:r>
        <w:rPr>
          <w:szCs w:val="18"/>
        </w:rPr>
        <w:t xml:space="preserve">FAS, full analysis set; </w:t>
      </w:r>
      <w:r w:rsidRPr="000F4C1C">
        <w:rPr>
          <w:szCs w:val="18"/>
        </w:rPr>
        <w:t>MRD, measurable residual disease;</w:t>
      </w:r>
      <w:r>
        <w:rPr>
          <w:szCs w:val="18"/>
        </w:rPr>
        <w:t xml:space="preserve"> NE, not estimable; SOC, standard of care.</w:t>
      </w:r>
      <w:r w:rsidRPr="003A7D17">
        <w:t xml:space="preserve"> </w:t>
      </w:r>
    </w:p>
    <w:p w14:paraId="550EB5F7" w14:textId="77777777" w:rsidR="00E163B2" w:rsidRPr="003A7D17" w:rsidRDefault="00E163B2" w:rsidP="00E163B2">
      <w:pPr>
        <w:pStyle w:val="COMTablefooter"/>
      </w:pPr>
      <w:r w:rsidRPr="003A7D17">
        <w:t>Note</w:t>
      </w:r>
      <w:r>
        <w:t>: Censor indicated by vertical bar.</w:t>
      </w:r>
    </w:p>
    <w:p w14:paraId="0176E282" w14:textId="040F3B0A" w:rsidR="0033519F" w:rsidRPr="00F1376D" w:rsidRDefault="0033519F" w:rsidP="005A1195">
      <w:pPr>
        <w:pStyle w:val="Caption"/>
      </w:pPr>
      <w:bookmarkStart w:id="28" w:name="_Ref166157030"/>
      <w:bookmarkStart w:id="29" w:name="_Toc161143781"/>
      <w:r>
        <w:lastRenderedPageBreak/>
        <w:t xml:space="preserve">Table </w:t>
      </w:r>
      <w:r w:rsidR="006F0D54">
        <w:fldChar w:fldCharType="begin" w:fldLock="1"/>
      </w:r>
      <w:r w:rsidR="006F0D54">
        <w:instrText xml:space="preserve"> SEQ Table \* ARABIC </w:instrText>
      </w:r>
      <w:r w:rsidR="006F0D54">
        <w:fldChar w:fldCharType="separate"/>
      </w:r>
      <w:r w:rsidR="00356F14">
        <w:rPr>
          <w:noProof/>
        </w:rPr>
        <w:t>4</w:t>
      </w:r>
      <w:r w:rsidR="006F0D54">
        <w:rPr>
          <w:noProof/>
        </w:rPr>
        <w:fldChar w:fldCharType="end"/>
      </w:r>
      <w:bookmarkEnd w:id="28"/>
      <w:r>
        <w:t>: O</w:t>
      </w:r>
      <w:r w:rsidRPr="00F1376D">
        <w:t xml:space="preserve">verall survival in </w:t>
      </w:r>
      <w:r>
        <w:t>MRD-negative patients in Trial E1910 (</w:t>
      </w:r>
      <w:r w:rsidRPr="00F1376D">
        <w:t>Step 3</w:t>
      </w:r>
      <w:r>
        <w:t>; FAS</w:t>
      </w:r>
      <w:r w:rsidRPr="00F1376D">
        <w:t>)</w:t>
      </w:r>
      <w:bookmarkEnd w:id="29"/>
    </w:p>
    <w:tbl>
      <w:tblPr>
        <w:tblStyle w:val="ASDTable10"/>
        <w:tblW w:w="9067" w:type="dxa"/>
        <w:tblLook w:val="04A0" w:firstRow="1" w:lastRow="0" w:firstColumn="1" w:lastColumn="0" w:noHBand="0" w:noVBand="1"/>
        <w:tblCaption w:val="Table 4: Overall survival in MRD-negative patients in Trial E1910 (Step 3; FAS)"/>
      </w:tblPr>
      <w:tblGrid>
        <w:gridCol w:w="3397"/>
        <w:gridCol w:w="2906"/>
        <w:gridCol w:w="2764"/>
      </w:tblGrid>
      <w:tr w:rsidR="0033519F" w:rsidRPr="001A0889" w14:paraId="3599C3E2" w14:textId="77777777" w:rsidTr="00496047">
        <w:tc>
          <w:tcPr>
            <w:tcW w:w="3397" w:type="dxa"/>
            <w:shd w:val="clear" w:color="auto" w:fill="auto"/>
          </w:tcPr>
          <w:p w14:paraId="48DC372B" w14:textId="77777777" w:rsidR="0033519F" w:rsidRPr="001A0889" w:rsidRDefault="0033519F" w:rsidP="005A1195">
            <w:pPr>
              <w:pStyle w:val="COMTabletext"/>
              <w:tabs>
                <w:tab w:val="right" w:pos="3430"/>
              </w:tabs>
              <w:rPr>
                <w:b/>
                <w:bCs w:val="0"/>
                <w:sz w:val="20"/>
                <w:szCs w:val="20"/>
              </w:rPr>
            </w:pPr>
          </w:p>
        </w:tc>
        <w:tc>
          <w:tcPr>
            <w:tcW w:w="2906" w:type="dxa"/>
            <w:shd w:val="clear" w:color="auto" w:fill="auto"/>
          </w:tcPr>
          <w:p w14:paraId="6CD87644" w14:textId="77777777" w:rsidR="0033519F" w:rsidRDefault="0033519F" w:rsidP="005A1195">
            <w:pPr>
              <w:pStyle w:val="COMTabletext"/>
              <w:jc w:val="center"/>
              <w:rPr>
                <w:b/>
                <w:bCs w:val="0"/>
                <w:sz w:val="20"/>
                <w:szCs w:val="20"/>
              </w:rPr>
            </w:pPr>
            <w:r w:rsidRPr="001A0889">
              <w:rPr>
                <w:b/>
                <w:bCs w:val="0"/>
                <w:sz w:val="20"/>
                <w:szCs w:val="20"/>
              </w:rPr>
              <w:t xml:space="preserve">Blinatumomab + </w:t>
            </w:r>
            <w:r w:rsidR="009206F0">
              <w:rPr>
                <w:b/>
                <w:bCs w:val="0"/>
                <w:sz w:val="20"/>
                <w:szCs w:val="20"/>
              </w:rPr>
              <w:t>standard of care</w:t>
            </w:r>
          </w:p>
          <w:p w14:paraId="433D5153" w14:textId="014D9FC6" w:rsidR="00A85DFC" w:rsidRPr="001A0889" w:rsidRDefault="00A85DFC" w:rsidP="005A1195">
            <w:pPr>
              <w:pStyle w:val="COMTabletext"/>
              <w:jc w:val="center"/>
              <w:rPr>
                <w:b/>
                <w:bCs w:val="0"/>
                <w:sz w:val="20"/>
                <w:szCs w:val="20"/>
              </w:rPr>
            </w:pPr>
            <w:r>
              <w:rPr>
                <w:b/>
                <w:bCs w:val="0"/>
                <w:sz w:val="20"/>
                <w:szCs w:val="20"/>
              </w:rPr>
              <w:t>N=112</w:t>
            </w:r>
          </w:p>
        </w:tc>
        <w:tc>
          <w:tcPr>
            <w:tcW w:w="2764" w:type="dxa"/>
            <w:shd w:val="clear" w:color="auto" w:fill="auto"/>
          </w:tcPr>
          <w:p w14:paraId="3A3492D7" w14:textId="77777777" w:rsidR="0033519F" w:rsidRDefault="009206F0" w:rsidP="005A1195">
            <w:pPr>
              <w:pStyle w:val="COMTabletext"/>
              <w:jc w:val="center"/>
              <w:rPr>
                <w:b/>
                <w:bCs w:val="0"/>
                <w:sz w:val="20"/>
                <w:szCs w:val="20"/>
              </w:rPr>
            </w:pPr>
            <w:r>
              <w:rPr>
                <w:b/>
                <w:bCs w:val="0"/>
                <w:sz w:val="20"/>
                <w:szCs w:val="20"/>
              </w:rPr>
              <w:t>Standard of care</w:t>
            </w:r>
          </w:p>
          <w:p w14:paraId="2265C741" w14:textId="4CE5B0E5" w:rsidR="00A85DFC" w:rsidRPr="001A0889" w:rsidRDefault="00A85DFC" w:rsidP="005A1195">
            <w:pPr>
              <w:pStyle w:val="COMTabletext"/>
              <w:jc w:val="center"/>
              <w:rPr>
                <w:b/>
                <w:bCs w:val="0"/>
                <w:sz w:val="20"/>
                <w:szCs w:val="20"/>
              </w:rPr>
            </w:pPr>
            <w:r>
              <w:rPr>
                <w:b/>
                <w:bCs w:val="0"/>
                <w:sz w:val="20"/>
                <w:szCs w:val="20"/>
              </w:rPr>
              <w:t>N=112</w:t>
            </w:r>
          </w:p>
        </w:tc>
      </w:tr>
      <w:tr w:rsidR="005B0E98" w:rsidRPr="001A0889" w14:paraId="69B808BD" w14:textId="77777777" w:rsidTr="00496047">
        <w:tc>
          <w:tcPr>
            <w:tcW w:w="3397" w:type="dxa"/>
          </w:tcPr>
          <w:p w14:paraId="7AFD3706" w14:textId="266C078F" w:rsidR="005B0E98" w:rsidRPr="001A0889" w:rsidRDefault="005B0E98" w:rsidP="005A1195">
            <w:pPr>
              <w:pStyle w:val="COMTabletext"/>
              <w:tabs>
                <w:tab w:val="right" w:pos="3430"/>
              </w:tabs>
              <w:rPr>
                <w:sz w:val="20"/>
                <w:szCs w:val="20"/>
              </w:rPr>
            </w:pPr>
            <w:r>
              <w:rPr>
                <w:sz w:val="20"/>
                <w:szCs w:val="20"/>
              </w:rPr>
              <w:t>Median follow-up, years (95% CI)</w:t>
            </w:r>
          </w:p>
        </w:tc>
        <w:tc>
          <w:tcPr>
            <w:tcW w:w="2906" w:type="dxa"/>
          </w:tcPr>
          <w:p w14:paraId="5F34ED98" w14:textId="65DD48C0" w:rsidR="005B0E98" w:rsidRPr="001A0889" w:rsidRDefault="005B0E98" w:rsidP="005A1195">
            <w:pPr>
              <w:pStyle w:val="COMTabletext"/>
              <w:jc w:val="center"/>
              <w:rPr>
                <w:sz w:val="20"/>
                <w:szCs w:val="20"/>
              </w:rPr>
            </w:pPr>
            <w:r>
              <w:rPr>
                <w:sz w:val="20"/>
                <w:szCs w:val="20"/>
              </w:rPr>
              <w:t>4.5 (4.1, 4.6)</w:t>
            </w:r>
          </w:p>
        </w:tc>
        <w:tc>
          <w:tcPr>
            <w:tcW w:w="2764" w:type="dxa"/>
          </w:tcPr>
          <w:p w14:paraId="0C8BC959" w14:textId="39CED0E8" w:rsidR="005B0E98" w:rsidRPr="001A0889" w:rsidRDefault="005B0E98" w:rsidP="005A1195">
            <w:pPr>
              <w:pStyle w:val="COMTabletext"/>
              <w:jc w:val="center"/>
              <w:rPr>
                <w:sz w:val="20"/>
                <w:szCs w:val="20"/>
              </w:rPr>
            </w:pPr>
            <w:r>
              <w:rPr>
                <w:sz w:val="20"/>
                <w:szCs w:val="20"/>
              </w:rPr>
              <w:t>4.5 (4.0, 4.6)</w:t>
            </w:r>
          </w:p>
        </w:tc>
      </w:tr>
      <w:tr w:rsidR="005B0E98" w:rsidRPr="001A0889" w14:paraId="441D64B0" w14:textId="77777777" w:rsidTr="00496047">
        <w:tc>
          <w:tcPr>
            <w:tcW w:w="3397" w:type="dxa"/>
            <w:tcBorders>
              <w:bottom w:val="single" w:sz="4" w:space="0" w:color="auto"/>
            </w:tcBorders>
          </w:tcPr>
          <w:p w14:paraId="31F4686B" w14:textId="5AE8B5BF" w:rsidR="005B0E98" w:rsidRDefault="005B0E98" w:rsidP="005A1195">
            <w:pPr>
              <w:pStyle w:val="COMTabletext"/>
              <w:tabs>
                <w:tab w:val="right" w:pos="3430"/>
              </w:tabs>
              <w:rPr>
                <w:szCs w:val="20"/>
              </w:rPr>
            </w:pPr>
            <w:r>
              <w:rPr>
                <w:sz w:val="20"/>
                <w:szCs w:val="20"/>
              </w:rPr>
              <w:t>Deaths</w:t>
            </w:r>
            <w:r w:rsidRPr="001A0889">
              <w:rPr>
                <w:sz w:val="20"/>
                <w:szCs w:val="20"/>
              </w:rPr>
              <w:t>, n (%</w:t>
            </w:r>
            <w:r>
              <w:rPr>
                <w:sz w:val="20"/>
                <w:szCs w:val="20"/>
              </w:rPr>
              <w:t xml:space="preserve">) </w:t>
            </w:r>
            <w:r w:rsidRPr="001A0889">
              <w:rPr>
                <w:sz w:val="20"/>
                <w:szCs w:val="20"/>
              </w:rPr>
              <w:t>any cause</w:t>
            </w:r>
          </w:p>
        </w:tc>
        <w:tc>
          <w:tcPr>
            <w:tcW w:w="2906" w:type="dxa"/>
            <w:tcBorders>
              <w:bottom w:val="single" w:sz="4" w:space="0" w:color="auto"/>
            </w:tcBorders>
          </w:tcPr>
          <w:p w14:paraId="08569DC0" w14:textId="2C9158CC" w:rsidR="005B0E98" w:rsidRPr="001A0889" w:rsidRDefault="005B0E98" w:rsidP="005A1195">
            <w:pPr>
              <w:pStyle w:val="COMTabletext"/>
              <w:jc w:val="center"/>
              <w:rPr>
                <w:szCs w:val="20"/>
              </w:rPr>
            </w:pPr>
            <w:r w:rsidRPr="001A0889">
              <w:rPr>
                <w:sz w:val="20"/>
                <w:szCs w:val="20"/>
              </w:rPr>
              <w:t>19 (17.0%)</w:t>
            </w:r>
          </w:p>
        </w:tc>
        <w:tc>
          <w:tcPr>
            <w:tcW w:w="2764" w:type="dxa"/>
            <w:tcBorders>
              <w:bottom w:val="single" w:sz="4" w:space="0" w:color="auto"/>
            </w:tcBorders>
          </w:tcPr>
          <w:p w14:paraId="7DEE9029" w14:textId="5F085FFA" w:rsidR="005B0E98" w:rsidRPr="001A0889" w:rsidRDefault="005B0E98" w:rsidP="005A1195">
            <w:pPr>
              <w:pStyle w:val="COMTabletext"/>
              <w:jc w:val="center"/>
              <w:rPr>
                <w:szCs w:val="20"/>
              </w:rPr>
            </w:pPr>
            <w:r w:rsidRPr="001A0889">
              <w:rPr>
                <w:sz w:val="20"/>
                <w:szCs w:val="20"/>
              </w:rPr>
              <w:t>40 (35.7%)</w:t>
            </w:r>
          </w:p>
        </w:tc>
      </w:tr>
      <w:tr w:rsidR="005B0E98" w:rsidRPr="001A0889" w14:paraId="0E0989E2" w14:textId="77777777" w:rsidTr="00496047">
        <w:tc>
          <w:tcPr>
            <w:tcW w:w="3397" w:type="dxa"/>
            <w:tcBorders>
              <w:bottom w:val="nil"/>
            </w:tcBorders>
          </w:tcPr>
          <w:p w14:paraId="54341758" w14:textId="77777777" w:rsidR="005B0E98" w:rsidRPr="001A0889" w:rsidRDefault="005B0E98" w:rsidP="005A1195">
            <w:pPr>
              <w:pStyle w:val="COMTabletext"/>
              <w:tabs>
                <w:tab w:val="right" w:pos="3430"/>
              </w:tabs>
              <w:rPr>
                <w:sz w:val="20"/>
                <w:szCs w:val="20"/>
              </w:rPr>
            </w:pPr>
            <w:r w:rsidRPr="001A0889">
              <w:rPr>
                <w:sz w:val="20"/>
                <w:szCs w:val="20"/>
              </w:rPr>
              <w:t>Censored, n (%)</w:t>
            </w:r>
          </w:p>
        </w:tc>
        <w:tc>
          <w:tcPr>
            <w:tcW w:w="2906" w:type="dxa"/>
            <w:tcBorders>
              <w:bottom w:val="nil"/>
            </w:tcBorders>
          </w:tcPr>
          <w:p w14:paraId="6D707F41" w14:textId="77777777" w:rsidR="005B0E98" w:rsidRPr="001A0889" w:rsidRDefault="005B0E98" w:rsidP="005A1195">
            <w:pPr>
              <w:pStyle w:val="COMTabletext"/>
              <w:jc w:val="center"/>
              <w:rPr>
                <w:sz w:val="20"/>
                <w:szCs w:val="20"/>
              </w:rPr>
            </w:pPr>
            <w:r w:rsidRPr="001A0889">
              <w:rPr>
                <w:sz w:val="20"/>
                <w:szCs w:val="20"/>
              </w:rPr>
              <w:t>93 (83.0%)</w:t>
            </w:r>
          </w:p>
        </w:tc>
        <w:tc>
          <w:tcPr>
            <w:tcW w:w="2764" w:type="dxa"/>
            <w:tcBorders>
              <w:bottom w:val="nil"/>
            </w:tcBorders>
          </w:tcPr>
          <w:p w14:paraId="0FCEDD39" w14:textId="77777777" w:rsidR="005B0E98" w:rsidRPr="001A0889" w:rsidRDefault="005B0E98" w:rsidP="005A1195">
            <w:pPr>
              <w:pStyle w:val="COMTabletext"/>
              <w:jc w:val="center"/>
              <w:rPr>
                <w:sz w:val="20"/>
                <w:szCs w:val="20"/>
              </w:rPr>
            </w:pPr>
            <w:r w:rsidRPr="001A0889">
              <w:rPr>
                <w:sz w:val="20"/>
                <w:szCs w:val="20"/>
              </w:rPr>
              <w:t>72 (64.3%)</w:t>
            </w:r>
          </w:p>
        </w:tc>
      </w:tr>
      <w:tr w:rsidR="005B0E98" w:rsidRPr="001A0889" w14:paraId="3F7DDE5A" w14:textId="77777777" w:rsidTr="00496047">
        <w:tc>
          <w:tcPr>
            <w:tcW w:w="3397" w:type="dxa"/>
            <w:tcBorders>
              <w:top w:val="nil"/>
              <w:bottom w:val="nil"/>
            </w:tcBorders>
          </w:tcPr>
          <w:p w14:paraId="1EFB6318" w14:textId="77777777" w:rsidR="005B0E98" w:rsidRPr="001A0889" w:rsidRDefault="005B0E98" w:rsidP="005A1195">
            <w:pPr>
              <w:pStyle w:val="COMTabletext"/>
              <w:tabs>
                <w:tab w:val="right" w:pos="3430"/>
              </w:tabs>
              <w:rPr>
                <w:sz w:val="20"/>
                <w:szCs w:val="20"/>
              </w:rPr>
            </w:pPr>
            <w:r w:rsidRPr="00386779">
              <w:rPr>
                <w:bCs w:val="0"/>
                <w:sz w:val="20"/>
                <w:szCs w:val="20"/>
              </w:rPr>
              <w:t>-</w:t>
            </w:r>
            <w:r>
              <w:rPr>
                <w:sz w:val="20"/>
                <w:szCs w:val="20"/>
              </w:rPr>
              <w:t xml:space="preserve"> </w:t>
            </w:r>
            <w:r w:rsidRPr="001A0889">
              <w:rPr>
                <w:sz w:val="20"/>
                <w:szCs w:val="20"/>
              </w:rPr>
              <w:t>Completed study without event</w:t>
            </w:r>
          </w:p>
        </w:tc>
        <w:tc>
          <w:tcPr>
            <w:tcW w:w="2906" w:type="dxa"/>
            <w:tcBorders>
              <w:top w:val="nil"/>
              <w:bottom w:val="nil"/>
            </w:tcBorders>
          </w:tcPr>
          <w:p w14:paraId="2D1547D7" w14:textId="77777777" w:rsidR="005B0E98" w:rsidRPr="001A0889" w:rsidRDefault="005B0E98" w:rsidP="005A1195">
            <w:pPr>
              <w:pStyle w:val="COMTabletext"/>
              <w:jc w:val="center"/>
              <w:rPr>
                <w:sz w:val="20"/>
                <w:szCs w:val="20"/>
              </w:rPr>
            </w:pPr>
            <w:r w:rsidRPr="001A0889">
              <w:rPr>
                <w:sz w:val="20"/>
                <w:szCs w:val="20"/>
              </w:rPr>
              <w:t>0</w:t>
            </w:r>
          </w:p>
        </w:tc>
        <w:tc>
          <w:tcPr>
            <w:tcW w:w="2764" w:type="dxa"/>
            <w:tcBorders>
              <w:top w:val="nil"/>
              <w:bottom w:val="nil"/>
            </w:tcBorders>
          </w:tcPr>
          <w:p w14:paraId="2471DED2" w14:textId="77777777" w:rsidR="005B0E98" w:rsidRPr="001A0889" w:rsidRDefault="005B0E98" w:rsidP="005A1195">
            <w:pPr>
              <w:pStyle w:val="COMTabletext"/>
              <w:jc w:val="center"/>
              <w:rPr>
                <w:sz w:val="20"/>
                <w:szCs w:val="20"/>
              </w:rPr>
            </w:pPr>
            <w:r w:rsidRPr="001A0889">
              <w:rPr>
                <w:sz w:val="20"/>
                <w:szCs w:val="20"/>
              </w:rPr>
              <w:t>0</w:t>
            </w:r>
          </w:p>
        </w:tc>
      </w:tr>
      <w:tr w:rsidR="005B0E98" w:rsidRPr="001A0889" w14:paraId="697FC1B4" w14:textId="77777777" w:rsidTr="00496047">
        <w:tc>
          <w:tcPr>
            <w:tcW w:w="3397" w:type="dxa"/>
            <w:tcBorders>
              <w:top w:val="nil"/>
              <w:bottom w:val="nil"/>
            </w:tcBorders>
          </w:tcPr>
          <w:p w14:paraId="5AC80826" w14:textId="77777777" w:rsidR="005B0E98" w:rsidRPr="001A0889" w:rsidRDefault="005B0E98" w:rsidP="005A1195">
            <w:pPr>
              <w:pStyle w:val="COMTabletext"/>
              <w:tabs>
                <w:tab w:val="right" w:pos="3430"/>
              </w:tabs>
              <w:rPr>
                <w:sz w:val="20"/>
                <w:szCs w:val="20"/>
              </w:rPr>
            </w:pPr>
            <w:r w:rsidRPr="00386779">
              <w:rPr>
                <w:bCs w:val="0"/>
                <w:sz w:val="20"/>
                <w:szCs w:val="20"/>
              </w:rPr>
              <w:t>-</w:t>
            </w:r>
            <w:r>
              <w:rPr>
                <w:sz w:val="20"/>
                <w:szCs w:val="20"/>
              </w:rPr>
              <w:t xml:space="preserve"> </w:t>
            </w:r>
            <w:proofErr w:type="gramStart"/>
            <w:r w:rsidRPr="001A0889">
              <w:rPr>
                <w:sz w:val="20"/>
                <w:szCs w:val="20"/>
              </w:rPr>
              <w:t>Continues on</w:t>
            </w:r>
            <w:proofErr w:type="gramEnd"/>
            <w:r w:rsidRPr="001A0889">
              <w:rPr>
                <w:sz w:val="20"/>
                <w:szCs w:val="20"/>
              </w:rPr>
              <w:t xml:space="preserve"> study</w:t>
            </w:r>
          </w:p>
        </w:tc>
        <w:tc>
          <w:tcPr>
            <w:tcW w:w="2906" w:type="dxa"/>
            <w:tcBorders>
              <w:top w:val="nil"/>
              <w:bottom w:val="nil"/>
            </w:tcBorders>
          </w:tcPr>
          <w:p w14:paraId="46ED7165" w14:textId="77777777" w:rsidR="005B0E98" w:rsidRPr="001A0889" w:rsidRDefault="005B0E98" w:rsidP="005A1195">
            <w:pPr>
              <w:pStyle w:val="COMTabletext"/>
              <w:jc w:val="center"/>
              <w:rPr>
                <w:sz w:val="20"/>
                <w:szCs w:val="20"/>
              </w:rPr>
            </w:pPr>
            <w:r w:rsidRPr="001A0889">
              <w:rPr>
                <w:sz w:val="20"/>
                <w:szCs w:val="20"/>
              </w:rPr>
              <w:t>88 (78.6%)</w:t>
            </w:r>
          </w:p>
        </w:tc>
        <w:tc>
          <w:tcPr>
            <w:tcW w:w="2764" w:type="dxa"/>
            <w:tcBorders>
              <w:top w:val="nil"/>
              <w:bottom w:val="nil"/>
            </w:tcBorders>
          </w:tcPr>
          <w:p w14:paraId="1E24167F" w14:textId="77777777" w:rsidR="005B0E98" w:rsidRPr="001A0889" w:rsidRDefault="005B0E98" w:rsidP="005A1195">
            <w:pPr>
              <w:pStyle w:val="COMTabletext"/>
              <w:jc w:val="center"/>
              <w:rPr>
                <w:sz w:val="20"/>
                <w:szCs w:val="20"/>
              </w:rPr>
            </w:pPr>
            <w:r w:rsidRPr="001A0889">
              <w:rPr>
                <w:sz w:val="20"/>
                <w:szCs w:val="20"/>
              </w:rPr>
              <w:t>64 (57.1%)</w:t>
            </w:r>
          </w:p>
        </w:tc>
      </w:tr>
      <w:tr w:rsidR="005B0E98" w:rsidRPr="001A0889" w14:paraId="2B43DEBA" w14:textId="77777777" w:rsidTr="00496047">
        <w:tc>
          <w:tcPr>
            <w:tcW w:w="3397" w:type="dxa"/>
            <w:tcBorders>
              <w:top w:val="nil"/>
            </w:tcBorders>
          </w:tcPr>
          <w:p w14:paraId="6536FFBD" w14:textId="77777777" w:rsidR="005B0E98" w:rsidRPr="001A0889" w:rsidRDefault="005B0E98" w:rsidP="005A1195">
            <w:pPr>
              <w:pStyle w:val="COMTabletext"/>
              <w:tabs>
                <w:tab w:val="right" w:pos="3430"/>
              </w:tabs>
              <w:rPr>
                <w:sz w:val="20"/>
                <w:szCs w:val="20"/>
              </w:rPr>
            </w:pPr>
            <w:r>
              <w:rPr>
                <w:sz w:val="20"/>
                <w:szCs w:val="20"/>
              </w:rPr>
              <w:t xml:space="preserve">- </w:t>
            </w:r>
            <w:r w:rsidRPr="001A0889">
              <w:rPr>
                <w:sz w:val="20"/>
                <w:szCs w:val="20"/>
              </w:rPr>
              <w:t>Discontinued study</w:t>
            </w:r>
          </w:p>
        </w:tc>
        <w:tc>
          <w:tcPr>
            <w:tcW w:w="2906" w:type="dxa"/>
            <w:tcBorders>
              <w:top w:val="nil"/>
            </w:tcBorders>
          </w:tcPr>
          <w:p w14:paraId="09FDDE57" w14:textId="77777777" w:rsidR="005B0E98" w:rsidRPr="001A0889" w:rsidRDefault="005B0E98" w:rsidP="005A1195">
            <w:pPr>
              <w:pStyle w:val="COMTabletext"/>
              <w:jc w:val="center"/>
              <w:rPr>
                <w:sz w:val="20"/>
                <w:szCs w:val="20"/>
              </w:rPr>
            </w:pPr>
            <w:r w:rsidRPr="001A0889">
              <w:rPr>
                <w:sz w:val="20"/>
                <w:szCs w:val="20"/>
              </w:rPr>
              <w:t>5 (4.5%)</w:t>
            </w:r>
          </w:p>
        </w:tc>
        <w:tc>
          <w:tcPr>
            <w:tcW w:w="2764" w:type="dxa"/>
            <w:tcBorders>
              <w:top w:val="nil"/>
            </w:tcBorders>
          </w:tcPr>
          <w:p w14:paraId="6B475990" w14:textId="77777777" w:rsidR="005B0E98" w:rsidRPr="001A0889" w:rsidRDefault="005B0E98" w:rsidP="005A1195">
            <w:pPr>
              <w:pStyle w:val="COMTabletext"/>
              <w:jc w:val="center"/>
              <w:rPr>
                <w:sz w:val="20"/>
                <w:szCs w:val="20"/>
              </w:rPr>
            </w:pPr>
            <w:r w:rsidRPr="001A0889">
              <w:rPr>
                <w:sz w:val="20"/>
                <w:szCs w:val="20"/>
              </w:rPr>
              <w:t>8 (7.1%)</w:t>
            </w:r>
          </w:p>
        </w:tc>
      </w:tr>
      <w:tr w:rsidR="005B0E98" w:rsidRPr="00264E69" w14:paraId="610D3A87" w14:textId="77777777" w:rsidTr="00496047">
        <w:tc>
          <w:tcPr>
            <w:tcW w:w="3397" w:type="dxa"/>
          </w:tcPr>
          <w:p w14:paraId="65C45152" w14:textId="77777777" w:rsidR="005B0E98" w:rsidRPr="00264E69" w:rsidRDefault="005B0E98" w:rsidP="005A1195">
            <w:pPr>
              <w:pStyle w:val="COMTabletext"/>
              <w:tabs>
                <w:tab w:val="right" w:pos="3430"/>
              </w:tabs>
              <w:rPr>
                <w:sz w:val="20"/>
                <w:szCs w:val="20"/>
              </w:rPr>
            </w:pPr>
            <w:r w:rsidRPr="00264E69">
              <w:rPr>
                <w:sz w:val="20"/>
                <w:szCs w:val="20"/>
              </w:rPr>
              <w:t>Median time to censoring, years (95% CI)</w:t>
            </w:r>
          </w:p>
        </w:tc>
        <w:tc>
          <w:tcPr>
            <w:tcW w:w="2906" w:type="dxa"/>
          </w:tcPr>
          <w:p w14:paraId="3770A921" w14:textId="77777777" w:rsidR="005B0E98" w:rsidRPr="00264E69" w:rsidRDefault="005B0E98" w:rsidP="005A1195">
            <w:pPr>
              <w:pStyle w:val="COMTabletext"/>
              <w:jc w:val="center"/>
              <w:rPr>
                <w:sz w:val="20"/>
                <w:szCs w:val="20"/>
              </w:rPr>
            </w:pPr>
            <w:r w:rsidRPr="00E2580F">
              <w:rPr>
                <w:rFonts w:eastAsia="Times New Roman"/>
                <w:sz w:val="20"/>
              </w:rPr>
              <w:t>4.5 (4.1, 4.6)</w:t>
            </w:r>
          </w:p>
        </w:tc>
        <w:tc>
          <w:tcPr>
            <w:tcW w:w="2764" w:type="dxa"/>
          </w:tcPr>
          <w:p w14:paraId="781537DE" w14:textId="77777777" w:rsidR="005B0E98" w:rsidRPr="00264E69" w:rsidRDefault="005B0E98" w:rsidP="005A1195">
            <w:pPr>
              <w:pStyle w:val="COMTabletext"/>
              <w:jc w:val="center"/>
              <w:rPr>
                <w:sz w:val="20"/>
                <w:szCs w:val="20"/>
              </w:rPr>
            </w:pPr>
            <w:r w:rsidRPr="00E2580F">
              <w:rPr>
                <w:rFonts w:eastAsia="Times New Roman"/>
                <w:sz w:val="20"/>
              </w:rPr>
              <w:t>4.5 (4.0, 4.6)</w:t>
            </w:r>
          </w:p>
        </w:tc>
      </w:tr>
      <w:tr w:rsidR="005B0E98" w:rsidRPr="001A0889" w14:paraId="327A6A7A" w14:textId="77777777" w:rsidTr="00496047">
        <w:tc>
          <w:tcPr>
            <w:tcW w:w="3397" w:type="dxa"/>
            <w:tcBorders>
              <w:bottom w:val="single" w:sz="4" w:space="0" w:color="auto"/>
            </w:tcBorders>
          </w:tcPr>
          <w:p w14:paraId="538B490C" w14:textId="77777777" w:rsidR="005B0E98" w:rsidRPr="001A0889" w:rsidRDefault="005B0E98" w:rsidP="005A1195">
            <w:pPr>
              <w:pStyle w:val="COMTabletext"/>
              <w:tabs>
                <w:tab w:val="right" w:pos="3430"/>
              </w:tabs>
              <w:rPr>
                <w:sz w:val="20"/>
                <w:szCs w:val="20"/>
              </w:rPr>
            </w:pPr>
            <w:r w:rsidRPr="001A0889">
              <w:rPr>
                <w:sz w:val="20"/>
                <w:szCs w:val="20"/>
              </w:rPr>
              <w:t xml:space="preserve">Median </w:t>
            </w:r>
            <w:r>
              <w:rPr>
                <w:sz w:val="20"/>
                <w:szCs w:val="20"/>
              </w:rPr>
              <w:t>overall survival,</w:t>
            </w:r>
            <w:r w:rsidRPr="001A0889">
              <w:rPr>
                <w:sz w:val="20"/>
                <w:szCs w:val="20"/>
              </w:rPr>
              <w:t xml:space="preserve"> years (95% CI)</w:t>
            </w:r>
          </w:p>
        </w:tc>
        <w:tc>
          <w:tcPr>
            <w:tcW w:w="2906" w:type="dxa"/>
            <w:tcBorders>
              <w:bottom w:val="single" w:sz="4" w:space="0" w:color="auto"/>
            </w:tcBorders>
          </w:tcPr>
          <w:p w14:paraId="217E42CE" w14:textId="77777777" w:rsidR="005B0E98" w:rsidRPr="001A0889" w:rsidRDefault="005B0E98" w:rsidP="005A1195">
            <w:pPr>
              <w:pStyle w:val="COMTabletext"/>
              <w:jc w:val="center"/>
              <w:rPr>
                <w:sz w:val="20"/>
                <w:szCs w:val="20"/>
              </w:rPr>
            </w:pPr>
            <w:r w:rsidRPr="001A0889">
              <w:rPr>
                <w:sz w:val="20"/>
                <w:szCs w:val="20"/>
              </w:rPr>
              <w:t>NE (NE, NE)</w:t>
            </w:r>
          </w:p>
        </w:tc>
        <w:tc>
          <w:tcPr>
            <w:tcW w:w="2764" w:type="dxa"/>
            <w:tcBorders>
              <w:bottom w:val="single" w:sz="4" w:space="0" w:color="auto"/>
            </w:tcBorders>
          </w:tcPr>
          <w:p w14:paraId="03D58C77" w14:textId="77777777" w:rsidR="005B0E98" w:rsidRPr="001A0889" w:rsidRDefault="005B0E98" w:rsidP="005A1195">
            <w:pPr>
              <w:pStyle w:val="COMTabletext"/>
              <w:jc w:val="center"/>
              <w:rPr>
                <w:sz w:val="20"/>
                <w:szCs w:val="20"/>
              </w:rPr>
            </w:pPr>
            <w:r w:rsidRPr="001A0889">
              <w:rPr>
                <w:sz w:val="20"/>
                <w:szCs w:val="20"/>
              </w:rPr>
              <w:t>NE (5.5, NE)</w:t>
            </w:r>
          </w:p>
        </w:tc>
      </w:tr>
      <w:tr w:rsidR="005B0E98" w:rsidRPr="001A0889" w14:paraId="7C4620E0" w14:textId="77777777" w:rsidTr="00496047">
        <w:tc>
          <w:tcPr>
            <w:tcW w:w="3397" w:type="dxa"/>
            <w:tcBorders>
              <w:bottom w:val="nil"/>
            </w:tcBorders>
          </w:tcPr>
          <w:p w14:paraId="1D539B78" w14:textId="68BC4EE7" w:rsidR="005B0E98" w:rsidRPr="001A0889" w:rsidRDefault="005B0E98" w:rsidP="005A1195">
            <w:pPr>
              <w:pStyle w:val="COMTabletext"/>
              <w:tabs>
                <w:tab w:val="right" w:pos="3430"/>
              </w:tabs>
              <w:rPr>
                <w:sz w:val="20"/>
                <w:szCs w:val="20"/>
              </w:rPr>
            </w:pPr>
            <w:r>
              <w:rPr>
                <w:sz w:val="20"/>
                <w:szCs w:val="20"/>
              </w:rPr>
              <w:t>Kaplan-Meier</w:t>
            </w:r>
            <w:r w:rsidRPr="001A0889">
              <w:rPr>
                <w:sz w:val="20"/>
                <w:szCs w:val="20"/>
              </w:rPr>
              <w:t xml:space="preserve"> estimate, % (95% CI) </w:t>
            </w:r>
          </w:p>
        </w:tc>
        <w:tc>
          <w:tcPr>
            <w:tcW w:w="2906" w:type="dxa"/>
            <w:tcBorders>
              <w:bottom w:val="nil"/>
            </w:tcBorders>
          </w:tcPr>
          <w:p w14:paraId="2B801992" w14:textId="57F94F17" w:rsidR="005B0E98" w:rsidRPr="001A0889" w:rsidRDefault="005B0E98" w:rsidP="005A1195">
            <w:pPr>
              <w:pStyle w:val="COMTabletext"/>
              <w:jc w:val="center"/>
              <w:rPr>
                <w:sz w:val="20"/>
                <w:szCs w:val="20"/>
              </w:rPr>
            </w:pPr>
          </w:p>
        </w:tc>
        <w:tc>
          <w:tcPr>
            <w:tcW w:w="2764" w:type="dxa"/>
            <w:tcBorders>
              <w:bottom w:val="nil"/>
            </w:tcBorders>
          </w:tcPr>
          <w:p w14:paraId="6C61BABF" w14:textId="25CD81CD" w:rsidR="005B0E98" w:rsidRPr="001A0889" w:rsidRDefault="005B0E98" w:rsidP="005A1195">
            <w:pPr>
              <w:pStyle w:val="COMTabletext"/>
              <w:jc w:val="center"/>
              <w:rPr>
                <w:sz w:val="20"/>
                <w:szCs w:val="20"/>
              </w:rPr>
            </w:pPr>
          </w:p>
        </w:tc>
      </w:tr>
      <w:tr w:rsidR="005B0E98" w:rsidRPr="001A0889" w14:paraId="674A798D" w14:textId="77777777" w:rsidTr="00496047">
        <w:tc>
          <w:tcPr>
            <w:tcW w:w="3397" w:type="dxa"/>
            <w:tcBorders>
              <w:top w:val="nil"/>
              <w:bottom w:val="nil"/>
            </w:tcBorders>
          </w:tcPr>
          <w:p w14:paraId="5270A64A" w14:textId="01834532" w:rsidR="005B0E98" w:rsidRDefault="005B0E98" w:rsidP="005A1195">
            <w:pPr>
              <w:pStyle w:val="COMTabletext"/>
              <w:tabs>
                <w:tab w:val="right" w:pos="3430"/>
              </w:tabs>
              <w:rPr>
                <w:szCs w:val="20"/>
              </w:rPr>
            </w:pPr>
            <w:r>
              <w:rPr>
                <w:sz w:val="20"/>
                <w:szCs w:val="20"/>
              </w:rPr>
              <w:t xml:space="preserve">- </w:t>
            </w:r>
            <w:r w:rsidRPr="001A0889">
              <w:rPr>
                <w:sz w:val="20"/>
                <w:szCs w:val="20"/>
              </w:rPr>
              <w:t>0.5 years</w:t>
            </w:r>
          </w:p>
        </w:tc>
        <w:tc>
          <w:tcPr>
            <w:tcW w:w="2906" w:type="dxa"/>
            <w:tcBorders>
              <w:top w:val="nil"/>
              <w:bottom w:val="nil"/>
            </w:tcBorders>
          </w:tcPr>
          <w:p w14:paraId="46A8428B" w14:textId="21E1F86D" w:rsidR="005B0E98" w:rsidRPr="001A0889" w:rsidRDefault="005B0E98" w:rsidP="005A1195">
            <w:pPr>
              <w:pStyle w:val="COMTabletext"/>
              <w:jc w:val="center"/>
              <w:rPr>
                <w:szCs w:val="20"/>
              </w:rPr>
            </w:pPr>
            <w:r w:rsidRPr="001A0889">
              <w:rPr>
                <w:sz w:val="20"/>
                <w:szCs w:val="20"/>
              </w:rPr>
              <w:t>98.2 (93.0, 99.5)</w:t>
            </w:r>
          </w:p>
        </w:tc>
        <w:tc>
          <w:tcPr>
            <w:tcW w:w="2764" w:type="dxa"/>
            <w:tcBorders>
              <w:top w:val="nil"/>
              <w:bottom w:val="nil"/>
            </w:tcBorders>
          </w:tcPr>
          <w:p w14:paraId="400DAA49" w14:textId="75042A70" w:rsidR="005B0E98" w:rsidRPr="001A0889" w:rsidRDefault="005B0E98" w:rsidP="005A1195">
            <w:pPr>
              <w:pStyle w:val="COMTabletext"/>
              <w:jc w:val="center"/>
              <w:rPr>
                <w:szCs w:val="20"/>
              </w:rPr>
            </w:pPr>
            <w:r w:rsidRPr="001A0889">
              <w:rPr>
                <w:sz w:val="20"/>
                <w:szCs w:val="20"/>
              </w:rPr>
              <w:t>99.1 (93.8, 99.9)</w:t>
            </w:r>
          </w:p>
        </w:tc>
      </w:tr>
      <w:tr w:rsidR="005B0E98" w:rsidRPr="001A0889" w14:paraId="22215A95" w14:textId="77777777" w:rsidTr="00496047">
        <w:tc>
          <w:tcPr>
            <w:tcW w:w="3397" w:type="dxa"/>
            <w:tcBorders>
              <w:top w:val="nil"/>
              <w:bottom w:val="nil"/>
            </w:tcBorders>
          </w:tcPr>
          <w:p w14:paraId="29683C5E" w14:textId="68BB259A" w:rsidR="005B0E98" w:rsidRPr="001A0889" w:rsidRDefault="005B0E98" w:rsidP="005A1195">
            <w:pPr>
              <w:pStyle w:val="COMTabletext"/>
              <w:tabs>
                <w:tab w:val="right" w:pos="3430"/>
              </w:tabs>
              <w:rPr>
                <w:sz w:val="20"/>
                <w:szCs w:val="20"/>
              </w:rPr>
            </w:pPr>
            <w:r>
              <w:rPr>
                <w:sz w:val="20"/>
                <w:szCs w:val="20"/>
              </w:rPr>
              <w:t xml:space="preserve">- </w:t>
            </w:r>
            <w:r w:rsidRPr="001A0889">
              <w:rPr>
                <w:sz w:val="20"/>
                <w:szCs w:val="20"/>
              </w:rPr>
              <w:t>1 year</w:t>
            </w:r>
          </w:p>
        </w:tc>
        <w:tc>
          <w:tcPr>
            <w:tcW w:w="2906" w:type="dxa"/>
            <w:tcBorders>
              <w:top w:val="nil"/>
              <w:bottom w:val="nil"/>
            </w:tcBorders>
          </w:tcPr>
          <w:p w14:paraId="1EE0B9E4" w14:textId="77777777" w:rsidR="005B0E98" w:rsidRPr="001A0889" w:rsidRDefault="005B0E98" w:rsidP="005A1195">
            <w:pPr>
              <w:pStyle w:val="COMTabletext"/>
              <w:jc w:val="center"/>
              <w:rPr>
                <w:sz w:val="20"/>
                <w:szCs w:val="20"/>
              </w:rPr>
            </w:pPr>
            <w:r w:rsidRPr="001A0889">
              <w:rPr>
                <w:sz w:val="20"/>
                <w:szCs w:val="20"/>
              </w:rPr>
              <w:t>96.4 (90.7, 98.6)</w:t>
            </w:r>
          </w:p>
        </w:tc>
        <w:tc>
          <w:tcPr>
            <w:tcW w:w="2764" w:type="dxa"/>
            <w:tcBorders>
              <w:top w:val="nil"/>
              <w:bottom w:val="nil"/>
            </w:tcBorders>
          </w:tcPr>
          <w:p w14:paraId="2E482E34" w14:textId="77777777" w:rsidR="005B0E98" w:rsidRPr="001A0889" w:rsidRDefault="005B0E98" w:rsidP="005A1195">
            <w:pPr>
              <w:pStyle w:val="COMTabletext"/>
              <w:jc w:val="center"/>
              <w:rPr>
                <w:sz w:val="20"/>
                <w:szCs w:val="20"/>
              </w:rPr>
            </w:pPr>
            <w:r w:rsidRPr="001A0889">
              <w:rPr>
                <w:sz w:val="20"/>
                <w:szCs w:val="20"/>
              </w:rPr>
              <w:t>90.0 (82.6, 94.3)</w:t>
            </w:r>
          </w:p>
        </w:tc>
      </w:tr>
      <w:tr w:rsidR="005B0E98" w:rsidRPr="001A0889" w14:paraId="18B1CF80" w14:textId="77777777" w:rsidTr="00496047">
        <w:tc>
          <w:tcPr>
            <w:tcW w:w="3397" w:type="dxa"/>
            <w:tcBorders>
              <w:top w:val="nil"/>
              <w:bottom w:val="nil"/>
            </w:tcBorders>
          </w:tcPr>
          <w:p w14:paraId="749CC9DC" w14:textId="4B3AC814" w:rsidR="005B0E98" w:rsidRPr="001A0889" w:rsidRDefault="005B0E98" w:rsidP="005A1195">
            <w:pPr>
              <w:pStyle w:val="COMTabletext"/>
              <w:tabs>
                <w:tab w:val="right" w:pos="3430"/>
              </w:tabs>
              <w:rPr>
                <w:sz w:val="20"/>
                <w:szCs w:val="20"/>
              </w:rPr>
            </w:pPr>
            <w:r>
              <w:rPr>
                <w:sz w:val="20"/>
                <w:szCs w:val="20"/>
              </w:rPr>
              <w:t xml:space="preserve">- </w:t>
            </w:r>
            <w:r w:rsidRPr="001A0889">
              <w:rPr>
                <w:sz w:val="20"/>
                <w:szCs w:val="20"/>
              </w:rPr>
              <w:t>2 years</w:t>
            </w:r>
          </w:p>
        </w:tc>
        <w:tc>
          <w:tcPr>
            <w:tcW w:w="2906" w:type="dxa"/>
            <w:tcBorders>
              <w:top w:val="nil"/>
              <w:bottom w:val="nil"/>
            </w:tcBorders>
          </w:tcPr>
          <w:p w14:paraId="3DF904EB" w14:textId="77777777" w:rsidR="005B0E98" w:rsidRPr="001A0889" w:rsidRDefault="005B0E98" w:rsidP="005A1195">
            <w:pPr>
              <w:pStyle w:val="COMTabletext"/>
              <w:jc w:val="center"/>
              <w:rPr>
                <w:sz w:val="20"/>
                <w:szCs w:val="20"/>
              </w:rPr>
            </w:pPr>
            <w:r w:rsidRPr="001A0889">
              <w:rPr>
                <w:sz w:val="20"/>
                <w:szCs w:val="20"/>
              </w:rPr>
              <w:t>90.1 (82.8, 94.4)</w:t>
            </w:r>
          </w:p>
        </w:tc>
        <w:tc>
          <w:tcPr>
            <w:tcW w:w="2764" w:type="dxa"/>
            <w:tcBorders>
              <w:top w:val="nil"/>
              <w:bottom w:val="nil"/>
            </w:tcBorders>
          </w:tcPr>
          <w:p w14:paraId="153E78ED" w14:textId="77777777" w:rsidR="005B0E98" w:rsidRPr="001A0889" w:rsidRDefault="005B0E98" w:rsidP="005A1195">
            <w:pPr>
              <w:pStyle w:val="COMTabletext"/>
              <w:jc w:val="center"/>
              <w:rPr>
                <w:sz w:val="20"/>
                <w:szCs w:val="20"/>
              </w:rPr>
            </w:pPr>
            <w:r w:rsidRPr="001A0889">
              <w:rPr>
                <w:sz w:val="20"/>
                <w:szCs w:val="20"/>
              </w:rPr>
              <w:t>81.5 (72.8, 87.6)</w:t>
            </w:r>
          </w:p>
        </w:tc>
      </w:tr>
      <w:tr w:rsidR="005B0E98" w:rsidRPr="001A0889" w14:paraId="51421357" w14:textId="77777777" w:rsidTr="00496047">
        <w:tc>
          <w:tcPr>
            <w:tcW w:w="3397" w:type="dxa"/>
            <w:tcBorders>
              <w:top w:val="nil"/>
              <w:bottom w:val="nil"/>
            </w:tcBorders>
          </w:tcPr>
          <w:p w14:paraId="78722C33" w14:textId="1A4DFDBE" w:rsidR="005B0E98" w:rsidRPr="001A0889" w:rsidRDefault="005B0E98" w:rsidP="005A1195">
            <w:pPr>
              <w:pStyle w:val="COMTabletext"/>
              <w:tabs>
                <w:tab w:val="right" w:pos="3430"/>
              </w:tabs>
              <w:rPr>
                <w:sz w:val="20"/>
                <w:szCs w:val="20"/>
              </w:rPr>
            </w:pPr>
            <w:r>
              <w:rPr>
                <w:sz w:val="20"/>
                <w:szCs w:val="20"/>
              </w:rPr>
              <w:t xml:space="preserve">- </w:t>
            </w:r>
            <w:r w:rsidRPr="001A0889">
              <w:rPr>
                <w:sz w:val="20"/>
                <w:szCs w:val="20"/>
              </w:rPr>
              <w:t>3 years</w:t>
            </w:r>
          </w:p>
        </w:tc>
        <w:tc>
          <w:tcPr>
            <w:tcW w:w="2906" w:type="dxa"/>
            <w:tcBorders>
              <w:top w:val="nil"/>
              <w:bottom w:val="nil"/>
            </w:tcBorders>
          </w:tcPr>
          <w:p w14:paraId="4F16A467" w14:textId="77777777" w:rsidR="005B0E98" w:rsidRPr="001A0889" w:rsidRDefault="005B0E98" w:rsidP="005A1195">
            <w:pPr>
              <w:pStyle w:val="COMTabletext"/>
              <w:jc w:val="center"/>
              <w:rPr>
                <w:sz w:val="20"/>
                <w:szCs w:val="20"/>
              </w:rPr>
            </w:pPr>
            <w:r w:rsidRPr="001A0889">
              <w:rPr>
                <w:sz w:val="20"/>
                <w:szCs w:val="20"/>
              </w:rPr>
              <w:t>85.5 (77.5, 90.9)</w:t>
            </w:r>
          </w:p>
        </w:tc>
        <w:tc>
          <w:tcPr>
            <w:tcW w:w="2764" w:type="dxa"/>
            <w:tcBorders>
              <w:top w:val="nil"/>
              <w:bottom w:val="nil"/>
            </w:tcBorders>
          </w:tcPr>
          <w:p w14:paraId="32ADD145" w14:textId="77777777" w:rsidR="005B0E98" w:rsidRPr="001A0889" w:rsidRDefault="005B0E98" w:rsidP="005A1195">
            <w:pPr>
              <w:pStyle w:val="COMTabletext"/>
              <w:jc w:val="center"/>
              <w:rPr>
                <w:sz w:val="20"/>
                <w:szCs w:val="20"/>
              </w:rPr>
            </w:pPr>
            <w:r w:rsidRPr="001A0889">
              <w:rPr>
                <w:sz w:val="20"/>
                <w:szCs w:val="20"/>
              </w:rPr>
              <w:t>70.0 (60.3, 77.7)</w:t>
            </w:r>
          </w:p>
        </w:tc>
      </w:tr>
      <w:tr w:rsidR="005B0E98" w:rsidRPr="001A0889" w14:paraId="5BC07213" w14:textId="77777777" w:rsidTr="00496047">
        <w:tc>
          <w:tcPr>
            <w:tcW w:w="3397" w:type="dxa"/>
            <w:tcBorders>
              <w:top w:val="nil"/>
              <w:bottom w:val="nil"/>
            </w:tcBorders>
          </w:tcPr>
          <w:p w14:paraId="6EECD12F" w14:textId="6EC0476E" w:rsidR="005B0E98" w:rsidRPr="001A0889" w:rsidRDefault="005B0E98" w:rsidP="005A1195">
            <w:pPr>
              <w:pStyle w:val="COMTabletext"/>
              <w:tabs>
                <w:tab w:val="right" w:pos="3430"/>
              </w:tabs>
              <w:rPr>
                <w:sz w:val="20"/>
                <w:szCs w:val="20"/>
              </w:rPr>
            </w:pPr>
            <w:r>
              <w:rPr>
                <w:sz w:val="20"/>
                <w:szCs w:val="20"/>
              </w:rPr>
              <w:t xml:space="preserve">- </w:t>
            </w:r>
            <w:r w:rsidRPr="001A0889">
              <w:rPr>
                <w:sz w:val="20"/>
                <w:szCs w:val="20"/>
              </w:rPr>
              <w:t>4 years</w:t>
            </w:r>
          </w:p>
        </w:tc>
        <w:tc>
          <w:tcPr>
            <w:tcW w:w="2906" w:type="dxa"/>
            <w:tcBorders>
              <w:top w:val="nil"/>
              <w:bottom w:val="nil"/>
            </w:tcBorders>
          </w:tcPr>
          <w:p w14:paraId="0E21FD73" w14:textId="77777777" w:rsidR="005B0E98" w:rsidRPr="001A0889" w:rsidRDefault="005B0E98" w:rsidP="005A1195">
            <w:pPr>
              <w:pStyle w:val="COMTabletext"/>
              <w:jc w:val="center"/>
              <w:rPr>
                <w:sz w:val="20"/>
                <w:szCs w:val="20"/>
              </w:rPr>
            </w:pPr>
            <w:r w:rsidRPr="001A0889">
              <w:rPr>
                <w:sz w:val="20"/>
                <w:szCs w:val="20"/>
              </w:rPr>
              <w:t>82.4 (73.7, 88.4)</w:t>
            </w:r>
          </w:p>
        </w:tc>
        <w:tc>
          <w:tcPr>
            <w:tcW w:w="2764" w:type="dxa"/>
            <w:tcBorders>
              <w:top w:val="nil"/>
              <w:bottom w:val="nil"/>
            </w:tcBorders>
          </w:tcPr>
          <w:p w14:paraId="4904E48B" w14:textId="77777777" w:rsidR="005B0E98" w:rsidRPr="001A0889" w:rsidRDefault="005B0E98" w:rsidP="005A1195">
            <w:pPr>
              <w:pStyle w:val="COMTabletext"/>
              <w:jc w:val="center"/>
              <w:rPr>
                <w:sz w:val="20"/>
                <w:szCs w:val="20"/>
              </w:rPr>
            </w:pPr>
            <w:r w:rsidRPr="001A0889">
              <w:rPr>
                <w:sz w:val="20"/>
                <w:szCs w:val="20"/>
              </w:rPr>
              <w:t>64.1 (53.9, 72.7)</w:t>
            </w:r>
          </w:p>
        </w:tc>
      </w:tr>
      <w:tr w:rsidR="005B0E98" w:rsidRPr="001A0889" w14:paraId="6458CD73" w14:textId="77777777" w:rsidTr="00496047">
        <w:tc>
          <w:tcPr>
            <w:tcW w:w="3397" w:type="dxa"/>
            <w:tcBorders>
              <w:top w:val="nil"/>
              <w:bottom w:val="nil"/>
            </w:tcBorders>
          </w:tcPr>
          <w:p w14:paraId="00E52AFB" w14:textId="75A8D112" w:rsidR="005B0E98" w:rsidRPr="001A0889" w:rsidRDefault="005B0E98" w:rsidP="005A1195">
            <w:pPr>
              <w:pStyle w:val="COMTabletext"/>
              <w:tabs>
                <w:tab w:val="right" w:pos="3430"/>
              </w:tabs>
              <w:rPr>
                <w:sz w:val="20"/>
                <w:szCs w:val="20"/>
              </w:rPr>
            </w:pPr>
            <w:r>
              <w:rPr>
                <w:sz w:val="20"/>
                <w:szCs w:val="20"/>
              </w:rPr>
              <w:t xml:space="preserve">- </w:t>
            </w:r>
            <w:r w:rsidRPr="001A0889">
              <w:rPr>
                <w:sz w:val="20"/>
                <w:szCs w:val="20"/>
              </w:rPr>
              <w:t>5 years</w:t>
            </w:r>
          </w:p>
        </w:tc>
        <w:tc>
          <w:tcPr>
            <w:tcW w:w="2906" w:type="dxa"/>
            <w:tcBorders>
              <w:top w:val="nil"/>
              <w:bottom w:val="nil"/>
            </w:tcBorders>
          </w:tcPr>
          <w:p w14:paraId="72AE9E1F" w14:textId="77777777" w:rsidR="005B0E98" w:rsidRPr="001A0889" w:rsidRDefault="005B0E98" w:rsidP="005A1195">
            <w:pPr>
              <w:pStyle w:val="COMTabletext"/>
              <w:jc w:val="center"/>
              <w:rPr>
                <w:sz w:val="20"/>
                <w:szCs w:val="20"/>
              </w:rPr>
            </w:pPr>
            <w:r w:rsidRPr="001A0889">
              <w:rPr>
                <w:sz w:val="20"/>
                <w:szCs w:val="20"/>
              </w:rPr>
              <w:t>82.4 (73.7, 88.4)</w:t>
            </w:r>
          </w:p>
        </w:tc>
        <w:tc>
          <w:tcPr>
            <w:tcW w:w="2764" w:type="dxa"/>
            <w:tcBorders>
              <w:top w:val="nil"/>
              <w:bottom w:val="nil"/>
            </w:tcBorders>
          </w:tcPr>
          <w:p w14:paraId="2FF4FB48" w14:textId="77777777" w:rsidR="005B0E98" w:rsidRPr="001A0889" w:rsidRDefault="005B0E98" w:rsidP="005A1195">
            <w:pPr>
              <w:pStyle w:val="COMTabletext"/>
              <w:jc w:val="center"/>
              <w:rPr>
                <w:sz w:val="20"/>
                <w:szCs w:val="20"/>
              </w:rPr>
            </w:pPr>
            <w:r w:rsidRPr="001A0889">
              <w:rPr>
                <w:sz w:val="20"/>
                <w:szCs w:val="20"/>
              </w:rPr>
              <w:t>62.5 (52.0, 71.3)</w:t>
            </w:r>
          </w:p>
        </w:tc>
      </w:tr>
      <w:tr w:rsidR="005B0E98" w:rsidRPr="001A0889" w14:paraId="269EE894" w14:textId="77777777" w:rsidTr="00496047">
        <w:tc>
          <w:tcPr>
            <w:tcW w:w="3397" w:type="dxa"/>
            <w:tcBorders>
              <w:top w:val="nil"/>
              <w:bottom w:val="nil"/>
            </w:tcBorders>
          </w:tcPr>
          <w:p w14:paraId="3DCE9BE1" w14:textId="19370129" w:rsidR="005B0E98" w:rsidRPr="001A0889" w:rsidRDefault="005B0E98" w:rsidP="005A1195">
            <w:pPr>
              <w:pStyle w:val="COMTabletext"/>
              <w:tabs>
                <w:tab w:val="right" w:pos="3430"/>
              </w:tabs>
              <w:rPr>
                <w:sz w:val="20"/>
                <w:szCs w:val="20"/>
              </w:rPr>
            </w:pPr>
            <w:r>
              <w:rPr>
                <w:sz w:val="20"/>
                <w:szCs w:val="20"/>
              </w:rPr>
              <w:t xml:space="preserve">- </w:t>
            </w:r>
            <w:r w:rsidRPr="001A0889">
              <w:rPr>
                <w:sz w:val="20"/>
                <w:szCs w:val="20"/>
              </w:rPr>
              <w:t>6 years</w:t>
            </w:r>
          </w:p>
        </w:tc>
        <w:tc>
          <w:tcPr>
            <w:tcW w:w="2906" w:type="dxa"/>
            <w:tcBorders>
              <w:top w:val="nil"/>
              <w:bottom w:val="nil"/>
            </w:tcBorders>
          </w:tcPr>
          <w:p w14:paraId="3A3EDE2E" w14:textId="77777777" w:rsidR="005B0E98" w:rsidRPr="001A0889" w:rsidRDefault="005B0E98" w:rsidP="005A1195">
            <w:pPr>
              <w:pStyle w:val="COMTabletext"/>
              <w:jc w:val="center"/>
              <w:rPr>
                <w:sz w:val="20"/>
                <w:szCs w:val="20"/>
              </w:rPr>
            </w:pPr>
            <w:r w:rsidRPr="001A0889">
              <w:rPr>
                <w:sz w:val="20"/>
                <w:szCs w:val="20"/>
              </w:rPr>
              <w:t>82.4 (73.7, 88.4)</w:t>
            </w:r>
          </w:p>
        </w:tc>
        <w:tc>
          <w:tcPr>
            <w:tcW w:w="2764" w:type="dxa"/>
            <w:tcBorders>
              <w:top w:val="nil"/>
              <w:bottom w:val="nil"/>
            </w:tcBorders>
          </w:tcPr>
          <w:p w14:paraId="18DE6394" w14:textId="77777777" w:rsidR="005B0E98" w:rsidRPr="001A0889" w:rsidRDefault="005B0E98" w:rsidP="005A1195">
            <w:pPr>
              <w:pStyle w:val="COMTabletext"/>
              <w:jc w:val="center"/>
              <w:rPr>
                <w:sz w:val="20"/>
                <w:szCs w:val="20"/>
              </w:rPr>
            </w:pPr>
            <w:r w:rsidRPr="001A0889">
              <w:rPr>
                <w:sz w:val="20"/>
                <w:szCs w:val="20"/>
              </w:rPr>
              <w:t>53.3 (37.8, 66.5)</w:t>
            </w:r>
          </w:p>
        </w:tc>
      </w:tr>
      <w:tr w:rsidR="005B0E98" w:rsidRPr="001A0889" w14:paraId="2CBB31C2" w14:textId="77777777" w:rsidTr="00496047">
        <w:tc>
          <w:tcPr>
            <w:tcW w:w="3397" w:type="dxa"/>
            <w:tcBorders>
              <w:top w:val="nil"/>
            </w:tcBorders>
          </w:tcPr>
          <w:p w14:paraId="394D3801" w14:textId="4C2B2196" w:rsidR="005B0E98" w:rsidRPr="001A0889" w:rsidRDefault="005B0E98" w:rsidP="005A1195">
            <w:pPr>
              <w:pStyle w:val="COMTabletext"/>
              <w:tabs>
                <w:tab w:val="right" w:pos="3430"/>
              </w:tabs>
              <w:rPr>
                <w:sz w:val="20"/>
                <w:szCs w:val="20"/>
              </w:rPr>
            </w:pPr>
            <w:r>
              <w:rPr>
                <w:sz w:val="20"/>
                <w:szCs w:val="20"/>
              </w:rPr>
              <w:t xml:space="preserve">- </w:t>
            </w:r>
            <w:r w:rsidRPr="001A0889">
              <w:rPr>
                <w:sz w:val="20"/>
                <w:szCs w:val="20"/>
              </w:rPr>
              <w:t>7 years</w:t>
            </w:r>
          </w:p>
        </w:tc>
        <w:tc>
          <w:tcPr>
            <w:tcW w:w="2906" w:type="dxa"/>
            <w:tcBorders>
              <w:top w:val="nil"/>
            </w:tcBorders>
          </w:tcPr>
          <w:p w14:paraId="626A47B7" w14:textId="77777777" w:rsidR="005B0E98" w:rsidRPr="001A0889" w:rsidRDefault="005B0E98" w:rsidP="005A1195">
            <w:pPr>
              <w:pStyle w:val="COMTabletext"/>
              <w:jc w:val="center"/>
              <w:rPr>
                <w:sz w:val="20"/>
                <w:szCs w:val="20"/>
              </w:rPr>
            </w:pPr>
            <w:r w:rsidRPr="001A0889">
              <w:rPr>
                <w:sz w:val="20"/>
                <w:szCs w:val="20"/>
              </w:rPr>
              <w:t>82.4 (73.7, 88.4)</w:t>
            </w:r>
          </w:p>
        </w:tc>
        <w:tc>
          <w:tcPr>
            <w:tcW w:w="2764" w:type="dxa"/>
            <w:tcBorders>
              <w:top w:val="nil"/>
            </w:tcBorders>
          </w:tcPr>
          <w:p w14:paraId="224E3104" w14:textId="77777777" w:rsidR="005B0E98" w:rsidRPr="001A0889" w:rsidRDefault="005B0E98" w:rsidP="005A1195">
            <w:pPr>
              <w:pStyle w:val="COMTabletext"/>
              <w:jc w:val="center"/>
              <w:rPr>
                <w:sz w:val="20"/>
                <w:szCs w:val="20"/>
              </w:rPr>
            </w:pPr>
            <w:r w:rsidRPr="001A0889">
              <w:rPr>
                <w:sz w:val="20"/>
                <w:szCs w:val="20"/>
              </w:rPr>
              <w:t>53.3 (37.8, 66.5)</w:t>
            </w:r>
          </w:p>
        </w:tc>
      </w:tr>
      <w:tr w:rsidR="005B0E98" w:rsidRPr="001A0889" w14:paraId="183505C7" w14:textId="77777777" w:rsidTr="00496047">
        <w:tc>
          <w:tcPr>
            <w:tcW w:w="3397" w:type="dxa"/>
          </w:tcPr>
          <w:p w14:paraId="2A68DA98" w14:textId="77777777" w:rsidR="005B0E98" w:rsidRPr="001A0889" w:rsidRDefault="005B0E98" w:rsidP="005A1195">
            <w:pPr>
              <w:pStyle w:val="COMTabletext"/>
              <w:tabs>
                <w:tab w:val="right" w:pos="3430"/>
              </w:tabs>
              <w:rPr>
                <w:sz w:val="20"/>
                <w:szCs w:val="20"/>
              </w:rPr>
            </w:pPr>
            <w:r w:rsidRPr="001A0889">
              <w:rPr>
                <w:sz w:val="20"/>
                <w:szCs w:val="20"/>
              </w:rPr>
              <w:t>Hazard ratio (95% CI)</w:t>
            </w:r>
            <w:r w:rsidRPr="001A0889">
              <w:rPr>
                <w:sz w:val="20"/>
                <w:szCs w:val="20"/>
                <w:vertAlign w:val="superscript"/>
              </w:rPr>
              <w:t>a</w:t>
            </w:r>
          </w:p>
        </w:tc>
        <w:tc>
          <w:tcPr>
            <w:tcW w:w="5670" w:type="dxa"/>
            <w:gridSpan w:val="2"/>
          </w:tcPr>
          <w:p w14:paraId="1396B89C" w14:textId="77777777" w:rsidR="005B0E98" w:rsidRPr="006F4AC6" w:rsidRDefault="005B0E98" w:rsidP="005A1195">
            <w:pPr>
              <w:pStyle w:val="COMTabletext"/>
              <w:jc w:val="center"/>
              <w:rPr>
                <w:b/>
                <w:bCs w:val="0"/>
                <w:sz w:val="20"/>
                <w:szCs w:val="20"/>
              </w:rPr>
            </w:pPr>
            <w:r w:rsidRPr="006F4AC6">
              <w:rPr>
                <w:b/>
                <w:bCs w:val="0"/>
                <w:sz w:val="20"/>
                <w:szCs w:val="20"/>
              </w:rPr>
              <w:t>0.44 (0.25, 0.76)</w:t>
            </w:r>
          </w:p>
        </w:tc>
      </w:tr>
    </w:tbl>
    <w:p w14:paraId="452B533F" w14:textId="1125F9EB" w:rsidR="0033519F" w:rsidRDefault="0033519F" w:rsidP="005A1195">
      <w:pPr>
        <w:pStyle w:val="COMTablefooter"/>
        <w:keepNext/>
      </w:pPr>
      <w:r>
        <w:t>Source: Table 2-17, of the submission.</w:t>
      </w:r>
    </w:p>
    <w:p w14:paraId="2A257B51" w14:textId="72BC3228" w:rsidR="0033519F" w:rsidRDefault="0033519F" w:rsidP="005A1195">
      <w:pPr>
        <w:pStyle w:val="COMTablefooter"/>
        <w:keepNext/>
      </w:pPr>
      <w:r>
        <w:t xml:space="preserve">Abbreviations: </w:t>
      </w:r>
      <w:r w:rsidR="00A85DFC">
        <w:t xml:space="preserve">ASCT, allogeneic stem cell transplant; </w:t>
      </w:r>
      <w:r w:rsidRPr="00F1376D">
        <w:t>CI</w:t>
      </w:r>
      <w:r>
        <w:t>,</w:t>
      </w:r>
      <w:r w:rsidRPr="00F1376D">
        <w:t xml:space="preserve"> </w:t>
      </w:r>
      <w:r>
        <w:t>c</w:t>
      </w:r>
      <w:r w:rsidRPr="00F1376D">
        <w:t>onfidence interval</w:t>
      </w:r>
      <w:r>
        <w:t>;</w:t>
      </w:r>
      <w:r w:rsidRPr="00F1376D">
        <w:t xml:space="preserve"> </w:t>
      </w:r>
      <w:r>
        <w:rPr>
          <w:szCs w:val="18"/>
        </w:rPr>
        <w:t xml:space="preserve">FAS, full analysis set; </w:t>
      </w:r>
      <w:r w:rsidRPr="000F4C1C">
        <w:rPr>
          <w:szCs w:val="18"/>
        </w:rPr>
        <w:t>MRD, measurable residual disease;</w:t>
      </w:r>
      <w:r>
        <w:rPr>
          <w:szCs w:val="18"/>
        </w:rPr>
        <w:t xml:space="preserve"> NE, not estimable</w:t>
      </w:r>
      <w:r w:rsidR="009206F0">
        <w:t>.</w:t>
      </w:r>
    </w:p>
    <w:p w14:paraId="3CAB026B" w14:textId="06F81DF4" w:rsidR="00A85DFC" w:rsidRDefault="0033519F" w:rsidP="005A1195">
      <w:pPr>
        <w:pStyle w:val="COMTablefooter"/>
        <w:keepNext/>
      </w:pPr>
      <w:r w:rsidRPr="00493620">
        <w:rPr>
          <w:vertAlign w:val="superscript"/>
        </w:rPr>
        <w:t>a</w:t>
      </w:r>
      <w:r>
        <w:t xml:space="preserve"> </w:t>
      </w:r>
      <w:r w:rsidRPr="00F1376D">
        <w:t>Stratifi</w:t>
      </w:r>
      <w:r>
        <w:t>ed by</w:t>
      </w:r>
      <w:r w:rsidRPr="00F1376D">
        <w:t xml:space="preserve"> age (&lt;55 years vs.≥55 years), CD20 status</w:t>
      </w:r>
      <w:r>
        <w:t xml:space="preserve">, </w:t>
      </w:r>
      <w:r w:rsidRPr="00F1376D">
        <w:t>rituximab use</w:t>
      </w:r>
      <w:r>
        <w:t xml:space="preserve"> and </w:t>
      </w:r>
      <w:r w:rsidRPr="00F1376D">
        <w:t xml:space="preserve">intent to receive </w:t>
      </w:r>
      <w:r w:rsidR="00A85DFC">
        <w:t>A</w:t>
      </w:r>
      <w:r w:rsidRPr="00F1376D">
        <w:t>SCT.</w:t>
      </w:r>
    </w:p>
    <w:p w14:paraId="7AF8ADAF" w14:textId="0C5DF85D" w:rsidR="0033519F" w:rsidRDefault="00A85DFC" w:rsidP="005A1195">
      <w:pPr>
        <w:pStyle w:val="COMTablefooter"/>
        <w:keepNext/>
      </w:pPr>
      <w:r>
        <w:t xml:space="preserve">Note: </w:t>
      </w:r>
      <w:r w:rsidR="0033519F">
        <w:t>H</w:t>
      </w:r>
      <w:r w:rsidR="0033519F" w:rsidRPr="00F1376D">
        <w:t xml:space="preserve">azard ratio &lt;1 indicates a lower average death rate and a longer survival </w:t>
      </w:r>
      <w:r w:rsidR="0033519F">
        <w:t xml:space="preserve">for blinatumomab + </w:t>
      </w:r>
      <w:r>
        <w:t>standard of care</w:t>
      </w:r>
      <w:r w:rsidR="0033519F">
        <w:t xml:space="preserve"> compared to </w:t>
      </w:r>
      <w:r>
        <w:t>standard of care</w:t>
      </w:r>
      <w:r w:rsidR="0033519F">
        <w:t>.</w:t>
      </w:r>
    </w:p>
    <w:p w14:paraId="09BBA150" w14:textId="77777777" w:rsidR="00CF66AF" w:rsidRPr="000158A5" w:rsidRDefault="00CF66AF" w:rsidP="00CF66AF">
      <w:pPr>
        <w:pStyle w:val="COMTablefooter"/>
        <w:rPr>
          <w:b/>
          <w:bCs/>
        </w:rPr>
      </w:pPr>
      <w:r w:rsidRPr="000158A5">
        <w:rPr>
          <w:b/>
          <w:bCs/>
        </w:rPr>
        <w:t>Bolded results were statistically significant</w:t>
      </w:r>
    </w:p>
    <w:p w14:paraId="4C1706F2" w14:textId="7F992914" w:rsidR="004043C7" w:rsidRPr="004043C7" w:rsidRDefault="00D7323D" w:rsidP="001D1D52">
      <w:pPr>
        <w:pStyle w:val="COMexecsumnumberedpara"/>
      </w:pPr>
      <w:r w:rsidRPr="00F7316F">
        <w:t xml:space="preserve">Median overall survival was not reached in either treatment arm. Overall survival was statistically significantly improved in the blinatumomab plus </w:t>
      </w:r>
      <w:r w:rsidR="00E436D1" w:rsidRPr="00F7316F">
        <w:t>standard of care arm compared to the standard of care arm</w:t>
      </w:r>
      <w:r w:rsidR="00D8109C">
        <w:t xml:space="preserve"> (HR = 0.44; 95% CI: 0.25, 0.76)</w:t>
      </w:r>
      <w:r w:rsidR="00E436D1" w:rsidRPr="00F7316F">
        <w:t>.</w:t>
      </w:r>
      <w:r w:rsidR="00BC591F" w:rsidRPr="00F7316F">
        <w:rPr>
          <w:snapToGrid/>
        </w:rPr>
        <w:t xml:space="preserve"> </w:t>
      </w:r>
    </w:p>
    <w:p w14:paraId="39313DE8" w14:textId="005AF91A" w:rsidR="004043C7" w:rsidRPr="008F0FEB" w:rsidRDefault="00EE4803" w:rsidP="001D1D52">
      <w:pPr>
        <w:pStyle w:val="COMexecsumnumberedpara"/>
      </w:pPr>
      <w:r>
        <w:t>The trial included pre-specified s</w:t>
      </w:r>
      <w:r w:rsidR="004043C7">
        <w:t>ubgroup analyses</w:t>
      </w:r>
      <w:r w:rsidR="00986C94">
        <w:t xml:space="preserve"> for overall survival in</w:t>
      </w:r>
      <w:r w:rsidR="004043C7">
        <w:t xml:space="preserve"> the MRD-negative cohort</w:t>
      </w:r>
      <w:r w:rsidR="00986C94">
        <w:t>.</w:t>
      </w:r>
      <w:r w:rsidR="004043C7">
        <w:t xml:space="preserve"> </w:t>
      </w:r>
      <w:r w:rsidR="004043C7" w:rsidRPr="004043C7">
        <w:t>Subgroup analys</w:t>
      </w:r>
      <w:r w:rsidR="00986C94">
        <w:t>e</w:t>
      </w:r>
      <w:r w:rsidR="004043C7" w:rsidRPr="004043C7">
        <w:t xml:space="preserve">s by age showed a statistically significant treatment </w:t>
      </w:r>
      <w:r w:rsidR="00986C94">
        <w:t xml:space="preserve">effect </w:t>
      </w:r>
      <w:r w:rsidR="004043C7" w:rsidRPr="004043C7">
        <w:t>interaction (p=0.032), with patients age</w:t>
      </w:r>
      <w:r w:rsidR="008F0FEB">
        <w:t>d</w:t>
      </w:r>
      <w:r w:rsidR="004043C7" w:rsidRPr="004043C7">
        <w:t xml:space="preserve"> </w:t>
      </w:r>
      <w:r w:rsidR="004043C7" w:rsidRPr="004043C7">
        <w:rPr>
          <w:rFonts w:cs="Calibri"/>
        </w:rPr>
        <w:t>≥</w:t>
      </w:r>
      <w:r w:rsidR="004043C7" w:rsidRPr="004043C7">
        <w:t xml:space="preserve">65 years treated with blinatumomab </w:t>
      </w:r>
      <w:r w:rsidR="00986C94">
        <w:t xml:space="preserve">plus standard of care </w:t>
      </w:r>
      <w:r w:rsidR="004043C7" w:rsidRPr="004043C7">
        <w:t xml:space="preserve">showing poorer outcomes in overall survival compared to </w:t>
      </w:r>
      <w:r w:rsidR="00986C94">
        <w:t>standard of care patients</w:t>
      </w:r>
      <w:r w:rsidR="00692DBD">
        <w:t xml:space="preserve">, although patient numbers were small in the </w:t>
      </w:r>
      <w:r w:rsidR="00E511CF">
        <w:t>≥65 year subgroup</w:t>
      </w:r>
      <w:r w:rsidR="004043C7" w:rsidRPr="004043C7">
        <w:t>.</w:t>
      </w:r>
      <w:r w:rsidR="004043C7">
        <w:t xml:space="preserve"> </w:t>
      </w:r>
      <w:r w:rsidR="008F0FEB" w:rsidRPr="008F0FEB">
        <w:t xml:space="preserve">A similar trend </w:t>
      </w:r>
      <w:r w:rsidR="008F0FEB">
        <w:t xml:space="preserve">was observed in a subgroup analysis of patients aged &lt;55 years (HR </w:t>
      </w:r>
      <w:r w:rsidR="00D8109C">
        <w:t xml:space="preserve">= </w:t>
      </w:r>
      <w:r w:rsidR="00894F12" w:rsidRPr="00E2580F">
        <w:t>0.18</w:t>
      </w:r>
      <w:r w:rsidR="00894F12">
        <w:t xml:space="preserve">; 95% CI: 0.06, 0.52) </w:t>
      </w:r>
      <w:r w:rsidR="008F0FEB">
        <w:t>versus those aged ≥55 years</w:t>
      </w:r>
      <w:r w:rsidR="00894F12">
        <w:t xml:space="preserve"> (HR </w:t>
      </w:r>
      <w:r w:rsidR="00D8109C">
        <w:t xml:space="preserve">= </w:t>
      </w:r>
      <w:r w:rsidR="00B31193">
        <w:t>0.77; 95% CI: 0.37, 1.58)</w:t>
      </w:r>
      <w:r w:rsidR="008F0FEB">
        <w:t xml:space="preserve">, although </w:t>
      </w:r>
      <w:r w:rsidR="00B31193">
        <w:t>a</w:t>
      </w:r>
      <w:r w:rsidR="008F0FEB">
        <w:t xml:space="preserve"> test for treatment effect interaction was </w:t>
      </w:r>
      <w:r w:rsidR="00B31193">
        <w:t xml:space="preserve">not </w:t>
      </w:r>
      <w:r w:rsidR="008F0FEB">
        <w:t>reported.</w:t>
      </w:r>
    </w:p>
    <w:p w14:paraId="5CA17290" w14:textId="660D86C4" w:rsidR="00760C4E" w:rsidRPr="00F7316F" w:rsidRDefault="00D56FB4" w:rsidP="001D1D52">
      <w:pPr>
        <w:pStyle w:val="COMexecsumnumberedpara"/>
      </w:pPr>
      <w:r w:rsidRPr="00F7316F">
        <w:rPr>
          <w:snapToGrid/>
        </w:rPr>
        <w:fldChar w:fldCharType="begin" w:fldLock="1"/>
      </w:r>
      <w:r w:rsidRPr="00F7316F">
        <w:rPr>
          <w:snapToGrid/>
        </w:rPr>
        <w:instrText xml:space="preserve"> REF _Ref166157736 \h </w:instrText>
      </w:r>
      <w:r w:rsidRPr="00F7316F">
        <w:rPr>
          <w:snapToGrid/>
        </w:rPr>
      </w:r>
      <w:r w:rsidRPr="00F7316F">
        <w:rPr>
          <w:snapToGrid/>
        </w:rPr>
        <w:fldChar w:fldCharType="separate"/>
      </w:r>
      <w:r w:rsidR="00356F14">
        <w:t xml:space="preserve">Figure </w:t>
      </w:r>
      <w:r w:rsidR="00356F14">
        <w:rPr>
          <w:noProof/>
        </w:rPr>
        <w:t>2</w:t>
      </w:r>
      <w:r w:rsidRPr="00F7316F">
        <w:rPr>
          <w:snapToGrid/>
        </w:rPr>
        <w:fldChar w:fldCharType="end"/>
      </w:r>
      <w:r w:rsidR="00002250" w:rsidRPr="00F7316F">
        <w:rPr>
          <w:snapToGrid/>
        </w:rPr>
        <w:t xml:space="preserve"> and </w:t>
      </w:r>
      <w:r w:rsidRPr="00F7316F">
        <w:rPr>
          <w:snapToGrid/>
        </w:rPr>
        <w:fldChar w:fldCharType="begin" w:fldLock="1"/>
      </w:r>
      <w:r w:rsidRPr="00F7316F">
        <w:rPr>
          <w:snapToGrid/>
        </w:rPr>
        <w:instrText xml:space="preserve"> REF _Ref166157748 \h </w:instrText>
      </w:r>
      <w:r w:rsidRPr="00F7316F">
        <w:rPr>
          <w:snapToGrid/>
        </w:rPr>
      </w:r>
      <w:r w:rsidRPr="00F7316F">
        <w:rPr>
          <w:snapToGrid/>
        </w:rPr>
        <w:fldChar w:fldCharType="separate"/>
      </w:r>
      <w:r w:rsidR="00356F14">
        <w:t xml:space="preserve">Table </w:t>
      </w:r>
      <w:r w:rsidR="00356F14">
        <w:rPr>
          <w:noProof/>
        </w:rPr>
        <w:t>5</w:t>
      </w:r>
      <w:r w:rsidRPr="00F7316F">
        <w:rPr>
          <w:snapToGrid/>
        </w:rPr>
        <w:fldChar w:fldCharType="end"/>
      </w:r>
      <w:r w:rsidRPr="00F7316F">
        <w:rPr>
          <w:snapToGrid/>
        </w:rPr>
        <w:t xml:space="preserve"> below</w:t>
      </w:r>
      <w:r w:rsidR="00002250" w:rsidRPr="00F7316F">
        <w:rPr>
          <w:snapToGrid/>
        </w:rPr>
        <w:t xml:space="preserve"> present the results of relapse-free survival in the MRD-negative cohort of the E1910 trial.</w:t>
      </w:r>
    </w:p>
    <w:p w14:paraId="287D0CD1" w14:textId="301ED233" w:rsidR="002A0D9E" w:rsidRPr="002A0D9E" w:rsidRDefault="002A0D9E" w:rsidP="002673E2">
      <w:pPr>
        <w:pStyle w:val="Caption"/>
        <w:jc w:val="both"/>
      </w:pPr>
      <w:bookmarkStart w:id="30" w:name="_Ref166157736"/>
      <w:r>
        <w:lastRenderedPageBreak/>
        <w:t xml:space="preserve">Figure </w:t>
      </w:r>
      <w:r w:rsidR="006F0D54">
        <w:fldChar w:fldCharType="begin" w:fldLock="1"/>
      </w:r>
      <w:r w:rsidR="006F0D54">
        <w:instrText xml:space="preserve"> SEQ Figure \* ARABIC </w:instrText>
      </w:r>
      <w:r w:rsidR="006F0D54">
        <w:fldChar w:fldCharType="separate"/>
      </w:r>
      <w:r w:rsidR="00356F14">
        <w:rPr>
          <w:noProof/>
        </w:rPr>
        <w:t>2</w:t>
      </w:r>
      <w:r w:rsidR="006F0D54">
        <w:rPr>
          <w:noProof/>
        </w:rPr>
        <w:fldChar w:fldCharType="end"/>
      </w:r>
      <w:bookmarkEnd w:id="30"/>
      <w:r>
        <w:t xml:space="preserve">: Kaplan-Meier </w:t>
      </w:r>
      <w:r w:rsidR="002673E2">
        <w:t>r</w:t>
      </w:r>
      <w:r>
        <w:t>elapse free</w:t>
      </w:r>
      <w:r w:rsidRPr="00F1376D">
        <w:t xml:space="preserve"> survival </w:t>
      </w:r>
      <w:r>
        <w:t>in</w:t>
      </w:r>
      <w:r w:rsidRPr="00F1376D">
        <w:t xml:space="preserve"> </w:t>
      </w:r>
      <w:r w:rsidR="002673E2">
        <w:t>MRD-negative patients in T</w:t>
      </w:r>
      <w:r>
        <w:t>rial E1910 (</w:t>
      </w:r>
      <w:r w:rsidRPr="00F1376D">
        <w:t>Step 3</w:t>
      </w:r>
      <w:r>
        <w:t xml:space="preserve">; FAS; </w:t>
      </w:r>
      <w:r w:rsidRPr="001B208E">
        <w:t>cut-off 2</w:t>
      </w:r>
      <w:r>
        <w:t xml:space="preserve">3 June </w:t>
      </w:r>
      <w:r w:rsidRPr="001B208E">
        <w:t>2023</w:t>
      </w:r>
      <w:r w:rsidRPr="00F1376D">
        <w:t>)</w:t>
      </w:r>
    </w:p>
    <w:p w14:paraId="1243D0E8" w14:textId="78A6AA94" w:rsidR="00002250" w:rsidRPr="00002250" w:rsidRDefault="0022752C" w:rsidP="00DB4D50">
      <w:pPr>
        <w:pStyle w:val="COMexecsumnumberedpara"/>
        <w:numPr>
          <w:ilvl w:val="0"/>
          <w:numId w:val="0"/>
        </w:numPr>
        <w:spacing w:after="0"/>
        <w:rPr>
          <w:color w:val="0066FF"/>
        </w:rPr>
      </w:pPr>
      <w:r w:rsidRPr="00E2580F">
        <w:rPr>
          <w:noProof/>
        </w:rPr>
        <w:drawing>
          <wp:inline distT="0" distB="0" distL="0" distR="0" wp14:anchorId="2CEAFB0F" wp14:editId="4957E736">
            <wp:extent cx="5793463" cy="2484407"/>
            <wp:effectExtent l="0" t="0" r="0" b="0"/>
            <wp:docPr id="26" name="Picture 26" descr="Figure 2: Kaplan-Meier relapse free survival in MRD-negative patients in Trial E1910 (Step 3; FAS; cut-off 23 June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Figure 2: Kaplan-Meier relapse free survival in MRD-negative patients in Trial E1910 (Step 3; FAS; cut-off 23 June 2023)"/>
                    <pic:cNvPicPr/>
                  </pic:nvPicPr>
                  <pic:blipFill rotWithShape="1">
                    <a:blip r:embed="rId9"/>
                    <a:srcRect l="1053" t="6498" r="4873" b="13114"/>
                    <a:stretch/>
                  </pic:blipFill>
                  <pic:spPr bwMode="auto">
                    <a:xfrm>
                      <a:off x="0" y="0"/>
                      <a:ext cx="5802372" cy="2488227"/>
                    </a:xfrm>
                    <a:prstGeom prst="rect">
                      <a:avLst/>
                    </a:prstGeom>
                    <a:ln>
                      <a:noFill/>
                    </a:ln>
                    <a:extLst>
                      <a:ext uri="{53640926-AAD7-44D8-BBD7-CCE9431645EC}">
                        <a14:shadowObscured xmlns:a14="http://schemas.microsoft.com/office/drawing/2010/main"/>
                      </a:ext>
                    </a:extLst>
                  </pic:spPr>
                </pic:pic>
              </a:graphicData>
            </a:graphic>
          </wp:inline>
        </w:drawing>
      </w:r>
    </w:p>
    <w:p w14:paraId="1926EF82" w14:textId="023AB0C0" w:rsidR="00435BCD" w:rsidRDefault="00435BCD" w:rsidP="00435BCD">
      <w:pPr>
        <w:pStyle w:val="COMTablefooter"/>
      </w:pPr>
      <w:r>
        <w:t>Source: Figure 2-4of the submission.</w:t>
      </w:r>
    </w:p>
    <w:p w14:paraId="05BF0DFF" w14:textId="77777777" w:rsidR="00435BCD" w:rsidRDefault="00435BCD" w:rsidP="00435BCD">
      <w:pPr>
        <w:pStyle w:val="COMTablefooter"/>
        <w:rPr>
          <w:szCs w:val="18"/>
        </w:rPr>
      </w:pPr>
      <w:r>
        <w:t xml:space="preserve">Abbreviations: </w:t>
      </w:r>
      <w:r w:rsidRPr="00D86211">
        <w:rPr>
          <w:szCs w:val="18"/>
        </w:rPr>
        <w:t>CI, confidence interval</w:t>
      </w:r>
      <w:r>
        <w:rPr>
          <w:szCs w:val="18"/>
        </w:rPr>
        <w:t>;</w:t>
      </w:r>
      <w:r w:rsidRPr="00D86211">
        <w:rPr>
          <w:szCs w:val="18"/>
        </w:rPr>
        <w:t xml:space="preserve"> </w:t>
      </w:r>
      <w:r>
        <w:rPr>
          <w:szCs w:val="18"/>
        </w:rPr>
        <w:t xml:space="preserve">FAS, full analysis set; </w:t>
      </w:r>
      <w:r w:rsidRPr="000F4C1C">
        <w:rPr>
          <w:szCs w:val="18"/>
        </w:rPr>
        <w:t>MRD, measurable residual disease;</w:t>
      </w:r>
      <w:r>
        <w:rPr>
          <w:szCs w:val="18"/>
        </w:rPr>
        <w:t xml:space="preserve"> NE, not estimable; SOC, standard of care.</w:t>
      </w:r>
    </w:p>
    <w:p w14:paraId="3CD58B02" w14:textId="77777777" w:rsidR="00435BCD" w:rsidRDefault="00435BCD" w:rsidP="00435BCD">
      <w:pPr>
        <w:pStyle w:val="COMTablefooter"/>
      </w:pPr>
      <w:r>
        <w:t>Note: Censor indicated by vertical bar.</w:t>
      </w:r>
    </w:p>
    <w:p w14:paraId="159ECD28" w14:textId="6C4E396F" w:rsidR="00D56FB4" w:rsidRPr="00F1376D" w:rsidRDefault="00D56FB4" w:rsidP="00D56FB4">
      <w:pPr>
        <w:pStyle w:val="Caption"/>
      </w:pPr>
      <w:bookmarkStart w:id="31" w:name="_Ref166157748"/>
      <w:r>
        <w:t xml:space="preserve">Table </w:t>
      </w:r>
      <w:r w:rsidR="006F0D54">
        <w:fldChar w:fldCharType="begin" w:fldLock="1"/>
      </w:r>
      <w:r w:rsidR="006F0D54">
        <w:instrText xml:space="preserve"> SEQ Table \* ARABIC </w:instrText>
      </w:r>
      <w:r w:rsidR="006F0D54">
        <w:fldChar w:fldCharType="separate"/>
      </w:r>
      <w:r w:rsidR="00356F14">
        <w:rPr>
          <w:noProof/>
        </w:rPr>
        <w:t>5</w:t>
      </w:r>
      <w:r w:rsidR="006F0D54">
        <w:rPr>
          <w:noProof/>
        </w:rPr>
        <w:fldChar w:fldCharType="end"/>
      </w:r>
      <w:bookmarkEnd w:id="31"/>
      <w:r>
        <w:t>: Relapse free</w:t>
      </w:r>
      <w:r w:rsidRPr="00F1376D">
        <w:t xml:space="preserve"> survival </w:t>
      </w:r>
      <w:r>
        <w:t>in</w:t>
      </w:r>
      <w:r w:rsidRPr="00F1376D">
        <w:t xml:space="preserve"> </w:t>
      </w:r>
      <w:r>
        <w:t>MRD-negative patients in Trial E1910 (</w:t>
      </w:r>
      <w:r w:rsidRPr="00F1376D">
        <w:t>Step 3</w:t>
      </w:r>
      <w:r>
        <w:t>; FAS</w:t>
      </w:r>
      <w:r w:rsidRPr="00F1376D">
        <w:t>)</w:t>
      </w:r>
    </w:p>
    <w:tbl>
      <w:tblPr>
        <w:tblStyle w:val="ASDTable10"/>
        <w:tblW w:w="9067" w:type="dxa"/>
        <w:tblLook w:val="04A0" w:firstRow="1" w:lastRow="0" w:firstColumn="1" w:lastColumn="0" w:noHBand="0" w:noVBand="1"/>
        <w:tblCaption w:val="Table 5: Relapse free survival in MRD-negative patients in Trial E1910 (Step 3; FAS)"/>
      </w:tblPr>
      <w:tblGrid>
        <w:gridCol w:w="3539"/>
        <w:gridCol w:w="2835"/>
        <w:gridCol w:w="2693"/>
      </w:tblGrid>
      <w:tr w:rsidR="00D56FB4" w:rsidRPr="001A0889" w14:paraId="181F141E" w14:textId="77777777" w:rsidTr="00496047">
        <w:tc>
          <w:tcPr>
            <w:tcW w:w="3539" w:type="dxa"/>
            <w:shd w:val="clear" w:color="auto" w:fill="auto"/>
          </w:tcPr>
          <w:p w14:paraId="08313D4B" w14:textId="77777777" w:rsidR="00D56FB4" w:rsidRPr="001A0889" w:rsidRDefault="00D56FB4" w:rsidP="00CC2FE8">
            <w:pPr>
              <w:pStyle w:val="COMTabletext"/>
              <w:tabs>
                <w:tab w:val="right" w:pos="3430"/>
              </w:tabs>
              <w:rPr>
                <w:b/>
                <w:bCs w:val="0"/>
                <w:sz w:val="20"/>
                <w:szCs w:val="20"/>
              </w:rPr>
            </w:pPr>
          </w:p>
        </w:tc>
        <w:tc>
          <w:tcPr>
            <w:tcW w:w="2835" w:type="dxa"/>
            <w:shd w:val="clear" w:color="auto" w:fill="auto"/>
          </w:tcPr>
          <w:p w14:paraId="481766EC" w14:textId="77777777" w:rsidR="00D56FB4" w:rsidRDefault="00D56FB4" w:rsidP="00CC2FE8">
            <w:pPr>
              <w:pStyle w:val="COMTabletext"/>
              <w:jc w:val="center"/>
              <w:rPr>
                <w:b/>
                <w:bCs w:val="0"/>
                <w:sz w:val="20"/>
                <w:szCs w:val="20"/>
              </w:rPr>
            </w:pPr>
            <w:r w:rsidRPr="001A0889">
              <w:rPr>
                <w:b/>
                <w:bCs w:val="0"/>
                <w:sz w:val="20"/>
                <w:szCs w:val="20"/>
              </w:rPr>
              <w:t xml:space="preserve">Blinatumomab + </w:t>
            </w:r>
            <w:r w:rsidR="00695236">
              <w:rPr>
                <w:b/>
                <w:bCs w:val="0"/>
                <w:sz w:val="20"/>
                <w:szCs w:val="20"/>
              </w:rPr>
              <w:t>standard of care</w:t>
            </w:r>
          </w:p>
          <w:p w14:paraId="64091DD7" w14:textId="5D3CA2AB" w:rsidR="00695236" w:rsidRPr="001A0889" w:rsidRDefault="00695236" w:rsidP="00CC2FE8">
            <w:pPr>
              <w:pStyle w:val="COMTabletext"/>
              <w:jc w:val="center"/>
              <w:rPr>
                <w:b/>
                <w:bCs w:val="0"/>
                <w:sz w:val="20"/>
                <w:szCs w:val="20"/>
              </w:rPr>
            </w:pPr>
            <w:r>
              <w:rPr>
                <w:b/>
                <w:bCs w:val="0"/>
                <w:sz w:val="20"/>
                <w:szCs w:val="20"/>
              </w:rPr>
              <w:t>N=112</w:t>
            </w:r>
          </w:p>
        </w:tc>
        <w:tc>
          <w:tcPr>
            <w:tcW w:w="2693" w:type="dxa"/>
            <w:shd w:val="clear" w:color="auto" w:fill="auto"/>
          </w:tcPr>
          <w:p w14:paraId="05B707E5" w14:textId="77777777" w:rsidR="00D56FB4" w:rsidRDefault="00695236" w:rsidP="00CC2FE8">
            <w:pPr>
              <w:pStyle w:val="COMTabletext"/>
              <w:jc w:val="center"/>
              <w:rPr>
                <w:b/>
                <w:bCs w:val="0"/>
                <w:sz w:val="20"/>
                <w:szCs w:val="20"/>
              </w:rPr>
            </w:pPr>
            <w:r>
              <w:rPr>
                <w:b/>
                <w:bCs w:val="0"/>
                <w:sz w:val="20"/>
                <w:szCs w:val="20"/>
              </w:rPr>
              <w:t>Standard of care</w:t>
            </w:r>
          </w:p>
          <w:p w14:paraId="4CCAB8C4" w14:textId="73451C86" w:rsidR="00695236" w:rsidRPr="001A0889" w:rsidRDefault="00695236" w:rsidP="00CC2FE8">
            <w:pPr>
              <w:pStyle w:val="COMTabletext"/>
              <w:jc w:val="center"/>
              <w:rPr>
                <w:b/>
                <w:bCs w:val="0"/>
                <w:sz w:val="20"/>
                <w:szCs w:val="20"/>
              </w:rPr>
            </w:pPr>
            <w:r>
              <w:rPr>
                <w:b/>
                <w:bCs w:val="0"/>
                <w:sz w:val="20"/>
                <w:szCs w:val="20"/>
              </w:rPr>
              <w:t>N=112</w:t>
            </w:r>
          </w:p>
        </w:tc>
      </w:tr>
      <w:tr w:rsidR="00D56FB4" w:rsidRPr="001A0889" w14:paraId="097617DF" w14:textId="77777777" w:rsidTr="00496047">
        <w:tc>
          <w:tcPr>
            <w:tcW w:w="3539" w:type="dxa"/>
            <w:tcBorders>
              <w:bottom w:val="single" w:sz="4" w:space="0" w:color="auto"/>
            </w:tcBorders>
          </w:tcPr>
          <w:p w14:paraId="580A5B22" w14:textId="5069D5C6" w:rsidR="00D56FB4" w:rsidRPr="001A0889" w:rsidRDefault="009024A4" w:rsidP="00CC2FE8">
            <w:pPr>
              <w:pStyle w:val="COMTabletext"/>
              <w:tabs>
                <w:tab w:val="right" w:pos="3430"/>
              </w:tabs>
              <w:rPr>
                <w:sz w:val="20"/>
                <w:szCs w:val="20"/>
              </w:rPr>
            </w:pPr>
            <w:r>
              <w:rPr>
                <w:sz w:val="20"/>
                <w:szCs w:val="20"/>
              </w:rPr>
              <w:t>Median follow-up</w:t>
            </w:r>
            <w:r w:rsidR="005B0E98">
              <w:rPr>
                <w:sz w:val="20"/>
                <w:szCs w:val="20"/>
              </w:rPr>
              <w:t>, years (95% CI)</w:t>
            </w:r>
          </w:p>
        </w:tc>
        <w:tc>
          <w:tcPr>
            <w:tcW w:w="2835" w:type="dxa"/>
            <w:tcBorders>
              <w:bottom w:val="single" w:sz="4" w:space="0" w:color="auto"/>
            </w:tcBorders>
          </w:tcPr>
          <w:p w14:paraId="2057090F" w14:textId="316267B1" w:rsidR="00D56FB4" w:rsidRPr="001A0889" w:rsidRDefault="005D151B" w:rsidP="00CC2FE8">
            <w:pPr>
              <w:pStyle w:val="COMTabletext"/>
              <w:jc w:val="center"/>
              <w:rPr>
                <w:sz w:val="20"/>
                <w:szCs w:val="20"/>
              </w:rPr>
            </w:pPr>
            <w:r>
              <w:rPr>
                <w:sz w:val="20"/>
                <w:szCs w:val="20"/>
              </w:rPr>
              <w:t>4.5 (4.1, 4.7)</w:t>
            </w:r>
          </w:p>
        </w:tc>
        <w:tc>
          <w:tcPr>
            <w:tcW w:w="2693" w:type="dxa"/>
            <w:tcBorders>
              <w:bottom w:val="single" w:sz="4" w:space="0" w:color="auto"/>
            </w:tcBorders>
          </w:tcPr>
          <w:p w14:paraId="460358E5" w14:textId="42794CE7" w:rsidR="00D56FB4" w:rsidRPr="001A0889" w:rsidRDefault="005D151B" w:rsidP="00CC2FE8">
            <w:pPr>
              <w:pStyle w:val="COMTabletext"/>
              <w:jc w:val="center"/>
              <w:rPr>
                <w:sz w:val="20"/>
                <w:szCs w:val="20"/>
              </w:rPr>
            </w:pPr>
            <w:r>
              <w:rPr>
                <w:sz w:val="20"/>
                <w:szCs w:val="20"/>
              </w:rPr>
              <w:t>4.5 (4.0, 4.6)</w:t>
            </w:r>
          </w:p>
        </w:tc>
      </w:tr>
      <w:tr w:rsidR="009024A4" w:rsidRPr="001A0889" w14:paraId="7C79A99B" w14:textId="77777777" w:rsidTr="00496047">
        <w:tc>
          <w:tcPr>
            <w:tcW w:w="3539" w:type="dxa"/>
            <w:tcBorders>
              <w:bottom w:val="nil"/>
            </w:tcBorders>
          </w:tcPr>
          <w:p w14:paraId="57056336" w14:textId="4CEFCE9A" w:rsidR="009024A4" w:rsidRPr="001A0889" w:rsidRDefault="009024A4" w:rsidP="009024A4">
            <w:pPr>
              <w:pStyle w:val="COMTabletext"/>
              <w:tabs>
                <w:tab w:val="right" w:pos="3430"/>
              </w:tabs>
              <w:rPr>
                <w:szCs w:val="20"/>
              </w:rPr>
            </w:pPr>
            <w:r w:rsidRPr="001A0889">
              <w:rPr>
                <w:sz w:val="20"/>
                <w:szCs w:val="20"/>
              </w:rPr>
              <w:t>Events, n (%)</w:t>
            </w:r>
          </w:p>
        </w:tc>
        <w:tc>
          <w:tcPr>
            <w:tcW w:w="2835" w:type="dxa"/>
            <w:tcBorders>
              <w:bottom w:val="nil"/>
            </w:tcBorders>
          </w:tcPr>
          <w:p w14:paraId="04BBE311" w14:textId="26D5B70C" w:rsidR="009024A4" w:rsidRPr="00E2580F" w:rsidRDefault="009024A4" w:rsidP="009024A4">
            <w:pPr>
              <w:pStyle w:val="COMTabletext"/>
              <w:jc w:val="center"/>
              <w:rPr>
                <w:rFonts w:eastAsia="Times New Roman"/>
              </w:rPr>
            </w:pPr>
            <w:r w:rsidRPr="00E2580F">
              <w:rPr>
                <w:rFonts w:eastAsia="Times New Roman"/>
                <w:sz w:val="20"/>
              </w:rPr>
              <w:t>25 (22.3</w:t>
            </w:r>
            <w:r>
              <w:rPr>
                <w:rFonts w:eastAsia="Times New Roman"/>
                <w:sz w:val="20"/>
              </w:rPr>
              <w:t>%)</w:t>
            </w:r>
          </w:p>
        </w:tc>
        <w:tc>
          <w:tcPr>
            <w:tcW w:w="2693" w:type="dxa"/>
            <w:tcBorders>
              <w:bottom w:val="nil"/>
            </w:tcBorders>
          </w:tcPr>
          <w:p w14:paraId="3702AB7D" w14:textId="6FDC1DAD" w:rsidR="009024A4" w:rsidRPr="00E2580F" w:rsidRDefault="009024A4" w:rsidP="009024A4">
            <w:pPr>
              <w:pStyle w:val="COMTabletext"/>
              <w:jc w:val="center"/>
              <w:rPr>
                <w:rFonts w:eastAsia="Times New Roman"/>
              </w:rPr>
            </w:pPr>
            <w:r w:rsidRPr="00E2580F">
              <w:rPr>
                <w:rFonts w:eastAsia="Times New Roman"/>
                <w:sz w:val="20"/>
              </w:rPr>
              <w:t>43 (38.4</w:t>
            </w:r>
            <w:r>
              <w:rPr>
                <w:rFonts w:eastAsia="Times New Roman"/>
                <w:sz w:val="20"/>
              </w:rPr>
              <w:t>%)</w:t>
            </w:r>
          </w:p>
        </w:tc>
      </w:tr>
      <w:tr w:rsidR="009024A4" w:rsidRPr="007E780F" w14:paraId="2B41C640" w14:textId="77777777" w:rsidTr="00496047">
        <w:tc>
          <w:tcPr>
            <w:tcW w:w="3539" w:type="dxa"/>
            <w:tcBorders>
              <w:top w:val="nil"/>
              <w:bottom w:val="nil"/>
            </w:tcBorders>
          </w:tcPr>
          <w:p w14:paraId="127E6EDA" w14:textId="77777777" w:rsidR="009024A4" w:rsidRPr="007E780F" w:rsidRDefault="009024A4" w:rsidP="009024A4">
            <w:pPr>
              <w:pStyle w:val="COMTabletext"/>
              <w:tabs>
                <w:tab w:val="right" w:pos="3430"/>
              </w:tabs>
              <w:rPr>
                <w:sz w:val="20"/>
                <w:szCs w:val="20"/>
              </w:rPr>
            </w:pPr>
            <w:r>
              <w:rPr>
                <w:sz w:val="20"/>
                <w:szCs w:val="20"/>
              </w:rPr>
              <w:t xml:space="preserve">- </w:t>
            </w:r>
            <w:r w:rsidRPr="007E780F">
              <w:rPr>
                <w:sz w:val="20"/>
                <w:szCs w:val="20"/>
              </w:rPr>
              <w:t>Relapse</w:t>
            </w:r>
          </w:p>
        </w:tc>
        <w:tc>
          <w:tcPr>
            <w:tcW w:w="2835" w:type="dxa"/>
            <w:tcBorders>
              <w:top w:val="nil"/>
              <w:bottom w:val="nil"/>
            </w:tcBorders>
          </w:tcPr>
          <w:p w14:paraId="176F5473" w14:textId="77777777" w:rsidR="009024A4" w:rsidRPr="007E780F" w:rsidRDefault="009024A4" w:rsidP="009024A4">
            <w:pPr>
              <w:pStyle w:val="COMTabletext"/>
              <w:jc w:val="center"/>
              <w:rPr>
                <w:sz w:val="20"/>
                <w:szCs w:val="20"/>
              </w:rPr>
            </w:pPr>
            <w:r w:rsidRPr="00E2580F">
              <w:rPr>
                <w:rFonts w:eastAsia="Times New Roman"/>
                <w:sz w:val="20"/>
              </w:rPr>
              <w:t>15 (13.4</w:t>
            </w:r>
            <w:r>
              <w:rPr>
                <w:rFonts w:eastAsia="Times New Roman"/>
                <w:sz w:val="20"/>
              </w:rPr>
              <w:t>%)</w:t>
            </w:r>
          </w:p>
        </w:tc>
        <w:tc>
          <w:tcPr>
            <w:tcW w:w="2693" w:type="dxa"/>
            <w:tcBorders>
              <w:top w:val="nil"/>
              <w:bottom w:val="nil"/>
            </w:tcBorders>
          </w:tcPr>
          <w:p w14:paraId="25077C8C" w14:textId="77777777" w:rsidR="009024A4" w:rsidRPr="007E780F" w:rsidRDefault="009024A4" w:rsidP="009024A4">
            <w:pPr>
              <w:pStyle w:val="COMTabletext"/>
              <w:jc w:val="center"/>
              <w:rPr>
                <w:sz w:val="20"/>
                <w:szCs w:val="20"/>
              </w:rPr>
            </w:pPr>
            <w:r w:rsidRPr="00E2580F">
              <w:rPr>
                <w:rFonts w:eastAsia="Times New Roman"/>
                <w:sz w:val="20"/>
              </w:rPr>
              <w:t>32 (28.6</w:t>
            </w:r>
            <w:r>
              <w:rPr>
                <w:rFonts w:eastAsia="Times New Roman"/>
                <w:sz w:val="20"/>
              </w:rPr>
              <w:t>%)</w:t>
            </w:r>
          </w:p>
        </w:tc>
      </w:tr>
      <w:tr w:rsidR="009024A4" w:rsidRPr="001A0889" w14:paraId="069BCC95" w14:textId="77777777" w:rsidTr="00496047">
        <w:tc>
          <w:tcPr>
            <w:tcW w:w="3539" w:type="dxa"/>
            <w:tcBorders>
              <w:top w:val="nil"/>
              <w:bottom w:val="single" w:sz="4" w:space="0" w:color="auto"/>
            </w:tcBorders>
          </w:tcPr>
          <w:p w14:paraId="155F525B" w14:textId="77777777" w:rsidR="009024A4" w:rsidRPr="001A0889" w:rsidRDefault="009024A4" w:rsidP="009024A4">
            <w:pPr>
              <w:pStyle w:val="COMTabletext"/>
              <w:tabs>
                <w:tab w:val="right" w:pos="3430"/>
              </w:tabs>
              <w:rPr>
                <w:sz w:val="20"/>
                <w:szCs w:val="20"/>
              </w:rPr>
            </w:pPr>
            <w:r>
              <w:rPr>
                <w:sz w:val="20"/>
                <w:szCs w:val="20"/>
              </w:rPr>
              <w:t xml:space="preserve">- </w:t>
            </w:r>
            <w:r w:rsidRPr="001A0889">
              <w:rPr>
                <w:sz w:val="20"/>
                <w:szCs w:val="20"/>
              </w:rPr>
              <w:t>Death due to any cause</w:t>
            </w:r>
          </w:p>
        </w:tc>
        <w:tc>
          <w:tcPr>
            <w:tcW w:w="2835" w:type="dxa"/>
            <w:tcBorders>
              <w:top w:val="nil"/>
              <w:bottom w:val="single" w:sz="4" w:space="0" w:color="auto"/>
            </w:tcBorders>
          </w:tcPr>
          <w:p w14:paraId="04E71D04" w14:textId="77777777" w:rsidR="009024A4" w:rsidRPr="001A0889" w:rsidRDefault="009024A4" w:rsidP="009024A4">
            <w:pPr>
              <w:pStyle w:val="COMTabletext"/>
              <w:jc w:val="center"/>
              <w:rPr>
                <w:sz w:val="20"/>
                <w:szCs w:val="20"/>
              </w:rPr>
            </w:pPr>
            <w:r w:rsidRPr="00E2580F">
              <w:rPr>
                <w:rFonts w:eastAsia="Times New Roman"/>
                <w:sz w:val="20"/>
              </w:rPr>
              <w:t>10 (8.9</w:t>
            </w:r>
            <w:r>
              <w:rPr>
                <w:rFonts w:eastAsia="Times New Roman"/>
                <w:sz w:val="20"/>
              </w:rPr>
              <w:t>%)</w:t>
            </w:r>
          </w:p>
        </w:tc>
        <w:tc>
          <w:tcPr>
            <w:tcW w:w="2693" w:type="dxa"/>
            <w:tcBorders>
              <w:top w:val="nil"/>
              <w:bottom w:val="single" w:sz="4" w:space="0" w:color="auto"/>
            </w:tcBorders>
          </w:tcPr>
          <w:p w14:paraId="3150DF85" w14:textId="77777777" w:rsidR="009024A4" w:rsidRPr="001A0889" w:rsidRDefault="009024A4" w:rsidP="009024A4">
            <w:pPr>
              <w:pStyle w:val="COMTabletext"/>
              <w:jc w:val="center"/>
              <w:rPr>
                <w:sz w:val="20"/>
                <w:szCs w:val="20"/>
              </w:rPr>
            </w:pPr>
            <w:r w:rsidRPr="00E2580F">
              <w:rPr>
                <w:rFonts w:eastAsia="Times New Roman"/>
                <w:sz w:val="20"/>
              </w:rPr>
              <w:t>11 (9.8</w:t>
            </w:r>
            <w:r>
              <w:rPr>
                <w:rFonts w:eastAsia="Times New Roman"/>
                <w:sz w:val="20"/>
              </w:rPr>
              <w:t>%)</w:t>
            </w:r>
          </w:p>
        </w:tc>
      </w:tr>
      <w:tr w:rsidR="009024A4" w:rsidRPr="001A0889" w14:paraId="6B323E5D" w14:textId="77777777" w:rsidTr="00496047">
        <w:tc>
          <w:tcPr>
            <w:tcW w:w="3539" w:type="dxa"/>
            <w:tcBorders>
              <w:bottom w:val="nil"/>
            </w:tcBorders>
          </w:tcPr>
          <w:p w14:paraId="22042CC0" w14:textId="77777777" w:rsidR="009024A4" w:rsidRPr="001A0889" w:rsidRDefault="009024A4" w:rsidP="009024A4">
            <w:pPr>
              <w:pStyle w:val="COMTabletext"/>
              <w:tabs>
                <w:tab w:val="right" w:pos="3430"/>
              </w:tabs>
              <w:rPr>
                <w:sz w:val="20"/>
                <w:szCs w:val="20"/>
              </w:rPr>
            </w:pPr>
            <w:r w:rsidRPr="001A0889">
              <w:rPr>
                <w:sz w:val="20"/>
                <w:szCs w:val="20"/>
              </w:rPr>
              <w:t>Censored, n (%)</w:t>
            </w:r>
          </w:p>
        </w:tc>
        <w:tc>
          <w:tcPr>
            <w:tcW w:w="2835" w:type="dxa"/>
            <w:tcBorders>
              <w:bottom w:val="nil"/>
            </w:tcBorders>
          </w:tcPr>
          <w:p w14:paraId="15357335" w14:textId="77777777" w:rsidR="009024A4" w:rsidRPr="001A0889" w:rsidRDefault="009024A4" w:rsidP="009024A4">
            <w:pPr>
              <w:pStyle w:val="COMTabletext"/>
              <w:jc w:val="center"/>
              <w:rPr>
                <w:sz w:val="20"/>
                <w:szCs w:val="20"/>
              </w:rPr>
            </w:pPr>
            <w:r w:rsidRPr="00E2580F">
              <w:rPr>
                <w:rFonts w:eastAsia="Times New Roman"/>
                <w:sz w:val="20"/>
              </w:rPr>
              <w:t>87 (77.7</w:t>
            </w:r>
            <w:r>
              <w:rPr>
                <w:rFonts w:eastAsia="Times New Roman"/>
                <w:sz w:val="20"/>
              </w:rPr>
              <w:t>%)</w:t>
            </w:r>
          </w:p>
        </w:tc>
        <w:tc>
          <w:tcPr>
            <w:tcW w:w="2693" w:type="dxa"/>
            <w:tcBorders>
              <w:bottom w:val="nil"/>
            </w:tcBorders>
          </w:tcPr>
          <w:p w14:paraId="3E91673C" w14:textId="77777777" w:rsidR="009024A4" w:rsidRPr="001A0889" w:rsidRDefault="009024A4" w:rsidP="009024A4">
            <w:pPr>
              <w:pStyle w:val="COMTabletext"/>
              <w:jc w:val="center"/>
              <w:rPr>
                <w:sz w:val="20"/>
                <w:szCs w:val="20"/>
              </w:rPr>
            </w:pPr>
            <w:r w:rsidRPr="00E2580F">
              <w:rPr>
                <w:rFonts w:eastAsia="Times New Roman"/>
                <w:sz w:val="20"/>
              </w:rPr>
              <w:t>69 (61.6</w:t>
            </w:r>
            <w:r>
              <w:rPr>
                <w:rFonts w:eastAsia="Times New Roman"/>
                <w:sz w:val="20"/>
              </w:rPr>
              <w:t>%)</w:t>
            </w:r>
          </w:p>
        </w:tc>
      </w:tr>
      <w:tr w:rsidR="009024A4" w:rsidRPr="007740B0" w14:paraId="3F82CC2B" w14:textId="77777777" w:rsidTr="00496047">
        <w:tc>
          <w:tcPr>
            <w:tcW w:w="3539" w:type="dxa"/>
            <w:tcBorders>
              <w:top w:val="nil"/>
              <w:bottom w:val="nil"/>
            </w:tcBorders>
          </w:tcPr>
          <w:p w14:paraId="018F6043" w14:textId="77777777" w:rsidR="009024A4" w:rsidRPr="007740B0" w:rsidRDefault="009024A4" w:rsidP="009024A4">
            <w:pPr>
              <w:pStyle w:val="COMTabletext"/>
              <w:tabs>
                <w:tab w:val="right" w:pos="3430"/>
              </w:tabs>
              <w:rPr>
                <w:sz w:val="20"/>
                <w:szCs w:val="20"/>
              </w:rPr>
            </w:pPr>
            <w:r>
              <w:rPr>
                <w:sz w:val="20"/>
                <w:szCs w:val="20"/>
              </w:rPr>
              <w:t xml:space="preserve">- </w:t>
            </w:r>
            <w:r w:rsidRPr="007740B0">
              <w:rPr>
                <w:sz w:val="20"/>
                <w:szCs w:val="20"/>
              </w:rPr>
              <w:t>Relapse before start of RFS assessment</w:t>
            </w:r>
          </w:p>
        </w:tc>
        <w:tc>
          <w:tcPr>
            <w:tcW w:w="2835" w:type="dxa"/>
            <w:tcBorders>
              <w:top w:val="nil"/>
              <w:bottom w:val="nil"/>
            </w:tcBorders>
          </w:tcPr>
          <w:p w14:paraId="746CA229" w14:textId="501604DD" w:rsidR="009024A4" w:rsidRPr="007740B0" w:rsidRDefault="009024A4" w:rsidP="009024A4">
            <w:pPr>
              <w:pStyle w:val="COMTabletext"/>
              <w:jc w:val="center"/>
              <w:rPr>
                <w:rFonts w:eastAsia="Times New Roman"/>
                <w:sz w:val="20"/>
                <w:szCs w:val="20"/>
              </w:rPr>
            </w:pPr>
            <w:r w:rsidRPr="00E2580F">
              <w:rPr>
                <w:rFonts w:eastAsia="Times New Roman"/>
                <w:sz w:val="20"/>
              </w:rPr>
              <w:t>0</w:t>
            </w:r>
          </w:p>
        </w:tc>
        <w:tc>
          <w:tcPr>
            <w:tcW w:w="2693" w:type="dxa"/>
            <w:tcBorders>
              <w:top w:val="nil"/>
              <w:bottom w:val="nil"/>
            </w:tcBorders>
          </w:tcPr>
          <w:p w14:paraId="0695E51A" w14:textId="1721595F" w:rsidR="009024A4" w:rsidRPr="007740B0" w:rsidRDefault="009024A4" w:rsidP="009024A4">
            <w:pPr>
              <w:pStyle w:val="COMTabletext"/>
              <w:jc w:val="center"/>
              <w:rPr>
                <w:rFonts w:eastAsia="Times New Roman"/>
                <w:sz w:val="20"/>
                <w:szCs w:val="20"/>
              </w:rPr>
            </w:pPr>
            <w:r w:rsidRPr="00E2580F">
              <w:rPr>
                <w:rFonts w:eastAsia="Times New Roman"/>
                <w:sz w:val="20"/>
              </w:rPr>
              <w:t>0</w:t>
            </w:r>
          </w:p>
        </w:tc>
      </w:tr>
      <w:tr w:rsidR="009024A4" w:rsidRPr="001A0889" w14:paraId="33B25997" w14:textId="77777777" w:rsidTr="00496047">
        <w:tc>
          <w:tcPr>
            <w:tcW w:w="3539" w:type="dxa"/>
            <w:tcBorders>
              <w:top w:val="nil"/>
              <w:bottom w:val="nil"/>
            </w:tcBorders>
          </w:tcPr>
          <w:p w14:paraId="17DF7087" w14:textId="77777777" w:rsidR="009024A4" w:rsidRPr="001A0889" w:rsidRDefault="009024A4" w:rsidP="009024A4">
            <w:pPr>
              <w:pStyle w:val="COMTabletext"/>
              <w:tabs>
                <w:tab w:val="right" w:pos="3430"/>
              </w:tabs>
              <w:rPr>
                <w:sz w:val="20"/>
                <w:szCs w:val="20"/>
              </w:rPr>
            </w:pPr>
            <w:r>
              <w:rPr>
                <w:sz w:val="20"/>
                <w:szCs w:val="20"/>
              </w:rPr>
              <w:t xml:space="preserve">- </w:t>
            </w:r>
            <w:r w:rsidRPr="001A0889">
              <w:rPr>
                <w:sz w:val="20"/>
                <w:szCs w:val="20"/>
              </w:rPr>
              <w:t>Completed study without event</w:t>
            </w:r>
          </w:p>
        </w:tc>
        <w:tc>
          <w:tcPr>
            <w:tcW w:w="2835" w:type="dxa"/>
            <w:tcBorders>
              <w:top w:val="nil"/>
              <w:bottom w:val="nil"/>
            </w:tcBorders>
          </w:tcPr>
          <w:p w14:paraId="71ECBBE3" w14:textId="6B0002BC" w:rsidR="009024A4" w:rsidRPr="001A0889" w:rsidRDefault="009024A4" w:rsidP="009024A4">
            <w:pPr>
              <w:pStyle w:val="COMTabletext"/>
              <w:jc w:val="center"/>
              <w:rPr>
                <w:sz w:val="20"/>
                <w:szCs w:val="20"/>
              </w:rPr>
            </w:pPr>
            <w:r w:rsidRPr="00E2580F">
              <w:rPr>
                <w:rFonts w:eastAsia="Times New Roman"/>
                <w:sz w:val="20"/>
              </w:rPr>
              <w:t>0</w:t>
            </w:r>
          </w:p>
        </w:tc>
        <w:tc>
          <w:tcPr>
            <w:tcW w:w="2693" w:type="dxa"/>
            <w:tcBorders>
              <w:top w:val="nil"/>
              <w:bottom w:val="nil"/>
            </w:tcBorders>
          </w:tcPr>
          <w:p w14:paraId="21F0F34B" w14:textId="24B5146D" w:rsidR="009024A4" w:rsidRPr="001A0889" w:rsidRDefault="009024A4" w:rsidP="009024A4">
            <w:pPr>
              <w:pStyle w:val="COMTabletext"/>
              <w:jc w:val="center"/>
              <w:rPr>
                <w:sz w:val="20"/>
                <w:szCs w:val="20"/>
              </w:rPr>
            </w:pPr>
            <w:r w:rsidRPr="00E2580F">
              <w:rPr>
                <w:rFonts w:eastAsia="Times New Roman"/>
                <w:sz w:val="20"/>
              </w:rPr>
              <w:t>0</w:t>
            </w:r>
          </w:p>
        </w:tc>
      </w:tr>
      <w:tr w:rsidR="009024A4" w:rsidRPr="001A0889" w14:paraId="68DB7E84" w14:textId="77777777" w:rsidTr="00496047">
        <w:tc>
          <w:tcPr>
            <w:tcW w:w="3539" w:type="dxa"/>
            <w:tcBorders>
              <w:top w:val="nil"/>
              <w:bottom w:val="nil"/>
            </w:tcBorders>
          </w:tcPr>
          <w:p w14:paraId="5C23CB6C" w14:textId="77777777" w:rsidR="009024A4" w:rsidRPr="001A0889" w:rsidRDefault="009024A4" w:rsidP="009024A4">
            <w:pPr>
              <w:pStyle w:val="COMTabletext"/>
              <w:tabs>
                <w:tab w:val="right" w:pos="3430"/>
              </w:tabs>
              <w:rPr>
                <w:sz w:val="20"/>
                <w:szCs w:val="20"/>
              </w:rPr>
            </w:pPr>
            <w:r>
              <w:rPr>
                <w:sz w:val="20"/>
                <w:szCs w:val="20"/>
              </w:rPr>
              <w:t xml:space="preserve">- </w:t>
            </w:r>
            <w:proofErr w:type="gramStart"/>
            <w:r w:rsidRPr="001A0889">
              <w:rPr>
                <w:sz w:val="20"/>
                <w:szCs w:val="20"/>
              </w:rPr>
              <w:t>Continues on</w:t>
            </w:r>
            <w:proofErr w:type="gramEnd"/>
            <w:r w:rsidRPr="001A0889">
              <w:rPr>
                <w:sz w:val="20"/>
                <w:szCs w:val="20"/>
              </w:rPr>
              <w:t xml:space="preserve"> study</w:t>
            </w:r>
          </w:p>
        </w:tc>
        <w:tc>
          <w:tcPr>
            <w:tcW w:w="2835" w:type="dxa"/>
            <w:tcBorders>
              <w:top w:val="nil"/>
              <w:bottom w:val="nil"/>
            </w:tcBorders>
          </w:tcPr>
          <w:p w14:paraId="643FD8B5" w14:textId="77777777" w:rsidR="009024A4" w:rsidRPr="001A0889" w:rsidRDefault="009024A4" w:rsidP="009024A4">
            <w:pPr>
              <w:pStyle w:val="COMTabletext"/>
              <w:jc w:val="center"/>
              <w:rPr>
                <w:sz w:val="20"/>
                <w:szCs w:val="20"/>
              </w:rPr>
            </w:pPr>
            <w:r w:rsidRPr="00E2580F">
              <w:rPr>
                <w:rFonts w:eastAsia="Times New Roman"/>
                <w:sz w:val="20"/>
              </w:rPr>
              <w:t>84 (75.0</w:t>
            </w:r>
            <w:r>
              <w:rPr>
                <w:rFonts w:eastAsia="Times New Roman"/>
                <w:sz w:val="20"/>
              </w:rPr>
              <w:t>%)</w:t>
            </w:r>
          </w:p>
        </w:tc>
        <w:tc>
          <w:tcPr>
            <w:tcW w:w="2693" w:type="dxa"/>
            <w:tcBorders>
              <w:top w:val="nil"/>
              <w:bottom w:val="nil"/>
            </w:tcBorders>
          </w:tcPr>
          <w:p w14:paraId="006975DE" w14:textId="77777777" w:rsidR="009024A4" w:rsidRPr="001A0889" w:rsidRDefault="009024A4" w:rsidP="009024A4">
            <w:pPr>
              <w:pStyle w:val="COMTabletext"/>
              <w:jc w:val="center"/>
              <w:rPr>
                <w:sz w:val="20"/>
                <w:szCs w:val="20"/>
              </w:rPr>
            </w:pPr>
            <w:r w:rsidRPr="00E2580F">
              <w:rPr>
                <w:rFonts w:eastAsia="Times New Roman"/>
                <w:sz w:val="20"/>
              </w:rPr>
              <w:t>61 (54.5</w:t>
            </w:r>
            <w:r>
              <w:rPr>
                <w:rFonts w:eastAsia="Times New Roman"/>
                <w:sz w:val="20"/>
              </w:rPr>
              <w:t>%)</w:t>
            </w:r>
          </w:p>
        </w:tc>
      </w:tr>
      <w:tr w:rsidR="009024A4" w:rsidRPr="001A0889" w14:paraId="4F4A0F66" w14:textId="77777777" w:rsidTr="00496047">
        <w:tc>
          <w:tcPr>
            <w:tcW w:w="3539" w:type="dxa"/>
            <w:tcBorders>
              <w:top w:val="nil"/>
            </w:tcBorders>
          </w:tcPr>
          <w:p w14:paraId="479188FD" w14:textId="77777777" w:rsidR="009024A4" w:rsidRPr="001A0889" w:rsidRDefault="009024A4" w:rsidP="009024A4">
            <w:pPr>
              <w:pStyle w:val="COMTabletext"/>
              <w:tabs>
                <w:tab w:val="right" w:pos="3430"/>
              </w:tabs>
              <w:rPr>
                <w:sz w:val="20"/>
                <w:szCs w:val="20"/>
              </w:rPr>
            </w:pPr>
            <w:r>
              <w:rPr>
                <w:sz w:val="20"/>
                <w:szCs w:val="20"/>
              </w:rPr>
              <w:t xml:space="preserve">- </w:t>
            </w:r>
            <w:r w:rsidRPr="001A0889">
              <w:rPr>
                <w:sz w:val="20"/>
                <w:szCs w:val="20"/>
              </w:rPr>
              <w:t>Discontinued study</w:t>
            </w:r>
          </w:p>
        </w:tc>
        <w:tc>
          <w:tcPr>
            <w:tcW w:w="2835" w:type="dxa"/>
            <w:tcBorders>
              <w:top w:val="nil"/>
            </w:tcBorders>
          </w:tcPr>
          <w:p w14:paraId="35411D84" w14:textId="77777777" w:rsidR="009024A4" w:rsidRPr="001A0889" w:rsidRDefault="009024A4" w:rsidP="009024A4">
            <w:pPr>
              <w:pStyle w:val="COMTabletext"/>
              <w:jc w:val="center"/>
              <w:rPr>
                <w:sz w:val="20"/>
                <w:szCs w:val="20"/>
              </w:rPr>
            </w:pPr>
            <w:r w:rsidRPr="00E2580F">
              <w:rPr>
                <w:rFonts w:eastAsia="Times New Roman"/>
                <w:sz w:val="20"/>
              </w:rPr>
              <w:t>3 (2.7</w:t>
            </w:r>
            <w:r>
              <w:rPr>
                <w:rFonts w:eastAsia="Times New Roman"/>
                <w:sz w:val="20"/>
              </w:rPr>
              <w:t>%)</w:t>
            </w:r>
          </w:p>
        </w:tc>
        <w:tc>
          <w:tcPr>
            <w:tcW w:w="2693" w:type="dxa"/>
            <w:tcBorders>
              <w:top w:val="nil"/>
            </w:tcBorders>
          </w:tcPr>
          <w:p w14:paraId="1E160EFF" w14:textId="77777777" w:rsidR="009024A4" w:rsidRPr="001A0889" w:rsidRDefault="009024A4" w:rsidP="009024A4">
            <w:pPr>
              <w:pStyle w:val="COMTabletext"/>
              <w:jc w:val="center"/>
              <w:rPr>
                <w:sz w:val="20"/>
                <w:szCs w:val="20"/>
              </w:rPr>
            </w:pPr>
            <w:r w:rsidRPr="00E2580F">
              <w:rPr>
                <w:rFonts w:eastAsia="Times New Roman"/>
                <w:sz w:val="20"/>
              </w:rPr>
              <w:t>8 (7.1</w:t>
            </w:r>
            <w:r>
              <w:rPr>
                <w:rFonts w:eastAsia="Times New Roman"/>
                <w:sz w:val="20"/>
              </w:rPr>
              <w:t>%)</w:t>
            </w:r>
          </w:p>
        </w:tc>
      </w:tr>
      <w:tr w:rsidR="009024A4" w:rsidRPr="001A0889" w14:paraId="3415B0A6" w14:textId="77777777" w:rsidTr="00496047">
        <w:tc>
          <w:tcPr>
            <w:tcW w:w="3539" w:type="dxa"/>
          </w:tcPr>
          <w:p w14:paraId="673D8FD3" w14:textId="77777777" w:rsidR="009024A4" w:rsidRPr="001A0889" w:rsidRDefault="009024A4" w:rsidP="009024A4">
            <w:pPr>
              <w:pStyle w:val="COMTabletext"/>
              <w:tabs>
                <w:tab w:val="right" w:pos="3430"/>
              </w:tabs>
              <w:rPr>
                <w:sz w:val="20"/>
                <w:szCs w:val="20"/>
              </w:rPr>
            </w:pPr>
            <w:r>
              <w:rPr>
                <w:sz w:val="20"/>
                <w:szCs w:val="20"/>
              </w:rPr>
              <w:t>Median time to censoring, years (95%, CI)</w:t>
            </w:r>
          </w:p>
        </w:tc>
        <w:tc>
          <w:tcPr>
            <w:tcW w:w="2835" w:type="dxa"/>
          </w:tcPr>
          <w:p w14:paraId="3FC36E57" w14:textId="77777777" w:rsidR="009024A4" w:rsidRPr="001A0889" w:rsidRDefault="009024A4" w:rsidP="009024A4">
            <w:pPr>
              <w:pStyle w:val="COMTabletext"/>
              <w:tabs>
                <w:tab w:val="left" w:pos="687"/>
                <w:tab w:val="center" w:pos="1132"/>
              </w:tabs>
              <w:jc w:val="center"/>
              <w:rPr>
                <w:sz w:val="20"/>
                <w:szCs w:val="20"/>
              </w:rPr>
            </w:pPr>
            <w:r w:rsidRPr="00E2580F">
              <w:rPr>
                <w:rFonts w:eastAsia="Times New Roman"/>
                <w:sz w:val="20"/>
              </w:rPr>
              <w:t>4.5 (4.1, 4.7)</w:t>
            </w:r>
          </w:p>
        </w:tc>
        <w:tc>
          <w:tcPr>
            <w:tcW w:w="2693" w:type="dxa"/>
          </w:tcPr>
          <w:p w14:paraId="476CCD88" w14:textId="77777777" w:rsidR="009024A4" w:rsidRPr="001A0889" w:rsidRDefault="009024A4" w:rsidP="009024A4">
            <w:pPr>
              <w:pStyle w:val="COMTabletext"/>
              <w:jc w:val="center"/>
              <w:rPr>
                <w:sz w:val="20"/>
                <w:szCs w:val="20"/>
              </w:rPr>
            </w:pPr>
            <w:r w:rsidRPr="00E2580F">
              <w:rPr>
                <w:rFonts w:eastAsia="Times New Roman"/>
                <w:sz w:val="20"/>
              </w:rPr>
              <w:t>4.5 (4.0, 4.6)</w:t>
            </w:r>
          </w:p>
        </w:tc>
      </w:tr>
      <w:tr w:rsidR="009024A4" w:rsidRPr="001A0889" w14:paraId="32C96D6C" w14:textId="77777777" w:rsidTr="00496047">
        <w:tc>
          <w:tcPr>
            <w:tcW w:w="3539" w:type="dxa"/>
            <w:tcBorders>
              <w:bottom w:val="single" w:sz="4" w:space="0" w:color="auto"/>
            </w:tcBorders>
          </w:tcPr>
          <w:p w14:paraId="3F26ACC4" w14:textId="77777777" w:rsidR="009024A4" w:rsidRPr="001A0889" w:rsidRDefault="009024A4" w:rsidP="009024A4">
            <w:pPr>
              <w:pStyle w:val="COMTabletext"/>
              <w:tabs>
                <w:tab w:val="right" w:pos="3430"/>
              </w:tabs>
              <w:rPr>
                <w:sz w:val="20"/>
                <w:szCs w:val="20"/>
              </w:rPr>
            </w:pPr>
            <w:r w:rsidRPr="001A0889">
              <w:rPr>
                <w:sz w:val="20"/>
                <w:szCs w:val="20"/>
              </w:rPr>
              <w:t>Median time to event, years (95% CI)</w:t>
            </w:r>
          </w:p>
        </w:tc>
        <w:tc>
          <w:tcPr>
            <w:tcW w:w="2835" w:type="dxa"/>
            <w:tcBorders>
              <w:bottom w:val="single" w:sz="4" w:space="0" w:color="auto"/>
            </w:tcBorders>
          </w:tcPr>
          <w:p w14:paraId="49BEBA96" w14:textId="77777777" w:rsidR="009024A4" w:rsidRPr="001A0889" w:rsidRDefault="009024A4" w:rsidP="009024A4">
            <w:pPr>
              <w:pStyle w:val="COMTabletext"/>
              <w:jc w:val="center"/>
              <w:rPr>
                <w:sz w:val="20"/>
                <w:szCs w:val="20"/>
              </w:rPr>
            </w:pPr>
            <w:r w:rsidRPr="00E2580F">
              <w:rPr>
                <w:rFonts w:eastAsia="Times New Roman"/>
                <w:sz w:val="20"/>
              </w:rPr>
              <w:t>NE (NE, NE)</w:t>
            </w:r>
          </w:p>
        </w:tc>
        <w:tc>
          <w:tcPr>
            <w:tcW w:w="2693" w:type="dxa"/>
            <w:tcBorders>
              <w:bottom w:val="single" w:sz="4" w:space="0" w:color="auto"/>
            </w:tcBorders>
          </w:tcPr>
          <w:p w14:paraId="3508EF19" w14:textId="77777777" w:rsidR="009024A4" w:rsidRPr="001A0889" w:rsidRDefault="009024A4" w:rsidP="009024A4">
            <w:pPr>
              <w:pStyle w:val="COMTabletext"/>
              <w:jc w:val="center"/>
              <w:rPr>
                <w:sz w:val="20"/>
                <w:szCs w:val="20"/>
              </w:rPr>
            </w:pPr>
            <w:r w:rsidRPr="00E2580F">
              <w:rPr>
                <w:rFonts w:eastAsia="Times New Roman"/>
                <w:sz w:val="20"/>
              </w:rPr>
              <w:t>NE (5.1, NE)</w:t>
            </w:r>
          </w:p>
        </w:tc>
      </w:tr>
      <w:tr w:rsidR="009024A4" w:rsidRPr="001A0889" w14:paraId="3945119F" w14:textId="77777777" w:rsidTr="00496047">
        <w:tc>
          <w:tcPr>
            <w:tcW w:w="3539" w:type="dxa"/>
            <w:tcBorders>
              <w:bottom w:val="nil"/>
            </w:tcBorders>
          </w:tcPr>
          <w:p w14:paraId="74778BD1" w14:textId="65984054" w:rsidR="009024A4" w:rsidRPr="001A0889" w:rsidRDefault="009024A4" w:rsidP="009024A4">
            <w:pPr>
              <w:pStyle w:val="COMTabletext"/>
              <w:tabs>
                <w:tab w:val="right" w:pos="3430"/>
              </w:tabs>
              <w:rPr>
                <w:sz w:val="20"/>
                <w:szCs w:val="20"/>
              </w:rPr>
            </w:pPr>
            <w:r>
              <w:rPr>
                <w:sz w:val="20"/>
                <w:szCs w:val="20"/>
              </w:rPr>
              <w:t>Kaplan-Meier</w:t>
            </w:r>
            <w:r w:rsidRPr="001A0889">
              <w:rPr>
                <w:sz w:val="20"/>
                <w:szCs w:val="20"/>
              </w:rPr>
              <w:t xml:space="preserve"> estimate, % (95% CI)</w:t>
            </w:r>
          </w:p>
        </w:tc>
        <w:tc>
          <w:tcPr>
            <w:tcW w:w="2835" w:type="dxa"/>
            <w:tcBorders>
              <w:bottom w:val="nil"/>
            </w:tcBorders>
          </w:tcPr>
          <w:p w14:paraId="293BCAFC" w14:textId="4F050A64" w:rsidR="009024A4" w:rsidRPr="001A0889" w:rsidRDefault="009024A4" w:rsidP="009024A4">
            <w:pPr>
              <w:pStyle w:val="COMTabletext"/>
              <w:jc w:val="center"/>
              <w:rPr>
                <w:sz w:val="20"/>
                <w:szCs w:val="20"/>
              </w:rPr>
            </w:pPr>
          </w:p>
        </w:tc>
        <w:tc>
          <w:tcPr>
            <w:tcW w:w="2693" w:type="dxa"/>
            <w:tcBorders>
              <w:bottom w:val="nil"/>
            </w:tcBorders>
          </w:tcPr>
          <w:p w14:paraId="75E6FB56" w14:textId="1AC33CED" w:rsidR="009024A4" w:rsidRPr="001A0889" w:rsidRDefault="009024A4" w:rsidP="009024A4">
            <w:pPr>
              <w:pStyle w:val="COMTabletext"/>
              <w:jc w:val="center"/>
              <w:rPr>
                <w:sz w:val="20"/>
                <w:szCs w:val="20"/>
              </w:rPr>
            </w:pPr>
          </w:p>
        </w:tc>
      </w:tr>
      <w:tr w:rsidR="009024A4" w:rsidRPr="001A0889" w14:paraId="320B7C0C" w14:textId="77777777" w:rsidTr="00496047">
        <w:tc>
          <w:tcPr>
            <w:tcW w:w="3539" w:type="dxa"/>
            <w:tcBorders>
              <w:top w:val="nil"/>
              <w:bottom w:val="nil"/>
            </w:tcBorders>
          </w:tcPr>
          <w:p w14:paraId="0C34E8AC" w14:textId="059C9097" w:rsidR="009024A4" w:rsidRDefault="009024A4" w:rsidP="009024A4">
            <w:pPr>
              <w:pStyle w:val="COMTabletext"/>
              <w:tabs>
                <w:tab w:val="right" w:pos="3430"/>
              </w:tabs>
              <w:rPr>
                <w:szCs w:val="20"/>
              </w:rPr>
            </w:pPr>
            <w:r>
              <w:rPr>
                <w:sz w:val="20"/>
                <w:szCs w:val="20"/>
              </w:rPr>
              <w:t xml:space="preserve">- </w:t>
            </w:r>
            <w:r w:rsidRPr="001A0889">
              <w:rPr>
                <w:sz w:val="20"/>
                <w:szCs w:val="20"/>
              </w:rPr>
              <w:t>0.5 years</w:t>
            </w:r>
          </w:p>
        </w:tc>
        <w:tc>
          <w:tcPr>
            <w:tcW w:w="2835" w:type="dxa"/>
            <w:tcBorders>
              <w:top w:val="nil"/>
              <w:bottom w:val="nil"/>
            </w:tcBorders>
          </w:tcPr>
          <w:p w14:paraId="64CEB4EC" w14:textId="35F71FA8" w:rsidR="009024A4" w:rsidRPr="00E2580F" w:rsidRDefault="009024A4" w:rsidP="009024A4">
            <w:pPr>
              <w:pStyle w:val="COMTabletext"/>
              <w:jc w:val="center"/>
              <w:rPr>
                <w:rFonts w:eastAsia="Times New Roman"/>
              </w:rPr>
            </w:pPr>
            <w:r w:rsidRPr="00E2580F">
              <w:rPr>
                <w:rFonts w:eastAsia="Times New Roman"/>
                <w:sz w:val="20"/>
              </w:rPr>
              <w:t>92.8 (86.1, 96.3)</w:t>
            </w:r>
          </w:p>
        </w:tc>
        <w:tc>
          <w:tcPr>
            <w:tcW w:w="2693" w:type="dxa"/>
            <w:tcBorders>
              <w:top w:val="nil"/>
              <w:bottom w:val="nil"/>
            </w:tcBorders>
          </w:tcPr>
          <w:p w14:paraId="68FFA28A" w14:textId="64864D77" w:rsidR="009024A4" w:rsidRPr="00E2580F" w:rsidRDefault="009024A4" w:rsidP="009024A4">
            <w:pPr>
              <w:pStyle w:val="COMTabletext"/>
              <w:jc w:val="center"/>
              <w:rPr>
                <w:rFonts w:eastAsia="Times New Roman"/>
              </w:rPr>
            </w:pPr>
            <w:r w:rsidRPr="00E2580F">
              <w:rPr>
                <w:rFonts w:eastAsia="Times New Roman"/>
                <w:sz w:val="20"/>
              </w:rPr>
              <w:t>91.9 (85.1, 95.7)</w:t>
            </w:r>
          </w:p>
        </w:tc>
      </w:tr>
      <w:tr w:rsidR="009024A4" w:rsidRPr="001A0889" w14:paraId="1A7AFAB6" w14:textId="77777777" w:rsidTr="00496047">
        <w:tc>
          <w:tcPr>
            <w:tcW w:w="3539" w:type="dxa"/>
            <w:tcBorders>
              <w:top w:val="nil"/>
              <w:bottom w:val="nil"/>
            </w:tcBorders>
          </w:tcPr>
          <w:p w14:paraId="29C1D283" w14:textId="63B7BC55" w:rsidR="009024A4" w:rsidRPr="001A0889" w:rsidRDefault="009024A4" w:rsidP="009024A4">
            <w:pPr>
              <w:pStyle w:val="COMTabletext"/>
              <w:tabs>
                <w:tab w:val="right" w:pos="3430"/>
              </w:tabs>
              <w:rPr>
                <w:sz w:val="20"/>
                <w:szCs w:val="20"/>
              </w:rPr>
            </w:pPr>
            <w:r>
              <w:rPr>
                <w:sz w:val="20"/>
                <w:szCs w:val="20"/>
              </w:rPr>
              <w:t xml:space="preserve">- </w:t>
            </w:r>
            <w:r w:rsidRPr="001A0889">
              <w:rPr>
                <w:sz w:val="20"/>
                <w:szCs w:val="20"/>
              </w:rPr>
              <w:t>1 year</w:t>
            </w:r>
          </w:p>
        </w:tc>
        <w:tc>
          <w:tcPr>
            <w:tcW w:w="2835" w:type="dxa"/>
            <w:tcBorders>
              <w:top w:val="nil"/>
              <w:bottom w:val="nil"/>
            </w:tcBorders>
          </w:tcPr>
          <w:p w14:paraId="0BB5A596" w14:textId="77777777" w:rsidR="009024A4" w:rsidRPr="001A0889" w:rsidRDefault="009024A4" w:rsidP="009024A4">
            <w:pPr>
              <w:pStyle w:val="COMTabletext"/>
              <w:jc w:val="center"/>
              <w:rPr>
                <w:sz w:val="20"/>
                <w:szCs w:val="20"/>
              </w:rPr>
            </w:pPr>
            <w:r w:rsidRPr="00E2580F">
              <w:rPr>
                <w:rFonts w:eastAsia="Times New Roman"/>
                <w:sz w:val="20"/>
              </w:rPr>
              <w:t>90.1 (82.8, 94.4)</w:t>
            </w:r>
          </w:p>
        </w:tc>
        <w:tc>
          <w:tcPr>
            <w:tcW w:w="2693" w:type="dxa"/>
            <w:tcBorders>
              <w:top w:val="nil"/>
              <w:bottom w:val="nil"/>
            </w:tcBorders>
          </w:tcPr>
          <w:p w14:paraId="529E3598" w14:textId="77777777" w:rsidR="009024A4" w:rsidRPr="001A0889" w:rsidRDefault="009024A4" w:rsidP="009024A4">
            <w:pPr>
              <w:pStyle w:val="COMTabletext"/>
              <w:jc w:val="center"/>
              <w:rPr>
                <w:sz w:val="20"/>
                <w:szCs w:val="20"/>
              </w:rPr>
            </w:pPr>
            <w:r w:rsidRPr="00E2580F">
              <w:rPr>
                <w:rFonts w:eastAsia="Times New Roman"/>
                <w:sz w:val="20"/>
              </w:rPr>
              <w:t>81.9 (73.4, 87.9)</w:t>
            </w:r>
          </w:p>
        </w:tc>
      </w:tr>
      <w:tr w:rsidR="009024A4" w:rsidRPr="001A0889" w14:paraId="65B56E15" w14:textId="77777777" w:rsidTr="00496047">
        <w:tc>
          <w:tcPr>
            <w:tcW w:w="3539" w:type="dxa"/>
            <w:tcBorders>
              <w:top w:val="nil"/>
              <w:bottom w:val="nil"/>
            </w:tcBorders>
          </w:tcPr>
          <w:p w14:paraId="7AF0E092" w14:textId="29380AA1" w:rsidR="009024A4" w:rsidRPr="001A0889" w:rsidRDefault="009024A4" w:rsidP="009024A4">
            <w:pPr>
              <w:pStyle w:val="COMTabletext"/>
              <w:tabs>
                <w:tab w:val="right" w:pos="3430"/>
              </w:tabs>
              <w:rPr>
                <w:sz w:val="20"/>
                <w:szCs w:val="20"/>
              </w:rPr>
            </w:pPr>
            <w:r>
              <w:rPr>
                <w:sz w:val="20"/>
                <w:szCs w:val="20"/>
              </w:rPr>
              <w:t xml:space="preserve">- </w:t>
            </w:r>
            <w:r w:rsidRPr="001A0889">
              <w:rPr>
                <w:sz w:val="20"/>
                <w:szCs w:val="20"/>
              </w:rPr>
              <w:t>2 years</w:t>
            </w:r>
          </w:p>
        </w:tc>
        <w:tc>
          <w:tcPr>
            <w:tcW w:w="2835" w:type="dxa"/>
            <w:tcBorders>
              <w:top w:val="nil"/>
              <w:bottom w:val="nil"/>
            </w:tcBorders>
          </w:tcPr>
          <w:p w14:paraId="05E433AF" w14:textId="77777777" w:rsidR="009024A4" w:rsidRPr="001A0889" w:rsidRDefault="009024A4" w:rsidP="009024A4">
            <w:pPr>
              <w:pStyle w:val="COMTabletext"/>
              <w:jc w:val="center"/>
              <w:rPr>
                <w:sz w:val="20"/>
                <w:szCs w:val="20"/>
              </w:rPr>
            </w:pPr>
            <w:r w:rsidRPr="00E2580F">
              <w:rPr>
                <w:rFonts w:eastAsia="Times New Roman"/>
                <w:sz w:val="20"/>
              </w:rPr>
              <w:t>82.0 (73.5, 88.0)</w:t>
            </w:r>
          </w:p>
        </w:tc>
        <w:tc>
          <w:tcPr>
            <w:tcW w:w="2693" w:type="dxa"/>
            <w:tcBorders>
              <w:top w:val="nil"/>
              <w:bottom w:val="nil"/>
            </w:tcBorders>
          </w:tcPr>
          <w:p w14:paraId="1E9F70C1" w14:textId="77777777" w:rsidR="009024A4" w:rsidRPr="001A0889" w:rsidRDefault="009024A4" w:rsidP="009024A4">
            <w:pPr>
              <w:pStyle w:val="COMTabletext"/>
              <w:jc w:val="center"/>
              <w:rPr>
                <w:sz w:val="20"/>
                <w:szCs w:val="20"/>
              </w:rPr>
            </w:pPr>
            <w:r w:rsidRPr="00E2580F">
              <w:rPr>
                <w:rFonts w:eastAsia="Times New Roman"/>
                <w:sz w:val="20"/>
              </w:rPr>
              <w:t>71.5 (61.9, 79.0)</w:t>
            </w:r>
          </w:p>
        </w:tc>
      </w:tr>
      <w:tr w:rsidR="009024A4" w:rsidRPr="001A0889" w14:paraId="0C767129" w14:textId="77777777" w:rsidTr="00496047">
        <w:tc>
          <w:tcPr>
            <w:tcW w:w="3539" w:type="dxa"/>
            <w:tcBorders>
              <w:top w:val="nil"/>
              <w:bottom w:val="nil"/>
            </w:tcBorders>
          </w:tcPr>
          <w:p w14:paraId="7C4D10E3" w14:textId="62E48469" w:rsidR="009024A4" w:rsidRPr="001A0889" w:rsidRDefault="009024A4" w:rsidP="009024A4">
            <w:pPr>
              <w:pStyle w:val="COMTabletext"/>
              <w:tabs>
                <w:tab w:val="right" w:pos="3430"/>
              </w:tabs>
              <w:rPr>
                <w:sz w:val="20"/>
                <w:szCs w:val="20"/>
              </w:rPr>
            </w:pPr>
            <w:r>
              <w:rPr>
                <w:sz w:val="20"/>
                <w:szCs w:val="20"/>
              </w:rPr>
              <w:t xml:space="preserve">- </w:t>
            </w:r>
            <w:r w:rsidRPr="001A0889">
              <w:rPr>
                <w:sz w:val="20"/>
                <w:szCs w:val="20"/>
              </w:rPr>
              <w:t>3 years</w:t>
            </w:r>
          </w:p>
        </w:tc>
        <w:tc>
          <w:tcPr>
            <w:tcW w:w="2835" w:type="dxa"/>
            <w:tcBorders>
              <w:top w:val="nil"/>
              <w:bottom w:val="nil"/>
            </w:tcBorders>
          </w:tcPr>
          <w:p w14:paraId="338DDEEF" w14:textId="77777777" w:rsidR="009024A4" w:rsidRPr="001A0889" w:rsidRDefault="009024A4" w:rsidP="009024A4">
            <w:pPr>
              <w:pStyle w:val="COMTabletext"/>
              <w:jc w:val="center"/>
              <w:rPr>
                <w:sz w:val="20"/>
                <w:szCs w:val="20"/>
              </w:rPr>
            </w:pPr>
            <w:r w:rsidRPr="00E2580F">
              <w:rPr>
                <w:rFonts w:eastAsia="Times New Roman"/>
                <w:sz w:val="20"/>
              </w:rPr>
              <w:t>81.1 (72.5, 87.2)</w:t>
            </w:r>
          </w:p>
        </w:tc>
        <w:tc>
          <w:tcPr>
            <w:tcW w:w="2693" w:type="dxa"/>
            <w:tcBorders>
              <w:top w:val="nil"/>
              <w:bottom w:val="nil"/>
            </w:tcBorders>
          </w:tcPr>
          <w:p w14:paraId="64AE4413" w14:textId="77777777" w:rsidR="009024A4" w:rsidRPr="001A0889" w:rsidRDefault="009024A4" w:rsidP="009024A4">
            <w:pPr>
              <w:pStyle w:val="COMTabletext"/>
              <w:jc w:val="center"/>
              <w:rPr>
                <w:sz w:val="20"/>
                <w:szCs w:val="20"/>
              </w:rPr>
            </w:pPr>
            <w:r w:rsidRPr="00E2580F">
              <w:rPr>
                <w:rFonts w:eastAsia="Times New Roman"/>
                <w:sz w:val="20"/>
              </w:rPr>
              <w:t>65.7 (55.9, 73.8)</w:t>
            </w:r>
          </w:p>
        </w:tc>
      </w:tr>
      <w:tr w:rsidR="009024A4" w:rsidRPr="001A0889" w14:paraId="1069921C" w14:textId="77777777" w:rsidTr="00496047">
        <w:tc>
          <w:tcPr>
            <w:tcW w:w="3539" w:type="dxa"/>
            <w:tcBorders>
              <w:top w:val="nil"/>
              <w:bottom w:val="nil"/>
            </w:tcBorders>
          </w:tcPr>
          <w:p w14:paraId="36DFE6B8" w14:textId="32A536BD" w:rsidR="009024A4" w:rsidRPr="001A0889" w:rsidRDefault="009024A4" w:rsidP="009024A4">
            <w:pPr>
              <w:pStyle w:val="COMTabletext"/>
              <w:tabs>
                <w:tab w:val="right" w:pos="3430"/>
              </w:tabs>
              <w:rPr>
                <w:sz w:val="20"/>
                <w:szCs w:val="20"/>
              </w:rPr>
            </w:pPr>
            <w:r>
              <w:rPr>
                <w:sz w:val="20"/>
                <w:szCs w:val="20"/>
              </w:rPr>
              <w:t xml:space="preserve">- </w:t>
            </w:r>
            <w:r w:rsidRPr="001A0889">
              <w:rPr>
                <w:sz w:val="20"/>
                <w:szCs w:val="20"/>
              </w:rPr>
              <w:t>4 years</w:t>
            </w:r>
          </w:p>
        </w:tc>
        <w:tc>
          <w:tcPr>
            <w:tcW w:w="2835" w:type="dxa"/>
            <w:tcBorders>
              <w:top w:val="nil"/>
              <w:bottom w:val="nil"/>
            </w:tcBorders>
          </w:tcPr>
          <w:p w14:paraId="46A2FCDB" w14:textId="77777777" w:rsidR="009024A4" w:rsidRPr="001A0889" w:rsidRDefault="009024A4" w:rsidP="009024A4">
            <w:pPr>
              <w:pStyle w:val="COMTabletext"/>
              <w:jc w:val="center"/>
              <w:rPr>
                <w:sz w:val="20"/>
                <w:szCs w:val="20"/>
              </w:rPr>
            </w:pPr>
            <w:r w:rsidRPr="00E2580F">
              <w:rPr>
                <w:rFonts w:eastAsia="Times New Roman"/>
                <w:sz w:val="20"/>
              </w:rPr>
              <w:t>77.0 (67.8, 83.8)</w:t>
            </w:r>
          </w:p>
        </w:tc>
        <w:tc>
          <w:tcPr>
            <w:tcW w:w="2693" w:type="dxa"/>
            <w:tcBorders>
              <w:top w:val="nil"/>
              <w:bottom w:val="nil"/>
            </w:tcBorders>
          </w:tcPr>
          <w:p w14:paraId="75CB397E" w14:textId="77777777" w:rsidR="009024A4" w:rsidRPr="001A0889" w:rsidRDefault="009024A4" w:rsidP="009024A4">
            <w:pPr>
              <w:pStyle w:val="COMTabletext"/>
              <w:jc w:val="center"/>
              <w:rPr>
                <w:sz w:val="20"/>
                <w:szCs w:val="20"/>
              </w:rPr>
            </w:pPr>
            <w:r w:rsidRPr="00E2580F">
              <w:rPr>
                <w:rFonts w:eastAsia="Times New Roman"/>
                <w:sz w:val="20"/>
              </w:rPr>
              <w:t>62.1 (52.0, 70.7)</w:t>
            </w:r>
          </w:p>
        </w:tc>
      </w:tr>
      <w:tr w:rsidR="009024A4" w:rsidRPr="001A0889" w14:paraId="26491839" w14:textId="77777777" w:rsidTr="00496047">
        <w:tc>
          <w:tcPr>
            <w:tcW w:w="3539" w:type="dxa"/>
            <w:tcBorders>
              <w:top w:val="nil"/>
              <w:bottom w:val="nil"/>
            </w:tcBorders>
          </w:tcPr>
          <w:p w14:paraId="3D16EF0C" w14:textId="2DE146AC" w:rsidR="009024A4" w:rsidRPr="001A0889" w:rsidRDefault="009024A4" w:rsidP="009024A4">
            <w:pPr>
              <w:pStyle w:val="COMTabletext"/>
              <w:tabs>
                <w:tab w:val="right" w:pos="3430"/>
              </w:tabs>
              <w:rPr>
                <w:sz w:val="20"/>
                <w:szCs w:val="20"/>
              </w:rPr>
            </w:pPr>
            <w:r>
              <w:rPr>
                <w:sz w:val="20"/>
                <w:szCs w:val="20"/>
              </w:rPr>
              <w:t xml:space="preserve">- </w:t>
            </w:r>
            <w:r w:rsidRPr="001A0889">
              <w:rPr>
                <w:sz w:val="20"/>
                <w:szCs w:val="20"/>
              </w:rPr>
              <w:t>5 years</w:t>
            </w:r>
          </w:p>
        </w:tc>
        <w:tc>
          <w:tcPr>
            <w:tcW w:w="2835" w:type="dxa"/>
            <w:tcBorders>
              <w:top w:val="nil"/>
              <w:bottom w:val="nil"/>
            </w:tcBorders>
          </w:tcPr>
          <w:p w14:paraId="33DD8603" w14:textId="77777777" w:rsidR="009024A4" w:rsidRPr="001A0889" w:rsidRDefault="009024A4" w:rsidP="009024A4">
            <w:pPr>
              <w:pStyle w:val="COMTabletext"/>
              <w:jc w:val="center"/>
              <w:rPr>
                <w:sz w:val="20"/>
                <w:szCs w:val="20"/>
              </w:rPr>
            </w:pPr>
            <w:r w:rsidRPr="00E2580F">
              <w:rPr>
                <w:rFonts w:eastAsia="Times New Roman"/>
                <w:sz w:val="20"/>
              </w:rPr>
              <w:t>77.0 (67.8, 83.8)</w:t>
            </w:r>
          </w:p>
        </w:tc>
        <w:tc>
          <w:tcPr>
            <w:tcW w:w="2693" w:type="dxa"/>
            <w:tcBorders>
              <w:top w:val="nil"/>
              <w:bottom w:val="nil"/>
            </w:tcBorders>
          </w:tcPr>
          <w:p w14:paraId="546AF515" w14:textId="77777777" w:rsidR="009024A4" w:rsidRPr="001A0889" w:rsidRDefault="009024A4" w:rsidP="009024A4">
            <w:pPr>
              <w:pStyle w:val="COMTabletext"/>
              <w:jc w:val="center"/>
              <w:rPr>
                <w:sz w:val="20"/>
                <w:szCs w:val="20"/>
              </w:rPr>
            </w:pPr>
            <w:r w:rsidRPr="00E2580F">
              <w:rPr>
                <w:rFonts w:eastAsia="Times New Roman"/>
                <w:sz w:val="20"/>
              </w:rPr>
              <w:t>60.5 (50.1, 69.4)</w:t>
            </w:r>
          </w:p>
        </w:tc>
      </w:tr>
      <w:tr w:rsidR="009024A4" w:rsidRPr="001A0889" w14:paraId="0148A8A4" w14:textId="77777777" w:rsidTr="00496047">
        <w:tc>
          <w:tcPr>
            <w:tcW w:w="3539" w:type="dxa"/>
            <w:tcBorders>
              <w:top w:val="nil"/>
              <w:bottom w:val="nil"/>
            </w:tcBorders>
          </w:tcPr>
          <w:p w14:paraId="5D330445" w14:textId="41D755B3" w:rsidR="009024A4" w:rsidRPr="001A0889" w:rsidRDefault="009024A4" w:rsidP="009024A4">
            <w:pPr>
              <w:pStyle w:val="COMTabletext"/>
              <w:tabs>
                <w:tab w:val="right" w:pos="3430"/>
              </w:tabs>
              <w:rPr>
                <w:sz w:val="20"/>
                <w:szCs w:val="20"/>
              </w:rPr>
            </w:pPr>
            <w:r>
              <w:rPr>
                <w:sz w:val="20"/>
                <w:szCs w:val="20"/>
              </w:rPr>
              <w:t xml:space="preserve">- </w:t>
            </w:r>
            <w:r w:rsidRPr="001A0889">
              <w:rPr>
                <w:sz w:val="20"/>
                <w:szCs w:val="20"/>
              </w:rPr>
              <w:t>6 years</w:t>
            </w:r>
          </w:p>
        </w:tc>
        <w:tc>
          <w:tcPr>
            <w:tcW w:w="2835" w:type="dxa"/>
            <w:tcBorders>
              <w:top w:val="nil"/>
              <w:bottom w:val="nil"/>
            </w:tcBorders>
          </w:tcPr>
          <w:p w14:paraId="0937A270" w14:textId="77777777" w:rsidR="009024A4" w:rsidRPr="001A0889" w:rsidRDefault="009024A4" w:rsidP="009024A4">
            <w:pPr>
              <w:pStyle w:val="COMTabletext"/>
              <w:jc w:val="center"/>
              <w:rPr>
                <w:sz w:val="20"/>
                <w:szCs w:val="20"/>
              </w:rPr>
            </w:pPr>
            <w:r w:rsidRPr="00E2580F">
              <w:rPr>
                <w:rFonts w:eastAsia="Times New Roman"/>
                <w:sz w:val="20"/>
              </w:rPr>
              <w:t>77.0 (67.8, 83.8)</w:t>
            </w:r>
          </w:p>
        </w:tc>
        <w:tc>
          <w:tcPr>
            <w:tcW w:w="2693" w:type="dxa"/>
            <w:tcBorders>
              <w:top w:val="nil"/>
              <w:bottom w:val="nil"/>
            </w:tcBorders>
          </w:tcPr>
          <w:p w14:paraId="365F4E39" w14:textId="77777777" w:rsidR="009024A4" w:rsidRPr="001A0889" w:rsidRDefault="009024A4" w:rsidP="009024A4">
            <w:pPr>
              <w:pStyle w:val="COMTabletext"/>
              <w:jc w:val="center"/>
              <w:rPr>
                <w:sz w:val="20"/>
                <w:szCs w:val="20"/>
              </w:rPr>
            </w:pPr>
            <w:r w:rsidRPr="00E2580F">
              <w:rPr>
                <w:rFonts w:eastAsia="Times New Roman"/>
                <w:sz w:val="20"/>
              </w:rPr>
              <w:t>52.7 (38.5, 65.0)</w:t>
            </w:r>
          </w:p>
        </w:tc>
      </w:tr>
      <w:tr w:rsidR="009024A4" w:rsidRPr="001A0889" w14:paraId="78D1AA04" w14:textId="77777777" w:rsidTr="00496047">
        <w:tc>
          <w:tcPr>
            <w:tcW w:w="3539" w:type="dxa"/>
            <w:tcBorders>
              <w:top w:val="nil"/>
            </w:tcBorders>
          </w:tcPr>
          <w:p w14:paraId="5B7A5D70" w14:textId="71CFFC61" w:rsidR="009024A4" w:rsidRPr="001A0889" w:rsidRDefault="009024A4" w:rsidP="009024A4">
            <w:pPr>
              <w:pStyle w:val="COMTabletext"/>
              <w:tabs>
                <w:tab w:val="right" w:pos="3430"/>
              </w:tabs>
              <w:rPr>
                <w:sz w:val="20"/>
                <w:szCs w:val="20"/>
              </w:rPr>
            </w:pPr>
            <w:r>
              <w:rPr>
                <w:sz w:val="20"/>
                <w:szCs w:val="20"/>
              </w:rPr>
              <w:t xml:space="preserve">- </w:t>
            </w:r>
            <w:r w:rsidRPr="001A0889">
              <w:rPr>
                <w:sz w:val="20"/>
                <w:szCs w:val="20"/>
              </w:rPr>
              <w:t>7 years</w:t>
            </w:r>
          </w:p>
        </w:tc>
        <w:tc>
          <w:tcPr>
            <w:tcW w:w="2835" w:type="dxa"/>
            <w:tcBorders>
              <w:top w:val="nil"/>
            </w:tcBorders>
          </w:tcPr>
          <w:p w14:paraId="005F84EF" w14:textId="77777777" w:rsidR="009024A4" w:rsidRPr="001A0889" w:rsidRDefault="009024A4" w:rsidP="009024A4">
            <w:pPr>
              <w:pStyle w:val="COMTabletext"/>
              <w:jc w:val="center"/>
              <w:rPr>
                <w:sz w:val="20"/>
                <w:szCs w:val="20"/>
              </w:rPr>
            </w:pPr>
            <w:r w:rsidRPr="00E2580F">
              <w:rPr>
                <w:rFonts w:eastAsia="Times New Roman"/>
                <w:sz w:val="20"/>
              </w:rPr>
              <w:t>77.0 (67.8, 83.8)</w:t>
            </w:r>
          </w:p>
        </w:tc>
        <w:tc>
          <w:tcPr>
            <w:tcW w:w="2693" w:type="dxa"/>
            <w:tcBorders>
              <w:top w:val="nil"/>
            </w:tcBorders>
          </w:tcPr>
          <w:p w14:paraId="6B7B6B56" w14:textId="77777777" w:rsidR="009024A4" w:rsidRPr="001A0889" w:rsidRDefault="009024A4" w:rsidP="009024A4">
            <w:pPr>
              <w:pStyle w:val="COMTabletext"/>
              <w:jc w:val="center"/>
              <w:rPr>
                <w:sz w:val="20"/>
                <w:szCs w:val="20"/>
              </w:rPr>
            </w:pPr>
            <w:r w:rsidRPr="00E2580F">
              <w:rPr>
                <w:rFonts w:eastAsia="Times New Roman"/>
                <w:sz w:val="20"/>
              </w:rPr>
              <w:t>52.7 (38.5, 65.0)</w:t>
            </w:r>
          </w:p>
        </w:tc>
      </w:tr>
      <w:tr w:rsidR="009024A4" w:rsidRPr="001A0889" w14:paraId="763B3A8A" w14:textId="77777777" w:rsidTr="00496047">
        <w:tc>
          <w:tcPr>
            <w:tcW w:w="3539" w:type="dxa"/>
          </w:tcPr>
          <w:p w14:paraId="2E2A2B77" w14:textId="77777777" w:rsidR="009024A4" w:rsidRPr="001A0889" w:rsidRDefault="009024A4" w:rsidP="009024A4">
            <w:pPr>
              <w:pStyle w:val="COMTabletext"/>
              <w:tabs>
                <w:tab w:val="right" w:pos="3430"/>
              </w:tabs>
              <w:rPr>
                <w:sz w:val="20"/>
                <w:szCs w:val="20"/>
              </w:rPr>
            </w:pPr>
            <w:r w:rsidRPr="001A0889">
              <w:rPr>
                <w:sz w:val="20"/>
                <w:szCs w:val="20"/>
              </w:rPr>
              <w:t>Hazard ratio (95% CI)</w:t>
            </w:r>
            <w:r w:rsidRPr="001A0889">
              <w:rPr>
                <w:sz w:val="20"/>
                <w:szCs w:val="20"/>
                <w:vertAlign w:val="superscript"/>
              </w:rPr>
              <w:t>a</w:t>
            </w:r>
          </w:p>
        </w:tc>
        <w:tc>
          <w:tcPr>
            <w:tcW w:w="5528" w:type="dxa"/>
            <w:gridSpan w:val="2"/>
          </w:tcPr>
          <w:p w14:paraId="22D23B57" w14:textId="77777777" w:rsidR="009024A4" w:rsidRPr="006F4AC6" w:rsidRDefault="009024A4" w:rsidP="009024A4">
            <w:pPr>
              <w:pStyle w:val="COMTabletext"/>
              <w:jc w:val="center"/>
              <w:rPr>
                <w:b/>
                <w:bCs w:val="0"/>
                <w:sz w:val="20"/>
                <w:szCs w:val="20"/>
              </w:rPr>
            </w:pPr>
            <w:r w:rsidRPr="006F4AC6">
              <w:rPr>
                <w:rFonts w:eastAsia="Times New Roman"/>
                <w:b/>
                <w:bCs w:val="0"/>
                <w:sz w:val="20"/>
              </w:rPr>
              <w:t>0.53 (0.32, 0.88)</w:t>
            </w:r>
          </w:p>
        </w:tc>
      </w:tr>
    </w:tbl>
    <w:p w14:paraId="5941BA57" w14:textId="5191C979" w:rsidR="00D56FB4" w:rsidRDefault="00D56FB4" w:rsidP="00D56FB4">
      <w:pPr>
        <w:pStyle w:val="COMTablefooter"/>
      </w:pPr>
      <w:r>
        <w:t>Source: Table 2-</w:t>
      </w:r>
      <w:r w:rsidR="00054958">
        <w:t>19 of</w:t>
      </w:r>
      <w:r>
        <w:t xml:space="preserve"> the submission.</w:t>
      </w:r>
    </w:p>
    <w:p w14:paraId="49967F56" w14:textId="63120E2C" w:rsidR="00D56FB4" w:rsidRDefault="00D56FB4" w:rsidP="00D56FB4">
      <w:pPr>
        <w:pStyle w:val="COMTablefooter"/>
      </w:pPr>
      <w:r>
        <w:t xml:space="preserve">Abbreviations: </w:t>
      </w:r>
      <w:r w:rsidR="00006996">
        <w:rPr>
          <w:szCs w:val="18"/>
        </w:rPr>
        <w:t>A</w:t>
      </w:r>
      <w:r w:rsidR="00006996" w:rsidRPr="00F1376D">
        <w:t>SCT</w:t>
      </w:r>
      <w:r w:rsidR="00006996">
        <w:t>, allogeneic</w:t>
      </w:r>
      <w:r w:rsidR="00006996" w:rsidRPr="00F1376D">
        <w:t xml:space="preserve"> </w:t>
      </w:r>
      <w:r w:rsidR="00006996">
        <w:t>s</w:t>
      </w:r>
      <w:r w:rsidR="00006996" w:rsidRPr="00F1376D">
        <w:t>tem cell transplant</w:t>
      </w:r>
      <w:r w:rsidR="00006996">
        <w:t>;</w:t>
      </w:r>
      <w:r w:rsidR="00006996" w:rsidRPr="00F1376D">
        <w:t xml:space="preserve"> </w:t>
      </w:r>
      <w:r w:rsidRPr="00F1376D">
        <w:t>CI</w:t>
      </w:r>
      <w:r>
        <w:t>,</w:t>
      </w:r>
      <w:r w:rsidRPr="00F1376D">
        <w:t xml:space="preserve"> </w:t>
      </w:r>
      <w:r>
        <w:t>c</w:t>
      </w:r>
      <w:r w:rsidRPr="00F1376D">
        <w:t>onfidence interval</w:t>
      </w:r>
      <w:r>
        <w:t>;</w:t>
      </w:r>
      <w:r w:rsidRPr="00F1376D">
        <w:t xml:space="preserve"> </w:t>
      </w:r>
      <w:r>
        <w:rPr>
          <w:szCs w:val="18"/>
        </w:rPr>
        <w:t xml:space="preserve">FAS, full analysis set; </w:t>
      </w:r>
      <w:r w:rsidRPr="00F1376D">
        <w:t>KM</w:t>
      </w:r>
      <w:r>
        <w:t>,</w:t>
      </w:r>
      <w:r w:rsidRPr="00F1376D">
        <w:t xml:space="preserve"> Kaplan-Meier</w:t>
      </w:r>
      <w:r>
        <w:t>;</w:t>
      </w:r>
      <w:r w:rsidRPr="00F1376D">
        <w:t xml:space="preserve"> </w:t>
      </w:r>
      <w:r w:rsidRPr="000F4C1C">
        <w:rPr>
          <w:szCs w:val="18"/>
        </w:rPr>
        <w:t>MRD, measurable residual disease;</w:t>
      </w:r>
      <w:r>
        <w:rPr>
          <w:szCs w:val="18"/>
        </w:rPr>
        <w:t xml:space="preserve"> NE, not estimable</w:t>
      </w:r>
      <w:r w:rsidR="00006996">
        <w:rPr>
          <w:szCs w:val="18"/>
        </w:rPr>
        <w:t>.</w:t>
      </w:r>
    </w:p>
    <w:p w14:paraId="232C59F2" w14:textId="77777777" w:rsidR="00E56367" w:rsidRDefault="00D56FB4" w:rsidP="00D56FB4">
      <w:pPr>
        <w:pStyle w:val="COMTablefooter"/>
      </w:pPr>
      <w:r w:rsidRPr="00493620">
        <w:rPr>
          <w:vertAlign w:val="superscript"/>
        </w:rPr>
        <w:t>a</w:t>
      </w:r>
      <w:r>
        <w:t xml:space="preserve"> </w:t>
      </w:r>
      <w:r w:rsidRPr="00F1376D">
        <w:t>Stratifi</w:t>
      </w:r>
      <w:r>
        <w:t>ed by</w:t>
      </w:r>
      <w:r w:rsidRPr="00F1376D">
        <w:t xml:space="preserve"> age (&lt;55 years vs.≥55 years), CD20 status</w:t>
      </w:r>
      <w:r>
        <w:t xml:space="preserve">, </w:t>
      </w:r>
      <w:r w:rsidRPr="00F1376D">
        <w:t>rituximab use</w:t>
      </w:r>
      <w:r>
        <w:t xml:space="preserve"> and </w:t>
      </w:r>
      <w:r w:rsidRPr="00F1376D">
        <w:t>intent to receive allogeneic SCT.</w:t>
      </w:r>
    </w:p>
    <w:p w14:paraId="2D9FD704" w14:textId="2A5AD0EF" w:rsidR="00D56FB4" w:rsidRDefault="00E56367" w:rsidP="00D56FB4">
      <w:pPr>
        <w:pStyle w:val="COMTablefooter"/>
      </w:pPr>
      <w:r>
        <w:t xml:space="preserve">Note: </w:t>
      </w:r>
      <w:r w:rsidR="00D56FB4">
        <w:t>H</w:t>
      </w:r>
      <w:r w:rsidR="00D56FB4" w:rsidRPr="00F1376D">
        <w:t xml:space="preserve">azard ratio &lt;1 indicates a lower average </w:t>
      </w:r>
      <w:r w:rsidR="00695236">
        <w:t>event</w:t>
      </w:r>
      <w:r w:rsidR="00D56FB4" w:rsidRPr="00F1376D">
        <w:t xml:space="preserve"> rate and longer </w:t>
      </w:r>
      <w:r w:rsidR="00695236">
        <w:t xml:space="preserve">relapse-free </w:t>
      </w:r>
      <w:r w:rsidR="00D56FB4" w:rsidRPr="00F1376D">
        <w:t xml:space="preserve">survival </w:t>
      </w:r>
      <w:r w:rsidR="00D56FB4">
        <w:t xml:space="preserve">for blinatumomab </w:t>
      </w:r>
      <w:r w:rsidR="00695236">
        <w:t>plus standard of care</w:t>
      </w:r>
      <w:r w:rsidR="00D56FB4">
        <w:t xml:space="preserve"> compared to </w:t>
      </w:r>
      <w:r w:rsidR="00695236">
        <w:t>standard of care</w:t>
      </w:r>
      <w:r w:rsidR="00D56FB4">
        <w:t>.</w:t>
      </w:r>
    </w:p>
    <w:p w14:paraId="5056CBEE" w14:textId="77777777" w:rsidR="00CF66AF" w:rsidRPr="000158A5" w:rsidRDefault="00CF66AF" w:rsidP="00CF66AF">
      <w:pPr>
        <w:pStyle w:val="COMTablefooter"/>
        <w:rPr>
          <w:b/>
          <w:bCs/>
        </w:rPr>
      </w:pPr>
      <w:r w:rsidRPr="000158A5">
        <w:rPr>
          <w:b/>
          <w:bCs/>
        </w:rPr>
        <w:t>Bolded results were statistically significant</w:t>
      </w:r>
    </w:p>
    <w:p w14:paraId="313E139B" w14:textId="0FF26A9B" w:rsidR="00B34FE2" w:rsidRPr="008C335E" w:rsidRDefault="001F6788" w:rsidP="001D1D52">
      <w:pPr>
        <w:pStyle w:val="COMexecsumnumberedpara"/>
      </w:pPr>
      <w:r w:rsidRPr="008C335E">
        <w:rPr>
          <w:snapToGrid/>
        </w:rPr>
        <w:lastRenderedPageBreak/>
        <w:t xml:space="preserve">Median relapse-free survival was not reached in either treatment arm. </w:t>
      </w:r>
      <w:r w:rsidR="00F7316F" w:rsidRPr="008C335E">
        <w:rPr>
          <w:snapToGrid/>
        </w:rPr>
        <w:t>Relapse-free survival was statistically significantly improved in the blinatumomab plus standard of care arm compared to the standard of care arm</w:t>
      </w:r>
      <w:r w:rsidR="00D8109C" w:rsidRPr="008C335E">
        <w:rPr>
          <w:snapToGrid/>
        </w:rPr>
        <w:t xml:space="preserve"> (HR = 0.53; 95% CI: 0.32, 0.88)</w:t>
      </w:r>
      <w:r w:rsidR="00F7316F" w:rsidRPr="008C335E">
        <w:rPr>
          <w:snapToGrid/>
        </w:rPr>
        <w:t>.</w:t>
      </w:r>
    </w:p>
    <w:p w14:paraId="3CC50BA5" w14:textId="3E02F4CC" w:rsidR="0050501E" w:rsidRPr="008C335E" w:rsidRDefault="0050501E" w:rsidP="001D1D52">
      <w:pPr>
        <w:pStyle w:val="COMexecsumnumberedpara"/>
        <w:rPr>
          <w:color w:val="0066FF"/>
        </w:rPr>
      </w:pPr>
      <w:r w:rsidRPr="008C335E">
        <w:t>The submission argued that the absence of progression in the blinatumomab plus standard of care arm after a median of 4.5 years of follow up meets the current definition of cure in B-ALL (3</w:t>
      </w:r>
      <w:r w:rsidR="00632204" w:rsidRPr="008C335E">
        <w:t xml:space="preserve"> to </w:t>
      </w:r>
      <w:r w:rsidRPr="008C335E">
        <w:t xml:space="preserve">5 years of relapse-free survival is associated with a reasonable probability of cure, based on a Delphi panel of 13 clinicians from France, </w:t>
      </w:r>
      <w:r w:rsidR="00632204" w:rsidRPr="008C335E">
        <w:t>Germany,</w:t>
      </w:r>
      <w:r w:rsidRPr="008C335E">
        <w:t xml:space="preserve"> and the UK; Gidman et al, 2019). The submission considered that the lack of progression in both the overall survival and relapse free survival curves is suggestive of cure for a significant proportion of patients. </w:t>
      </w:r>
      <w:r w:rsidR="00E43669" w:rsidRPr="008C335E">
        <w:t>The ESC agreed with the evaluation that the l</w:t>
      </w:r>
      <w:r w:rsidR="00036874" w:rsidRPr="008C335E">
        <w:t>ong-term survival outcomes and t</w:t>
      </w:r>
      <w:r w:rsidRPr="008C335E">
        <w:t>he magnitude of patients achieving cure is uncertain given the relatively small numbers of patients remaining at risk beyond 4.5 years in the trial.</w:t>
      </w:r>
    </w:p>
    <w:p w14:paraId="344A6F29" w14:textId="78AC9A4B" w:rsidR="00F64574" w:rsidRPr="008C335E" w:rsidRDefault="00F64574" w:rsidP="001D1D52">
      <w:pPr>
        <w:pStyle w:val="COMexecsumnumberedpara"/>
      </w:pPr>
      <w:bookmarkStart w:id="32" w:name="_Ref169636173"/>
      <w:r w:rsidRPr="008C335E">
        <w:t>Chemotherapy induction, induction intensification and consolidation therapy used in the E1910 trial</w:t>
      </w:r>
      <w:r w:rsidR="004F7E3B" w:rsidRPr="008C335E">
        <w:t xml:space="preserve"> </w:t>
      </w:r>
      <w:r w:rsidRPr="008C335E">
        <w:t xml:space="preserve">were based on US regimens not commonly used in Australia. In addition, consolidation chemotherapy varied in intensity and uptake between treatment arms. Differences in standard of care chemotherapy between the E1910 and Australian clinical practice may impact the magnitude of benefit of blinatumomab in the Australian setting. </w:t>
      </w:r>
      <w:r w:rsidR="00017527" w:rsidRPr="008C335E">
        <w:t>The PSCR) stated that the chemotherapy regimens used in the US are more similar than they are different and are based on the fundamental principle of using multiple non-cross resistant agents.</w:t>
      </w:r>
      <w:r w:rsidR="00367D4E" w:rsidRPr="008C335E">
        <w:t xml:space="preserve"> The PSCR noted the NCCN guidelines recommend several frontline regimens but don’t suggest superiority of one regimen over another.</w:t>
      </w:r>
      <w:r w:rsidR="00017527" w:rsidRPr="008C335E">
        <w:t xml:space="preserve"> The ESC agreed with the PSCR and considered that the differences in standard of care chemotherapy </w:t>
      </w:r>
      <w:r w:rsidR="00367D4E" w:rsidRPr="008C335E">
        <w:t>was not an issue for the applicability of the E1910 clinical trial.</w:t>
      </w:r>
      <w:bookmarkEnd w:id="32"/>
      <w:r w:rsidR="00367D4E" w:rsidRPr="008C335E">
        <w:t xml:space="preserve"> </w:t>
      </w:r>
    </w:p>
    <w:p w14:paraId="3D0B3FF2" w14:textId="77777777" w:rsidR="00F93335" w:rsidRPr="008C335E" w:rsidRDefault="00F93335" w:rsidP="001D1D52">
      <w:pPr>
        <w:pStyle w:val="COMexecsumnumberedpara"/>
      </w:pPr>
      <w:r w:rsidRPr="008C335E">
        <w:t>The submission presented post hoc analyses of overall survival and relapse-free survival in the MRD-negative cohort of the E1910 trial based on outcomes censored at on-protocol ASCT and from on-protocol ASCT, used in the economic evaluation. It was unclear whether the analyses were based on the same data cut-off as the primary analysis (June 2023), and median follow-up was also not reported.</w:t>
      </w:r>
    </w:p>
    <w:p w14:paraId="73A0F510" w14:textId="3435E012" w:rsidR="00F93335" w:rsidRPr="008C335E" w:rsidRDefault="00001D1E" w:rsidP="001D1D52">
      <w:pPr>
        <w:pStyle w:val="COMexecsumnumberedpara"/>
      </w:pPr>
      <w:r w:rsidRPr="008C335E">
        <w:fldChar w:fldCharType="begin" w:fldLock="1"/>
      </w:r>
      <w:r w:rsidRPr="008C335E">
        <w:instrText xml:space="preserve"> REF _Ref166313192 \h </w:instrText>
      </w:r>
      <w:r w:rsidR="00DF0226" w:rsidRPr="008C335E">
        <w:instrText xml:space="preserve"> \* MERGEFORMAT </w:instrText>
      </w:r>
      <w:r w:rsidRPr="008C335E">
        <w:fldChar w:fldCharType="separate"/>
      </w:r>
      <w:r w:rsidR="00356F14" w:rsidRPr="008C335E">
        <w:t xml:space="preserve">Figure </w:t>
      </w:r>
      <w:r w:rsidR="00356F14" w:rsidRPr="008C335E">
        <w:rPr>
          <w:noProof/>
        </w:rPr>
        <w:t>3</w:t>
      </w:r>
      <w:r w:rsidRPr="008C335E">
        <w:fldChar w:fldCharType="end"/>
      </w:r>
      <w:r w:rsidR="00F93335" w:rsidRPr="008C335E">
        <w:t xml:space="preserve"> and </w:t>
      </w:r>
      <w:r w:rsidRPr="008C335E">
        <w:fldChar w:fldCharType="begin" w:fldLock="1"/>
      </w:r>
      <w:r w:rsidRPr="008C335E">
        <w:instrText xml:space="preserve"> REF _Ref166313207 \h </w:instrText>
      </w:r>
      <w:r w:rsidR="00DF0226" w:rsidRPr="008C335E">
        <w:instrText xml:space="preserve"> \* MERGEFORMAT </w:instrText>
      </w:r>
      <w:r w:rsidRPr="008C335E">
        <w:fldChar w:fldCharType="separate"/>
      </w:r>
      <w:r w:rsidR="00356F14" w:rsidRPr="008C335E">
        <w:t xml:space="preserve">Table </w:t>
      </w:r>
      <w:r w:rsidR="00356F14" w:rsidRPr="008C335E">
        <w:rPr>
          <w:noProof/>
        </w:rPr>
        <w:t>6</w:t>
      </w:r>
      <w:r w:rsidRPr="008C335E">
        <w:fldChar w:fldCharType="end"/>
      </w:r>
      <w:r w:rsidR="00F93335" w:rsidRPr="008C335E">
        <w:t xml:space="preserve"> present results from the post hoc analysis of overall survival censored at on-protocol ASCT (E1910 trial Step 3 MRD-negative cohort).</w:t>
      </w:r>
    </w:p>
    <w:p w14:paraId="00E651F7" w14:textId="4A7D9BC6" w:rsidR="00F93335" w:rsidRPr="00225248" w:rsidRDefault="00F93335" w:rsidP="001C740B">
      <w:pPr>
        <w:pStyle w:val="Caption"/>
        <w:jc w:val="both"/>
      </w:pPr>
      <w:bookmarkStart w:id="33" w:name="_Ref166313192"/>
      <w:r w:rsidRPr="00225248">
        <w:lastRenderedPageBreak/>
        <w:t xml:space="preserve">Figure </w:t>
      </w:r>
      <w:r w:rsidR="006F0D54">
        <w:fldChar w:fldCharType="begin" w:fldLock="1"/>
      </w:r>
      <w:r w:rsidR="006F0D54">
        <w:instrText xml:space="preserve"> SEQ Figure \* ARABIC </w:instrText>
      </w:r>
      <w:r w:rsidR="006F0D54">
        <w:fldChar w:fldCharType="separate"/>
      </w:r>
      <w:r w:rsidR="00356F14">
        <w:rPr>
          <w:noProof/>
        </w:rPr>
        <w:t>3</w:t>
      </w:r>
      <w:r w:rsidR="006F0D54">
        <w:rPr>
          <w:noProof/>
        </w:rPr>
        <w:fldChar w:fldCharType="end"/>
      </w:r>
      <w:bookmarkEnd w:id="33"/>
      <w:r w:rsidRPr="00225248">
        <w:t xml:space="preserve">: Kaplan-Meier estimates of </w:t>
      </w:r>
      <w:r>
        <w:t>MRD-</w:t>
      </w:r>
      <w:r w:rsidR="002E4E0B">
        <w:t>negati</w:t>
      </w:r>
      <w:r>
        <w:t xml:space="preserve">ve </w:t>
      </w:r>
      <w:r w:rsidRPr="00225248">
        <w:t>overall survival censored at on-protocol ASCT</w:t>
      </w:r>
      <w:r>
        <w:t xml:space="preserve"> in trial E1910 (Step 3; FAS)</w:t>
      </w:r>
    </w:p>
    <w:p w14:paraId="1EE31A9E" w14:textId="77777777" w:rsidR="00F93335" w:rsidRPr="00225248" w:rsidRDefault="00F93335" w:rsidP="00041EA1">
      <w:pPr>
        <w:pStyle w:val="COMTablefooter"/>
        <w:keepNext/>
        <w:jc w:val="center"/>
      </w:pPr>
      <w:r w:rsidRPr="00225248">
        <w:rPr>
          <w:noProof/>
        </w:rPr>
        <w:drawing>
          <wp:inline distT="0" distB="0" distL="0" distR="0" wp14:anchorId="4BB1A963" wp14:editId="0FF94617">
            <wp:extent cx="5365115" cy="3115310"/>
            <wp:effectExtent l="0" t="0" r="6985" b="8890"/>
            <wp:docPr id="562366748" name="Picture 1" descr="Figure 3: Kaplan-Meier estimates of MRD-negative overall survival censored at on-protocol ASCT in trial E1910 (Step 3; F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366748" name="Picture 1" descr="Figure 3: Kaplan-Meier estimates of MRD-negative overall survival censored at on-protocol ASCT in trial E1910 (Step 3; FA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65115" cy="3115310"/>
                    </a:xfrm>
                    <a:prstGeom prst="rect">
                      <a:avLst/>
                    </a:prstGeom>
                    <a:noFill/>
                  </pic:spPr>
                </pic:pic>
              </a:graphicData>
            </a:graphic>
          </wp:inline>
        </w:drawing>
      </w:r>
    </w:p>
    <w:p w14:paraId="0980E77C" w14:textId="30CFB7B3" w:rsidR="00F93335" w:rsidRPr="00225248" w:rsidRDefault="00F93335" w:rsidP="00F93335">
      <w:pPr>
        <w:pStyle w:val="COMTablefooter"/>
      </w:pPr>
      <w:r w:rsidRPr="00225248">
        <w:t>Source: Figure 3-7</w:t>
      </w:r>
      <w:r w:rsidR="00054958">
        <w:t xml:space="preserve"> </w:t>
      </w:r>
      <w:r w:rsidRPr="00225248">
        <w:t>of the submission</w:t>
      </w:r>
      <w:r>
        <w:t>.</w:t>
      </w:r>
    </w:p>
    <w:p w14:paraId="313D34FC" w14:textId="77777777" w:rsidR="00F93335" w:rsidRPr="00A55D92" w:rsidRDefault="00F93335" w:rsidP="00F93335">
      <w:pPr>
        <w:pStyle w:val="COMTablefooter"/>
      </w:pPr>
      <w:r w:rsidRPr="00225248">
        <w:t xml:space="preserve">Abbreviations: ASCT, allogeneic stem cell transplant; BLIN, blinatumomab; </w:t>
      </w:r>
      <w:r>
        <w:rPr>
          <w:szCs w:val="18"/>
        </w:rPr>
        <w:t xml:space="preserve">FAS, full analysis set; </w:t>
      </w:r>
      <w:r w:rsidRPr="00225248">
        <w:t>MRD, minimal residual disease; SOC, standard of care</w:t>
      </w:r>
      <w:r>
        <w:t>.</w:t>
      </w:r>
    </w:p>
    <w:p w14:paraId="14267AD5" w14:textId="2E1F5CF8" w:rsidR="00F93335" w:rsidRPr="00225248" w:rsidRDefault="00F93335" w:rsidP="00001D1E">
      <w:pPr>
        <w:pStyle w:val="Caption"/>
      </w:pPr>
      <w:bookmarkStart w:id="34" w:name="_Ref166313207"/>
      <w:bookmarkStart w:id="35" w:name="_Ref166313203"/>
      <w:r w:rsidRPr="00225248">
        <w:t xml:space="preserve">Table </w:t>
      </w:r>
      <w:r w:rsidR="006F0D54">
        <w:fldChar w:fldCharType="begin" w:fldLock="1"/>
      </w:r>
      <w:r w:rsidR="006F0D54">
        <w:instrText xml:space="preserve"> SEQ Table \* ARABIC </w:instrText>
      </w:r>
      <w:r w:rsidR="006F0D54">
        <w:fldChar w:fldCharType="separate"/>
      </w:r>
      <w:r w:rsidR="00356F14">
        <w:rPr>
          <w:noProof/>
        </w:rPr>
        <w:t>6</w:t>
      </w:r>
      <w:r w:rsidR="006F0D54">
        <w:rPr>
          <w:noProof/>
        </w:rPr>
        <w:fldChar w:fldCharType="end"/>
      </w:r>
      <w:bookmarkEnd w:id="34"/>
      <w:r w:rsidRPr="00225248">
        <w:t xml:space="preserve">: </w:t>
      </w:r>
      <w:r>
        <w:t>MRD-</w:t>
      </w:r>
      <w:r w:rsidR="00C30FFA">
        <w:t>negati</w:t>
      </w:r>
      <w:r>
        <w:t>ve o</w:t>
      </w:r>
      <w:r w:rsidRPr="00225248">
        <w:t>verall survival censored at on-protocol ASCT</w:t>
      </w:r>
      <w:r>
        <w:t xml:space="preserve"> in trial E1910 (Step 3; FAS)</w:t>
      </w:r>
      <w:bookmarkEnd w:id="35"/>
    </w:p>
    <w:tbl>
      <w:tblPr>
        <w:tblStyle w:val="TableGrid"/>
        <w:tblW w:w="0" w:type="auto"/>
        <w:tblLook w:val="04A0" w:firstRow="1" w:lastRow="0" w:firstColumn="1" w:lastColumn="0" w:noHBand="0" w:noVBand="1"/>
        <w:tblCaption w:val="Table 6: MRD-negative overall survival censored at on-protocol ASCT in trial E1910 (Step 3; FAS)"/>
      </w:tblPr>
      <w:tblGrid>
        <w:gridCol w:w="3565"/>
        <w:gridCol w:w="2726"/>
        <w:gridCol w:w="2726"/>
      </w:tblGrid>
      <w:tr w:rsidR="00F93335" w:rsidRPr="00225248" w14:paraId="2EB0A26C" w14:textId="77777777" w:rsidTr="00CA64D7">
        <w:tc>
          <w:tcPr>
            <w:tcW w:w="3565" w:type="dxa"/>
            <w:vAlign w:val="center"/>
          </w:tcPr>
          <w:p w14:paraId="2342FFF4" w14:textId="77777777" w:rsidR="00F93335" w:rsidRPr="00225248" w:rsidRDefault="00F93335" w:rsidP="0020672F">
            <w:pPr>
              <w:pStyle w:val="COMTableheadingrow"/>
            </w:pPr>
          </w:p>
        </w:tc>
        <w:tc>
          <w:tcPr>
            <w:tcW w:w="2726" w:type="dxa"/>
            <w:vAlign w:val="center"/>
          </w:tcPr>
          <w:p w14:paraId="5C62092B" w14:textId="77777777" w:rsidR="00F93335" w:rsidRPr="00195B66" w:rsidRDefault="00F93335" w:rsidP="00D8109C">
            <w:pPr>
              <w:keepNext/>
              <w:ind w:left="-56" w:right="-70"/>
              <w:jc w:val="center"/>
              <w:rPr>
                <w:rFonts w:ascii="Arial Narrow" w:hAnsi="Arial Narrow"/>
                <w:b/>
                <w:bCs/>
                <w:sz w:val="20"/>
                <w:szCs w:val="20"/>
              </w:rPr>
            </w:pPr>
            <w:r w:rsidRPr="001E21B5">
              <w:rPr>
                <w:rFonts w:ascii="Arial Narrow" w:hAnsi="Arial Narrow"/>
                <w:b/>
                <w:bCs/>
                <w:sz w:val="20"/>
                <w:szCs w:val="20"/>
              </w:rPr>
              <w:t>Blin + SOC</w:t>
            </w:r>
          </w:p>
          <w:p w14:paraId="3806B0CB" w14:textId="77777777" w:rsidR="00F93335" w:rsidRPr="00225248" w:rsidRDefault="00F93335" w:rsidP="00E86AA4">
            <w:pPr>
              <w:pStyle w:val="COMTableheadingrow"/>
              <w:jc w:val="center"/>
            </w:pPr>
            <w:r w:rsidRPr="00225248">
              <w:t>N=112</w:t>
            </w:r>
          </w:p>
        </w:tc>
        <w:tc>
          <w:tcPr>
            <w:tcW w:w="2726" w:type="dxa"/>
            <w:vAlign w:val="center"/>
          </w:tcPr>
          <w:p w14:paraId="73B928C5" w14:textId="77777777" w:rsidR="00F93335" w:rsidRPr="00225248" w:rsidRDefault="00F93335" w:rsidP="00E86AA4">
            <w:pPr>
              <w:pStyle w:val="COMTableheadingrow"/>
              <w:jc w:val="center"/>
            </w:pPr>
            <w:r w:rsidRPr="00225248">
              <w:t>SOC</w:t>
            </w:r>
          </w:p>
          <w:p w14:paraId="215E0348" w14:textId="77777777" w:rsidR="00F93335" w:rsidRPr="00225248" w:rsidRDefault="00F93335" w:rsidP="00E86AA4">
            <w:pPr>
              <w:pStyle w:val="COMTableheadingrow"/>
              <w:jc w:val="center"/>
            </w:pPr>
            <w:r w:rsidRPr="00225248">
              <w:t>N=112</w:t>
            </w:r>
          </w:p>
        </w:tc>
      </w:tr>
      <w:tr w:rsidR="00F93335" w:rsidRPr="00225248" w14:paraId="2325A0DA" w14:textId="77777777" w:rsidTr="00CA64D7">
        <w:tc>
          <w:tcPr>
            <w:tcW w:w="3565" w:type="dxa"/>
          </w:tcPr>
          <w:p w14:paraId="4953C4BA" w14:textId="77777777" w:rsidR="00F93335" w:rsidRPr="00225248" w:rsidRDefault="00F93335" w:rsidP="00CA64D7">
            <w:pPr>
              <w:pStyle w:val="COMTabletext"/>
            </w:pPr>
            <w:r w:rsidRPr="00225248">
              <w:t>Deaths, n (%)</w:t>
            </w:r>
            <w:r>
              <w:t xml:space="preserve"> any cause</w:t>
            </w:r>
          </w:p>
        </w:tc>
        <w:tc>
          <w:tcPr>
            <w:tcW w:w="2726" w:type="dxa"/>
            <w:vAlign w:val="center"/>
          </w:tcPr>
          <w:p w14:paraId="2DAEF5F4" w14:textId="77777777" w:rsidR="00F93335" w:rsidRPr="00225248" w:rsidRDefault="00F93335" w:rsidP="00CA64D7">
            <w:pPr>
              <w:pStyle w:val="COMTabletext"/>
              <w:jc w:val="center"/>
            </w:pPr>
            <w:r w:rsidRPr="00225248">
              <w:t>15 (13.4)</w:t>
            </w:r>
          </w:p>
        </w:tc>
        <w:tc>
          <w:tcPr>
            <w:tcW w:w="2726" w:type="dxa"/>
            <w:vAlign w:val="center"/>
          </w:tcPr>
          <w:p w14:paraId="2C1E5813" w14:textId="77777777" w:rsidR="00F93335" w:rsidRPr="00225248" w:rsidRDefault="00F93335" w:rsidP="00CA64D7">
            <w:pPr>
              <w:pStyle w:val="COMTabletext"/>
              <w:jc w:val="center"/>
            </w:pPr>
            <w:r w:rsidRPr="00225248">
              <w:t>34 (30.4)</w:t>
            </w:r>
          </w:p>
        </w:tc>
      </w:tr>
      <w:tr w:rsidR="00F93335" w:rsidRPr="00225248" w14:paraId="159AF90E" w14:textId="77777777" w:rsidTr="00CA64D7">
        <w:tc>
          <w:tcPr>
            <w:tcW w:w="3565" w:type="dxa"/>
          </w:tcPr>
          <w:p w14:paraId="75989DC3" w14:textId="77777777" w:rsidR="00F93335" w:rsidRPr="00225248" w:rsidRDefault="00F93335" w:rsidP="00CA64D7">
            <w:pPr>
              <w:pStyle w:val="COMTabletext"/>
            </w:pPr>
            <w:r w:rsidRPr="00225248">
              <w:t>Censored, n (%)</w:t>
            </w:r>
          </w:p>
        </w:tc>
        <w:tc>
          <w:tcPr>
            <w:tcW w:w="2726" w:type="dxa"/>
            <w:vAlign w:val="center"/>
          </w:tcPr>
          <w:p w14:paraId="7AE9487C" w14:textId="77777777" w:rsidR="00F93335" w:rsidRPr="00225248" w:rsidRDefault="00F93335" w:rsidP="00CA64D7">
            <w:pPr>
              <w:pStyle w:val="COMTabletext"/>
              <w:jc w:val="center"/>
            </w:pPr>
            <w:r>
              <w:t>97 (86.6)</w:t>
            </w:r>
          </w:p>
        </w:tc>
        <w:tc>
          <w:tcPr>
            <w:tcW w:w="2726" w:type="dxa"/>
            <w:vAlign w:val="center"/>
          </w:tcPr>
          <w:p w14:paraId="628EA69E" w14:textId="77777777" w:rsidR="00F93335" w:rsidRPr="00225248" w:rsidRDefault="00F93335" w:rsidP="00CA64D7">
            <w:pPr>
              <w:pStyle w:val="COMTabletext"/>
              <w:jc w:val="center"/>
            </w:pPr>
            <w:r>
              <w:t>78 (69.6)</w:t>
            </w:r>
          </w:p>
        </w:tc>
      </w:tr>
      <w:tr w:rsidR="00F93335" w:rsidRPr="00225248" w14:paraId="6DFCF2BF" w14:textId="77777777" w:rsidTr="00CA64D7">
        <w:tc>
          <w:tcPr>
            <w:tcW w:w="3565" w:type="dxa"/>
          </w:tcPr>
          <w:p w14:paraId="75515903" w14:textId="77777777" w:rsidR="00F93335" w:rsidRPr="00225248" w:rsidRDefault="00F93335" w:rsidP="00CA64D7">
            <w:pPr>
              <w:pStyle w:val="COMTabletext"/>
            </w:pPr>
            <w:r w:rsidRPr="00225248">
              <w:t>- Received on-protocol ASCT</w:t>
            </w:r>
          </w:p>
        </w:tc>
        <w:tc>
          <w:tcPr>
            <w:tcW w:w="2726" w:type="dxa"/>
            <w:vAlign w:val="center"/>
          </w:tcPr>
          <w:p w14:paraId="4CD0BA81" w14:textId="77777777" w:rsidR="00F93335" w:rsidRPr="00225248" w:rsidRDefault="00F93335" w:rsidP="00CA64D7">
            <w:pPr>
              <w:pStyle w:val="COMTabletext"/>
              <w:jc w:val="center"/>
            </w:pPr>
            <w:r>
              <w:t>22 (19.6)</w:t>
            </w:r>
          </w:p>
        </w:tc>
        <w:tc>
          <w:tcPr>
            <w:tcW w:w="2726" w:type="dxa"/>
            <w:vAlign w:val="center"/>
          </w:tcPr>
          <w:p w14:paraId="7E8FCEC9" w14:textId="77777777" w:rsidR="00F93335" w:rsidRPr="00225248" w:rsidRDefault="00F93335" w:rsidP="00CA64D7">
            <w:pPr>
              <w:pStyle w:val="COMTabletext"/>
              <w:jc w:val="center"/>
            </w:pPr>
            <w:r>
              <w:t>22 (19.6)</w:t>
            </w:r>
          </w:p>
        </w:tc>
      </w:tr>
      <w:tr w:rsidR="00F93335" w:rsidRPr="00225248" w14:paraId="6845B85A" w14:textId="77777777" w:rsidTr="00CA64D7">
        <w:tc>
          <w:tcPr>
            <w:tcW w:w="3565" w:type="dxa"/>
          </w:tcPr>
          <w:p w14:paraId="1BF981CD" w14:textId="77777777" w:rsidR="00F93335" w:rsidRPr="00225248" w:rsidRDefault="00F93335" w:rsidP="00CA64D7">
            <w:pPr>
              <w:pStyle w:val="COMTabletext"/>
            </w:pPr>
            <w:r w:rsidRPr="00225248">
              <w:t>- Completed study without event</w:t>
            </w:r>
          </w:p>
        </w:tc>
        <w:tc>
          <w:tcPr>
            <w:tcW w:w="2726" w:type="dxa"/>
            <w:vAlign w:val="center"/>
          </w:tcPr>
          <w:p w14:paraId="4DF5450D" w14:textId="77777777" w:rsidR="00F93335" w:rsidRPr="00225248" w:rsidRDefault="00F93335" w:rsidP="00CA64D7">
            <w:pPr>
              <w:pStyle w:val="COMTabletext"/>
              <w:jc w:val="center"/>
            </w:pPr>
            <w:r>
              <w:t>0</w:t>
            </w:r>
          </w:p>
        </w:tc>
        <w:tc>
          <w:tcPr>
            <w:tcW w:w="2726" w:type="dxa"/>
            <w:vAlign w:val="center"/>
          </w:tcPr>
          <w:p w14:paraId="5566EAAC" w14:textId="77777777" w:rsidR="00F93335" w:rsidRPr="00225248" w:rsidRDefault="00F93335" w:rsidP="00CA64D7">
            <w:pPr>
              <w:pStyle w:val="COMTabletext"/>
              <w:jc w:val="center"/>
            </w:pPr>
            <w:r>
              <w:t>0</w:t>
            </w:r>
          </w:p>
        </w:tc>
      </w:tr>
      <w:tr w:rsidR="00F93335" w:rsidRPr="00225248" w14:paraId="1E149019" w14:textId="77777777" w:rsidTr="00CA64D7">
        <w:tc>
          <w:tcPr>
            <w:tcW w:w="3565" w:type="dxa"/>
          </w:tcPr>
          <w:p w14:paraId="55BE35CD" w14:textId="77777777" w:rsidR="00F93335" w:rsidRPr="00225248" w:rsidRDefault="00F93335" w:rsidP="00CA64D7">
            <w:pPr>
              <w:pStyle w:val="COMTabletext"/>
            </w:pPr>
            <w:r w:rsidRPr="00225248">
              <w:t>- Continuing study</w:t>
            </w:r>
          </w:p>
        </w:tc>
        <w:tc>
          <w:tcPr>
            <w:tcW w:w="2726" w:type="dxa"/>
            <w:vAlign w:val="center"/>
          </w:tcPr>
          <w:p w14:paraId="7D22E2E5" w14:textId="77777777" w:rsidR="00F93335" w:rsidRPr="00225248" w:rsidRDefault="00F93335" w:rsidP="00CA64D7">
            <w:pPr>
              <w:pStyle w:val="COMTabletext"/>
              <w:jc w:val="center"/>
            </w:pPr>
            <w:r>
              <w:t>92 (82.1)</w:t>
            </w:r>
          </w:p>
        </w:tc>
        <w:tc>
          <w:tcPr>
            <w:tcW w:w="2726" w:type="dxa"/>
            <w:vAlign w:val="center"/>
          </w:tcPr>
          <w:p w14:paraId="3E675AD6" w14:textId="77777777" w:rsidR="00F93335" w:rsidRPr="00225248" w:rsidRDefault="00F93335" w:rsidP="00CA64D7">
            <w:pPr>
              <w:pStyle w:val="COMTabletext"/>
              <w:jc w:val="center"/>
            </w:pPr>
            <w:r>
              <w:t>73 (65.2)</w:t>
            </w:r>
          </w:p>
        </w:tc>
      </w:tr>
      <w:tr w:rsidR="00F93335" w:rsidRPr="00225248" w14:paraId="469879EC" w14:textId="77777777" w:rsidTr="00CA64D7">
        <w:tc>
          <w:tcPr>
            <w:tcW w:w="3565" w:type="dxa"/>
          </w:tcPr>
          <w:p w14:paraId="15E8C615" w14:textId="77777777" w:rsidR="00F93335" w:rsidRPr="00225248" w:rsidRDefault="00F93335" w:rsidP="00CA64D7">
            <w:pPr>
              <w:pStyle w:val="COMTabletext"/>
            </w:pPr>
            <w:r w:rsidRPr="00225248">
              <w:t>- Discontinued study</w:t>
            </w:r>
          </w:p>
        </w:tc>
        <w:tc>
          <w:tcPr>
            <w:tcW w:w="2726" w:type="dxa"/>
            <w:vAlign w:val="center"/>
          </w:tcPr>
          <w:p w14:paraId="1E03D38C" w14:textId="77777777" w:rsidR="00F93335" w:rsidRPr="00225248" w:rsidRDefault="00F93335" w:rsidP="00CA64D7">
            <w:pPr>
              <w:pStyle w:val="COMTabletext"/>
              <w:jc w:val="center"/>
            </w:pPr>
            <w:r>
              <w:t>5 (4.5)</w:t>
            </w:r>
          </w:p>
        </w:tc>
        <w:tc>
          <w:tcPr>
            <w:tcW w:w="2726" w:type="dxa"/>
            <w:vAlign w:val="center"/>
          </w:tcPr>
          <w:p w14:paraId="13D75304" w14:textId="77777777" w:rsidR="00F93335" w:rsidRPr="00225248" w:rsidRDefault="00F93335" w:rsidP="00CA64D7">
            <w:pPr>
              <w:pStyle w:val="COMTabletext"/>
              <w:jc w:val="center"/>
            </w:pPr>
            <w:r>
              <w:t>5 (4.5)</w:t>
            </w:r>
          </w:p>
        </w:tc>
      </w:tr>
      <w:tr w:rsidR="00F93335" w:rsidRPr="00225248" w14:paraId="70730385" w14:textId="77777777" w:rsidTr="00CA64D7">
        <w:tc>
          <w:tcPr>
            <w:tcW w:w="3565" w:type="dxa"/>
          </w:tcPr>
          <w:p w14:paraId="628A38C9" w14:textId="77777777" w:rsidR="00F93335" w:rsidRPr="00225248" w:rsidRDefault="00F93335" w:rsidP="00CA64D7">
            <w:pPr>
              <w:pStyle w:val="COMTabletext"/>
            </w:pPr>
            <w:r w:rsidRPr="00225248">
              <w:t>Median time to censoring, years (95% CI)</w:t>
            </w:r>
          </w:p>
        </w:tc>
        <w:tc>
          <w:tcPr>
            <w:tcW w:w="2726" w:type="dxa"/>
            <w:vAlign w:val="center"/>
          </w:tcPr>
          <w:p w14:paraId="6BB15FFE" w14:textId="77777777" w:rsidR="00F93335" w:rsidRPr="00225248" w:rsidRDefault="00F93335" w:rsidP="00CA64D7">
            <w:pPr>
              <w:pStyle w:val="COMTabletext"/>
              <w:jc w:val="center"/>
            </w:pPr>
            <w:r>
              <w:t>4.0 (3.6, 4.5)</w:t>
            </w:r>
          </w:p>
        </w:tc>
        <w:tc>
          <w:tcPr>
            <w:tcW w:w="2726" w:type="dxa"/>
            <w:vAlign w:val="center"/>
          </w:tcPr>
          <w:p w14:paraId="0EBC7F79" w14:textId="77777777" w:rsidR="00F93335" w:rsidRPr="00225248" w:rsidRDefault="00F93335" w:rsidP="00CA64D7">
            <w:pPr>
              <w:pStyle w:val="COMTabletext"/>
              <w:jc w:val="center"/>
            </w:pPr>
            <w:r>
              <w:t>4.0 (3.6, 4.5)</w:t>
            </w:r>
          </w:p>
        </w:tc>
      </w:tr>
      <w:tr w:rsidR="00F93335" w:rsidRPr="00225248" w14:paraId="0F0F20B7" w14:textId="77777777" w:rsidTr="00CA64D7">
        <w:tc>
          <w:tcPr>
            <w:tcW w:w="3565" w:type="dxa"/>
          </w:tcPr>
          <w:p w14:paraId="075AF8DC" w14:textId="77777777" w:rsidR="00F93335" w:rsidRPr="00225248" w:rsidRDefault="00F93335" w:rsidP="00CA64D7">
            <w:pPr>
              <w:pStyle w:val="COMTabletext"/>
            </w:pPr>
            <w:r w:rsidRPr="00225248">
              <w:t>Median overall survival, years (95% CI)</w:t>
            </w:r>
          </w:p>
        </w:tc>
        <w:tc>
          <w:tcPr>
            <w:tcW w:w="2726" w:type="dxa"/>
            <w:vAlign w:val="center"/>
          </w:tcPr>
          <w:p w14:paraId="4809C6FE" w14:textId="77777777" w:rsidR="00F93335" w:rsidRPr="00225248" w:rsidRDefault="00F93335" w:rsidP="00CA64D7">
            <w:pPr>
              <w:pStyle w:val="COMTabletext"/>
              <w:jc w:val="center"/>
            </w:pPr>
            <w:r>
              <w:t>NE (NE, NE)</w:t>
            </w:r>
          </w:p>
        </w:tc>
        <w:tc>
          <w:tcPr>
            <w:tcW w:w="2726" w:type="dxa"/>
            <w:vAlign w:val="center"/>
          </w:tcPr>
          <w:p w14:paraId="3A23EB85" w14:textId="77777777" w:rsidR="00F93335" w:rsidRPr="00225248" w:rsidRDefault="00F93335" w:rsidP="00CA64D7">
            <w:pPr>
              <w:pStyle w:val="COMTabletext"/>
              <w:jc w:val="center"/>
            </w:pPr>
            <w:r>
              <w:t>6.0 (5.5, NE)</w:t>
            </w:r>
          </w:p>
        </w:tc>
      </w:tr>
      <w:tr w:rsidR="00F93335" w:rsidRPr="00225248" w14:paraId="02654DF3" w14:textId="77777777" w:rsidTr="00CA64D7">
        <w:tc>
          <w:tcPr>
            <w:tcW w:w="3565" w:type="dxa"/>
            <w:tcBorders>
              <w:top w:val="single" w:sz="4" w:space="0" w:color="auto"/>
            </w:tcBorders>
          </w:tcPr>
          <w:p w14:paraId="5266C653" w14:textId="77777777" w:rsidR="00F93335" w:rsidRPr="00225248" w:rsidRDefault="00F93335" w:rsidP="00CA64D7">
            <w:pPr>
              <w:pStyle w:val="COMTabletext"/>
              <w:rPr>
                <w:vertAlign w:val="superscript"/>
              </w:rPr>
            </w:pPr>
            <w:r w:rsidRPr="00225248">
              <w:t xml:space="preserve">Hazard ratio (95% CI) </w:t>
            </w:r>
            <w:r w:rsidRPr="00225248">
              <w:rPr>
                <w:vertAlign w:val="superscript"/>
              </w:rPr>
              <w:t>a</w:t>
            </w:r>
          </w:p>
        </w:tc>
        <w:tc>
          <w:tcPr>
            <w:tcW w:w="5452" w:type="dxa"/>
            <w:gridSpan w:val="2"/>
            <w:tcBorders>
              <w:top w:val="single" w:sz="4" w:space="0" w:color="auto"/>
            </w:tcBorders>
            <w:vAlign w:val="center"/>
          </w:tcPr>
          <w:p w14:paraId="4BD340AF" w14:textId="77777777" w:rsidR="00F93335" w:rsidRPr="00802695" w:rsidRDefault="00F93335" w:rsidP="00CA64D7">
            <w:pPr>
              <w:pStyle w:val="COMTabletext"/>
              <w:jc w:val="center"/>
              <w:rPr>
                <w:b/>
                <w:bCs w:val="0"/>
              </w:rPr>
            </w:pPr>
            <w:r w:rsidRPr="00802695">
              <w:rPr>
                <w:b/>
                <w:bCs w:val="0"/>
              </w:rPr>
              <w:t>0.44 (0.24, 0.82)</w:t>
            </w:r>
          </w:p>
        </w:tc>
      </w:tr>
    </w:tbl>
    <w:p w14:paraId="036C04A0" w14:textId="68FE3080" w:rsidR="00F93335" w:rsidRPr="00225248" w:rsidRDefault="00F93335" w:rsidP="00F93335">
      <w:pPr>
        <w:pStyle w:val="COMTablefooter"/>
        <w:keepNext/>
      </w:pPr>
      <w:r w:rsidRPr="00225248">
        <w:t>Source: Table 3-11of the submission</w:t>
      </w:r>
      <w:r>
        <w:t>.</w:t>
      </w:r>
    </w:p>
    <w:p w14:paraId="61FA1B15" w14:textId="77777777" w:rsidR="00F93335" w:rsidRPr="00225248" w:rsidRDefault="00F93335" w:rsidP="00F93335">
      <w:pPr>
        <w:pStyle w:val="COMTablefooter"/>
        <w:keepNext/>
      </w:pPr>
      <w:r w:rsidRPr="00225248">
        <w:t xml:space="preserve">Abbreviations: ASCT, allogeneic stem cell transplant; </w:t>
      </w:r>
      <w:r>
        <w:t>Blin</w:t>
      </w:r>
      <w:r w:rsidRPr="00225248">
        <w:t xml:space="preserve">, blinatumomab; CI, confidence interval; </w:t>
      </w:r>
      <w:r>
        <w:rPr>
          <w:szCs w:val="18"/>
        </w:rPr>
        <w:t xml:space="preserve">FAS, full analysis set; </w:t>
      </w:r>
      <w:r>
        <w:t xml:space="preserve">NE, not estimable; </w:t>
      </w:r>
      <w:r w:rsidRPr="00225248">
        <w:t>SOC, standard of care</w:t>
      </w:r>
      <w:r>
        <w:t>.</w:t>
      </w:r>
    </w:p>
    <w:p w14:paraId="52EDE4DC" w14:textId="77777777" w:rsidR="00F93335" w:rsidRPr="00A55D92" w:rsidRDefault="00F93335" w:rsidP="00F93335">
      <w:pPr>
        <w:pStyle w:val="COMTablefooter"/>
        <w:keepNext/>
      </w:pPr>
      <w:r w:rsidRPr="00225248">
        <w:rPr>
          <w:vertAlign w:val="superscript"/>
        </w:rPr>
        <w:t>a</w:t>
      </w:r>
      <w:r w:rsidRPr="00225248">
        <w:t xml:space="preserve"> Stratified by age (&lt; 55 years vs ≥ 55 years), CD20 status, rituximab use, intent to receive allogeneic SCT </w:t>
      </w:r>
    </w:p>
    <w:p w14:paraId="0B71C097" w14:textId="3849CC9F" w:rsidR="00F93335" w:rsidRPr="00C30FFA" w:rsidRDefault="00AD6D9F" w:rsidP="001D1D52">
      <w:pPr>
        <w:pStyle w:val="COMexecsumnumberedpara"/>
        <w:rPr>
          <w:i/>
          <w:iCs/>
        </w:rPr>
      </w:pPr>
      <w:r w:rsidRPr="00C30FFA">
        <w:t xml:space="preserve">Median overall survival was not reached in the blinatumomab plus SOC treatment arm and was 6 years in the SOC treatment arm. </w:t>
      </w:r>
      <w:r w:rsidR="00F93335" w:rsidRPr="00C30FFA">
        <w:t xml:space="preserve">The results of the analysis censored at on-protocol ASCT showed improved overall survival in the blinatumomab plus </w:t>
      </w:r>
      <w:r>
        <w:t>standard of care</w:t>
      </w:r>
      <w:r w:rsidR="00F93335" w:rsidRPr="00C30FFA">
        <w:t xml:space="preserve"> treatment arm compared to </w:t>
      </w:r>
      <w:r>
        <w:t>standard of care</w:t>
      </w:r>
      <w:r w:rsidR="00D8109C">
        <w:t xml:space="preserve"> (HR = 0.44; 95% CI: 0.24, 0.82)</w:t>
      </w:r>
      <w:r w:rsidR="00F93335" w:rsidRPr="00C30FFA">
        <w:t xml:space="preserve">. </w:t>
      </w:r>
    </w:p>
    <w:p w14:paraId="25F60D37" w14:textId="0A6E50BD" w:rsidR="00F93335" w:rsidRPr="00C30FFA" w:rsidRDefault="001C740B" w:rsidP="001D1D52">
      <w:pPr>
        <w:pStyle w:val="COMexecsumnumberedpara"/>
      </w:pPr>
      <w:r w:rsidRPr="00C30FFA">
        <w:fldChar w:fldCharType="begin" w:fldLock="1"/>
      </w:r>
      <w:r w:rsidRPr="00C30FFA">
        <w:instrText xml:space="preserve"> REF _Ref166313286 \h </w:instrText>
      </w:r>
      <w:r w:rsidRPr="00C30FFA">
        <w:fldChar w:fldCharType="separate"/>
      </w:r>
      <w:r w:rsidR="00356F14" w:rsidRPr="00225248">
        <w:t xml:space="preserve">Figure </w:t>
      </w:r>
      <w:r w:rsidR="00356F14">
        <w:rPr>
          <w:noProof/>
        </w:rPr>
        <w:t>4</w:t>
      </w:r>
      <w:r w:rsidRPr="00C30FFA">
        <w:fldChar w:fldCharType="end"/>
      </w:r>
      <w:r w:rsidRPr="00C30FFA">
        <w:t xml:space="preserve"> and </w:t>
      </w:r>
      <w:r w:rsidRPr="00C30FFA">
        <w:fldChar w:fldCharType="begin" w:fldLock="1"/>
      </w:r>
      <w:r w:rsidRPr="00C30FFA">
        <w:instrText xml:space="preserve"> REF _Ref166313298 \h </w:instrText>
      </w:r>
      <w:r w:rsidRPr="00C30FFA">
        <w:fldChar w:fldCharType="separate"/>
      </w:r>
      <w:r w:rsidR="00356F14" w:rsidRPr="00225248">
        <w:t xml:space="preserve">Table </w:t>
      </w:r>
      <w:r w:rsidR="00356F14">
        <w:rPr>
          <w:noProof/>
        </w:rPr>
        <w:t>7</w:t>
      </w:r>
      <w:r w:rsidRPr="00C30FFA">
        <w:fldChar w:fldCharType="end"/>
      </w:r>
      <w:r w:rsidR="00F93335" w:rsidRPr="00C30FFA">
        <w:t xml:space="preserve"> present results from the </w:t>
      </w:r>
      <w:r w:rsidR="00F93335" w:rsidRPr="00C30FFA">
        <w:rPr>
          <w:i/>
          <w:iCs/>
        </w:rPr>
        <w:t>post hoc</w:t>
      </w:r>
      <w:r w:rsidR="00F93335" w:rsidRPr="00C30FFA">
        <w:t xml:space="preserve"> analysis of relapse-free survival censored at on-protocol ASCT (E1910 trial Step 3 MRD-negative cohort).</w:t>
      </w:r>
    </w:p>
    <w:p w14:paraId="6B65BED6" w14:textId="37C963EE" w:rsidR="00F93335" w:rsidRPr="00225248" w:rsidRDefault="00F93335" w:rsidP="001C740B">
      <w:pPr>
        <w:pStyle w:val="Caption"/>
      </w:pPr>
      <w:bookmarkStart w:id="36" w:name="_Ref166313286"/>
      <w:bookmarkStart w:id="37" w:name="_Ref166313277"/>
      <w:r w:rsidRPr="00225248">
        <w:lastRenderedPageBreak/>
        <w:t xml:space="preserve">Figure </w:t>
      </w:r>
      <w:r w:rsidR="006F0D54">
        <w:fldChar w:fldCharType="begin" w:fldLock="1"/>
      </w:r>
      <w:r w:rsidR="006F0D54">
        <w:instrText xml:space="preserve"> SEQ Figure \* ARABIC </w:instrText>
      </w:r>
      <w:r w:rsidR="006F0D54">
        <w:fldChar w:fldCharType="separate"/>
      </w:r>
      <w:r w:rsidR="00356F14">
        <w:rPr>
          <w:noProof/>
        </w:rPr>
        <w:t>4</w:t>
      </w:r>
      <w:r w:rsidR="006F0D54">
        <w:rPr>
          <w:noProof/>
        </w:rPr>
        <w:fldChar w:fldCharType="end"/>
      </w:r>
      <w:bookmarkEnd w:id="36"/>
      <w:r w:rsidRPr="00225248">
        <w:t xml:space="preserve">: Kaplan-Meier estimates of </w:t>
      </w:r>
      <w:r>
        <w:t>MRD</w:t>
      </w:r>
      <w:r w:rsidR="00C358BB">
        <w:t>-negati</w:t>
      </w:r>
      <w:r>
        <w:t xml:space="preserve">ve </w:t>
      </w:r>
      <w:r w:rsidRPr="00225248">
        <w:t>relapse-free survival censored at on-protocol ASCT</w:t>
      </w:r>
      <w:r>
        <w:t xml:space="preserve"> in trial E1910 (Step 3; FAS)</w:t>
      </w:r>
      <w:bookmarkEnd w:id="37"/>
    </w:p>
    <w:p w14:paraId="3956F900" w14:textId="77777777" w:rsidR="00F93335" w:rsidRPr="00225248" w:rsidRDefault="00F93335" w:rsidP="00C358BB">
      <w:pPr>
        <w:pStyle w:val="COMTablefooter"/>
        <w:jc w:val="center"/>
      </w:pPr>
      <w:r w:rsidRPr="00225248">
        <w:rPr>
          <w:noProof/>
        </w:rPr>
        <w:drawing>
          <wp:inline distT="0" distB="0" distL="0" distR="0" wp14:anchorId="3F48F694" wp14:editId="4DD37E4F">
            <wp:extent cx="5356860" cy="3113540"/>
            <wp:effectExtent l="0" t="0" r="0" b="0"/>
            <wp:docPr id="2130232097" name="Picture 2" descr="Figure 3: Kaplan-Meier estimates of MRD-negative overall survival censored at on-protocol ASCT in trial E1910 (Step 3; F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232097" name="Picture 2" descr="Figure 3: Kaplan-Meier estimates of MRD-negative overall survival censored at on-protocol ASCT in trial E1910 (Step 3; FA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65227" cy="3118403"/>
                    </a:xfrm>
                    <a:prstGeom prst="rect">
                      <a:avLst/>
                    </a:prstGeom>
                    <a:noFill/>
                  </pic:spPr>
                </pic:pic>
              </a:graphicData>
            </a:graphic>
          </wp:inline>
        </w:drawing>
      </w:r>
    </w:p>
    <w:p w14:paraId="589B4625" w14:textId="7A978885" w:rsidR="00F93335" w:rsidRPr="00225248" w:rsidRDefault="00F93335" w:rsidP="00F93335">
      <w:pPr>
        <w:pStyle w:val="COMTablefooter"/>
      </w:pPr>
      <w:r w:rsidRPr="00225248">
        <w:t>Source: Figure 3-9of the submission</w:t>
      </w:r>
      <w:r>
        <w:t>.</w:t>
      </w:r>
    </w:p>
    <w:p w14:paraId="57DEEEC7" w14:textId="77777777" w:rsidR="00F93335" w:rsidRPr="00225248" w:rsidRDefault="00F93335" w:rsidP="00F93335">
      <w:pPr>
        <w:pStyle w:val="COMTablefooter"/>
      </w:pPr>
      <w:r w:rsidRPr="00225248">
        <w:t xml:space="preserve">Abbreviations: ASCT, allogeneic stem cell transplant; BLIN, blinatumomab; </w:t>
      </w:r>
      <w:r>
        <w:rPr>
          <w:szCs w:val="18"/>
        </w:rPr>
        <w:t xml:space="preserve">FAS, full analysis set; </w:t>
      </w:r>
      <w:r w:rsidRPr="00225248">
        <w:t>MRD, minimal residual disease; SOC, standard of care</w:t>
      </w:r>
      <w:r>
        <w:t>.</w:t>
      </w:r>
    </w:p>
    <w:p w14:paraId="1E7B335E" w14:textId="05EE8F2E" w:rsidR="00F93335" w:rsidRPr="00225248" w:rsidRDefault="00F93335" w:rsidP="001C740B">
      <w:pPr>
        <w:pStyle w:val="Caption"/>
      </w:pPr>
      <w:bookmarkStart w:id="38" w:name="_Ref166313298"/>
      <w:r w:rsidRPr="00225248">
        <w:t xml:space="preserve">Table </w:t>
      </w:r>
      <w:r w:rsidR="006F0D54">
        <w:fldChar w:fldCharType="begin" w:fldLock="1"/>
      </w:r>
      <w:r w:rsidR="006F0D54">
        <w:instrText xml:space="preserve"> SEQ Table \* ARABIC </w:instrText>
      </w:r>
      <w:r w:rsidR="006F0D54">
        <w:fldChar w:fldCharType="separate"/>
      </w:r>
      <w:r w:rsidR="00356F14">
        <w:rPr>
          <w:noProof/>
        </w:rPr>
        <w:t>7</w:t>
      </w:r>
      <w:r w:rsidR="006F0D54">
        <w:rPr>
          <w:noProof/>
        </w:rPr>
        <w:fldChar w:fldCharType="end"/>
      </w:r>
      <w:bookmarkEnd w:id="38"/>
      <w:r w:rsidRPr="00225248">
        <w:t xml:space="preserve">: </w:t>
      </w:r>
      <w:r>
        <w:t>MRD-</w:t>
      </w:r>
      <w:r w:rsidR="00C358BB">
        <w:t>negati</w:t>
      </w:r>
      <w:r>
        <w:t>ve r</w:t>
      </w:r>
      <w:r w:rsidRPr="00225248">
        <w:t>elapse-free survival censored at on-protocol ASCT</w:t>
      </w:r>
      <w:r>
        <w:t xml:space="preserve"> in trial E1910 (Step 3; FAS)</w:t>
      </w:r>
    </w:p>
    <w:tbl>
      <w:tblPr>
        <w:tblStyle w:val="TableGrid"/>
        <w:tblW w:w="0" w:type="auto"/>
        <w:tblLook w:val="04A0" w:firstRow="1" w:lastRow="0" w:firstColumn="1" w:lastColumn="0" w:noHBand="0" w:noVBand="1"/>
        <w:tblCaption w:val="Table 7: MRD-negative relapse-free survival censored at on-protocol ASCT in trial E1910 (Step 3; FAS)"/>
      </w:tblPr>
      <w:tblGrid>
        <w:gridCol w:w="3565"/>
        <w:gridCol w:w="2726"/>
        <w:gridCol w:w="2726"/>
      </w:tblGrid>
      <w:tr w:rsidR="00F93335" w:rsidRPr="00225248" w14:paraId="1D2FF14C" w14:textId="77777777" w:rsidTr="00CA64D7">
        <w:tc>
          <w:tcPr>
            <w:tcW w:w="3565" w:type="dxa"/>
            <w:vAlign w:val="center"/>
          </w:tcPr>
          <w:p w14:paraId="776E6647" w14:textId="77777777" w:rsidR="00F93335" w:rsidRPr="00225248" w:rsidRDefault="00F93335" w:rsidP="0020672F">
            <w:pPr>
              <w:pStyle w:val="COMTableheadingrow"/>
            </w:pPr>
          </w:p>
        </w:tc>
        <w:tc>
          <w:tcPr>
            <w:tcW w:w="2726" w:type="dxa"/>
            <w:vAlign w:val="center"/>
          </w:tcPr>
          <w:p w14:paraId="6156966C" w14:textId="77777777" w:rsidR="00F93335" w:rsidRPr="00225248" w:rsidRDefault="00F93335" w:rsidP="00E86AA4">
            <w:pPr>
              <w:pStyle w:val="COMTableheadingrow"/>
              <w:jc w:val="center"/>
            </w:pPr>
            <w:r>
              <w:t>Blin + SOC</w:t>
            </w:r>
          </w:p>
          <w:p w14:paraId="51D584FA" w14:textId="77777777" w:rsidR="00F93335" w:rsidRPr="00225248" w:rsidRDefault="00F93335" w:rsidP="00E86AA4">
            <w:pPr>
              <w:pStyle w:val="COMTableheadingrow"/>
              <w:jc w:val="center"/>
            </w:pPr>
            <w:r w:rsidRPr="00225248">
              <w:t>N=112</w:t>
            </w:r>
          </w:p>
        </w:tc>
        <w:tc>
          <w:tcPr>
            <w:tcW w:w="2726" w:type="dxa"/>
            <w:vAlign w:val="center"/>
          </w:tcPr>
          <w:p w14:paraId="075B3933" w14:textId="77777777" w:rsidR="00F93335" w:rsidRPr="00225248" w:rsidRDefault="00F93335" w:rsidP="00E86AA4">
            <w:pPr>
              <w:pStyle w:val="COMTableheadingrow"/>
              <w:jc w:val="center"/>
            </w:pPr>
            <w:r w:rsidRPr="00225248">
              <w:t>SOC</w:t>
            </w:r>
          </w:p>
          <w:p w14:paraId="51AE0CDA" w14:textId="77777777" w:rsidR="00F93335" w:rsidRPr="00225248" w:rsidRDefault="00F93335" w:rsidP="00E86AA4">
            <w:pPr>
              <w:pStyle w:val="COMTableheadingrow"/>
              <w:jc w:val="center"/>
            </w:pPr>
            <w:r w:rsidRPr="00225248">
              <w:t>N=112</w:t>
            </w:r>
          </w:p>
        </w:tc>
      </w:tr>
      <w:tr w:rsidR="00F93335" w:rsidRPr="00225248" w14:paraId="53EC351E" w14:textId="77777777" w:rsidTr="00CA64D7">
        <w:tc>
          <w:tcPr>
            <w:tcW w:w="3565" w:type="dxa"/>
          </w:tcPr>
          <w:p w14:paraId="5348ABE0" w14:textId="77777777" w:rsidR="00F93335" w:rsidRPr="00225248" w:rsidRDefault="00F93335" w:rsidP="00CA64D7">
            <w:pPr>
              <w:pStyle w:val="COMTabletext"/>
            </w:pPr>
            <w:r w:rsidRPr="00225248">
              <w:t>Events, n (%)</w:t>
            </w:r>
          </w:p>
        </w:tc>
        <w:tc>
          <w:tcPr>
            <w:tcW w:w="2726" w:type="dxa"/>
            <w:vAlign w:val="center"/>
          </w:tcPr>
          <w:p w14:paraId="25F6A437" w14:textId="77777777" w:rsidR="00F93335" w:rsidRPr="00225248" w:rsidRDefault="00F93335" w:rsidP="00CA64D7">
            <w:pPr>
              <w:pStyle w:val="COMTabletext"/>
              <w:jc w:val="center"/>
            </w:pPr>
            <w:r w:rsidRPr="00225248">
              <w:t>21 (18.8)</w:t>
            </w:r>
          </w:p>
        </w:tc>
        <w:tc>
          <w:tcPr>
            <w:tcW w:w="2726" w:type="dxa"/>
            <w:vAlign w:val="center"/>
          </w:tcPr>
          <w:p w14:paraId="0206A4C8" w14:textId="77777777" w:rsidR="00F93335" w:rsidRPr="00225248" w:rsidRDefault="00F93335" w:rsidP="00CA64D7">
            <w:pPr>
              <w:pStyle w:val="COMTabletext"/>
              <w:jc w:val="center"/>
            </w:pPr>
            <w:r w:rsidRPr="00225248">
              <w:t>36 (32.1)</w:t>
            </w:r>
          </w:p>
        </w:tc>
      </w:tr>
      <w:tr w:rsidR="00F93335" w:rsidRPr="00225248" w14:paraId="6757A9A5" w14:textId="77777777" w:rsidTr="00CA64D7">
        <w:tc>
          <w:tcPr>
            <w:tcW w:w="3565" w:type="dxa"/>
          </w:tcPr>
          <w:p w14:paraId="27BE9D0A" w14:textId="77777777" w:rsidR="00F93335" w:rsidRPr="00225248" w:rsidRDefault="00F93335" w:rsidP="00CA64D7">
            <w:pPr>
              <w:pStyle w:val="COMTabletext"/>
            </w:pPr>
            <w:r w:rsidRPr="00225248">
              <w:t>- Relapse</w:t>
            </w:r>
          </w:p>
        </w:tc>
        <w:tc>
          <w:tcPr>
            <w:tcW w:w="2726" w:type="dxa"/>
            <w:vAlign w:val="center"/>
          </w:tcPr>
          <w:p w14:paraId="569B4AA5" w14:textId="77777777" w:rsidR="00F93335" w:rsidRPr="00225248" w:rsidRDefault="00F93335" w:rsidP="00CA64D7">
            <w:pPr>
              <w:pStyle w:val="COMTabletext"/>
              <w:jc w:val="center"/>
            </w:pPr>
            <w:r>
              <w:t>13 (11.6)</w:t>
            </w:r>
          </w:p>
        </w:tc>
        <w:tc>
          <w:tcPr>
            <w:tcW w:w="2726" w:type="dxa"/>
            <w:vAlign w:val="center"/>
          </w:tcPr>
          <w:p w14:paraId="1E8B76C2" w14:textId="77777777" w:rsidR="00F93335" w:rsidRPr="00225248" w:rsidRDefault="00F93335" w:rsidP="00CA64D7">
            <w:pPr>
              <w:pStyle w:val="COMTabletext"/>
              <w:jc w:val="center"/>
            </w:pPr>
            <w:r>
              <w:t>27 (24.1)</w:t>
            </w:r>
          </w:p>
        </w:tc>
      </w:tr>
      <w:tr w:rsidR="00F93335" w:rsidRPr="00225248" w14:paraId="121844F3" w14:textId="77777777" w:rsidTr="00CA64D7">
        <w:tc>
          <w:tcPr>
            <w:tcW w:w="3565" w:type="dxa"/>
          </w:tcPr>
          <w:p w14:paraId="29140F7C" w14:textId="77777777" w:rsidR="00F93335" w:rsidRPr="00225248" w:rsidRDefault="00F93335" w:rsidP="00CA64D7">
            <w:pPr>
              <w:pStyle w:val="COMTabletext"/>
            </w:pPr>
            <w:r w:rsidRPr="00225248">
              <w:t>- Deaths</w:t>
            </w:r>
          </w:p>
        </w:tc>
        <w:tc>
          <w:tcPr>
            <w:tcW w:w="2726" w:type="dxa"/>
            <w:vAlign w:val="center"/>
          </w:tcPr>
          <w:p w14:paraId="01A2DB25" w14:textId="77777777" w:rsidR="00F93335" w:rsidRPr="00225248" w:rsidRDefault="00F93335" w:rsidP="00CA64D7">
            <w:pPr>
              <w:pStyle w:val="COMTabletext"/>
              <w:jc w:val="center"/>
            </w:pPr>
            <w:r>
              <w:t>8 (7.1)</w:t>
            </w:r>
          </w:p>
        </w:tc>
        <w:tc>
          <w:tcPr>
            <w:tcW w:w="2726" w:type="dxa"/>
            <w:vAlign w:val="center"/>
          </w:tcPr>
          <w:p w14:paraId="5FBDDEC6" w14:textId="77777777" w:rsidR="00F93335" w:rsidRPr="00225248" w:rsidRDefault="00F93335" w:rsidP="00CA64D7">
            <w:pPr>
              <w:pStyle w:val="COMTabletext"/>
              <w:jc w:val="center"/>
            </w:pPr>
            <w:r>
              <w:t>9 (8.0)</w:t>
            </w:r>
          </w:p>
        </w:tc>
      </w:tr>
      <w:tr w:rsidR="00F93335" w:rsidRPr="00225248" w14:paraId="1E82E88A" w14:textId="77777777" w:rsidTr="00CA64D7">
        <w:tc>
          <w:tcPr>
            <w:tcW w:w="3565" w:type="dxa"/>
          </w:tcPr>
          <w:p w14:paraId="4819D640" w14:textId="77777777" w:rsidR="00F93335" w:rsidRPr="00225248" w:rsidRDefault="00F93335" w:rsidP="00CA64D7">
            <w:pPr>
              <w:pStyle w:val="COMTabletext"/>
            </w:pPr>
            <w:r w:rsidRPr="00225248">
              <w:t>Censored, n (%)</w:t>
            </w:r>
          </w:p>
        </w:tc>
        <w:tc>
          <w:tcPr>
            <w:tcW w:w="2726" w:type="dxa"/>
            <w:vAlign w:val="center"/>
          </w:tcPr>
          <w:p w14:paraId="223D2307" w14:textId="77777777" w:rsidR="00F93335" w:rsidRPr="00225248" w:rsidRDefault="00F93335" w:rsidP="00CA64D7">
            <w:pPr>
              <w:pStyle w:val="COMTabletext"/>
              <w:jc w:val="center"/>
            </w:pPr>
            <w:r>
              <w:t>91 (81.3)</w:t>
            </w:r>
          </w:p>
        </w:tc>
        <w:tc>
          <w:tcPr>
            <w:tcW w:w="2726" w:type="dxa"/>
            <w:vAlign w:val="center"/>
          </w:tcPr>
          <w:p w14:paraId="1E758BDA" w14:textId="77777777" w:rsidR="00F93335" w:rsidRPr="00225248" w:rsidRDefault="00F93335" w:rsidP="00CA64D7">
            <w:pPr>
              <w:pStyle w:val="COMTabletext"/>
              <w:jc w:val="center"/>
            </w:pPr>
            <w:r>
              <w:t>76 (67.9)</w:t>
            </w:r>
          </w:p>
        </w:tc>
      </w:tr>
      <w:tr w:rsidR="00F93335" w:rsidRPr="00225248" w14:paraId="1CF578A0" w14:textId="77777777" w:rsidTr="00CA64D7">
        <w:tc>
          <w:tcPr>
            <w:tcW w:w="3565" w:type="dxa"/>
          </w:tcPr>
          <w:p w14:paraId="1F1FAE68" w14:textId="77777777" w:rsidR="00F93335" w:rsidRPr="00225248" w:rsidRDefault="00F93335" w:rsidP="00CA64D7">
            <w:pPr>
              <w:pStyle w:val="COMTabletext"/>
            </w:pPr>
            <w:r w:rsidRPr="00225248">
              <w:t>- Received on-protocol ASCT</w:t>
            </w:r>
          </w:p>
        </w:tc>
        <w:tc>
          <w:tcPr>
            <w:tcW w:w="2726" w:type="dxa"/>
            <w:vAlign w:val="center"/>
          </w:tcPr>
          <w:p w14:paraId="1D728F12" w14:textId="77777777" w:rsidR="00F93335" w:rsidRPr="00225248" w:rsidRDefault="00F93335" w:rsidP="00CA64D7">
            <w:pPr>
              <w:pStyle w:val="COMTabletext"/>
              <w:jc w:val="center"/>
            </w:pPr>
            <w:r>
              <w:t>22 (19.6)</w:t>
            </w:r>
          </w:p>
        </w:tc>
        <w:tc>
          <w:tcPr>
            <w:tcW w:w="2726" w:type="dxa"/>
            <w:vAlign w:val="center"/>
          </w:tcPr>
          <w:p w14:paraId="4EE75D5C" w14:textId="77777777" w:rsidR="00F93335" w:rsidRPr="00225248" w:rsidRDefault="00F93335" w:rsidP="00CA64D7">
            <w:pPr>
              <w:pStyle w:val="COMTabletext"/>
              <w:jc w:val="center"/>
            </w:pPr>
            <w:r>
              <w:t>22 (19.6)</w:t>
            </w:r>
          </w:p>
        </w:tc>
      </w:tr>
      <w:tr w:rsidR="00F93335" w:rsidRPr="00225248" w14:paraId="3ACB765B" w14:textId="77777777" w:rsidTr="00CA64D7">
        <w:tc>
          <w:tcPr>
            <w:tcW w:w="3565" w:type="dxa"/>
          </w:tcPr>
          <w:p w14:paraId="102162AD" w14:textId="77777777" w:rsidR="00F93335" w:rsidRPr="00225248" w:rsidRDefault="00F93335" w:rsidP="00CA64D7">
            <w:pPr>
              <w:pStyle w:val="COMTabletext"/>
            </w:pPr>
            <w:r w:rsidRPr="00225248">
              <w:t>- Completed study without event</w:t>
            </w:r>
          </w:p>
        </w:tc>
        <w:tc>
          <w:tcPr>
            <w:tcW w:w="2726" w:type="dxa"/>
            <w:vAlign w:val="center"/>
          </w:tcPr>
          <w:p w14:paraId="6BD34470" w14:textId="77777777" w:rsidR="00F93335" w:rsidRPr="00225248" w:rsidRDefault="00F93335" w:rsidP="00CA64D7">
            <w:pPr>
              <w:pStyle w:val="COMTabletext"/>
              <w:jc w:val="center"/>
            </w:pPr>
            <w:r>
              <w:t>0</w:t>
            </w:r>
          </w:p>
        </w:tc>
        <w:tc>
          <w:tcPr>
            <w:tcW w:w="2726" w:type="dxa"/>
            <w:vAlign w:val="center"/>
          </w:tcPr>
          <w:p w14:paraId="22F5625E" w14:textId="77777777" w:rsidR="00F93335" w:rsidRPr="00225248" w:rsidRDefault="00F93335" w:rsidP="00CA64D7">
            <w:pPr>
              <w:pStyle w:val="COMTabletext"/>
              <w:jc w:val="center"/>
            </w:pPr>
            <w:r>
              <w:t>0</w:t>
            </w:r>
          </w:p>
        </w:tc>
      </w:tr>
      <w:tr w:rsidR="00F93335" w:rsidRPr="00225248" w14:paraId="32885693" w14:textId="77777777" w:rsidTr="00CA64D7">
        <w:tc>
          <w:tcPr>
            <w:tcW w:w="3565" w:type="dxa"/>
          </w:tcPr>
          <w:p w14:paraId="2A886278" w14:textId="77777777" w:rsidR="00F93335" w:rsidRPr="00225248" w:rsidRDefault="00F93335" w:rsidP="00CA64D7">
            <w:pPr>
              <w:pStyle w:val="COMTabletext"/>
            </w:pPr>
            <w:r w:rsidRPr="00225248">
              <w:t>- Continuing study</w:t>
            </w:r>
          </w:p>
        </w:tc>
        <w:tc>
          <w:tcPr>
            <w:tcW w:w="2726" w:type="dxa"/>
            <w:vAlign w:val="center"/>
          </w:tcPr>
          <w:p w14:paraId="4D364E2A" w14:textId="77777777" w:rsidR="00F93335" w:rsidRPr="00225248" w:rsidRDefault="00F93335" w:rsidP="00CA64D7">
            <w:pPr>
              <w:pStyle w:val="COMTabletext"/>
              <w:jc w:val="center"/>
            </w:pPr>
            <w:r>
              <w:t>88 (78.6)</w:t>
            </w:r>
          </w:p>
        </w:tc>
        <w:tc>
          <w:tcPr>
            <w:tcW w:w="2726" w:type="dxa"/>
            <w:vAlign w:val="center"/>
          </w:tcPr>
          <w:p w14:paraId="3761806B" w14:textId="77777777" w:rsidR="00F93335" w:rsidRPr="00225248" w:rsidRDefault="00F93335" w:rsidP="00CA64D7">
            <w:pPr>
              <w:pStyle w:val="COMTabletext"/>
              <w:jc w:val="center"/>
            </w:pPr>
            <w:r>
              <w:t>71 (63.4)</w:t>
            </w:r>
          </w:p>
        </w:tc>
      </w:tr>
      <w:tr w:rsidR="00F93335" w:rsidRPr="00225248" w14:paraId="515BD581" w14:textId="77777777" w:rsidTr="00CA64D7">
        <w:tc>
          <w:tcPr>
            <w:tcW w:w="3565" w:type="dxa"/>
          </w:tcPr>
          <w:p w14:paraId="336E06BE" w14:textId="77777777" w:rsidR="00F93335" w:rsidRPr="00225248" w:rsidRDefault="00F93335" w:rsidP="00CA64D7">
            <w:pPr>
              <w:pStyle w:val="COMTabletext"/>
            </w:pPr>
            <w:r w:rsidRPr="00225248">
              <w:t>- Discontinued study</w:t>
            </w:r>
          </w:p>
        </w:tc>
        <w:tc>
          <w:tcPr>
            <w:tcW w:w="2726" w:type="dxa"/>
            <w:vAlign w:val="center"/>
          </w:tcPr>
          <w:p w14:paraId="1F05697D" w14:textId="77777777" w:rsidR="00F93335" w:rsidRPr="00225248" w:rsidRDefault="00F93335" w:rsidP="00CA64D7">
            <w:pPr>
              <w:pStyle w:val="COMTabletext"/>
              <w:jc w:val="center"/>
            </w:pPr>
            <w:r>
              <w:t>3 (2.7)</w:t>
            </w:r>
          </w:p>
        </w:tc>
        <w:tc>
          <w:tcPr>
            <w:tcW w:w="2726" w:type="dxa"/>
            <w:vAlign w:val="center"/>
          </w:tcPr>
          <w:p w14:paraId="2DAC984F" w14:textId="77777777" w:rsidR="00F93335" w:rsidRPr="00225248" w:rsidRDefault="00F93335" w:rsidP="00CA64D7">
            <w:pPr>
              <w:pStyle w:val="COMTabletext"/>
              <w:jc w:val="center"/>
            </w:pPr>
            <w:r>
              <w:t>5 (4.5)</w:t>
            </w:r>
          </w:p>
        </w:tc>
      </w:tr>
      <w:tr w:rsidR="00F93335" w:rsidRPr="00225248" w14:paraId="3996FDA3" w14:textId="77777777" w:rsidTr="00CA64D7">
        <w:tc>
          <w:tcPr>
            <w:tcW w:w="3565" w:type="dxa"/>
          </w:tcPr>
          <w:p w14:paraId="4B1AA8A7" w14:textId="77777777" w:rsidR="00F93335" w:rsidRPr="00225248" w:rsidRDefault="00F93335" w:rsidP="00CA64D7">
            <w:pPr>
              <w:pStyle w:val="COMTabletext"/>
            </w:pPr>
            <w:r w:rsidRPr="00225248">
              <w:t>Median time to censoring, years (95% CI)</w:t>
            </w:r>
          </w:p>
        </w:tc>
        <w:tc>
          <w:tcPr>
            <w:tcW w:w="2726" w:type="dxa"/>
            <w:vAlign w:val="center"/>
          </w:tcPr>
          <w:p w14:paraId="58C4F2FF" w14:textId="77777777" w:rsidR="00F93335" w:rsidRPr="00225248" w:rsidRDefault="00F93335" w:rsidP="00CA64D7">
            <w:pPr>
              <w:pStyle w:val="COMTabletext"/>
              <w:jc w:val="center"/>
            </w:pPr>
            <w:r>
              <w:t>4.1 (3.6, 4.5)</w:t>
            </w:r>
          </w:p>
        </w:tc>
        <w:tc>
          <w:tcPr>
            <w:tcW w:w="2726" w:type="dxa"/>
            <w:vAlign w:val="center"/>
          </w:tcPr>
          <w:p w14:paraId="16AB02CC" w14:textId="77777777" w:rsidR="00F93335" w:rsidRPr="00225248" w:rsidRDefault="00F93335" w:rsidP="00CA64D7">
            <w:pPr>
              <w:pStyle w:val="COMTabletext"/>
              <w:jc w:val="center"/>
            </w:pPr>
            <w:r>
              <w:t>4.0 (3.5, 4.5)</w:t>
            </w:r>
          </w:p>
        </w:tc>
      </w:tr>
      <w:tr w:rsidR="00F93335" w:rsidRPr="00225248" w14:paraId="06DD5284" w14:textId="77777777" w:rsidTr="00CA64D7">
        <w:tc>
          <w:tcPr>
            <w:tcW w:w="3565" w:type="dxa"/>
          </w:tcPr>
          <w:p w14:paraId="708D3286" w14:textId="77777777" w:rsidR="00F93335" w:rsidRPr="00225248" w:rsidRDefault="00F93335" w:rsidP="00CA64D7">
            <w:pPr>
              <w:pStyle w:val="COMTabletext"/>
            </w:pPr>
            <w:r w:rsidRPr="00225248">
              <w:t>Median time to event, years (95% CI)</w:t>
            </w:r>
          </w:p>
        </w:tc>
        <w:tc>
          <w:tcPr>
            <w:tcW w:w="2726" w:type="dxa"/>
            <w:vAlign w:val="center"/>
          </w:tcPr>
          <w:p w14:paraId="73D8367D" w14:textId="77777777" w:rsidR="00F93335" w:rsidRPr="00225248" w:rsidRDefault="00F93335" w:rsidP="00CA64D7">
            <w:pPr>
              <w:pStyle w:val="COMTabletext"/>
              <w:jc w:val="center"/>
            </w:pPr>
            <w:r>
              <w:t>NE (NE, NE)</w:t>
            </w:r>
          </w:p>
        </w:tc>
        <w:tc>
          <w:tcPr>
            <w:tcW w:w="2726" w:type="dxa"/>
            <w:vAlign w:val="center"/>
          </w:tcPr>
          <w:p w14:paraId="48AF4455" w14:textId="77777777" w:rsidR="00F93335" w:rsidRPr="00225248" w:rsidRDefault="00F93335" w:rsidP="00CA64D7">
            <w:pPr>
              <w:pStyle w:val="COMTabletext"/>
              <w:jc w:val="center"/>
            </w:pPr>
            <w:r>
              <w:t>5.8 (4.2, NE)</w:t>
            </w:r>
          </w:p>
        </w:tc>
      </w:tr>
      <w:tr w:rsidR="00F93335" w:rsidRPr="00225248" w14:paraId="6788065B" w14:textId="77777777" w:rsidTr="00CA64D7">
        <w:tc>
          <w:tcPr>
            <w:tcW w:w="3565" w:type="dxa"/>
            <w:tcBorders>
              <w:top w:val="single" w:sz="4" w:space="0" w:color="auto"/>
            </w:tcBorders>
          </w:tcPr>
          <w:p w14:paraId="73B33910" w14:textId="77777777" w:rsidR="00F93335" w:rsidRPr="00225248" w:rsidRDefault="00F93335" w:rsidP="00CA64D7">
            <w:pPr>
              <w:pStyle w:val="COMTabletext"/>
              <w:rPr>
                <w:vertAlign w:val="superscript"/>
              </w:rPr>
            </w:pPr>
            <w:r w:rsidRPr="00225248">
              <w:t xml:space="preserve">Hazard ratio (95% CI) </w:t>
            </w:r>
            <w:r w:rsidRPr="00225248">
              <w:rPr>
                <w:vertAlign w:val="superscript"/>
              </w:rPr>
              <w:t>a</w:t>
            </w:r>
          </w:p>
        </w:tc>
        <w:tc>
          <w:tcPr>
            <w:tcW w:w="5452" w:type="dxa"/>
            <w:gridSpan w:val="2"/>
            <w:tcBorders>
              <w:top w:val="single" w:sz="4" w:space="0" w:color="auto"/>
            </w:tcBorders>
            <w:vAlign w:val="center"/>
          </w:tcPr>
          <w:p w14:paraId="3DA113F9" w14:textId="77777777" w:rsidR="00F93335" w:rsidRPr="00225248" w:rsidRDefault="00F93335" w:rsidP="00CA64D7">
            <w:pPr>
              <w:pStyle w:val="COMTabletext"/>
              <w:jc w:val="center"/>
            </w:pPr>
            <w:r w:rsidRPr="00225248">
              <w:t>0.59 (0.34, 1.01)</w:t>
            </w:r>
          </w:p>
        </w:tc>
      </w:tr>
    </w:tbl>
    <w:p w14:paraId="6868B529" w14:textId="225D5758" w:rsidR="00F93335" w:rsidRPr="00225248" w:rsidRDefault="00F93335" w:rsidP="00F93335">
      <w:pPr>
        <w:pStyle w:val="COMTablefooter"/>
        <w:keepNext/>
      </w:pPr>
      <w:r w:rsidRPr="00225248">
        <w:t>Source: Table 3-13of the submission</w:t>
      </w:r>
      <w:r>
        <w:t>.</w:t>
      </w:r>
    </w:p>
    <w:p w14:paraId="13FAD983" w14:textId="77777777" w:rsidR="00F93335" w:rsidRPr="00225248" w:rsidRDefault="00F93335" w:rsidP="00F93335">
      <w:pPr>
        <w:pStyle w:val="COMTablefooter"/>
        <w:keepNext/>
      </w:pPr>
      <w:r w:rsidRPr="00225248">
        <w:t xml:space="preserve">Abbreviations: ASCT, allogeneic stem cell transplant; </w:t>
      </w:r>
      <w:r>
        <w:t>Blin</w:t>
      </w:r>
      <w:r w:rsidRPr="00225248">
        <w:t xml:space="preserve">, blinatumomab; CI, confidence interval; </w:t>
      </w:r>
      <w:r>
        <w:rPr>
          <w:szCs w:val="18"/>
        </w:rPr>
        <w:t xml:space="preserve">FAS, full analysis set; </w:t>
      </w:r>
      <w:r>
        <w:t xml:space="preserve">NE, not estimable; </w:t>
      </w:r>
      <w:r w:rsidRPr="00225248">
        <w:t>SOC, standard of care</w:t>
      </w:r>
      <w:r>
        <w:t>.</w:t>
      </w:r>
    </w:p>
    <w:p w14:paraId="1977347C" w14:textId="77777777" w:rsidR="00F93335" w:rsidRPr="00225248" w:rsidRDefault="00F93335" w:rsidP="00F93335">
      <w:pPr>
        <w:pStyle w:val="COMTablefooter"/>
        <w:keepNext/>
      </w:pPr>
      <w:r w:rsidRPr="00225248">
        <w:rPr>
          <w:vertAlign w:val="superscript"/>
        </w:rPr>
        <w:t>a</w:t>
      </w:r>
      <w:r w:rsidRPr="00225248">
        <w:t xml:space="preserve"> Stratified by age (&lt; 55 years vs ≥ 55 years), CD20 status, rituximab use, intent to receive </w:t>
      </w:r>
      <w:r>
        <w:t>ASCT.</w:t>
      </w:r>
    </w:p>
    <w:p w14:paraId="0D252DE0" w14:textId="74B43F2A" w:rsidR="00F93335" w:rsidRDefault="00AD6D9F" w:rsidP="001D1D52">
      <w:pPr>
        <w:pStyle w:val="COMexecsumnumberedpara"/>
        <w:rPr>
          <w:i/>
          <w:iCs/>
          <w:color w:val="0066FF"/>
        </w:rPr>
      </w:pPr>
      <w:r w:rsidRPr="00D7795E">
        <w:t xml:space="preserve">Median relapse-free survival was not reached in the blinatumomab plus SOC treatment arm and was 5.8 years for SOC. </w:t>
      </w:r>
      <w:r w:rsidR="00F93335" w:rsidRPr="00D7795E">
        <w:t xml:space="preserve">There was no statistically significant difference in relapse-free survival between treatment arms, however the results favoured blinatumomab plus </w:t>
      </w:r>
      <w:r>
        <w:t>standard of care</w:t>
      </w:r>
      <w:r w:rsidR="00F93335" w:rsidRPr="00D7795E">
        <w:t xml:space="preserve"> compared to </w:t>
      </w:r>
      <w:r>
        <w:t>standard of care</w:t>
      </w:r>
      <w:r w:rsidR="00F93335" w:rsidRPr="00D7795E">
        <w:t xml:space="preserve">. </w:t>
      </w:r>
    </w:p>
    <w:p w14:paraId="665DA006" w14:textId="65C77838" w:rsidR="00F93335" w:rsidRPr="00AD6D9F" w:rsidRDefault="00AD6D9F" w:rsidP="001D1D52">
      <w:pPr>
        <w:pStyle w:val="COMexecsumnumberedpara"/>
      </w:pPr>
      <w:r w:rsidRPr="00AD6D9F">
        <w:fldChar w:fldCharType="begin" w:fldLock="1"/>
      </w:r>
      <w:r w:rsidRPr="00AD6D9F">
        <w:instrText xml:space="preserve"> REF _Ref166313631 \h </w:instrText>
      </w:r>
      <w:r w:rsidRPr="00AD6D9F">
        <w:fldChar w:fldCharType="separate"/>
      </w:r>
      <w:r w:rsidR="00356F14" w:rsidRPr="00225248">
        <w:t xml:space="preserve">Figure </w:t>
      </w:r>
      <w:r w:rsidR="00356F14">
        <w:rPr>
          <w:noProof/>
        </w:rPr>
        <w:t>5</w:t>
      </w:r>
      <w:r w:rsidRPr="00AD6D9F">
        <w:fldChar w:fldCharType="end"/>
      </w:r>
      <w:r w:rsidRPr="00AD6D9F">
        <w:t xml:space="preserve"> and </w:t>
      </w:r>
      <w:r w:rsidRPr="00AD6D9F">
        <w:fldChar w:fldCharType="begin" w:fldLock="1"/>
      </w:r>
      <w:r w:rsidRPr="00AD6D9F">
        <w:instrText xml:space="preserve"> REF _Ref166313640 \h </w:instrText>
      </w:r>
      <w:r w:rsidRPr="00AD6D9F">
        <w:fldChar w:fldCharType="separate"/>
      </w:r>
      <w:r w:rsidR="00356F14" w:rsidRPr="00225248">
        <w:t xml:space="preserve">Table </w:t>
      </w:r>
      <w:r w:rsidR="00356F14">
        <w:rPr>
          <w:noProof/>
        </w:rPr>
        <w:t>8</w:t>
      </w:r>
      <w:r w:rsidRPr="00AD6D9F">
        <w:fldChar w:fldCharType="end"/>
      </w:r>
      <w:r w:rsidR="00F93335" w:rsidRPr="00AD6D9F">
        <w:t xml:space="preserve"> present results from the </w:t>
      </w:r>
      <w:r w:rsidR="00F93335" w:rsidRPr="00AD6D9F">
        <w:rPr>
          <w:i/>
          <w:iCs/>
        </w:rPr>
        <w:t>post hoc</w:t>
      </w:r>
      <w:r w:rsidR="00F93335" w:rsidRPr="00AD6D9F">
        <w:t xml:space="preserve"> analysis of overall survival from on-protocol ASCT (E1910 trial Step 3 MRD-negative cohort).</w:t>
      </w:r>
    </w:p>
    <w:p w14:paraId="30D0E21E" w14:textId="473FEED1" w:rsidR="00F93335" w:rsidRPr="00225248" w:rsidRDefault="00F93335" w:rsidP="00F93335">
      <w:pPr>
        <w:pStyle w:val="COMtablefigcaption"/>
        <w:jc w:val="both"/>
      </w:pPr>
      <w:bookmarkStart w:id="39" w:name="_Ref166313631"/>
      <w:r w:rsidRPr="00225248">
        <w:lastRenderedPageBreak/>
        <w:t xml:space="preserve">Figure </w:t>
      </w:r>
      <w:r w:rsidR="006F0D54">
        <w:fldChar w:fldCharType="begin" w:fldLock="1"/>
      </w:r>
      <w:r w:rsidR="006F0D54">
        <w:instrText xml:space="preserve"> SEQ Figure \* ARABIC </w:instrText>
      </w:r>
      <w:r w:rsidR="006F0D54">
        <w:fldChar w:fldCharType="separate"/>
      </w:r>
      <w:r w:rsidR="00356F14">
        <w:rPr>
          <w:noProof/>
        </w:rPr>
        <w:t>5</w:t>
      </w:r>
      <w:r w:rsidR="006F0D54">
        <w:rPr>
          <w:noProof/>
        </w:rPr>
        <w:fldChar w:fldCharType="end"/>
      </w:r>
      <w:bookmarkEnd w:id="39"/>
      <w:r w:rsidRPr="00225248">
        <w:t xml:space="preserve">: Kaplan-Meier estimates of </w:t>
      </w:r>
      <w:r>
        <w:t>MRD-</w:t>
      </w:r>
      <w:r w:rsidR="00C358BB">
        <w:t>negati</w:t>
      </w:r>
      <w:r>
        <w:t xml:space="preserve">ve </w:t>
      </w:r>
      <w:r w:rsidRPr="00225248">
        <w:t xml:space="preserve">overall survival from on-protocol ASCT </w:t>
      </w:r>
      <w:r>
        <w:t>in trial E1910 (</w:t>
      </w:r>
      <w:r w:rsidRPr="00F1376D">
        <w:t>Step 3</w:t>
      </w:r>
      <w:r>
        <w:t>; FAS</w:t>
      </w:r>
      <w:r w:rsidRPr="00F1376D">
        <w:t>)</w:t>
      </w:r>
    </w:p>
    <w:p w14:paraId="587F6DDE" w14:textId="77777777" w:rsidR="00F93335" w:rsidRPr="00225248" w:rsidRDefault="00F93335" w:rsidP="00C358BB">
      <w:pPr>
        <w:pStyle w:val="COMTablefooter"/>
        <w:jc w:val="center"/>
      </w:pPr>
      <w:r w:rsidRPr="00225248">
        <w:rPr>
          <w:noProof/>
        </w:rPr>
        <w:drawing>
          <wp:inline distT="0" distB="0" distL="0" distR="0" wp14:anchorId="4025501F" wp14:editId="31AE7BF4">
            <wp:extent cx="5358765" cy="3108960"/>
            <wp:effectExtent l="0" t="0" r="0" b="0"/>
            <wp:docPr id="493519372" name="Picture 3" descr="Figure 5: Kaplan-Meier estimates of MRD-negative overall survival from on-protocol ASCT in trial E1910 (Step 3; F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519372" name="Picture 3" descr="Figure 5: Kaplan-Meier estimates of MRD-negative overall survival from on-protocol ASCT in trial E1910 (Step 3; FA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58765" cy="3108960"/>
                    </a:xfrm>
                    <a:prstGeom prst="rect">
                      <a:avLst/>
                    </a:prstGeom>
                    <a:noFill/>
                  </pic:spPr>
                </pic:pic>
              </a:graphicData>
            </a:graphic>
          </wp:inline>
        </w:drawing>
      </w:r>
    </w:p>
    <w:p w14:paraId="2BA6B6BD" w14:textId="74A54245" w:rsidR="00F93335" w:rsidRPr="00225248" w:rsidRDefault="00F93335" w:rsidP="00F93335">
      <w:pPr>
        <w:pStyle w:val="COMTablefooter"/>
      </w:pPr>
      <w:r w:rsidRPr="00225248">
        <w:t>Source: Figure 3-</w:t>
      </w:r>
      <w:r w:rsidR="00054958" w:rsidRPr="00225248">
        <w:t>8</w:t>
      </w:r>
      <w:r w:rsidR="00054958">
        <w:t xml:space="preserve"> </w:t>
      </w:r>
      <w:r w:rsidR="00054958" w:rsidRPr="00225248">
        <w:t>of</w:t>
      </w:r>
      <w:r w:rsidRPr="00225248">
        <w:t xml:space="preserve"> the submission</w:t>
      </w:r>
    </w:p>
    <w:p w14:paraId="35BD4960" w14:textId="77777777" w:rsidR="00F93335" w:rsidRPr="00225248" w:rsidRDefault="00F93335" w:rsidP="00F93335">
      <w:pPr>
        <w:pStyle w:val="COMTablefooter"/>
      </w:pPr>
      <w:r w:rsidRPr="00225248">
        <w:t>Abbreviations: ASCT, allogeneic stem cell transplant; BLIN, blinatumomab; MRD, minimal residual disease; SOC, standard of care</w:t>
      </w:r>
    </w:p>
    <w:p w14:paraId="39B4C41D" w14:textId="53E8AD81" w:rsidR="00F93335" w:rsidRPr="00225248" w:rsidRDefault="00F93335" w:rsidP="008D2948">
      <w:pPr>
        <w:pStyle w:val="Caption"/>
      </w:pPr>
      <w:bookmarkStart w:id="40" w:name="_Ref166313640"/>
      <w:r w:rsidRPr="00225248">
        <w:t xml:space="preserve">Table </w:t>
      </w:r>
      <w:r w:rsidR="006F0D54">
        <w:fldChar w:fldCharType="begin" w:fldLock="1"/>
      </w:r>
      <w:r w:rsidR="006F0D54">
        <w:instrText xml:space="preserve"> SEQ Table \* ARABIC </w:instrText>
      </w:r>
      <w:r w:rsidR="006F0D54">
        <w:fldChar w:fldCharType="separate"/>
      </w:r>
      <w:r w:rsidR="00356F14">
        <w:rPr>
          <w:noProof/>
        </w:rPr>
        <w:t>8</w:t>
      </w:r>
      <w:r w:rsidR="006F0D54">
        <w:rPr>
          <w:noProof/>
        </w:rPr>
        <w:fldChar w:fldCharType="end"/>
      </w:r>
      <w:bookmarkEnd w:id="40"/>
      <w:r w:rsidRPr="00225248">
        <w:t xml:space="preserve">: </w:t>
      </w:r>
      <w:r w:rsidRPr="00F1376D">
        <w:t>MRD</w:t>
      </w:r>
      <w:r>
        <w:t>-</w:t>
      </w:r>
      <w:r w:rsidR="00C358BB">
        <w:t>negati</w:t>
      </w:r>
      <w:r>
        <w:t>ve</w:t>
      </w:r>
      <w:r w:rsidRPr="00F1376D">
        <w:t xml:space="preserve"> </w:t>
      </w:r>
      <w:r>
        <w:t>o</w:t>
      </w:r>
      <w:r w:rsidRPr="00F1376D">
        <w:t xml:space="preserve">verall </w:t>
      </w:r>
      <w:r>
        <w:t xml:space="preserve">survival </w:t>
      </w:r>
      <w:r w:rsidRPr="00225248">
        <w:t>from on-protocol ASCT</w:t>
      </w:r>
      <w:r>
        <w:t xml:space="preserve"> in trial E1910 (Step 3; FAS)</w:t>
      </w:r>
    </w:p>
    <w:tbl>
      <w:tblPr>
        <w:tblStyle w:val="TableGrid"/>
        <w:tblW w:w="0" w:type="auto"/>
        <w:tblLook w:val="04A0" w:firstRow="1" w:lastRow="0" w:firstColumn="1" w:lastColumn="0" w:noHBand="0" w:noVBand="1"/>
        <w:tblCaption w:val="Table 8: MRD-negative overall survival from on-protocol ASCT in trial E1910 (Step 3; FAS)"/>
      </w:tblPr>
      <w:tblGrid>
        <w:gridCol w:w="3565"/>
        <w:gridCol w:w="2726"/>
        <w:gridCol w:w="2726"/>
      </w:tblGrid>
      <w:tr w:rsidR="00F93335" w:rsidRPr="00225248" w14:paraId="0689A810" w14:textId="77777777" w:rsidTr="00CA64D7">
        <w:tc>
          <w:tcPr>
            <w:tcW w:w="3565" w:type="dxa"/>
            <w:vAlign w:val="center"/>
          </w:tcPr>
          <w:p w14:paraId="66D45703" w14:textId="77777777" w:rsidR="00F93335" w:rsidRPr="00225248" w:rsidRDefault="00F93335" w:rsidP="0020672F">
            <w:pPr>
              <w:pStyle w:val="COMTableheadingrow"/>
            </w:pPr>
          </w:p>
        </w:tc>
        <w:tc>
          <w:tcPr>
            <w:tcW w:w="2726" w:type="dxa"/>
            <w:vAlign w:val="center"/>
          </w:tcPr>
          <w:p w14:paraId="7B1AFD0E" w14:textId="77777777" w:rsidR="00F93335" w:rsidRPr="00225248" w:rsidRDefault="00F93335" w:rsidP="00E86AA4">
            <w:pPr>
              <w:pStyle w:val="COMTableheadingrow"/>
              <w:jc w:val="center"/>
            </w:pPr>
            <w:r>
              <w:t>Blin + SOC</w:t>
            </w:r>
          </w:p>
          <w:p w14:paraId="556B02A9" w14:textId="77777777" w:rsidR="00F93335" w:rsidRPr="00225248" w:rsidRDefault="00F93335" w:rsidP="00E86AA4">
            <w:pPr>
              <w:pStyle w:val="COMTableheadingrow"/>
              <w:jc w:val="center"/>
            </w:pPr>
            <w:r w:rsidRPr="00225248">
              <w:t>N=22</w:t>
            </w:r>
          </w:p>
        </w:tc>
        <w:tc>
          <w:tcPr>
            <w:tcW w:w="2726" w:type="dxa"/>
            <w:vAlign w:val="center"/>
          </w:tcPr>
          <w:p w14:paraId="055201E9" w14:textId="77777777" w:rsidR="00F93335" w:rsidRPr="00225248" w:rsidRDefault="00F93335" w:rsidP="00E86AA4">
            <w:pPr>
              <w:pStyle w:val="COMTableheadingrow"/>
              <w:jc w:val="center"/>
            </w:pPr>
            <w:r w:rsidRPr="00225248">
              <w:t>SOC</w:t>
            </w:r>
          </w:p>
          <w:p w14:paraId="36200C6E" w14:textId="77777777" w:rsidR="00F93335" w:rsidRPr="00225248" w:rsidRDefault="00F93335" w:rsidP="00E86AA4">
            <w:pPr>
              <w:pStyle w:val="COMTableheadingrow"/>
              <w:jc w:val="center"/>
            </w:pPr>
            <w:r w:rsidRPr="00225248">
              <w:t>N=22</w:t>
            </w:r>
          </w:p>
        </w:tc>
      </w:tr>
      <w:tr w:rsidR="00F93335" w:rsidRPr="00225248" w14:paraId="57BA9417" w14:textId="77777777" w:rsidTr="00CA64D7">
        <w:tc>
          <w:tcPr>
            <w:tcW w:w="3565" w:type="dxa"/>
          </w:tcPr>
          <w:p w14:paraId="6A0127F4" w14:textId="77777777" w:rsidR="00F93335" w:rsidRPr="00225248" w:rsidRDefault="00F93335" w:rsidP="00CA64D7">
            <w:pPr>
              <w:pStyle w:val="COMTabletext"/>
            </w:pPr>
            <w:r w:rsidRPr="00225248">
              <w:t>Deaths, n (%)</w:t>
            </w:r>
          </w:p>
        </w:tc>
        <w:tc>
          <w:tcPr>
            <w:tcW w:w="2726" w:type="dxa"/>
            <w:vAlign w:val="center"/>
          </w:tcPr>
          <w:p w14:paraId="4966BA0B" w14:textId="77777777" w:rsidR="00F93335" w:rsidRPr="00225248" w:rsidRDefault="00F93335" w:rsidP="00CA64D7">
            <w:pPr>
              <w:pStyle w:val="COMTabletext"/>
              <w:jc w:val="center"/>
            </w:pPr>
            <w:r w:rsidRPr="00225248">
              <w:t>4 (18.2)</w:t>
            </w:r>
          </w:p>
        </w:tc>
        <w:tc>
          <w:tcPr>
            <w:tcW w:w="2726" w:type="dxa"/>
            <w:vAlign w:val="center"/>
          </w:tcPr>
          <w:p w14:paraId="04FC2240" w14:textId="77777777" w:rsidR="00F93335" w:rsidRPr="00225248" w:rsidRDefault="00F93335" w:rsidP="00CA64D7">
            <w:pPr>
              <w:pStyle w:val="COMTabletext"/>
              <w:jc w:val="center"/>
            </w:pPr>
            <w:r w:rsidRPr="00225248">
              <w:t>6 (27.3)</w:t>
            </w:r>
          </w:p>
        </w:tc>
      </w:tr>
      <w:tr w:rsidR="00F93335" w:rsidRPr="00225248" w14:paraId="7CC0DCA1" w14:textId="77777777" w:rsidTr="00CA64D7">
        <w:tc>
          <w:tcPr>
            <w:tcW w:w="3565" w:type="dxa"/>
          </w:tcPr>
          <w:p w14:paraId="2BD021F4" w14:textId="77777777" w:rsidR="00F93335" w:rsidRPr="00225248" w:rsidRDefault="00F93335" w:rsidP="00CA64D7">
            <w:pPr>
              <w:pStyle w:val="COMTabletext"/>
            </w:pPr>
            <w:r w:rsidRPr="00225248">
              <w:t>Censored, n (%)</w:t>
            </w:r>
          </w:p>
        </w:tc>
        <w:tc>
          <w:tcPr>
            <w:tcW w:w="2726" w:type="dxa"/>
            <w:vAlign w:val="center"/>
          </w:tcPr>
          <w:p w14:paraId="6AB3612F" w14:textId="77777777" w:rsidR="00F93335" w:rsidRPr="00225248" w:rsidRDefault="00F93335" w:rsidP="00CA64D7">
            <w:pPr>
              <w:pStyle w:val="COMTabletext"/>
              <w:jc w:val="center"/>
            </w:pPr>
            <w:r>
              <w:t>18 (81.8)</w:t>
            </w:r>
          </w:p>
        </w:tc>
        <w:tc>
          <w:tcPr>
            <w:tcW w:w="2726" w:type="dxa"/>
            <w:vAlign w:val="center"/>
          </w:tcPr>
          <w:p w14:paraId="7EA43637" w14:textId="77777777" w:rsidR="00F93335" w:rsidRPr="00225248" w:rsidRDefault="00F93335" w:rsidP="00CA64D7">
            <w:pPr>
              <w:pStyle w:val="COMTabletext"/>
              <w:jc w:val="center"/>
            </w:pPr>
            <w:r>
              <w:t>16 (72.7)</w:t>
            </w:r>
          </w:p>
        </w:tc>
      </w:tr>
      <w:tr w:rsidR="00F93335" w:rsidRPr="00225248" w14:paraId="3116C061" w14:textId="77777777" w:rsidTr="00CA64D7">
        <w:tc>
          <w:tcPr>
            <w:tcW w:w="3565" w:type="dxa"/>
          </w:tcPr>
          <w:p w14:paraId="0DDD080C" w14:textId="77777777" w:rsidR="00F93335" w:rsidRPr="00225248" w:rsidRDefault="00F93335" w:rsidP="00CA64D7">
            <w:pPr>
              <w:pStyle w:val="COMTabletext"/>
            </w:pPr>
            <w:r w:rsidRPr="00225248">
              <w:t>- Completed study without event</w:t>
            </w:r>
          </w:p>
        </w:tc>
        <w:tc>
          <w:tcPr>
            <w:tcW w:w="2726" w:type="dxa"/>
            <w:vAlign w:val="center"/>
          </w:tcPr>
          <w:p w14:paraId="738A7C10" w14:textId="77777777" w:rsidR="00F93335" w:rsidRPr="00225248" w:rsidRDefault="00F93335" w:rsidP="00CA64D7">
            <w:pPr>
              <w:pStyle w:val="COMTabletext"/>
              <w:jc w:val="center"/>
            </w:pPr>
            <w:r>
              <w:t>0</w:t>
            </w:r>
          </w:p>
        </w:tc>
        <w:tc>
          <w:tcPr>
            <w:tcW w:w="2726" w:type="dxa"/>
            <w:vAlign w:val="center"/>
          </w:tcPr>
          <w:p w14:paraId="22C66B80" w14:textId="77777777" w:rsidR="00F93335" w:rsidRPr="00225248" w:rsidRDefault="00F93335" w:rsidP="00CA64D7">
            <w:pPr>
              <w:pStyle w:val="COMTabletext"/>
              <w:jc w:val="center"/>
            </w:pPr>
            <w:r>
              <w:t>0</w:t>
            </w:r>
          </w:p>
        </w:tc>
      </w:tr>
      <w:tr w:rsidR="00F93335" w:rsidRPr="00225248" w14:paraId="32C5B5D9" w14:textId="77777777" w:rsidTr="00CA64D7">
        <w:tc>
          <w:tcPr>
            <w:tcW w:w="3565" w:type="dxa"/>
          </w:tcPr>
          <w:p w14:paraId="50DF0987" w14:textId="77777777" w:rsidR="00F93335" w:rsidRPr="00225248" w:rsidRDefault="00F93335" w:rsidP="00CA64D7">
            <w:pPr>
              <w:pStyle w:val="COMTabletext"/>
            </w:pPr>
            <w:r w:rsidRPr="00225248">
              <w:t>- Continuing study</w:t>
            </w:r>
          </w:p>
        </w:tc>
        <w:tc>
          <w:tcPr>
            <w:tcW w:w="2726" w:type="dxa"/>
            <w:vAlign w:val="center"/>
          </w:tcPr>
          <w:p w14:paraId="177D540A" w14:textId="77777777" w:rsidR="00F93335" w:rsidRPr="00225248" w:rsidRDefault="00F93335" w:rsidP="00CA64D7">
            <w:pPr>
              <w:pStyle w:val="COMTabletext"/>
              <w:jc w:val="center"/>
            </w:pPr>
            <w:r>
              <w:t>18 (81.8)</w:t>
            </w:r>
          </w:p>
        </w:tc>
        <w:tc>
          <w:tcPr>
            <w:tcW w:w="2726" w:type="dxa"/>
            <w:vAlign w:val="center"/>
          </w:tcPr>
          <w:p w14:paraId="3E0DCEDC" w14:textId="77777777" w:rsidR="00F93335" w:rsidRPr="00225248" w:rsidRDefault="00F93335" w:rsidP="00CA64D7">
            <w:pPr>
              <w:pStyle w:val="COMTabletext"/>
              <w:jc w:val="center"/>
            </w:pPr>
            <w:r>
              <w:t>13 (59.1)</w:t>
            </w:r>
          </w:p>
        </w:tc>
      </w:tr>
      <w:tr w:rsidR="00F93335" w:rsidRPr="00225248" w14:paraId="1A2FE345" w14:textId="77777777" w:rsidTr="00CA64D7">
        <w:tc>
          <w:tcPr>
            <w:tcW w:w="3565" w:type="dxa"/>
          </w:tcPr>
          <w:p w14:paraId="65DE1D32" w14:textId="77777777" w:rsidR="00F93335" w:rsidRPr="00225248" w:rsidRDefault="00F93335" w:rsidP="00CA64D7">
            <w:pPr>
              <w:pStyle w:val="COMTabletext"/>
            </w:pPr>
            <w:r w:rsidRPr="00225248">
              <w:t>- Discontinued study</w:t>
            </w:r>
          </w:p>
        </w:tc>
        <w:tc>
          <w:tcPr>
            <w:tcW w:w="2726" w:type="dxa"/>
            <w:vAlign w:val="center"/>
          </w:tcPr>
          <w:p w14:paraId="1512FF6D" w14:textId="77777777" w:rsidR="00F93335" w:rsidRPr="00225248" w:rsidRDefault="00F93335" w:rsidP="00CA64D7">
            <w:pPr>
              <w:pStyle w:val="COMTabletext"/>
              <w:jc w:val="center"/>
            </w:pPr>
            <w:r>
              <w:t>0</w:t>
            </w:r>
          </w:p>
        </w:tc>
        <w:tc>
          <w:tcPr>
            <w:tcW w:w="2726" w:type="dxa"/>
            <w:vAlign w:val="center"/>
          </w:tcPr>
          <w:p w14:paraId="14DDC088" w14:textId="77777777" w:rsidR="00F93335" w:rsidRPr="00225248" w:rsidRDefault="00F93335" w:rsidP="00CA64D7">
            <w:pPr>
              <w:pStyle w:val="COMTabletext"/>
              <w:jc w:val="center"/>
            </w:pPr>
            <w:r>
              <w:t>3 (13.6)</w:t>
            </w:r>
          </w:p>
        </w:tc>
      </w:tr>
      <w:tr w:rsidR="00F93335" w:rsidRPr="00225248" w14:paraId="75E9900D" w14:textId="77777777" w:rsidTr="00CA64D7">
        <w:tc>
          <w:tcPr>
            <w:tcW w:w="3565" w:type="dxa"/>
          </w:tcPr>
          <w:p w14:paraId="3A2E9AF2" w14:textId="77777777" w:rsidR="00F93335" w:rsidRPr="00225248" w:rsidRDefault="00F93335" w:rsidP="00CA64D7">
            <w:pPr>
              <w:pStyle w:val="COMTabletext"/>
            </w:pPr>
            <w:r w:rsidRPr="00225248">
              <w:t>Median overall survival, years (95% CI)</w:t>
            </w:r>
          </w:p>
        </w:tc>
        <w:tc>
          <w:tcPr>
            <w:tcW w:w="2726" w:type="dxa"/>
            <w:vAlign w:val="center"/>
          </w:tcPr>
          <w:p w14:paraId="28FAF754" w14:textId="77777777" w:rsidR="00F93335" w:rsidRPr="00225248" w:rsidRDefault="00F93335" w:rsidP="00CA64D7">
            <w:pPr>
              <w:pStyle w:val="COMTabletext"/>
              <w:jc w:val="center"/>
            </w:pPr>
            <w:r>
              <w:t>NE (NE, NE)</w:t>
            </w:r>
          </w:p>
        </w:tc>
        <w:tc>
          <w:tcPr>
            <w:tcW w:w="2726" w:type="dxa"/>
            <w:vAlign w:val="center"/>
          </w:tcPr>
          <w:p w14:paraId="3EEF1AF2" w14:textId="77777777" w:rsidR="00F93335" w:rsidRPr="00225248" w:rsidRDefault="00F93335" w:rsidP="00CA64D7">
            <w:pPr>
              <w:pStyle w:val="COMTabletext"/>
              <w:jc w:val="center"/>
            </w:pPr>
            <w:r>
              <w:t>NE (NE, NE)</w:t>
            </w:r>
          </w:p>
        </w:tc>
      </w:tr>
      <w:tr w:rsidR="00F93335" w:rsidRPr="00225248" w14:paraId="44898386" w14:textId="77777777" w:rsidTr="00CA64D7">
        <w:tc>
          <w:tcPr>
            <w:tcW w:w="3565" w:type="dxa"/>
          </w:tcPr>
          <w:p w14:paraId="1C483045" w14:textId="77777777" w:rsidR="00F93335" w:rsidRPr="00225248" w:rsidRDefault="00F93335" w:rsidP="00CA64D7">
            <w:pPr>
              <w:pStyle w:val="COMTabletext"/>
            </w:pPr>
            <w:r w:rsidRPr="00225248">
              <w:t>Median time to censoring, years (95% CI)</w:t>
            </w:r>
          </w:p>
        </w:tc>
        <w:tc>
          <w:tcPr>
            <w:tcW w:w="2726" w:type="dxa"/>
            <w:vAlign w:val="center"/>
          </w:tcPr>
          <w:p w14:paraId="18709020" w14:textId="77777777" w:rsidR="00F93335" w:rsidRPr="00225248" w:rsidRDefault="00F93335" w:rsidP="00CA64D7">
            <w:pPr>
              <w:pStyle w:val="COMTabletext"/>
              <w:jc w:val="center"/>
            </w:pPr>
            <w:r>
              <w:t>4.3 (3.6, 5.4)</w:t>
            </w:r>
          </w:p>
        </w:tc>
        <w:tc>
          <w:tcPr>
            <w:tcW w:w="2726" w:type="dxa"/>
            <w:vAlign w:val="center"/>
          </w:tcPr>
          <w:p w14:paraId="3155D2EC" w14:textId="77777777" w:rsidR="00F93335" w:rsidRPr="00225248" w:rsidRDefault="00F93335" w:rsidP="00CA64D7">
            <w:pPr>
              <w:pStyle w:val="COMTabletext"/>
              <w:jc w:val="center"/>
            </w:pPr>
            <w:r>
              <w:t>4.2 (3.8, 6.4)</w:t>
            </w:r>
          </w:p>
        </w:tc>
      </w:tr>
      <w:tr w:rsidR="00F93335" w:rsidRPr="00225248" w14:paraId="2000C0BF" w14:textId="77777777" w:rsidTr="00CA64D7">
        <w:tc>
          <w:tcPr>
            <w:tcW w:w="3565" w:type="dxa"/>
            <w:tcBorders>
              <w:top w:val="single" w:sz="4" w:space="0" w:color="auto"/>
            </w:tcBorders>
          </w:tcPr>
          <w:p w14:paraId="6A8772B6" w14:textId="77777777" w:rsidR="00F93335" w:rsidRPr="00225248" w:rsidRDefault="00F93335" w:rsidP="00CA64D7">
            <w:pPr>
              <w:pStyle w:val="COMTabletext"/>
              <w:rPr>
                <w:vertAlign w:val="superscript"/>
              </w:rPr>
            </w:pPr>
            <w:r w:rsidRPr="00225248">
              <w:t xml:space="preserve">Hazard ratio (95% CI) </w:t>
            </w:r>
            <w:r w:rsidRPr="00225248">
              <w:rPr>
                <w:vertAlign w:val="superscript"/>
              </w:rPr>
              <w:t>a</w:t>
            </w:r>
          </w:p>
        </w:tc>
        <w:tc>
          <w:tcPr>
            <w:tcW w:w="5452" w:type="dxa"/>
            <w:gridSpan w:val="2"/>
            <w:tcBorders>
              <w:top w:val="single" w:sz="4" w:space="0" w:color="auto"/>
            </w:tcBorders>
            <w:vAlign w:val="center"/>
          </w:tcPr>
          <w:p w14:paraId="69489172" w14:textId="77777777" w:rsidR="00F93335" w:rsidRPr="00225248" w:rsidRDefault="00F93335" w:rsidP="00CA64D7">
            <w:pPr>
              <w:pStyle w:val="COMTabletext"/>
              <w:jc w:val="center"/>
            </w:pPr>
            <w:r w:rsidRPr="00225248">
              <w:t>0.73 (0.20, 2.65)</w:t>
            </w:r>
          </w:p>
        </w:tc>
      </w:tr>
    </w:tbl>
    <w:p w14:paraId="57EF1C4D" w14:textId="1D44F8D7" w:rsidR="00F93335" w:rsidRPr="00225248" w:rsidRDefault="00F93335" w:rsidP="00F93335">
      <w:pPr>
        <w:pStyle w:val="COMTablefooter"/>
      </w:pPr>
      <w:r w:rsidRPr="00225248">
        <w:t>Source: Table 3-12, of the submission</w:t>
      </w:r>
      <w:r>
        <w:t>.</w:t>
      </w:r>
    </w:p>
    <w:p w14:paraId="0B1DA9AA" w14:textId="77777777" w:rsidR="00F93335" w:rsidRPr="00225248" w:rsidRDefault="00F93335" w:rsidP="00F93335">
      <w:pPr>
        <w:pStyle w:val="COMTablefooter"/>
      </w:pPr>
      <w:r w:rsidRPr="00225248">
        <w:t xml:space="preserve">Abbreviations: ASCT, allogeneic stem cell transplant; </w:t>
      </w:r>
      <w:r>
        <w:t>Blin</w:t>
      </w:r>
      <w:r w:rsidRPr="00225248">
        <w:t xml:space="preserve">, blinatumomab; CI, confidence interval; </w:t>
      </w:r>
      <w:r>
        <w:rPr>
          <w:szCs w:val="18"/>
        </w:rPr>
        <w:t xml:space="preserve">FAS, full analysis set; </w:t>
      </w:r>
      <w:r w:rsidRPr="00225248">
        <w:t>NA, not applicable;</w:t>
      </w:r>
      <w:r>
        <w:t xml:space="preserve"> NE, not estimable; </w:t>
      </w:r>
      <w:r w:rsidRPr="00225248">
        <w:t>SOC, standard of care</w:t>
      </w:r>
      <w:r>
        <w:t>.</w:t>
      </w:r>
    </w:p>
    <w:p w14:paraId="0C02A39F" w14:textId="77777777" w:rsidR="00F93335" w:rsidRPr="00225248" w:rsidRDefault="00F93335" w:rsidP="00F93335">
      <w:pPr>
        <w:pStyle w:val="COMTablefooter"/>
      </w:pPr>
      <w:r w:rsidRPr="00225248">
        <w:rPr>
          <w:vertAlign w:val="superscript"/>
        </w:rPr>
        <w:t>a</w:t>
      </w:r>
      <w:r w:rsidRPr="00225248">
        <w:t xml:space="preserve"> Stratified by age (&lt; 55 years vs ≥ 55 years), CD20 status (positive vs. negative vs not collected), rituximab use (yes vs no vs not collected), intent to receive allogeneic SCT (yes vs no)</w:t>
      </w:r>
    </w:p>
    <w:p w14:paraId="5C4BBB77" w14:textId="77777777" w:rsidR="00F93335" w:rsidRPr="00AD6D9F" w:rsidRDefault="00F93335" w:rsidP="001D1D52">
      <w:pPr>
        <w:pStyle w:val="COMexecsumnumberedpara"/>
      </w:pPr>
      <w:r w:rsidRPr="00AD6D9F">
        <w:t>Median overall survival was not reached in either treatment arm. There was no statistically significant difference between treatment arms, with few events occurring during the trial period.</w:t>
      </w:r>
    </w:p>
    <w:p w14:paraId="6063A09E" w14:textId="3704258B" w:rsidR="00F93335" w:rsidRPr="00010E16" w:rsidRDefault="00010E16" w:rsidP="001D1D52">
      <w:pPr>
        <w:pStyle w:val="COMexecsumnumberedpara"/>
      </w:pPr>
      <w:r w:rsidRPr="00010E16">
        <w:fldChar w:fldCharType="begin" w:fldLock="1"/>
      </w:r>
      <w:r w:rsidRPr="00010E16">
        <w:instrText xml:space="preserve"> REF _Ref166313726 \h </w:instrText>
      </w:r>
      <w:r w:rsidRPr="00010E16">
        <w:fldChar w:fldCharType="separate"/>
      </w:r>
      <w:r w:rsidR="00356F14" w:rsidRPr="00225248">
        <w:t xml:space="preserve">Figure </w:t>
      </w:r>
      <w:r w:rsidR="00356F14">
        <w:rPr>
          <w:noProof/>
        </w:rPr>
        <w:t>6</w:t>
      </w:r>
      <w:r w:rsidRPr="00010E16">
        <w:fldChar w:fldCharType="end"/>
      </w:r>
      <w:r w:rsidRPr="00010E16">
        <w:t xml:space="preserve"> and </w:t>
      </w:r>
      <w:r w:rsidRPr="00010E16">
        <w:fldChar w:fldCharType="begin" w:fldLock="1"/>
      </w:r>
      <w:r w:rsidRPr="00010E16">
        <w:instrText xml:space="preserve"> REF _Ref166313733 \h </w:instrText>
      </w:r>
      <w:r w:rsidRPr="00010E16">
        <w:fldChar w:fldCharType="separate"/>
      </w:r>
      <w:r w:rsidR="00356F14" w:rsidRPr="00225248">
        <w:t xml:space="preserve">Table </w:t>
      </w:r>
      <w:r w:rsidR="00356F14">
        <w:rPr>
          <w:noProof/>
        </w:rPr>
        <w:t>9</w:t>
      </w:r>
      <w:r w:rsidRPr="00010E16">
        <w:fldChar w:fldCharType="end"/>
      </w:r>
      <w:r w:rsidR="00F93335" w:rsidRPr="00010E16">
        <w:t xml:space="preserve"> present results from the </w:t>
      </w:r>
      <w:r w:rsidR="00F93335" w:rsidRPr="00010E16">
        <w:rPr>
          <w:i/>
          <w:iCs/>
        </w:rPr>
        <w:t>post hoc</w:t>
      </w:r>
      <w:r w:rsidR="00F93335" w:rsidRPr="00010E16">
        <w:t xml:space="preserve"> analysis of relapse-free survival from on-protocol ASCT (E1910 trial Step 3 MRD-negative cohort).</w:t>
      </w:r>
    </w:p>
    <w:p w14:paraId="6915A5D0" w14:textId="16C7BE2C" w:rsidR="00F93335" w:rsidRPr="00225248" w:rsidRDefault="00F93335" w:rsidP="00AD6D9F">
      <w:pPr>
        <w:pStyle w:val="Caption"/>
      </w:pPr>
      <w:bookmarkStart w:id="41" w:name="_Ref166313726"/>
      <w:r w:rsidRPr="00225248">
        <w:lastRenderedPageBreak/>
        <w:t xml:space="preserve">Figure </w:t>
      </w:r>
      <w:r w:rsidR="006F0D54">
        <w:fldChar w:fldCharType="begin" w:fldLock="1"/>
      </w:r>
      <w:r w:rsidR="006F0D54">
        <w:instrText xml:space="preserve"> SEQ Figure \* ARABIC </w:instrText>
      </w:r>
      <w:r w:rsidR="006F0D54">
        <w:fldChar w:fldCharType="separate"/>
      </w:r>
      <w:r w:rsidR="00356F14">
        <w:rPr>
          <w:noProof/>
        </w:rPr>
        <w:t>6</w:t>
      </w:r>
      <w:r w:rsidR="006F0D54">
        <w:rPr>
          <w:noProof/>
        </w:rPr>
        <w:fldChar w:fldCharType="end"/>
      </w:r>
      <w:bookmarkEnd w:id="41"/>
      <w:r w:rsidRPr="00225248">
        <w:t xml:space="preserve">: Kaplan-Meier estimates of </w:t>
      </w:r>
      <w:r>
        <w:t>MRD-</w:t>
      </w:r>
      <w:r w:rsidR="00C451C4">
        <w:t>negati</w:t>
      </w:r>
      <w:r>
        <w:t xml:space="preserve">ve </w:t>
      </w:r>
      <w:r w:rsidRPr="00225248">
        <w:t>relapse-free survival from on-protocol ASCT</w:t>
      </w:r>
      <w:r>
        <w:t xml:space="preserve"> in trial E1910 (Step 3; FAS)</w:t>
      </w:r>
    </w:p>
    <w:p w14:paraId="7E870349" w14:textId="77777777" w:rsidR="00F93335" w:rsidRPr="00225248" w:rsidRDefault="00F93335" w:rsidP="00C451C4">
      <w:pPr>
        <w:pStyle w:val="COMTablefooter"/>
        <w:jc w:val="center"/>
      </w:pPr>
      <w:r w:rsidRPr="00225248">
        <w:rPr>
          <w:noProof/>
        </w:rPr>
        <w:drawing>
          <wp:inline distT="0" distB="0" distL="0" distR="0" wp14:anchorId="2200B15D" wp14:editId="4158FE40">
            <wp:extent cx="5389245" cy="3127375"/>
            <wp:effectExtent l="0" t="0" r="1905" b="0"/>
            <wp:docPr id="320413408" name="Picture 4" descr="Figure 6: Kaplan-Meier estimates of MRD-negative relapse-free survival from on-protocol ASCT in trial E1910 (Step 3; F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413408" name="Picture 4" descr="Figure 6: Kaplan-Meier estimates of MRD-negative relapse-free survival from on-protocol ASCT in trial E1910 (Step 3; FA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89245" cy="3127375"/>
                    </a:xfrm>
                    <a:prstGeom prst="rect">
                      <a:avLst/>
                    </a:prstGeom>
                    <a:noFill/>
                  </pic:spPr>
                </pic:pic>
              </a:graphicData>
            </a:graphic>
          </wp:inline>
        </w:drawing>
      </w:r>
    </w:p>
    <w:p w14:paraId="1C9608D9" w14:textId="7A0B1A5B" w:rsidR="00F93335" w:rsidRPr="00225248" w:rsidRDefault="00F93335" w:rsidP="00F93335">
      <w:pPr>
        <w:pStyle w:val="COMTablefooter"/>
      </w:pPr>
      <w:r w:rsidRPr="00225248">
        <w:t>Source: Figure 3-10, of the submission</w:t>
      </w:r>
      <w:r>
        <w:t>.</w:t>
      </w:r>
    </w:p>
    <w:p w14:paraId="42DE3417" w14:textId="77777777" w:rsidR="00F93335" w:rsidRPr="00225248" w:rsidRDefault="00F93335" w:rsidP="00F93335">
      <w:pPr>
        <w:pStyle w:val="COMTablefooter"/>
      </w:pPr>
      <w:r w:rsidRPr="00225248">
        <w:t xml:space="preserve">Abbreviations: ASCT, allogeneic stem cell transplant; BLIN, blinatumomab; </w:t>
      </w:r>
      <w:r>
        <w:t xml:space="preserve">FAS, full analysis set; </w:t>
      </w:r>
      <w:r w:rsidRPr="00225248">
        <w:t>MRD, minimal residual disease; SOC, standard of care</w:t>
      </w:r>
      <w:r>
        <w:t>.</w:t>
      </w:r>
    </w:p>
    <w:p w14:paraId="6181263A" w14:textId="4D63BDE1" w:rsidR="00F93335" w:rsidRPr="00225248" w:rsidRDefault="00F93335" w:rsidP="00AD6D9F">
      <w:pPr>
        <w:pStyle w:val="Caption"/>
      </w:pPr>
      <w:bookmarkStart w:id="42" w:name="_Ref166313733"/>
      <w:r w:rsidRPr="00225248">
        <w:t xml:space="preserve">Table </w:t>
      </w:r>
      <w:r w:rsidR="006F0D54">
        <w:fldChar w:fldCharType="begin" w:fldLock="1"/>
      </w:r>
      <w:r w:rsidR="006F0D54">
        <w:instrText xml:space="preserve"> SEQ Table \* ARABIC </w:instrText>
      </w:r>
      <w:r w:rsidR="006F0D54">
        <w:fldChar w:fldCharType="separate"/>
      </w:r>
      <w:r w:rsidR="00356F14">
        <w:rPr>
          <w:noProof/>
        </w:rPr>
        <w:t>9</w:t>
      </w:r>
      <w:r w:rsidR="006F0D54">
        <w:rPr>
          <w:noProof/>
        </w:rPr>
        <w:fldChar w:fldCharType="end"/>
      </w:r>
      <w:bookmarkEnd w:id="42"/>
      <w:r w:rsidRPr="00225248">
        <w:t xml:space="preserve">: </w:t>
      </w:r>
      <w:r>
        <w:t>MRD-</w:t>
      </w:r>
      <w:r w:rsidR="00C451C4">
        <w:t>negati</w:t>
      </w:r>
      <w:r>
        <w:t>ve r</w:t>
      </w:r>
      <w:r w:rsidRPr="00225248">
        <w:t>elapse-free survival from on-protocol ASCT</w:t>
      </w:r>
      <w:r>
        <w:t xml:space="preserve"> in trial E1910 (Step 3; FAS)</w:t>
      </w:r>
    </w:p>
    <w:tbl>
      <w:tblPr>
        <w:tblStyle w:val="TableGrid"/>
        <w:tblW w:w="0" w:type="auto"/>
        <w:tblLook w:val="04A0" w:firstRow="1" w:lastRow="0" w:firstColumn="1" w:lastColumn="0" w:noHBand="0" w:noVBand="1"/>
        <w:tblCaption w:val="Table 9: MRD-negative relapse-free survival from on-protocol ASCT in trial E1910 (Step 3; FAS)"/>
      </w:tblPr>
      <w:tblGrid>
        <w:gridCol w:w="3565"/>
        <w:gridCol w:w="2726"/>
        <w:gridCol w:w="2726"/>
      </w:tblGrid>
      <w:tr w:rsidR="00F93335" w:rsidRPr="00225248" w14:paraId="18CB8897" w14:textId="77777777" w:rsidTr="00CA64D7">
        <w:tc>
          <w:tcPr>
            <w:tcW w:w="3565" w:type="dxa"/>
            <w:vAlign w:val="center"/>
          </w:tcPr>
          <w:p w14:paraId="32A4710A" w14:textId="77777777" w:rsidR="00F93335" w:rsidRPr="00225248" w:rsidRDefault="00F93335" w:rsidP="0020672F">
            <w:pPr>
              <w:pStyle w:val="COMTableheadingrow"/>
            </w:pPr>
          </w:p>
        </w:tc>
        <w:tc>
          <w:tcPr>
            <w:tcW w:w="2726" w:type="dxa"/>
            <w:vAlign w:val="center"/>
          </w:tcPr>
          <w:p w14:paraId="69914AAC" w14:textId="77777777" w:rsidR="00F93335" w:rsidRPr="00225248" w:rsidRDefault="00F93335" w:rsidP="00E86AA4">
            <w:pPr>
              <w:pStyle w:val="COMTableheadingrow"/>
              <w:jc w:val="center"/>
            </w:pPr>
            <w:r>
              <w:t>Blin + SOC</w:t>
            </w:r>
          </w:p>
          <w:p w14:paraId="05EA919D" w14:textId="77777777" w:rsidR="00F93335" w:rsidRPr="00225248" w:rsidRDefault="00F93335" w:rsidP="00E86AA4">
            <w:pPr>
              <w:pStyle w:val="COMTableheadingrow"/>
              <w:jc w:val="center"/>
            </w:pPr>
            <w:r w:rsidRPr="00225248">
              <w:t>N=22</w:t>
            </w:r>
          </w:p>
        </w:tc>
        <w:tc>
          <w:tcPr>
            <w:tcW w:w="2726" w:type="dxa"/>
            <w:vAlign w:val="center"/>
          </w:tcPr>
          <w:p w14:paraId="12E0E172" w14:textId="77777777" w:rsidR="00F93335" w:rsidRPr="00225248" w:rsidRDefault="00F93335" w:rsidP="00E86AA4">
            <w:pPr>
              <w:pStyle w:val="COMTableheadingrow"/>
              <w:jc w:val="center"/>
            </w:pPr>
            <w:r w:rsidRPr="00225248">
              <w:t>SOC</w:t>
            </w:r>
          </w:p>
          <w:p w14:paraId="583588BC" w14:textId="77777777" w:rsidR="00F93335" w:rsidRPr="00225248" w:rsidRDefault="00F93335" w:rsidP="00E86AA4">
            <w:pPr>
              <w:pStyle w:val="COMTableheadingrow"/>
              <w:jc w:val="center"/>
            </w:pPr>
            <w:r w:rsidRPr="00225248">
              <w:t>N=22</w:t>
            </w:r>
          </w:p>
        </w:tc>
      </w:tr>
      <w:tr w:rsidR="00F93335" w:rsidRPr="00225248" w14:paraId="79624786" w14:textId="77777777" w:rsidTr="00CA64D7">
        <w:tc>
          <w:tcPr>
            <w:tcW w:w="3565" w:type="dxa"/>
          </w:tcPr>
          <w:p w14:paraId="5343B8BC" w14:textId="77777777" w:rsidR="00F93335" w:rsidRPr="00225248" w:rsidRDefault="00F93335" w:rsidP="00CA64D7">
            <w:pPr>
              <w:pStyle w:val="COMTabletext"/>
              <w:keepLines/>
            </w:pPr>
            <w:r w:rsidRPr="00225248">
              <w:t>Events, n (%)</w:t>
            </w:r>
          </w:p>
        </w:tc>
        <w:tc>
          <w:tcPr>
            <w:tcW w:w="2726" w:type="dxa"/>
            <w:vAlign w:val="center"/>
          </w:tcPr>
          <w:p w14:paraId="6812E0C2" w14:textId="77777777" w:rsidR="00F93335" w:rsidRPr="00225248" w:rsidRDefault="00F93335" w:rsidP="00CA64D7">
            <w:pPr>
              <w:pStyle w:val="COMTabletext"/>
              <w:keepLines/>
              <w:jc w:val="center"/>
            </w:pPr>
            <w:r w:rsidRPr="00225248">
              <w:t>4 (18.2)</w:t>
            </w:r>
          </w:p>
        </w:tc>
        <w:tc>
          <w:tcPr>
            <w:tcW w:w="2726" w:type="dxa"/>
            <w:vAlign w:val="center"/>
          </w:tcPr>
          <w:p w14:paraId="374551DC" w14:textId="77777777" w:rsidR="00F93335" w:rsidRPr="00225248" w:rsidRDefault="00F93335" w:rsidP="00CA64D7">
            <w:pPr>
              <w:pStyle w:val="COMTabletext"/>
              <w:keepLines/>
              <w:jc w:val="center"/>
            </w:pPr>
            <w:r w:rsidRPr="00225248">
              <w:t>7 (31.8)</w:t>
            </w:r>
          </w:p>
        </w:tc>
      </w:tr>
      <w:tr w:rsidR="00F93335" w:rsidRPr="00225248" w14:paraId="3872D8F6" w14:textId="77777777" w:rsidTr="00CA64D7">
        <w:tc>
          <w:tcPr>
            <w:tcW w:w="3565" w:type="dxa"/>
          </w:tcPr>
          <w:p w14:paraId="4A5EE161" w14:textId="77777777" w:rsidR="00F93335" w:rsidRPr="00225248" w:rsidRDefault="00F93335" w:rsidP="00CA64D7">
            <w:pPr>
              <w:pStyle w:val="COMTabletext"/>
              <w:keepLines/>
            </w:pPr>
            <w:r w:rsidRPr="00225248">
              <w:t>- Relapse</w:t>
            </w:r>
          </w:p>
        </w:tc>
        <w:tc>
          <w:tcPr>
            <w:tcW w:w="2726" w:type="dxa"/>
            <w:vAlign w:val="center"/>
          </w:tcPr>
          <w:p w14:paraId="34F93043" w14:textId="77777777" w:rsidR="00F93335" w:rsidRPr="00225248" w:rsidRDefault="00F93335" w:rsidP="00CA64D7">
            <w:pPr>
              <w:pStyle w:val="COMTabletext"/>
              <w:keepLines/>
              <w:jc w:val="center"/>
            </w:pPr>
            <w:r>
              <w:t>2 (9.1)</w:t>
            </w:r>
          </w:p>
        </w:tc>
        <w:tc>
          <w:tcPr>
            <w:tcW w:w="2726" w:type="dxa"/>
            <w:vAlign w:val="center"/>
          </w:tcPr>
          <w:p w14:paraId="56BD5501" w14:textId="77777777" w:rsidR="00F93335" w:rsidRPr="00225248" w:rsidRDefault="00F93335" w:rsidP="00CA64D7">
            <w:pPr>
              <w:pStyle w:val="COMTabletext"/>
              <w:keepLines/>
              <w:jc w:val="center"/>
            </w:pPr>
            <w:r>
              <w:t>5 (22.7)</w:t>
            </w:r>
          </w:p>
        </w:tc>
      </w:tr>
      <w:tr w:rsidR="00F93335" w:rsidRPr="00225248" w14:paraId="361D8B90" w14:textId="77777777" w:rsidTr="00CA64D7">
        <w:tc>
          <w:tcPr>
            <w:tcW w:w="3565" w:type="dxa"/>
          </w:tcPr>
          <w:p w14:paraId="28FA27CA" w14:textId="77777777" w:rsidR="00F93335" w:rsidRPr="00225248" w:rsidRDefault="00F93335" w:rsidP="00CA64D7">
            <w:pPr>
              <w:pStyle w:val="COMTabletext"/>
              <w:keepLines/>
            </w:pPr>
            <w:r w:rsidRPr="00225248">
              <w:t>- Deaths</w:t>
            </w:r>
          </w:p>
        </w:tc>
        <w:tc>
          <w:tcPr>
            <w:tcW w:w="2726" w:type="dxa"/>
            <w:vAlign w:val="center"/>
          </w:tcPr>
          <w:p w14:paraId="1FD542BB" w14:textId="77777777" w:rsidR="00F93335" w:rsidRPr="00225248" w:rsidRDefault="00F93335" w:rsidP="00CA64D7">
            <w:pPr>
              <w:pStyle w:val="COMTabletext"/>
              <w:keepLines/>
              <w:jc w:val="center"/>
            </w:pPr>
            <w:r>
              <w:t>2 (9.1)</w:t>
            </w:r>
          </w:p>
        </w:tc>
        <w:tc>
          <w:tcPr>
            <w:tcW w:w="2726" w:type="dxa"/>
            <w:vAlign w:val="center"/>
          </w:tcPr>
          <w:p w14:paraId="536DCB50" w14:textId="77777777" w:rsidR="00F93335" w:rsidRPr="00225248" w:rsidRDefault="00F93335" w:rsidP="00CA64D7">
            <w:pPr>
              <w:pStyle w:val="COMTabletext"/>
              <w:keepLines/>
              <w:jc w:val="center"/>
            </w:pPr>
            <w:r>
              <w:t>2 (9.1)</w:t>
            </w:r>
          </w:p>
        </w:tc>
      </w:tr>
      <w:tr w:rsidR="00F93335" w:rsidRPr="00225248" w14:paraId="7B77885D" w14:textId="77777777" w:rsidTr="00CA64D7">
        <w:tc>
          <w:tcPr>
            <w:tcW w:w="3565" w:type="dxa"/>
          </w:tcPr>
          <w:p w14:paraId="267FE270" w14:textId="77777777" w:rsidR="00F93335" w:rsidRPr="00225248" w:rsidRDefault="00F93335" w:rsidP="00CA64D7">
            <w:pPr>
              <w:pStyle w:val="COMTabletext"/>
              <w:keepLines/>
            </w:pPr>
            <w:r w:rsidRPr="00225248">
              <w:t>Censored, n (%)</w:t>
            </w:r>
          </w:p>
        </w:tc>
        <w:tc>
          <w:tcPr>
            <w:tcW w:w="2726" w:type="dxa"/>
            <w:vAlign w:val="center"/>
          </w:tcPr>
          <w:p w14:paraId="131EB556" w14:textId="77777777" w:rsidR="00F93335" w:rsidRPr="00225248" w:rsidRDefault="00F93335" w:rsidP="00CA64D7">
            <w:pPr>
              <w:pStyle w:val="COMTabletext"/>
              <w:keepLines/>
              <w:jc w:val="center"/>
            </w:pPr>
            <w:r>
              <w:t>18 (81.8)</w:t>
            </w:r>
          </w:p>
        </w:tc>
        <w:tc>
          <w:tcPr>
            <w:tcW w:w="2726" w:type="dxa"/>
            <w:vAlign w:val="center"/>
          </w:tcPr>
          <w:p w14:paraId="1C1F6522" w14:textId="77777777" w:rsidR="00F93335" w:rsidRPr="00225248" w:rsidRDefault="00F93335" w:rsidP="00CA64D7">
            <w:pPr>
              <w:pStyle w:val="COMTabletext"/>
              <w:keepLines/>
              <w:jc w:val="center"/>
            </w:pPr>
            <w:r>
              <w:t>15 (68.2)</w:t>
            </w:r>
          </w:p>
        </w:tc>
      </w:tr>
      <w:tr w:rsidR="00F93335" w:rsidRPr="00225248" w14:paraId="615C1299" w14:textId="77777777" w:rsidTr="00CA64D7">
        <w:tc>
          <w:tcPr>
            <w:tcW w:w="3565" w:type="dxa"/>
          </w:tcPr>
          <w:p w14:paraId="33B74EC6" w14:textId="77777777" w:rsidR="00F93335" w:rsidRPr="00225248" w:rsidRDefault="00F93335" w:rsidP="00CA64D7">
            <w:pPr>
              <w:pStyle w:val="COMTabletext"/>
              <w:keepLines/>
            </w:pPr>
            <w:r w:rsidRPr="00225248">
              <w:t>- Completed study without event</w:t>
            </w:r>
          </w:p>
        </w:tc>
        <w:tc>
          <w:tcPr>
            <w:tcW w:w="2726" w:type="dxa"/>
            <w:vAlign w:val="center"/>
          </w:tcPr>
          <w:p w14:paraId="1A55C67E" w14:textId="77777777" w:rsidR="00F93335" w:rsidRPr="00225248" w:rsidRDefault="00F93335" w:rsidP="00CA64D7">
            <w:pPr>
              <w:pStyle w:val="COMTabletext"/>
              <w:keepLines/>
              <w:jc w:val="center"/>
            </w:pPr>
            <w:r>
              <w:t>0</w:t>
            </w:r>
          </w:p>
        </w:tc>
        <w:tc>
          <w:tcPr>
            <w:tcW w:w="2726" w:type="dxa"/>
            <w:vAlign w:val="center"/>
          </w:tcPr>
          <w:p w14:paraId="67AC8AF7" w14:textId="77777777" w:rsidR="00F93335" w:rsidRPr="00225248" w:rsidRDefault="00F93335" w:rsidP="00CA64D7">
            <w:pPr>
              <w:pStyle w:val="COMTabletext"/>
              <w:keepLines/>
              <w:jc w:val="center"/>
            </w:pPr>
            <w:r>
              <w:t>0</w:t>
            </w:r>
          </w:p>
        </w:tc>
      </w:tr>
      <w:tr w:rsidR="00F93335" w:rsidRPr="00225248" w14:paraId="1F19629F" w14:textId="77777777" w:rsidTr="00CA64D7">
        <w:tc>
          <w:tcPr>
            <w:tcW w:w="3565" w:type="dxa"/>
          </w:tcPr>
          <w:p w14:paraId="244274DD" w14:textId="77777777" w:rsidR="00F93335" w:rsidRPr="00225248" w:rsidRDefault="00F93335" w:rsidP="00CA64D7">
            <w:pPr>
              <w:pStyle w:val="COMTabletext"/>
              <w:keepLines/>
            </w:pPr>
            <w:r w:rsidRPr="00225248">
              <w:t>- Continuing study</w:t>
            </w:r>
          </w:p>
        </w:tc>
        <w:tc>
          <w:tcPr>
            <w:tcW w:w="2726" w:type="dxa"/>
            <w:vAlign w:val="center"/>
          </w:tcPr>
          <w:p w14:paraId="248A10BD" w14:textId="77777777" w:rsidR="00F93335" w:rsidRPr="00225248" w:rsidRDefault="00F93335" w:rsidP="00CA64D7">
            <w:pPr>
              <w:pStyle w:val="COMTabletext"/>
              <w:keepLines/>
              <w:jc w:val="center"/>
            </w:pPr>
            <w:r>
              <w:t>18 (81.8)</w:t>
            </w:r>
          </w:p>
        </w:tc>
        <w:tc>
          <w:tcPr>
            <w:tcW w:w="2726" w:type="dxa"/>
            <w:vAlign w:val="center"/>
          </w:tcPr>
          <w:p w14:paraId="5FB0DCF4" w14:textId="77777777" w:rsidR="00F93335" w:rsidRPr="00225248" w:rsidRDefault="00F93335" w:rsidP="00CA64D7">
            <w:pPr>
              <w:pStyle w:val="COMTabletext"/>
              <w:keepLines/>
              <w:jc w:val="center"/>
            </w:pPr>
            <w:r>
              <w:t>12 (54.5)</w:t>
            </w:r>
          </w:p>
        </w:tc>
      </w:tr>
      <w:tr w:rsidR="00F93335" w:rsidRPr="00225248" w14:paraId="7C77AFE4" w14:textId="77777777" w:rsidTr="00CA64D7">
        <w:tc>
          <w:tcPr>
            <w:tcW w:w="3565" w:type="dxa"/>
          </w:tcPr>
          <w:p w14:paraId="2BE92968" w14:textId="77777777" w:rsidR="00F93335" w:rsidRPr="00225248" w:rsidRDefault="00F93335" w:rsidP="00CA64D7">
            <w:pPr>
              <w:pStyle w:val="COMTabletext"/>
              <w:keepLines/>
            </w:pPr>
            <w:r w:rsidRPr="00225248">
              <w:t>- Discontinued study</w:t>
            </w:r>
          </w:p>
        </w:tc>
        <w:tc>
          <w:tcPr>
            <w:tcW w:w="2726" w:type="dxa"/>
            <w:vAlign w:val="center"/>
          </w:tcPr>
          <w:p w14:paraId="2AE644BD" w14:textId="77777777" w:rsidR="00F93335" w:rsidRPr="00225248" w:rsidRDefault="00F93335" w:rsidP="00CA64D7">
            <w:pPr>
              <w:pStyle w:val="COMTabletext"/>
              <w:keepLines/>
              <w:jc w:val="center"/>
            </w:pPr>
            <w:r>
              <w:t>0</w:t>
            </w:r>
          </w:p>
        </w:tc>
        <w:tc>
          <w:tcPr>
            <w:tcW w:w="2726" w:type="dxa"/>
            <w:vAlign w:val="center"/>
          </w:tcPr>
          <w:p w14:paraId="5EE7C4D9" w14:textId="77777777" w:rsidR="00F93335" w:rsidRPr="00225248" w:rsidRDefault="00F93335" w:rsidP="00CA64D7">
            <w:pPr>
              <w:pStyle w:val="COMTabletext"/>
              <w:keepLines/>
              <w:jc w:val="center"/>
            </w:pPr>
            <w:r>
              <w:t>3 (13.6)</w:t>
            </w:r>
          </w:p>
        </w:tc>
      </w:tr>
      <w:tr w:rsidR="00F93335" w:rsidRPr="00225248" w14:paraId="3E7E5B07" w14:textId="77777777" w:rsidTr="00CA64D7">
        <w:tc>
          <w:tcPr>
            <w:tcW w:w="3565" w:type="dxa"/>
          </w:tcPr>
          <w:p w14:paraId="16A3AFB9" w14:textId="77777777" w:rsidR="00F93335" w:rsidRPr="00225248" w:rsidRDefault="00F93335" w:rsidP="00CA64D7">
            <w:pPr>
              <w:pStyle w:val="COMTabletext"/>
              <w:keepLines/>
            </w:pPr>
            <w:r w:rsidRPr="00225248">
              <w:t>Median time to event, years (95% CI)</w:t>
            </w:r>
          </w:p>
        </w:tc>
        <w:tc>
          <w:tcPr>
            <w:tcW w:w="2726" w:type="dxa"/>
            <w:vAlign w:val="center"/>
          </w:tcPr>
          <w:p w14:paraId="20990348" w14:textId="77777777" w:rsidR="00F93335" w:rsidRPr="00225248" w:rsidRDefault="00F93335" w:rsidP="00CA64D7">
            <w:pPr>
              <w:pStyle w:val="COMTabletext"/>
              <w:keepLines/>
              <w:jc w:val="center"/>
            </w:pPr>
            <w:r>
              <w:t>NE (NE, NE)</w:t>
            </w:r>
          </w:p>
        </w:tc>
        <w:tc>
          <w:tcPr>
            <w:tcW w:w="2726" w:type="dxa"/>
            <w:vAlign w:val="center"/>
          </w:tcPr>
          <w:p w14:paraId="291FA80A" w14:textId="77777777" w:rsidR="00F93335" w:rsidRPr="00225248" w:rsidRDefault="00F93335" w:rsidP="00CA64D7">
            <w:pPr>
              <w:pStyle w:val="COMTabletext"/>
              <w:keepLines/>
              <w:jc w:val="center"/>
            </w:pPr>
            <w:r>
              <w:t>NE (1.1, NE)</w:t>
            </w:r>
          </w:p>
        </w:tc>
      </w:tr>
      <w:tr w:rsidR="00F93335" w:rsidRPr="00225248" w14:paraId="085137C1" w14:textId="77777777" w:rsidTr="00CA64D7">
        <w:tc>
          <w:tcPr>
            <w:tcW w:w="3565" w:type="dxa"/>
          </w:tcPr>
          <w:p w14:paraId="1076FBC1" w14:textId="77777777" w:rsidR="00F93335" w:rsidRPr="00225248" w:rsidRDefault="00F93335" w:rsidP="00CA64D7">
            <w:pPr>
              <w:pStyle w:val="COMTabletext"/>
              <w:keepLines/>
            </w:pPr>
            <w:r w:rsidRPr="00225248">
              <w:t>Median time to censoring, years (95% CI)</w:t>
            </w:r>
          </w:p>
        </w:tc>
        <w:tc>
          <w:tcPr>
            <w:tcW w:w="2726" w:type="dxa"/>
            <w:vAlign w:val="center"/>
          </w:tcPr>
          <w:p w14:paraId="3FA4D748" w14:textId="77777777" w:rsidR="00F93335" w:rsidRPr="00225248" w:rsidRDefault="00F93335" w:rsidP="00CA64D7">
            <w:pPr>
              <w:pStyle w:val="COMTabletext"/>
              <w:keepLines/>
              <w:jc w:val="center"/>
            </w:pPr>
            <w:r>
              <w:t>4.3 (3.6, 5.4)</w:t>
            </w:r>
          </w:p>
        </w:tc>
        <w:tc>
          <w:tcPr>
            <w:tcW w:w="2726" w:type="dxa"/>
            <w:vAlign w:val="center"/>
          </w:tcPr>
          <w:p w14:paraId="31E3B987" w14:textId="77777777" w:rsidR="00F93335" w:rsidRPr="00225248" w:rsidRDefault="00F93335" w:rsidP="00CA64D7">
            <w:pPr>
              <w:pStyle w:val="COMTabletext"/>
              <w:keepLines/>
              <w:jc w:val="center"/>
            </w:pPr>
            <w:r>
              <w:t>4.2 (3.5, 6.4)</w:t>
            </w:r>
          </w:p>
        </w:tc>
      </w:tr>
      <w:tr w:rsidR="00F93335" w:rsidRPr="00225248" w14:paraId="609E6BF1" w14:textId="77777777" w:rsidTr="00CA64D7">
        <w:tc>
          <w:tcPr>
            <w:tcW w:w="3565" w:type="dxa"/>
            <w:tcBorders>
              <w:top w:val="single" w:sz="4" w:space="0" w:color="auto"/>
            </w:tcBorders>
          </w:tcPr>
          <w:p w14:paraId="2ED49412" w14:textId="77777777" w:rsidR="00F93335" w:rsidRPr="00225248" w:rsidRDefault="00F93335" w:rsidP="00CA64D7">
            <w:pPr>
              <w:pStyle w:val="COMTabletext"/>
              <w:keepLines/>
              <w:rPr>
                <w:vertAlign w:val="superscript"/>
              </w:rPr>
            </w:pPr>
            <w:r w:rsidRPr="00225248">
              <w:t xml:space="preserve">Hazard ratio (95% CI) </w:t>
            </w:r>
            <w:r w:rsidRPr="00225248">
              <w:rPr>
                <w:vertAlign w:val="superscript"/>
              </w:rPr>
              <w:t>a</w:t>
            </w:r>
          </w:p>
        </w:tc>
        <w:tc>
          <w:tcPr>
            <w:tcW w:w="5452" w:type="dxa"/>
            <w:gridSpan w:val="2"/>
            <w:tcBorders>
              <w:top w:val="single" w:sz="4" w:space="0" w:color="auto"/>
            </w:tcBorders>
            <w:vAlign w:val="center"/>
          </w:tcPr>
          <w:p w14:paraId="2C414FC8" w14:textId="77777777" w:rsidR="00F93335" w:rsidRPr="00225248" w:rsidRDefault="00F93335" w:rsidP="00CA64D7">
            <w:pPr>
              <w:pStyle w:val="COMTabletext"/>
              <w:keepLines/>
              <w:jc w:val="center"/>
            </w:pPr>
            <w:r w:rsidRPr="00225248">
              <w:t>0.62 (0.18, 2.15)</w:t>
            </w:r>
          </w:p>
        </w:tc>
      </w:tr>
    </w:tbl>
    <w:p w14:paraId="389FF6E9" w14:textId="16FF157D" w:rsidR="00F93335" w:rsidRPr="00225248" w:rsidRDefault="00F93335" w:rsidP="00F93335">
      <w:pPr>
        <w:pStyle w:val="COMTablefooter"/>
        <w:keepNext/>
        <w:keepLines/>
      </w:pPr>
      <w:r w:rsidRPr="00225248">
        <w:t>Source: Table 3-14of the submission</w:t>
      </w:r>
      <w:r>
        <w:t>.</w:t>
      </w:r>
    </w:p>
    <w:p w14:paraId="6BD013DF" w14:textId="77777777" w:rsidR="00F93335" w:rsidRPr="00225248" w:rsidRDefault="00F93335" w:rsidP="00F93335">
      <w:pPr>
        <w:pStyle w:val="COMTablefooter"/>
        <w:keepNext/>
        <w:keepLines/>
      </w:pPr>
      <w:r w:rsidRPr="00225248">
        <w:t xml:space="preserve">Abbreviations: ASCT, allogeneic stem cell transplant; BLIN, blinatumomab; CI, confidence interval; </w:t>
      </w:r>
      <w:r>
        <w:rPr>
          <w:szCs w:val="18"/>
        </w:rPr>
        <w:t xml:space="preserve">FAS, full analysis set; </w:t>
      </w:r>
      <w:r w:rsidRPr="00225248">
        <w:t xml:space="preserve">NA, not applicable; </w:t>
      </w:r>
      <w:r>
        <w:t xml:space="preserve">NE, not estimable; NR, not reported; </w:t>
      </w:r>
      <w:r w:rsidRPr="00225248">
        <w:t>SOC, standard of care</w:t>
      </w:r>
      <w:r>
        <w:t>.</w:t>
      </w:r>
    </w:p>
    <w:p w14:paraId="289739F0" w14:textId="77777777" w:rsidR="00F93335" w:rsidRPr="00225248" w:rsidRDefault="00F93335" w:rsidP="00F93335">
      <w:pPr>
        <w:pStyle w:val="COMTablefooter"/>
        <w:keepNext/>
        <w:keepLines/>
      </w:pPr>
      <w:r w:rsidRPr="00225248">
        <w:rPr>
          <w:vertAlign w:val="superscript"/>
        </w:rPr>
        <w:t>a</w:t>
      </w:r>
      <w:r w:rsidRPr="00225248">
        <w:t xml:space="preserve"> Stratified by age (&lt; 55 years vs ≥ 55 years), CD20 status, rituximab use, intent to receive allogeneic SCT</w:t>
      </w:r>
      <w:r>
        <w:t>.</w:t>
      </w:r>
    </w:p>
    <w:p w14:paraId="4C9683A1" w14:textId="77777777" w:rsidR="00F93335" w:rsidRPr="00010E16" w:rsidRDefault="00F93335" w:rsidP="001D1D52">
      <w:pPr>
        <w:pStyle w:val="COMexecsumnumberedpara"/>
      </w:pPr>
      <w:r w:rsidRPr="00010E16">
        <w:t>Median relapse-free survival was not reached in either treatment arm. There was no statistically significant difference between treatment arms, with few events occurring during the trial period.</w:t>
      </w:r>
    </w:p>
    <w:p w14:paraId="4544905A" w14:textId="5A43908C" w:rsidR="00F93335" w:rsidRPr="0050230F" w:rsidRDefault="00010E16" w:rsidP="001D1D52">
      <w:pPr>
        <w:pStyle w:val="COMexecsumnumberedpara"/>
      </w:pPr>
      <w:r w:rsidRPr="0050230F">
        <w:fldChar w:fldCharType="begin" w:fldLock="1"/>
      </w:r>
      <w:r w:rsidRPr="0050230F">
        <w:instrText xml:space="preserve"> REF _Ref166313774 \h </w:instrText>
      </w:r>
      <w:r w:rsidRPr="0050230F">
        <w:fldChar w:fldCharType="separate"/>
      </w:r>
      <w:r w:rsidR="00356F14" w:rsidRPr="000F4C1C">
        <w:t xml:space="preserve">Table </w:t>
      </w:r>
      <w:r w:rsidR="00356F14">
        <w:rPr>
          <w:noProof/>
        </w:rPr>
        <w:t>10</w:t>
      </w:r>
      <w:r w:rsidRPr="0050230F">
        <w:fldChar w:fldCharType="end"/>
      </w:r>
      <w:r w:rsidR="00F93335" w:rsidRPr="0050230F">
        <w:t xml:space="preserve"> summarises additional </w:t>
      </w:r>
      <w:r w:rsidR="00F93335" w:rsidRPr="0050230F">
        <w:rPr>
          <w:i/>
          <w:iCs/>
        </w:rPr>
        <w:t>post hoc</w:t>
      </w:r>
      <w:r w:rsidR="00F93335" w:rsidRPr="0050230F">
        <w:t xml:space="preserve"> analyses conducted for the MRD-negative cohort of the E1910 trial, censored at on-protocol or off-protocol ASCT and from on-protocol or off-protocol ASCT.</w:t>
      </w:r>
      <w:r w:rsidR="005B72A9">
        <w:t xml:space="preserve"> </w:t>
      </w:r>
    </w:p>
    <w:p w14:paraId="7262B6DE" w14:textId="51204430" w:rsidR="00F93335" w:rsidRPr="007912B8" w:rsidRDefault="00F93335" w:rsidP="00010E16">
      <w:pPr>
        <w:pStyle w:val="Caption"/>
      </w:pPr>
      <w:bookmarkStart w:id="43" w:name="_Ref166313774"/>
      <w:r w:rsidRPr="000F4C1C">
        <w:lastRenderedPageBreak/>
        <w:t xml:space="preserve">Table </w:t>
      </w:r>
      <w:r w:rsidR="006F0D54">
        <w:fldChar w:fldCharType="begin" w:fldLock="1"/>
      </w:r>
      <w:r w:rsidR="006F0D54">
        <w:instrText xml:space="preserve"> SEQ Table \* ARABIC </w:instrText>
      </w:r>
      <w:r w:rsidR="006F0D54">
        <w:fldChar w:fldCharType="separate"/>
      </w:r>
      <w:r w:rsidR="00356F14">
        <w:rPr>
          <w:noProof/>
        </w:rPr>
        <w:t>10</w:t>
      </w:r>
      <w:r w:rsidR="006F0D54">
        <w:rPr>
          <w:noProof/>
        </w:rPr>
        <w:fldChar w:fldCharType="end"/>
      </w:r>
      <w:bookmarkEnd w:id="43"/>
      <w:r w:rsidRPr="000F4C1C">
        <w:t xml:space="preserve">: </w:t>
      </w:r>
      <w:r>
        <w:t>MRD-</w:t>
      </w:r>
      <w:r w:rsidR="00C451C4">
        <w:t>negati</w:t>
      </w:r>
      <w:r>
        <w:t>ve overall and relapse free survival by on-protocol or off-protocol ASCT in E1910 (Step 3; FAS)</w:t>
      </w:r>
    </w:p>
    <w:tbl>
      <w:tblPr>
        <w:tblStyle w:val="TableGrid"/>
        <w:tblW w:w="5000" w:type="pct"/>
        <w:tblLook w:val="04A0" w:firstRow="1" w:lastRow="0" w:firstColumn="1" w:lastColumn="0" w:noHBand="0" w:noVBand="1"/>
        <w:tblCaption w:val="Table 10: MRD-negative overall and relapse free survival by on-protocol or off-protocol ASCT in E1910 (Step 3; FAS)"/>
      </w:tblPr>
      <w:tblGrid>
        <w:gridCol w:w="3114"/>
        <w:gridCol w:w="1967"/>
        <w:gridCol w:w="1968"/>
        <w:gridCol w:w="1968"/>
      </w:tblGrid>
      <w:tr w:rsidR="00F93335" w:rsidRPr="00023908" w14:paraId="4E455EE1" w14:textId="77777777" w:rsidTr="00CA64D7">
        <w:trPr>
          <w:tblHeader/>
        </w:trPr>
        <w:tc>
          <w:tcPr>
            <w:tcW w:w="3114" w:type="dxa"/>
            <w:vAlign w:val="center"/>
          </w:tcPr>
          <w:p w14:paraId="500E4B3F" w14:textId="77777777" w:rsidR="00F93335" w:rsidRPr="00023908" w:rsidRDefault="00F93335" w:rsidP="00CA64D7">
            <w:pPr>
              <w:jc w:val="center"/>
              <w:rPr>
                <w:rFonts w:ascii="Arial Narrow" w:hAnsi="Arial Narrow"/>
                <w:b/>
                <w:sz w:val="20"/>
                <w:szCs w:val="20"/>
              </w:rPr>
            </w:pPr>
          </w:p>
        </w:tc>
        <w:tc>
          <w:tcPr>
            <w:tcW w:w="1967" w:type="dxa"/>
            <w:vAlign w:val="center"/>
          </w:tcPr>
          <w:p w14:paraId="4F699F9B" w14:textId="77777777" w:rsidR="00F93335" w:rsidRPr="00023908" w:rsidRDefault="00F93335" w:rsidP="00CA64D7">
            <w:pPr>
              <w:jc w:val="center"/>
              <w:rPr>
                <w:rFonts w:ascii="Arial Narrow" w:hAnsi="Arial Narrow"/>
                <w:b/>
                <w:sz w:val="20"/>
                <w:szCs w:val="20"/>
              </w:rPr>
            </w:pPr>
            <w:r w:rsidRPr="00023908">
              <w:rPr>
                <w:rFonts w:ascii="Arial Narrow" w:hAnsi="Arial Narrow"/>
                <w:b/>
                <w:sz w:val="20"/>
                <w:szCs w:val="20"/>
              </w:rPr>
              <w:t>Blinatumomab + SOC n/N (%)</w:t>
            </w:r>
          </w:p>
        </w:tc>
        <w:tc>
          <w:tcPr>
            <w:tcW w:w="1968" w:type="dxa"/>
            <w:vAlign w:val="center"/>
          </w:tcPr>
          <w:p w14:paraId="221CD07B" w14:textId="77777777" w:rsidR="00F93335" w:rsidRPr="00023908" w:rsidRDefault="00F93335" w:rsidP="00CA64D7">
            <w:pPr>
              <w:jc w:val="center"/>
              <w:rPr>
                <w:rFonts w:ascii="Arial Narrow" w:hAnsi="Arial Narrow"/>
                <w:b/>
                <w:sz w:val="20"/>
                <w:szCs w:val="20"/>
              </w:rPr>
            </w:pPr>
            <w:r w:rsidRPr="00023908">
              <w:rPr>
                <w:rFonts w:ascii="Arial Narrow" w:hAnsi="Arial Narrow"/>
                <w:b/>
                <w:sz w:val="20"/>
                <w:szCs w:val="20"/>
              </w:rPr>
              <w:t xml:space="preserve">SOC </w:t>
            </w:r>
          </w:p>
          <w:p w14:paraId="4676C9FD" w14:textId="77777777" w:rsidR="00F93335" w:rsidRPr="00023908" w:rsidRDefault="00F93335" w:rsidP="00CA64D7">
            <w:pPr>
              <w:jc w:val="center"/>
              <w:rPr>
                <w:rFonts w:ascii="Arial Narrow" w:hAnsi="Arial Narrow"/>
                <w:b/>
                <w:sz w:val="20"/>
                <w:szCs w:val="20"/>
              </w:rPr>
            </w:pPr>
            <w:r w:rsidRPr="00023908">
              <w:rPr>
                <w:rFonts w:ascii="Arial Narrow" w:hAnsi="Arial Narrow"/>
                <w:b/>
                <w:sz w:val="20"/>
                <w:szCs w:val="20"/>
              </w:rPr>
              <w:t>n/N (%)</w:t>
            </w:r>
          </w:p>
        </w:tc>
        <w:tc>
          <w:tcPr>
            <w:tcW w:w="1968" w:type="dxa"/>
            <w:vAlign w:val="center"/>
          </w:tcPr>
          <w:p w14:paraId="562FB771" w14:textId="77777777" w:rsidR="00F93335" w:rsidRPr="00023908" w:rsidRDefault="00F93335" w:rsidP="00CA64D7">
            <w:pPr>
              <w:jc w:val="center"/>
              <w:rPr>
                <w:rFonts w:ascii="Arial Narrow" w:hAnsi="Arial Narrow"/>
                <w:b/>
                <w:sz w:val="20"/>
                <w:szCs w:val="20"/>
                <w:vertAlign w:val="superscript"/>
              </w:rPr>
            </w:pPr>
            <w:r w:rsidRPr="00023908">
              <w:rPr>
                <w:rFonts w:ascii="Arial Narrow" w:hAnsi="Arial Narrow"/>
                <w:b/>
                <w:sz w:val="20"/>
                <w:szCs w:val="20"/>
              </w:rPr>
              <w:t xml:space="preserve">Hazard </w:t>
            </w:r>
            <w:proofErr w:type="spellStart"/>
            <w:r w:rsidRPr="00023908">
              <w:rPr>
                <w:rFonts w:ascii="Arial Narrow" w:hAnsi="Arial Narrow"/>
                <w:b/>
                <w:sz w:val="20"/>
                <w:szCs w:val="20"/>
              </w:rPr>
              <w:t>ratio</w:t>
            </w:r>
            <w:r w:rsidRPr="00023908">
              <w:rPr>
                <w:rFonts w:ascii="Arial Narrow" w:hAnsi="Arial Narrow"/>
                <w:b/>
                <w:sz w:val="20"/>
                <w:szCs w:val="20"/>
                <w:vertAlign w:val="superscript"/>
              </w:rPr>
              <w:t>a</w:t>
            </w:r>
            <w:proofErr w:type="spellEnd"/>
          </w:p>
          <w:p w14:paraId="7F9D3D4B" w14:textId="77777777" w:rsidR="00F93335" w:rsidRPr="00023908" w:rsidRDefault="00F93335" w:rsidP="00CA64D7">
            <w:pPr>
              <w:jc w:val="center"/>
              <w:rPr>
                <w:rFonts w:ascii="Arial Narrow" w:hAnsi="Arial Narrow"/>
                <w:b/>
                <w:sz w:val="20"/>
                <w:szCs w:val="20"/>
              </w:rPr>
            </w:pPr>
            <w:r w:rsidRPr="00023908">
              <w:rPr>
                <w:rFonts w:ascii="Arial Narrow" w:hAnsi="Arial Narrow"/>
                <w:b/>
                <w:sz w:val="20"/>
                <w:szCs w:val="20"/>
              </w:rPr>
              <w:t>(95% CI)</w:t>
            </w:r>
          </w:p>
        </w:tc>
      </w:tr>
      <w:tr w:rsidR="00F93335" w:rsidRPr="00023908" w14:paraId="33FFDCF4" w14:textId="77777777" w:rsidTr="00CA64D7">
        <w:tc>
          <w:tcPr>
            <w:tcW w:w="9017" w:type="dxa"/>
            <w:gridSpan w:val="4"/>
          </w:tcPr>
          <w:p w14:paraId="5655C8A9" w14:textId="77777777" w:rsidR="00F93335" w:rsidRPr="00023908" w:rsidRDefault="00F93335" w:rsidP="00CA64D7">
            <w:pPr>
              <w:jc w:val="left"/>
              <w:rPr>
                <w:rFonts w:ascii="Arial Narrow" w:hAnsi="Arial Narrow"/>
                <w:b/>
                <w:bCs/>
                <w:sz w:val="20"/>
                <w:szCs w:val="20"/>
              </w:rPr>
            </w:pPr>
            <w:r w:rsidRPr="00023908">
              <w:rPr>
                <w:rFonts w:ascii="Arial Narrow" w:hAnsi="Arial Narrow"/>
                <w:b/>
                <w:bCs/>
                <w:sz w:val="20"/>
                <w:szCs w:val="20"/>
              </w:rPr>
              <w:t xml:space="preserve">Overall and relapse free survival censored at </w:t>
            </w:r>
            <w:r>
              <w:rPr>
                <w:rFonts w:ascii="Arial Narrow" w:hAnsi="Arial Narrow"/>
                <w:b/>
                <w:bCs/>
                <w:sz w:val="20"/>
                <w:szCs w:val="20"/>
              </w:rPr>
              <w:t xml:space="preserve">on-protocol or off-protocol </w:t>
            </w:r>
            <w:r w:rsidRPr="00023908">
              <w:rPr>
                <w:rFonts w:ascii="Arial Narrow" w:hAnsi="Arial Narrow"/>
                <w:b/>
                <w:bCs/>
                <w:sz w:val="20"/>
                <w:szCs w:val="20"/>
              </w:rPr>
              <w:t>ASCT (Step 3)</w:t>
            </w:r>
          </w:p>
        </w:tc>
      </w:tr>
      <w:tr w:rsidR="00F93335" w:rsidRPr="00023908" w14:paraId="2DB958EB" w14:textId="77777777" w:rsidTr="00CA64D7">
        <w:tc>
          <w:tcPr>
            <w:tcW w:w="3114" w:type="dxa"/>
          </w:tcPr>
          <w:p w14:paraId="79CC4325" w14:textId="77777777" w:rsidR="00F93335" w:rsidRPr="00023908" w:rsidRDefault="00F93335" w:rsidP="00CA64D7">
            <w:pPr>
              <w:tabs>
                <w:tab w:val="right" w:pos="2190"/>
              </w:tabs>
              <w:rPr>
                <w:rFonts w:ascii="Arial Narrow" w:hAnsi="Arial Narrow"/>
                <w:sz w:val="20"/>
                <w:szCs w:val="20"/>
              </w:rPr>
            </w:pPr>
            <w:r w:rsidRPr="00023908">
              <w:rPr>
                <w:rFonts w:ascii="Arial Narrow" w:hAnsi="Arial Narrow"/>
                <w:sz w:val="20"/>
                <w:szCs w:val="20"/>
              </w:rPr>
              <w:t xml:space="preserve">Overall survival </w:t>
            </w:r>
          </w:p>
        </w:tc>
        <w:tc>
          <w:tcPr>
            <w:tcW w:w="1967" w:type="dxa"/>
            <w:vAlign w:val="center"/>
          </w:tcPr>
          <w:p w14:paraId="2C38DFB9" w14:textId="77777777" w:rsidR="00F93335" w:rsidRPr="00023908" w:rsidRDefault="00F93335" w:rsidP="00CA64D7">
            <w:pPr>
              <w:pStyle w:val="COMTabletext"/>
              <w:jc w:val="center"/>
              <w:rPr>
                <w:szCs w:val="20"/>
              </w:rPr>
            </w:pPr>
            <w:r>
              <w:rPr>
                <w:color w:val="000000"/>
                <w:szCs w:val="20"/>
              </w:rPr>
              <w:t>13/112 (11.6%)</w:t>
            </w:r>
          </w:p>
        </w:tc>
        <w:tc>
          <w:tcPr>
            <w:tcW w:w="1968" w:type="dxa"/>
            <w:vAlign w:val="center"/>
          </w:tcPr>
          <w:p w14:paraId="1CEB8AA9" w14:textId="77777777" w:rsidR="00F93335" w:rsidRPr="00023908" w:rsidRDefault="00F93335" w:rsidP="00CA64D7">
            <w:pPr>
              <w:pStyle w:val="COMTabletext"/>
              <w:jc w:val="center"/>
              <w:rPr>
                <w:szCs w:val="20"/>
              </w:rPr>
            </w:pPr>
            <w:r>
              <w:rPr>
                <w:color w:val="000000"/>
                <w:szCs w:val="20"/>
              </w:rPr>
              <w:t>27/112 (24.1%)</w:t>
            </w:r>
          </w:p>
        </w:tc>
        <w:tc>
          <w:tcPr>
            <w:tcW w:w="1968" w:type="dxa"/>
          </w:tcPr>
          <w:p w14:paraId="13332FB1" w14:textId="77777777" w:rsidR="00F93335" w:rsidRPr="00AA7356" w:rsidRDefault="00F93335" w:rsidP="00CA64D7">
            <w:pPr>
              <w:pStyle w:val="COMTabletext"/>
              <w:jc w:val="center"/>
              <w:rPr>
                <w:b/>
                <w:bCs w:val="0"/>
                <w:szCs w:val="20"/>
              </w:rPr>
            </w:pPr>
            <w:r w:rsidRPr="00AA7356">
              <w:rPr>
                <w:b/>
                <w:bCs w:val="0"/>
                <w:color w:val="000000"/>
                <w:szCs w:val="20"/>
              </w:rPr>
              <w:t>0.46 (0.24, 0.90)</w:t>
            </w:r>
          </w:p>
        </w:tc>
      </w:tr>
      <w:tr w:rsidR="00F93335" w:rsidRPr="00023908" w14:paraId="4D4843D2" w14:textId="77777777" w:rsidTr="00CA64D7">
        <w:tc>
          <w:tcPr>
            <w:tcW w:w="3114" w:type="dxa"/>
          </w:tcPr>
          <w:p w14:paraId="3A94EB04" w14:textId="77777777" w:rsidR="00F93335" w:rsidRPr="00023908" w:rsidRDefault="00F93335" w:rsidP="00CA64D7">
            <w:pPr>
              <w:tabs>
                <w:tab w:val="right" w:pos="2190"/>
              </w:tabs>
              <w:rPr>
                <w:rFonts w:ascii="Arial Narrow" w:hAnsi="Arial Narrow"/>
                <w:sz w:val="20"/>
                <w:szCs w:val="20"/>
              </w:rPr>
            </w:pPr>
            <w:r w:rsidRPr="00023908">
              <w:rPr>
                <w:rFonts w:ascii="Arial Narrow" w:hAnsi="Arial Narrow"/>
                <w:sz w:val="20"/>
                <w:szCs w:val="20"/>
              </w:rPr>
              <w:t xml:space="preserve">Relapse free survival </w:t>
            </w:r>
          </w:p>
        </w:tc>
        <w:tc>
          <w:tcPr>
            <w:tcW w:w="1967" w:type="dxa"/>
            <w:vAlign w:val="center"/>
          </w:tcPr>
          <w:p w14:paraId="7E08C267" w14:textId="77777777" w:rsidR="00F93335" w:rsidRPr="00023908" w:rsidRDefault="00F93335" w:rsidP="00CA64D7">
            <w:pPr>
              <w:pStyle w:val="COMTabletext"/>
              <w:jc w:val="center"/>
              <w:rPr>
                <w:szCs w:val="20"/>
              </w:rPr>
            </w:pPr>
            <w:r>
              <w:rPr>
                <w:color w:val="000000"/>
                <w:szCs w:val="20"/>
              </w:rPr>
              <w:t>21/112 (18.8%)</w:t>
            </w:r>
          </w:p>
        </w:tc>
        <w:tc>
          <w:tcPr>
            <w:tcW w:w="1968" w:type="dxa"/>
            <w:vAlign w:val="center"/>
          </w:tcPr>
          <w:p w14:paraId="3116F456" w14:textId="77777777" w:rsidR="00F93335" w:rsidRPr="00023908" w:rsidRDefault="00F93335" w:rsidP="00CA64D7">
            <w:pPr>
              <w:jc w:val="center"/>
              <w:rPr>
                <w:rFonts w:ascii="Arial Narrow" w:eastAsiaTheme="majorEastAsia" w:hAnsi="Arial Narrow" w:cstheme="majorBidi"/>
                <w:bCs/>
                <w:sz w:val="20"/>
                <w:szCs w:val="20"/>
              </w:rPr>
            </w:pPr>
            <w:r>
              <w:rPr>
                <w:rFonts w:ascii="Arial Narrow" w:hAnsi="Arial Narrow"/>
                <w:color w:val="000000"/>
                <w:sz w:val="20"/>
                <w:szCs w:val="20"/>
              </w:rPr>
              <w:t>34/112 (30.4%)</w:t>
            </w:r>
          </w:p>
        </w:tc>
        <w:tc>
          <w:tcPr>
            <w:tcW w:w="1968" w:type="dxa"/>
          </w:tcPr>
          <w:p w14:paraId="58A85817" w14:textId="77777777" w:rsidR="00F93335" w:rsidRPr="00023908" w:rsidRDefault="00F93335" w:rsidP="00CA64D7">
            <w:pPr>
              <w:jc w:val="center"/>
              <w:rPr>
                <w:rFonts w:ascii="Arial Narrow" w:eastAsiaTheme="majorEastAsia" w:hAnsi="Arial Narrow" w:cstheme="majorBidi"/>
                <w:bCs/>
                <w:sz w:val="20"/>
                <w:szCs w:val="20"/>
              </w:rPr>
            </w:pPr>
            <w:r>
              <w:rPr>
                <w:rFonts w:ascii="Arial Narrow" w:hAnsi="Arial Narrow"/>
                <w:color w:val="000000"/>
                <w:sz w:val="20"/>
                <w:szCs w:val="20"/>
              </w:rPr>
              <w:t>0</w:t>
            </w:r>
            <w:r w:rsidRPr="00830EB3">
              <w:rPr>
                <w:rFonts w:ascii="Arial Narrow" w:hAnsi="Arial Narrow"/>
                <w:color w:val="000000"/>
                <w:sz w:val="20"/>
                <w:szCs w:val="20"/>
              </w:rPr>
              <w:t>.60 (0.34, 1.04)</w:t>
            </w:r>
          </w:p>
        </w:tc>
      </w:tr>
      <w:tr w:rsidR="00F93335" w:rsidRPr="00023908" w14:paraId="11D8F0AE" w14:textId="77777777" w:rsidTr="00CA64D7">
        <w:tc>
          <w:tcPr>
            <w:tcW w:w="9017" w:type="dxa"/>
            <w:gridSpan w:val="4"/>
          </w:tcPr>
          <w:p w14:paraId="685EA47B" w14:textId="77777777" w:rsidR="00F93335" w:rsidRPr="00023908" w:rsidRDefault="00F93335" w:rsidP="00CA64D7">
            <w:pPr>
              <w:jc w:val="left"/>
              <w:rPr>
                <w:rFonts w:ascii="Arial Narrow" w:hAnsi="Arial Narrow"/>
                <w:b/>
                <w:bCs/>
                <w:sz w:val="20"/>
                <w:szCs w:val="20"/>
              </w:rPr>
            </w:pPr>
            <w:r w:rsidRPr="00023908">
              <w:rPr>
                <w:rFonts w:ascii="Arial Narrow" w:hAnsi="Arial Narrow"/>
                <w:b/>
                <w:bCs/>
                <w:sz w:val="20"/>
                <w:szCs w:val="20"/>
              </w:rPr>
              <w:t xml:space="preserve">Overall and relapse free survival </w:t>
            </w:r>
            <w:r>
              <w:rPr>
                <w:rFonts w:ascii="Arial Narrow" w:hAnsi="Arial Narrow"/>
                <w:b/>
                <w:bCs/>
                <w:sz w:val="20"/>
                <w:szCs w:val="20"/>
              </w:rPr>
              <w:t>from</w:t>
            </w:r>
            <w:r w:rsidRPr="00023908">
              <w:rPr>
                <w:rFonts w:ascii="Arial Narrow" w:hAnsi="Arial Narrow"/>
                <w:b/>
                <w:bCs/>
                <w:sz w:val="20"/>
                <w:szCs w:val="20"/>
              </w:rPr>
              <w:t xml:space="preserve"> </w:t>
            </w:r>
            <w:r>
              <w:rPr>
                <w:rFonts w:ascii="Arial Narrow" w:hAnsi="Arial Narrow"/>
                <w:b/>
                <w:bCs/>
                <w:sz w:val="20"/>
                <w:szCs w:val="20"/>
              </w:rPr>
              <w:t xml:space="preserve">on-protocol or off-protocol </w:t>
            </w:r>
            <w:r w:rsidRPr="00023908">
              <w:rPr>
                <w:rFonts w:ascii="Arial Narrow" w:hAnsi="Arial Narrow"/>
                <w:b/>
                <w:bCs/>
                <w:sz w:val="20"/>
                <w:szCs w:val="20"/>
              </w:rPr>
              <w:t>ASCT (Step 3</w:t>
            </w:r>
            <w:r>
              <w:rPr>
                <w:rFonts w:ascii="Arial Narrow" w:hAnsi="Arial Narrow"/>
                <w:b/>
                <w:bCs/>
                <w:sz w:val="20"/>
                <w:szCs w:val="20"/>
              </w:rPr>
              <w:t>; patients receiving ASCT only</w:t>
            </w:r>
            <w:r w:rsidRPr="00023908">
              <w:rPr>
                <w:rFonts w:ascii="Arial Narrow" w:hAnsi="Arial Narrow"/>
                <w:b/>
                <w:bCs/>
                <w:sz w:val="20"/>
                <w:szCs w:val="20"/>
              </w:rPr>
              <w:t>)</w:t>
            </w:r>
          </w:p>
        </w:tc>
      </w:tr>
      <w:tr w:rsidR="00F93335" w:rsidRPr="00023908" w14:paraId="219DB2C4" w14:textId="77777777" w:rsidTr="00CA64D7">
        <w:tc>
          <w:tcPr>
            <w:tcW w:w="3114" w:type="dxa"/>
          </w:tcPr>
          <w:p w14:paraId="4A960F90" w14:textId="77777777" w:rsidR="00F93335" w:rsidRPr="00023908" w:rsidRDefault="00F93335" w:rsidP="00CA64D7">
            <w:pPr>
              <w:tabs>
                <w:tab w:val="right" w:pos="2190"/>
              </w:tabs>
              <w:rPr>
                <w:rFonts w:ascii="Arial Narrow" w:hAnsi="Arial Narrow"/>
                <w:sz w:val="20"/>
                <w:szCs w:val="20"/>
              </w:rPr>
            </w:pPr>
            <w:r w:rsidRPr="00023908">
              <w:rPr>
                <w:rFonts w:ascii="Arial Narrow" w:hAnsi="Arial Narrow"/>
                <w:sz w:val="20"/>
                <w:szCs w:val="20"/>
              </w:rPr>
              <w:t xml:space="preserve">Overall survival </w:t>
            </w:r>
          </w:p>
        </w:tc>
        <w:tc>
          <w:tcPr>
            <w:tcW w:w="1967" w:type="dxa"/>
            <w:vAlign w:val="center"/>
          </w:tcPr>
          <w:p w14:paraId="79DFE4AC" w14:textId="77777777" w:rsidR="00F93335" w:rsidRPr="00023908" w:rsidRDefault="00F93335" w:rsidP="00CA64D7">
            <w:pPr>
              <w:pStyle w:val="COMTabletext"/>
              <w:jc w:val="center"/>
              <w:rPr>
                <w:szCs w:val="20"/>
              </w:rPr>
            </w:pPr>
            <w:r>
              <w:rPr>
                <w:color w:val="000000"/>
                <w:szCs w:val="20"/>
              </w:rPr>
              <w:t>6/28 (21.4%)</w:t>
            </w:r>
          </w:p>
        </w:tc>
        <w:tc>
          <w:tcPr>
            <w:tcW w:w="1968" w:type="dxa"/>
            <w:vAlign w:val="center"/>
          </w:tcPr>
          <w:p w14:paraId="1D5480C4" w14:textId="77777777" w:rsidR="00F93335" w:rsidRPr="00023908" w:rsidRDefault="00F93335" w:rsidP="00CA64D7">
            <w:pPr>
              <w:pStyle w:val="COMTabletext"/>
              <w:jc w:val="center"/>
              <w:rPr>
                <w:szCs w:val="20"/>
              </w:rPr>
            </w:pPr>
            <w:r>
              <w:rPr>
                <w:color w:val="000000"/>
                <w:szCs w:val="20"/>
              </w:rPr>
              <w:t>13/33 (39.4%)</w:t>
            </w:r>
          </w:p>
        </w:tc>
        <w:tc>
          <w:tcPr>
            <w:tcW w:w="1968" w:type="dxa"/>
          </w:tcPr>
          <w:p w14:paraId="4DDC906E" w14:textId="77777777" w:rsidR="00F93335" w:rsidRPr="00023908" w:rsidRDefault="00F93335" w:rsidP="00CA64D7">
            <w:pPr>
              <w:pStyle w:val="COMTabletext"/>
              <w:jc w:val="center"/>
              <w:rPr>
                <w:szCs w:val="20"/>
              </w:rPr>
            </w:pPr>
            <w:r w:rsidRPr="00793139">
              <w:rPr>
                <w:color w:val="000000"/>
                <w:szCs w:val="20"/>
              </w:rPr>
              <w:t>0.56 (0.21, 1.49)</w:t>
            </w:r>
          </w:p>
        </w:tc>
      </w:tr>
      <w:tr w:rsidR="00F93335" w:rsidRPr="00023908" w14:paraId="6D82369A" w14:textId="77777777" w:rsidTr="00CA64D7">
        <w:tc>
          <w:tcPr>
            <w:tcW w:w="3114" w:type="dxa"/>
          </w:tcPr>
          <w:p w14:paraId="39DFC4C6" w14:textId="77777777" w:rsidR="00F93335" w:rsidRPr="00023908" w:rsidRDefault="00F93335" w:rsidP="00CA64D7">
            <w:pPr>
              <w:tabs>
                <w:tab w:val="right" w:pos="2190"/>
              </w:tabs>
              <w:rPr>
                <w:rFonts w:ascii="Arial Narrow" w:hAnsi="Arial Narrow"/>
                <w:sz w:val="20"/>
                <w:szCs w:val="20"/>
              </w:rPr>
            </w:pPr>
            <w:r w:rsidRPr="00023908">
              <w:rPr>
                <w:rFonts w:ascii="Arial Narrow" w:hAnsi="Arial Narrow"/>
                <w:sz w:val="20"/>
                <w:szCs w:val="20"/>
              </w:rPr>
              <w:t>Relapse free survival</w:t>
            </w:r>
          </w:p>
        </w:tc>
        <w:tc>
          <w:tcPr>
            <w:tcW w:w="1967" w:type="dxa"/>
            <w:vAlign w:val="center"/>
          </w:tcPr>
          <w:p w14:paraId="588CA2EA" w14:textId="77777777" w:rsidR="00F93335" w:rsidRPr="00023908" w:rsidRDefault="00F93335" w:rsidP="00CA64D7">
            <w:pPr>
              <w:pStyle w:val="COMTabletext"/>
              <w:jc w:val="center"/>
              <w:rPr>
                <w:szCs w:val="20"/>
              </w:rPr>
            </w:pPr>
            <w:r>
              <w:rPr>
                <w:color w:val="000000"/>
                <w:szCs w:val="20"/>
              </w:rPr>
              <w:t>4/25 (16.0%)</w:t>
            </w:r>
          </w:p>
        </w:tc>
        <w:tc>
          <w:tcPr>
            <w:tcW w:w="1968" w:type="dxa"/>
            <w:vAlign w:val="center"/>
          </w:tcPr>
          <w:p w14:paraId="2652D3AF" w14:textId="77777777" w:rsidR="00F93335" w:rsidRPr="00023908" w:rsidRDefault="00F93335" w:rsidP="00CA64D7">
            <w:pPr>
              <w:jc w:val="center"/>
              <w:rPr>
                <w:rFonts w:ascii="Arial Narrow" w:eastAsiaTheme="majorEastAsia" w:hAnsi="Arial Narrow" w:cstheme="majorBidi"/>
                <w:bCs/>
                <w:sz w:val="20"/>
                <w:szCs w:val="20"/>
              </w:rPr>
            </w:pPr>
            <w:r>
              <w:rPr>
                <w:rFonts w:ascii="Arial Narrow" w:hAnsi="Arial Narrow"/>
                <w:color w:val="000000"/>
                <w:sz w:val="20"/>
                <w:szCs w:val="20"/>
              </w:rPr>
              <w:t>9/28 (32.1%)</w:t>
            </w:r>
          </w:p>
        </w:tc>
        <w:tc>
          <w:tcPr>
            <w:tcW w:w="1968" w:type="dxa"/>
          </w:tcPr>
          <w:p w14:paraId="528FB0E6" w14:textId="77777777" w:rsidR="00F93335" w:rsidRPr="00023908" w:rsidRDefault="00F93335" w:rsidP="00CA64D7">
            <w:pPr>
              <w:jc w:val="center"/>
              <w:rPr>
                <w:rFonts w:ascii="Arial Narrow" w:eastAsiaTheme="majorEastAsia" w:hAnsi="Arial Narrow" w:cstheme="majorBidi"/>
                <w:bCs/>
                <w:sz w:val="20"/>
                <w:szCs w:val="20"/>
              </w:rPr>
            </w:pPr>
            <w:r w:rsidRPr="00830EB3">
              <w:rPr>
                <w:rFonts w:ascii="Arial Narrow" w:hAnsi="Arial Narrow"/>
                <w:color w:val="000000"/>
                <w:sz w:val="20"/>
                <w:szCs w:val="20"/>
              </w:rPr>
              <w:t>0.46 (0.14, 1.52)</w:t>
            </w:r>
          </w:p>
        </w:tc>
      </w:tr>
    </w:tbl>
    <w:p w14:paraId="3775A3FD" w14:textId="52E81CC6" w:rsidR="00F93335" w:rsidRPr="00257BA1" w:rsidRDefault="00F93335" w:rsidP="00F93335">
      <w:pPr>
        <w:pStyle w:val="COMTablefooter"/>
      </w:pPr>
      <w:r w:rsidRPr="00257BA1">
        <w:t>Source: Table</w:t>
      </w:r>
      <w:r>
        <w:t>s</w:t>
      </w:r>
      <w:r w:rsidRPr="00257BA1">
        <w:t xml:space="preserve"> </w:t>
      </w:r>
      <w:r>
        <w:t>2-17 and Tables 2-18of ‘</w:t>
      </w:r>
      <w:r w:rsidRPr="000F4C1C">
        <w:t xml:space="preserve">BLIN Evaluator Request </w:t>
      </w:r>
      <w:r>
        <w:t xml:space="preserve">12 </w:t>
      </w:r>
      <w:r w:rsidRPr="000F4C1C">
        <w:t>April</w:t>
      </w:r>
      <w:r>
        <w:t xml:space="preserve"> 2024</w:t>
      </w:r>
      <w:r w:rsidRPr="000F4C1C">
        <w:t>.docx</w:t>
      </w:r>
      <w:r>
        <w:t>’</w:t>
      </w:r>
      <w:r w:rsidRPr="00257BA1">
        <w:t>.</w:t>
      </w:r>
    </w:p>
    <w:p w14:paraId="3720E612" w14:textId="77777777" w:rsidR="00F93335" w:rsidRDefault="00F93335" w:rsidP="00F93335">
      <w:pPr>
        <w:pStyle w:val="COMTablefooter"/>
      </w:pPr>
      <w:r w:rsidRPr="00F146E8">
        <w:t xml:space="preserve">Abbreviations: </w:t>
      </w:r>
      <w:r>
        <w:t xml:space="preserve">ASCT, </w:t>
      </w:r>
      <w:r w:rsidRPr="006B5914">
        <w:rPr>
          <w:szCs w:val="18"/>
        </w:rPr>
        <w:t>allogeneic stem cell transplant</w:t>
      </w:r>
      <w:r>
        <w:t>; CI, confidence interval; FAS, full analysis set; MRD, minimal residual disease; SOC, standard of care.</w:t>
      </w:r>
    </w:p>
    <w:p w14:paraId="04270D1F" w14:textId="77777777" w:rsidR="00F93335" w:rsidRPr="00326482" w:rsidRDefault="00F93335" w:rsidP="00F93335">
      <w:pPr>
        <w:pStyle w:val="COMTablefooter"/>
      </w:pPr>
      <w:r w:rsidRPr="00493620">
        <w:rPr>
          <w:vertAlign w:val="superscript"/>
        </w:rPr>
        <w:t>a</w:t>
      </w:r>
      <w:r>
        <w:t xml:space="preserve"> </w:t>
      </w:r>
      <w:r w:rsidRPr="00F1376D">
        <w:t>Stratifi</w:t>
      </w:r>
      <w:r>
        <w:t>ed by</w:t>
      </w:r>
      <w:r w:rsidRPr="00F1376D">
        <w:t xml:space="preserve"> age (&lt;55 years vs.≥55 years), CD20 status</w:t>
      </w:r>
      <w:r>
        <w:t xml:space="preserve">, </w:t>
      </w:r>
      <w:r w:rsidRPr="00F1376D">
        <w:t>rituximab use</w:t>
      </w:r>
      <w:r>
        <w:t xml:space="preserve"> and </w:t>
      </w:r>
      <w:r w:rsidRPr="00F1376D">
        <w:t xml:space="preserve">intent to receive allogeneic SCT. </w:t>
      </w:r>
      <w:r>
        <w:t>H</w:t>
      </w:r>
      <w:r w:rsidRPr="00F1376D">
        <w:t xml:space="preserve">azard ratio &lt;1 indicates a lower average death rate and a longer survival </w:t>
      </w:r>
      <w:r>
        <w:t>for blinatumomab + SOC compared to SOC.</w:t>
      </w:r>
    </w:p>
    <w:p w14:paraId="692F03CC" w14:textId="38F99EEC" w:rsidR="00F93335" w:rsidRPr="00F676B2" w:rsidRDefault="00F93335" w:rsidP="001D1D52">
      <w:pPr>
        <w:pStyle w:val="COMexecsumnumberedpara"/>
      </w:pPr>
      <w:r w:rsidRPr="00F676B2">
        <w:t>Results of the additional analysis censored at on</w:t>
      </w:r>
      <w:r w:rsidR="00F676B2" w:rsidRPr="00F676B2">
        <w:t>-</w:t>
      </w:r>
      <w:r w:rsidRPr="00F676B2">
        <w:t>protocol or off</w:t>
      </w:r>
      <w:r w:rsidR="00F676B2" w:rsidRPr="00F676B2">
        <w:t>-</w:t>
      </w:r>
      <w:r w:rsidRPr="00F676B2">
        <w:t>protocol ASCT showed similar results to the primary analysis, but showed no statistically significant difference between treatment arms for relapse free survival. Results of the additional analyses from on</w:t>
      </w:r>
      <w:r w:rsidR="00393D3C" w:rsidRPr="00F676B2">
        <w:t>-</w:t>
      </w:r>
      <w:r w:rsidRPr="00F676B2">
        <w:t>protocol or off</w:t>
      </w:r>
      <w:r w:rsidR="00393D3C" w:rsidRPr="00F676B2">
        <w:t>-</w:t>
      </w:r>
      <w:r w:rsidRPr="00F676B2">
        <w:t xml:space="preserve">protocol ASCT showed a similar trend favouring blinatumomab plus </w:t>
      </w:r>
      <w:r w:rsidR="00F676B2" w:rsidRPr="00F676B2">
        <w:t>standard of care</w:t>
      </w:r>
      <w:r w:rsidRPr="00F676B2">
        <w:t>, but showed no statistically significant difference between treatment arms for overall survival or relapse free survival.</w:t>
      </w:r>
    </w:p>
    <w:p w14:paraId="52D4278C" w14:textId="226FC24D" w:rsidR="000A3A39" w:rsidRPr="00DF0226" w:rsidRDefault="000A3A39" w:rsidP="001D1D52">
      <w:pPr>
        <w:pStyle w:val="COMexecsumnumberedpara"/>
      </w:pPr>
      <w:r w:rsidRPr="00302555">
        <w:t>The submission noted that intention to ASCT was stratified at randomisation, and the proportion of MRD-negative patients who received on-protocol ASCT was the same in both treatment arms</w:t>
      </w:r>
      <w:r>
        <w:t xml:space="preserve"> (19.6%)</w:t>
      </w:r>
      <w:r w:rsidRPr="00302555">
        <w:t>. The</w:t>
      </w:r>
      <w:r>
        <w:t xml:space="preserve"> submission </w:t>
      </w:r>
      <w:r w:rsidR="00260752" w:rsidRPr="0033011F">
        <w:t xml:space="preserve">and PSCR </w:t>
      </w:r>
      <w:r>
        <w:t>claimed that it was r</w:t>
      </w:r>
      <w:r w:rsidRPr="00302555">
        <w:t>easonable to assume that treatment effects observed in the primary outcomes of overall survival and relapse free survival in the E1910 trial were independent of ASCT.</w:t>
      </w:r>
      <w:r w:rsidRPr="00D65D7E">
        <w:rPr>
          <w:i/>
          <w:iCs/>
        </w:rPr>
        <w:t xml:space="preserve"> </w:t>
      </w:r>
      <w:r w:rsidRPr="008C335E">
        <w:t xml:space="preserve">Overall, the </w:t>
      </w:r>
      <w:r w:rsidR="00095D28" w:rsidRPr="008C335E">
        <w:t xml:space="preserve">ESC considered the </w:t>
      </w:r>
      <w:r w:rsidRPr="008C335E">
        <w:t>comparative efficacy of blinatumomab</w:t>
      </w:r>
      <w:r w:rsidRPr="00DF0226">
        <w:t xml:space="preserve"> plus standard of care versus standard of care alone among patients who progress to ASCT is uncertain given relatively few patients and events informing survival outcomes. </w:t>
      </w:r>
    </w:p>
    <w:p w14:paraId="2F698277" w14:textId="466AFD1F" w:rsidR="0067324F" w:rsidRPr="0067324F" w:rsidRDefault="0067324F" w:rsidP="0067324F">
      <w:pPr>
        <w:pStyle w:val="COMH3"/>
        <w:rPr>
          <w:sz w:val="24"/>
          <w:szCs w:val="22"/>
        </w:rPr>
      </w:pPr>
      <w:r w:rsidRPr="0067324F">
        <w:rPr>
          <w:rFonts w:cstheme="minorHAnsi"/>
          <w:sz w:val="24"/>
          <w:szCs w:val="22"/>
        </w:rPr>
        <w:t>MRD-</w:t>
      </w:r>
      <w:r w:rsidRPr="0067324F">
        <w:rPr>
          <w:sz w:val="24"/>
          <w:szCs w:val="22"/>
        </w:rPr>
        <w:t>positive cohort</w:t>
      </w:r>
    </w:p>
    <w:p w14:paraId="0F4A300F" w14:textId="66FB89A5" w:rsidR="005B482E" w:rsidRDefault="005B482E" w:rsidP="001D1D52">
      <w:pPr>
        <w:pStyle w:val="COMexecsumnumberedpara"/>
      </w:pPr>
      <w:r>
        <w:t>For the MRD-positive cohort, m</w:t>
      </w:r>
      <w:r w:rsidRPr="007A4404">
        <w:t xml:space="preserve">edian </w:t>
      </w:r>
      <w:r>
        <w:t>overall survival</w:t>
      </w:r>
      <w:r w:rsidRPr="007A4404">
        <w:t xml:space="preserve"> was not reached in the blinatumomab </w:t>
      </w:r>
      <w:r>
        <w:t xml:space="preserve">plus standard of care </w:t>
      </w:r>
      <w:r w:rsidRPr="007A4404">
        <w:t xml:space="preserve">arm and was 1.9 years in the </w:t>
      </w:r>
      <w:r>
        <w:t>standard of care</w:t>
      </w:r>
      <w:r w:rsidRPr="007A4404">
        <w:t xml:space="preserve"> arm</w:t>
      </w:r>
      <w:r>
        <w:t>. There were fewer deaths in the blinatumomab plus standard of care arm (27.5%) compared to the standard of care arm (59.1%), but the difference in overall survival did not reach statistical significance (</w:t>
      </w:r>
      <w:r w:rsidR="00D8109C">
        <w:t>HR =</w:t>
      </w:r>
      <w:r>
        <w:t xml:space="preserve"> 0.40; 95% CI: 0.14, 1.12).</w:t>
      </w:r>
    </w:p>
    <w:p w14:paraId="3C45C646" w14:textId="5ADC71E1" w:rsidR="005B482E" w:rsidRPr="00F751C2" w:rsidRDefault="005B482E" w:rsidP="001D1D52">
      <w:pPr>
        <w:pStyle w:val="COMexecsumnumberedpara"/>
      </w:pPr>
      <w:r>
        <w:t>Similarly, m</w:t>
      </w:r>
      <w:r w:rsidRPr="007A4404">
        <w:t xml:space="preserve">edian </w:t>
      </w:r>
      <w:r>
        <w:t>relapse free survival</w:t>
      </w:r>
      <w:r w:rsidRPr="007A4404">
        <w:t xml:space="preserve"> </w:t>
      </w:r>
      <w:r>
        <w:t xml:space="preserve">in the MRD-positive cohort </w:t>
      </w:r>
      <w:r w:rsidRPr="007A4404">
        <w:t xml:space="preserve">was not reached in the blinatumomab </w:t>
      </w:r>
      <w:r>
        <w:t xml:space="preserve">plus standard of care </w:t>
      </w:r>
      <w:r w:rsidRPr="007A4404">
        <w:t xml:space="preserve">arm and was </w:t>
      </w:r>
      <w:r>
        <w:t>0.6</w:t>
      </w:r>
      <w:r w:rsidRPr="007A4404">
        <w:t xml:space="preserve"> years in the </w:t>
      </w:r>
      <w:r>
        <w:t>standard of care</w:t>
      </w:r>
      <w:r w:rsidRPr="007A4404">
        <w:t xml:space="preserve"> arm</w:t>
      </w:r>
      <w:r>
        <w:t>. There were fewer relapse or death events in the blinatumomab plus standard of care arm (27.5%) compared to the standard of care arm (59.1%), but the difference in relapse-free survival did not reach statistical significance (</w:t>
      </w:r>
      <w:r w:rsidR="00D8109C">
        <w:t>HR =</w:t>
      </w:r>
      <w:r>
        <w:t xml:space="preserve"> 0.37; 95% CI: 0.13, 1.03).</w:t>
      </w:r>
    </w:p>
    <w:p w14:paraId="5FD1D0F5" w14:textId="763C311F" w:rsidR="005B482E" w:rsidRPr="00DF0226" w:rsidRDefault="00B4007D" w:rsidP="001D1D52">
      <w:pPr>
        <w:pStyle w:val="COMexecsumnumberedpara"/>
      </w:pPr>
      <w:bookmarkStart w:id="44" w:name="_Ref169710972"/>
      <w:r w:rsidRPr="008C335E">
        <w:t>The evaluation and the ESC considered that the r</w:t>
      </w:r>
      <w:r w:rsidR="00BF4B64" w:rsidRPr="008C335E">
        <w:t xml:space="preserve">esults for the MRD-positive cohort were affected by </w:t>
      </w:r>
      <w:r w:rsidR="00B3513A" w:rsidRPr="008C335E">
        <w:t>premature termination of</w:t>
      </w:r>
      <w:r w:rsidR="00B3513A" w:rsidRPr="00DF0226">
        <w:t xml:space="preserve"> randomisation</w:t>
      </w:r>
      <w:r w:rsidR="00C17686" w:rsidRPr="00DF0226">
        <w:t xml:space="preserve"> and small sample size, and are not reliable</w:t>
      </w:r>
      <w:r w:rsidR="00B3513A" w:rsidRPr="00DF0226">
        <w:t>.</w:t>
      </w:r>
      <w:bookmarkEnd w:id="44"/>
      <w:r w:rsidR="00C17686" w:rsidRPr="00DF0226">
        <w:t xml:space="preserve"> </w:t>
      </w:r>
    </w:p>
    <w:p w14:paraId="1452C351" w14:textId="04F85588" w:rsidR="00B60939" w:rsidRPr="00225248" w:rsidRDefault="00B60939" w:rsidP="00D86231">
      <w:pPr>
        <w:pStyle w:val="COMH2-non-numbered"/>
      </w:pPr>
      <w:bookmarkStart w:id="45" w:name="_Toc22897642"/>
      <w:bookmarkStart w:id="46" w:name="_Toc167265608"/>
      <w:r w:rsidRPr="00225248">
        <w:lastRenderedPageBreak/>
        <w:t>Comparative harms</w:t>
      </w:r>
      <w:bookmarkEnd w:id="45"/>
      <w:bookmarkEnd w:id="46"/>
    </w:p>
    <w:p w14:paraId="2DAF16D1" w14:textId="13CDAE08" w:rsidR="00B60939" w:rsidRPr="00D13300" w:rsidRDefault="00D13300" w:rsidP="001D1D52">
      <w:pPr>
        <w:pStyle w:val="COMexecsumnumberedpara"/>
      </w:pPr>
      <w:r w:rsidRPr="00D13300">
        <w:fldChar w:fldCharType="begin" w:fldLock="1"/>
      </w:r>
      <w:r w:rsidRPr="00D13300">
        <w:instrText xml:space="preserve"> REF _Ref166236130 \h </w:instrText>
      </w:r>
      <w:r w:rsidRPr="00D13300">
        <w:fldChar w:fldCharType="separate"/>
      </w:r>
      <w:r w:rsidR="00356F14" w:rsidRPr="000F4C1C">
        <w:t xml:space="preserve">Table </w:t>
      </w:r>
      <w:r w:rsidR="00356F14">
        <w:rPr>
          <w:noProof/>
        </w:rPr>
        <w:t>11</w:t>
      </w:r>
      <w:r w:rsidRPr="00D13300">
        <w:fldChar w:fldCharType="end"/>
      </w:r>
      <w:r w:rsidRPr="00D13300">
        <w:t xml:space="preserve"> </w:t>
      </w:r>
      <w:r w:rsidR="00411E52" w:rsidRPr="00D13300">
        <w:t>summarises the proportions of patients reporting key adverse events in Step 3 of the E1910 trial in the MRD-negative cohort.</w:t>
      </w:r>
    </w:p>
    <w:p w14:paraId="0F0E2C50" w14:textId="0F3E0BC7" w:rsidR="00A70FBA" w:rsidRPr="000F4C1C" w:rsidRDefault="00A70FBA" w:rsidP="00763B38">
      <w:pPr>
        <w:pStyle w:val="Caption"/>
        <w:keepLines/>
      </w:pPr>
      <w:bookmarkStart w:id="47" w:name="_Ref166236130"/>
      <w:r w:rsidRPr="000F4C1C">
        <w:t xml:space="preserve">Table </w:t>
      </w:r>
      <w:r w:rsidR="006F0D54">
        <w:fldChar w:fldCharType="begin" w:fldLock="1"/>
      </w:r>
      <w:r w:rsidR="006F0D54">
        <w:instrText xml:space="preserve"> SEQ Table \* ARABIC </w:instrText>
      </w:r>
      <w:r w:rsidR="006F0D54">
        <w:fldChar w:fldCharType="separate"/>
      </w:r>
      <w:r w:rsidR="00356F14">
        <w:rPr>
          <w:noProof/>
        </w:rPr>
        <w:t>11</w:t>
      </w:r>
      <w:r w:rsidR="006F0D54">
        <w:rPr>
          <w:noProof/>
        </w:rPr>
        <w:fldChar w:fldCharType="end"/>
      </w:r>
      <w:bookmarkEnd w:id="47"/>
      <w:r w:rsidRPr="000F4C1C">
        <w:t xml:space="preserve">: Summary of key adverse events in the </w:t>
      </w:r>
      <w:r>
        <w:t>MRD-negative cohort of the E1910</w:t>
      </w:r>
      <w:r w:rsidRPr="000F4C1C">
        <w:t xml:space="preserve"> trial</w:t>
      </w:r>
      <w:r>
        <w:t xml:space="preserve"> (Step 3; SAS)</w:t>
      </w:r>
    </w:p>
    <w:tbl>
      <w:tblPr>
        <w:tblStyle w:val="TableGrid"/>
        <w:tblW w:w="0" w:type="auto"/>
        <w:tblLook w:val="04A0" w:firstRow="1" w:lastRow="0" w:firstColumn="1" w:lastColumn="0" w:noHBand="0" w:noVBand="1"/>
        <w:tblCaption w:val="Table 11: Summary of key adverse events in the MRD-negative cohort of the E1910 trial (Step 3; SAS)"/>
      </w:tblPr>
      <w:tblGrid>
        <w:gridCol w:w="3005"/>
        <w:gridCol w:w="3005"/>
        <w:gridCol w:w="3006"/>
      </w:tblGrid>
      <w:tr w:rsidR="00A70FBA" w:rsidRPr="00870AAE" w14:paraId="3DA56BEF" w14:textId="77777777" w:rsidTr="00236B1C">
        <w:tc>
          <w:tcPr>
            <w:tcW w:w="3005" w:type="dxa"/>
          </w:tcPr>
          <w:p w14:paraId="2DC6A532" w14:textId="77777777" w:rsidR="00A70FBA" w:rsidRPr="00870AAE" w:rsidRDefault="00A70FBA" w:rsidP="00763B38">
            <w:pPr>
              <w:keepNext/>
              <w:keepLines/>
              <w:rPr>
                <w:rFonts w:ascii="Arial Narrow" w:hAnsi="Arial Narrow"/>
                <w:sz w:val="20"/>
                <w:szCs w:val="20"/>
              </w:rPr>
            </w:pPr>
          </w:p>
        </w:tc>
        <w:tc>
          <w:tcPr>
            <w:tcW w:w="3005" w:type="dxa"/>
            <w:vAlign w:val="center"/>
          </w:tcPr>
          <w:p w14:paraId="38BC487B" w14:textId="77777777" w:rsidR="00A70FBA" w:rsidRPr="00870AAE" w:rsidRDefault="00A70FBA" w:rsidP="00763B38">
            <w:pPr>
              <w:keepNext/>
              <w:keepLines/>
              <w:jc w:val="center"/>
              <w:rPr>
                <w:rFonts w:ascii="Arial Narrow" w:hAnsi="Arial Narrow"/>
                <w:b/>
                <w:bCs/>
                <w:sz w:val="20"/>
                <w:szCs w:val="20"/>
              </w:rPr>
            </w:pPr>
            <w:r w:rsidRPr="00870AAE">
              <w:rPr>
                <w:rFonts w:ascii="Arial Narrow" w:hAnsi="Arial Narrow"/>
                <w:b/>
                <w:bCs/>
                <w:sz w:val="20"/>
                <w:szCs w:val="20"/>
              </w:rPr>
              <w:t>Blinatumomab + standard of care</w:t>
            </w:r>
          </w:p>
          <w:p w14:paraId="2A355DF1" w14:textId="77777777" w:rsidR="00A70FBA" w:rsidRPr="00870AAE" w:rsidRDefault="00A70FBA" w:rsidP="00763B38">
            <w:pPr>
              <w:keepNext/>
              <w:keepLines/>
              <w:jc w:val="center"/>
              <w:rPr>
                <w:rFonts w:ascii="Arial Narrow" w:hAnsi="Arial Narrow"/>
                <w:b/>
                <w:bCs/>
                <w:sz w:val="20"/>
                <w:szCs w:val="20"/>
              </w:rPr>
            </w:pPr>
            <w:r w:rsidRPr="00870AAE">
              <w:rPr>
                <w:rFonts w:ascii="Arial Narrow" w:hAnsi="Arial Narrow"/>
                <w:b/>
                <w:bCs/>
                <w:sz w:val="20"/>
                <w:szCs w:val="20"/>
              </w:rPr>
              <w:t>N=111</w:t>
            </w:r>
          </w:p>
        </w:tc>
        <w:tc>
          <w:tcPr>
            <w:tcW w:w="3006" w:type="dxa"/>
            <w:vAlign w:val="center"/>
          </w:tcPr>
          <w:p w14:paraId="5C61B66C" w14:textId="77777777" w:rsidR="00A70FBA" w:rsidRPr="00870AAE" w:rsidRDefault="00A70FBA" w:rsidP="00763B38">
            <w:pPr>
              <w:keepNext/>
              <w:keepLines/>
              <w:jc w:val="center"/>
              <w:rPr>
                <w:rFonts w:ascii="Arial Narrow" w:hAnsi="Arial Narrow"/>
                <w:b/>
                <w:bCs/>
                <w:sz w:val="20"/>
                <w:szCs w:val="20"/>
              </w:rPr>
            </w:pPr>
            <w:r w:rsidRPr="00870AAE">
              <w:rPr>
                <w:rFonts w:ascii="Arial Narrow" w:hAnsi="Arial Narrow"/>
                <w:b/>
                <w:bCs/>
                <w:sz w:val="20"/>
                <w:szCs w:val="20"/>
              </w:rPr>
              <w:t>Standard of care</w:t>
            </w:r>
          </w:p>
          <w:p w14:paraId="2BA03F34" w14:textId="77777777" w:rsidR="00A70FBA" w:rsidRPr="00870AAE" w:rsidRDefault="00A70FBA" w:rsidP="00763B38">
            <w:pPr>
              <w:keepNext/>
              <w:keepLines/>
              <w:jc w:val="center"/>
              <w:rPr>
                <w:rFonts w:ascii="Arial Narrow" w:hAnsi="Arial Narrow"/>
                <w:b/>
                <w:bCs/>
                <w:sz w:val="20"/>
                <w:szCs w:val="20"/>
              </w:rPr>
            </w:pPr>
            <w:r w:rsidRPr="00870AAE">
              <w:rPr>
                <w:rFonts w:ascii="Arial Narrow" w:hAnsi="Arial Narrow"/>
                <w:b/>
                <w:bCs/>
                <w:sz w:val="20"/>
                <w:szCs w:val="20"/>
              </w:rPr>
              <w:t>N=112</w:t>
            </w:r>
          </w:p>
        </w:tc>
      </w:tr>
      <w:tr w:rsidR="00A70FBA" w:rsidRPr="00870AAE" w14:paraId="4FDC3D78" w14:textId="77777777" w:rsidTr="00236B1C">
        <w:tc>
          <w:tcPr>
            <w:tcW w:w="3005" w:type="dxa"/>
            <w:vAlign w:val="center"/>
          </w:tcPr>
          <w:p w14:paraId="0E2A7297" w14:textId="77777777" w:rsidR="00A70FBA" w:rsidRPr="00870AAE" w:rsidRDefault="00A70FBA" w:rsidP="00763B38">
            <w:pPr>
              <w:keepNext/>
              <w:keepLines/>
              <w:rPr>
                <w:rFonts w:ascii="Arial Narrow" w:hAnsi="Arial Narrow"/>
                <w:sz w:val="20"/>
                <w:szCs w:val="20"/>
              </w:rPr>
            </w:pPr>
            <w:r w:rsidRPr="00870AAE">
              <w:rPr>
                <w:rFonts w:ascii="Arial Narrow" w:hAnsi="Arial Narrow"/>
                <w:sz w:val="20"/>
                <w:szCs w:val="20"/>
              </w:rPr>
              <w:t>Any adverse events</w:t>
            </w:r>
          </w:p>
        </w:tc>
        <w:tc>
          <w:tcPr>
            <w:tcW w:w="3005" w:type="dxa"/>
            <w:vAlign w:val="center"/>
          </w:tcPr>
          <w:p w14:paraId="0D7AB844" w14:textId="77777777" w:rsidR="00A70FBA" w:rsidRPr="00870AAE" w:rsidRDefault="00A70FBA" w:rsidP="00763B38">
            <w:pPr>
              <w:keepNext/>
              <w:keepLines/>
              <w:jc w:val="center"/>
              <w:rPr>
                <w:rFonts w:ascii="Arial Narrow" w:hAnsi="Arial Narrow"/>
                <w:sz w:val="20"/>
                <w:szCs w:val="20"/>
              </w:rPr>
            </w:pPr>
            <w:r w:rsidRPr="00870AAE">
              <w:rPr>
                <w:rFonts w:ascii="Arial Narrow" w:hAnsi="Arial Narrow"/>
                <w:sz w:val="20"/>
                <w:szCs w:val="20"/>
              </w:rPr>
              <w:t>111 (100%)</w:t>
            </w:r>
          </w:p>
        </w:tc>
        <w:tc>
          <w:tcPr>
            <w:tcW w:w="3006" w:type="dxa"/>
            <w:vAlign w:val="center"/>
          </w:tcPr>
          <w:p w14:paraId="37FBBF07" w14:textId="77777777" w:rsidR="00A70FBA" w:rsidRPr="00870AAE" w:rsidRDefault="00A70FBA" w:rsidP="00763B38">
            <w:pPr>
              <w:keepNext/>
              <w:keepLines/>
              <w:jc w:val="center"/>
              <w:rPr>
                <w:rFonts w:ascii="Arial Narrow" w:hAnsi="Arial Narrow"/>
                <w:sz w:val="20"/>
                <w:szCs w:val="20"/>
              </w:rPr>
            </w:pPr>
            <w:r w:rsidRPr="00870AAE">
              <w:rPr>
                <w:rFonts w:ascii="Arial Narrow" w:hAnsi="Arial Narrow"/>
                <w:sz w:val="20"/>
                <w:szCs w:val="20"/>
              </w:rPr>
              <w:t>110 (98.2%)</w:t>
            </w:r>
          </w:p>
        </w:tc>
      </w:tr>
      <w:tr w:rsidR="009635C5" w:rsidRPr="00870AAE" w14:paraId="1D01986E" w14:textId="77777777" w:rsidTr="00236B1C">
        <w:tc>
          <w:tcPr>
            <w:tcW w:w="3005" w:type="dxa"/>
            <w:vAlign w:val="center"/>
          </w:tcPr>
          <w:p w14:paraId="0085B00D" w14:textId="48C35E85" w:rsidR="009635C5" w:rsidRPr="00870AAE" w:rsidRDefault="009635C5" w:rsidP="009635C5">
            <w:pPr>
              <w:keepNext/>
              <w:keepLines/>
              <w:rPr>
                <w:rFonts w:ascii="Arial Narrow" w:hAnsi="Arial Narrow"/>
                <w:sz w:val="20"/>
                <w:szCs w:val="20"/>
              </w:rPr>
            </w:pPr>
            <w:r>
              <w:rPr>
                <w:rFonts w:ascii="Arial Narrow" w:hAnsi="Arial Narrow"/>
                <w:sz w:val="20"/>
                <w:szCs w:val="20"/>
              </w:rPr>
              <w:t>Discontinuation due to adverse events</w:t>
            </w:r>
          </w:p>
        </w:tc>
        <w:tc>
          <w:tcPr>
            <w:tcW w:w="3005" w:type="dxa"/>
            <w:vAlign w:val="center"/>
          </w:tcPr>
          <w:p w14:paraId="23BFA496" w14:textId="404EAEA4" w:rsidR="009635C5" w:rsidRPr="009635C5" w:rsidRDefault="009635C5" w:rsidP="009635C5">
            <w:pPr>
              <w:keepNext/>
              <w:keepLines/>
              <w:jc w:val="center"/>
              <w:rPr>
                <w:rFonts w:ascii="Arial Narrow" w:hAnsi="Arial Narrow"/>
                <w:sz w:val="20"/>
                <w:szCs w:val="20"/>
              </w:rPr>
            </w:pPr>
            <w:r w:rsidRPr="009635C5">
              <w:rPr>
                <w:rFonts w:ascii="Arial Narrow" w:hAnsi="Arial Narrow"/>
                <w:sz w:val="20"/>
                <w:szCs w:val="20"/>
              </w:rPr>
              <w:t>12 (10.7%)</w:t>
            </w:r>
          </w:p>
        </w:tc>
        <w:tc>
          <w:tcPr>
            <w:tcW w:w="3006" w:type="dxa"/>
            <w:vAlign w:val="center"/>
          </w:tcPr>
          <w:p w14:paraId="0A19DB60" w14:textId="258EA0DF" w:rsidR="009635C5" w:rsidRPr="009635C5" w:rsidRDefault="009635C5" w:rsidP="009635C5">
            <w:pPr>
              <w:keepNext/>
              <w:keepLines/>
              <w:jc w:val="center"/>
              <w:rPr>
                <w:rFonts w:ascii="Arial Narrow" w:hAnsi="Arial Narrow"/>
                <w:sz w:val="20"/>
                <w:szCs w:val="20"/>
              </w:rPr>
            </w:pPr>
            <w:r w:rsidRPr="009635C5">
              <w:rPr>
                <w:rFonts w:ascii="Arial Narrow" w:hAnsi="Arial Narrow"/>
                <w:sz w:val="20"/>
                <w:szCs w:val="20"/>
              </w:rPr>
              <w:t>5 (4.5%)</w:t>
            </w:r>
          </w:p>
        </w:tc>
      </w:tr>
      <w:tr w:rsidR="00A70FBA" w:rsidRPr="00870AAE" w14:paraId="640CE209" w14:textId="77777777" w:rsidTr="00236B1C">
        <w:tc>
          <w:tcPr>
            <w:tcW w:w="3005" w:type="dxa"/>
            <w:vAlign w:val="center"/>
          </w:tcPr>
          <w:p w14:paraId="4F2EFAD6" w14:textId="77777777" w:rsidR="00A70FBA" w:rsidRPr="00870AAE" w:rsidRDefault="00A70FBA" w:rsidP="00763B38">
            <w:pPr>
              <w:keepNext/>
              <w:keepLines/>
              <w:rPr>
                <w:rFonts w:ascii="Arial Narrow" w:hAnsi="Arial Narrow"/>
                <w:sz w:val="20"/>
                <w:szCs w:val="20"/>
              </w:rPr>
            </w:pPr>
            <w:r w:rsidRPr="00870AAE">
              <w:rPr>
                <w:rFonts w:ascii="Arial Narrow" w:hAnsi="Arial Narrow"/>
                <w:sz w:val="20"/>
                <w:szCs w:val="20"/>
              </w:rPr>
              <w:t>Grade ≥3 adverse event</w:t>
            </w:r>
          </w:p>
        </w:tc>
        <w:tc>
          <w:tcPr>
            <w:tcW w:w="3005" w:type="dxa"/>
            <w:vAlign w:val="center"/>
          </w:tcPr>
          <w:p w14:paraId="5859C034" w14:textId="77777777" w:rsidR="00A70FBA" w:rsidRPr="00870AAE" w:rsidRDefault="00A70FBA" w:rsidP="00763B38">
            <w:pPr>
              <w:keepNext/>
              <w:keepLines/>
              <w:jc w:val="center"/>
              <w:rPr>
                <w:rFonts w:ascii="Arial Narrow" w:hAnsi="Arial Narrow"/>
                <w:sz w:val="20"/>
                <w:szCs w:val="20"/>
              </w:rPr>
            </w:pPr>
            <w:r w:rsidRPr="00870AAE">
              <w:rPr>
                <w:rFonts w:ascii="Arial Narrow" w:hAnsi="Arial Narrow"/>
                <w:sz w:val="20"/>
                <w:szCs w:val="20"/>
              </w:rPr>
              <w:t>109 (98.2%)</w:t>
            </w:r>
          </w:p>
        </w:tc>
        <w:tc>
          <w:tcPr>
            <w:tcW w:w="3006" w:type="dxa"/>
            <w:vAlign w:val="center"/>
          </w:tcPr>
          <w:p w14:paraId="062F6A47" w14:textId="77777777" w:rsidR="00A70FBA" w:rsidRPr="00870AAE" w:rsidRDefault="00A70FBA" w:rsidP="00763B38">
            <w:pPr>
              <w:keepNext/>
              <w:keepLines/>
              <w:jc w:val="center"/>
              <w:rPr>
                <w:rFonts w:ascii="Arial Narrow" w:hAnsi="Arial Narrow"/>
                <w:sz w:val="20"/>
                <w:szCs w:val="20"/>
              </w:rPr>
            </w:pPr>
            <w:r w:rsidRPr="00870AAE">
              <w:rPr>
                <w:rFonts w:ascii="Arial Narrow" w:hAnsi="Arial Narrow"/>
                <w:sz w:val="20"/>
                <w:szCs w:val="20"/>
              </w:rPr>
              <w:t>110 (98.2%)</w:t>
            </w:r>
          </w:p>
        </w:tc>
      </w:tr>
      <w:tr w:rsidR="00A70FBA" w:rsidRPr="00870AAE" w14:paraId="44DEE134" w14:textId="77777777" w:rsidTr="00236B1C">
        <w:tc>
          <w:tcPr>
            <w:tcW w:w="3005" w:type="dxa"/>
            <w:vAlign w:val="center"/>
          </w:tcPr>
          <w:p w14:paraId="5D484E9B" w14:textId="77777777" w:rsidR="00A70FBA" w:rsidRPr="00870AAE" w:rsidRDefault="00A70FBA" w:rsidP="00763B38">
            <w:pPr>
              <w:keepNext/>
              <w:keepLines/>
              <w:rPr>
                <w:rFonts w:ascii="Arial Narrow" w:hAnsi="Arial Narrow"/>
                <w:sz w:val="20"/>
                <w:szCs w:val="20"/>
              </w:rPr>
            </w:pPr>
            <w:r w:rsidRPr="00870AAE">
              <w:rPr>
                <w:rFonts w:ascii="Arial Narrow" w:hAnsi="Arial Narrow"/>
                <w:sz w:val="20"/>
                <w:szCs w:val="20"/>
              </w:rPr>
              <w:t>Grade ≥4 adverse event</w:t>
            </w:r>
          </w:p>
        </w:tc>
        <w:tc>
          <w:tcPr>
            <w:tcW w:w="3005" w:type="dxa"/>
            <w:vAlign w:val="center"/>
          </w:tcPr>
          <w:p w14:paraId="39FC7A42" w14:textId="77777777" w:rsidR="00A70FBA" w:rsidRPr="00870AAE" w:rsidRDefault="00A70FBA" w:rsidP="00763B38">
            <w:pPr>
              <w:keepNext/>
              <w:keepLines/>
              <w:jc w:val="center"/>
              <w:rPr>
                <w:rFonts w:ascii="Arial Narrow" w:hAnsi="Arial Narrow"/>
                <w:sz w:val="20"/>
                <w:szCs w:val="20"/>
              </w:rPr>
            </w:pPr>
            <w:r w:rsidRPr="00870AAE">
              <w:rPr>
                <w:rFonts w:ascii="Arial Narrow" w:hAnsi="Arial Narrow"/>
                <w:sz w:val="20"/>
                <w:szCs w:val="20"/>
              </w:rPr>
              <w:t>100 (90.1%)</w:t>
            </w:r>
          </w:p>
        </w:tc>
        <w:tc>
          <w:tcPr>
            <w:tcW w:w="3006" w:type="dxa"/>
            <w:vAlign w:val="center"/>
          </w:tcPr>
          <w:p w14:paraId="25EB09AC" w14:textId="77777777" w:rsidR="00A70FBA" w:rsidRPr="00870AAE" w:rsidRDefault="00A70FBA" w:rsidP="00763B38">
            <w:pPr>
              <w:keepNext/>
              <w:keepLines/>
              <w:jc w:val="center"/>
              <w:rPr>
                <w:rFonts w:ascii="Arial Narrow" w:hAnsi="Arial Narrow"/>
                <w:sz w:val="20"/>
                <w:szCs w:val="20"/>
              </w:rPr>
            </w:pPr>
            <w:r w:rsidRPr="00870AAE">
              <w:rPr>
                <w:rFonts w:ascii="Arial Narrow" w:hAnsi="Arial Narrow"/>
                <w:sz w:val="20"/>
                <w:szCs w:val="20"/>
              </w:rPr>
              <w:t>106 (94.6%)</w:t>
            </w:r>
          </w:p>
        </w:tc>
      </w:tr>
      <w:tr w:rsidR="00A70FBA" w:rsidRPr="00870AAE" w14:paraId="37E3A73E" w14:textId="77777777" w:rsidTr="00236B1C">
        <w:tc>
          <w:tcPr>
            <w:tcW w:w="3005" w:type="dxa"/>
            <w:vAlign w:val="center"/>
          </w:tcPr>
          <w:p w14:paraId="357259F0" w14:textId="77777777" w:rsidR="00A70FBA" w:rsidRPr="00870AAE" w:rsidRDefault="00A70FBA" w:rsidP="00763B38">
            <w:pPr>
              <w:keepNext/>
              <w:keepLines/>
              <w:rPr>
                <w:rFonts w:ascii="Arial Narrow" w:hAnsi="Arial Narrow"/>
                <w:sz w:val="20"/>
                <w:szCs w:val="20"/>
              </w:rPr>
            </w:pPr>
            <w:r w:rsidRPr="00870AAE">
              <w:rPr>
                <w:rFonts w:ascii="Arial Narrow" w:hAnsi="Arial Narrow"/>
                <w:sz w:val="20"/>
                <w:szCs w:val="20"/>
              </w:rPr>
              <w:t>Death</w:t>
            </w:r>
          </w:p>
        </w:tc>
        <w:tc>
          <w:tcPr>
            <w:tcW w:w="3005" w:type="dxa"/>
            <w:vAlign w:val="center"/>
          </w:tcPr>
          <w:p w14:paraId="7EF1220D" w14:textId="77777777" w:rsidR="00A70FBA" w:rsidRPr="00870AAE" w:rsidRDefault="00A70FBA" w:rsidP="00763B38">
            <w:pPr>
              <w:keepNext/>
              <w:keepLines/>
              <w:jc w:val="center"/>
              <w:rPr>
                <w:rFonts w:ascii="Arial Narrow" w:hAnsi="Arial Narrow"/>
                <w:sz w:val="20"/>
                <w:szCs w:val="20"/>
              </w:rPr>
            </w:pPr>
            <w:r w:rsidRPr="00870AAE">
              <w:rPr>
                <w:rFonts w:ascii="Arial Narrow" w:hAnsi="Arial Narrow"/>
                <w:sz w:val="20"/>
                <w:szCs w:val="20"/>
              </w:rPr>
              <w:t>3 (2.7%)</w:t>
            </w:r>
          </w:p>
        </w:tc>
        <w:tc>
          <w:tcPr>
            <w:tcW w:w="3006" w:type="dxa"/>
            <w:vAlign w:val="center"/>
          </w:tcPr>
          <w:p w14:paraId="03B45313" w14:textId="77777777" w:rsidR="00A70FBA" w:rsidRPr="00870AAE" w:rsidRDefault="00A70FBA" w:rsidP="00763B38">
            <w:pPr>
              <w:keepNext/>
              <w:keepLines/>
              <w:jc w:val="center"/>
              <w:rPr>
                <w:rFonts w:ascii="Arial Narrow" w:hAnsi="Arial Narrow"/>
                <w:sz w:val="20"/>
                <w:szCs w:val="20"/>
              </w:rPr>
            </w:pPr>
            <w:r w:rsidRPr="00870AAE">
              <w:rPr>
                <w:rFonts w:ascii="Arial Narrow" w:hAnsi="Arial Narrow"/>
                <w:sz w:val="20"/>
                <w:szCs w:val="20"/>
              </w:rPr>
              <w:t>1 (0.9%)</w:t>
            </w:r>
          </w:p>
        </w:tc>
      </w:tr>
      <w:tr w:rsidR="00A70FBA" w:rsidRPr="00870AAE" w14:paraId="44DAFEBF" w14:textId="77777777" w:rsidTr="00236B1C">
        <w:tc>
          <w:tcPr>
            <w:tcW w:w="9016" w:type="dxa"/>
            <w:gridSpan w:val="3"/>
          </w:tcPr>
          <w:p w14:paraId="3393B6DD" w14:textId="77777777" w:rsidR="00A70FBA" w:rsidRPr="00870AAE" w:rsidRDefault="00A70FBA" w:rsidP="00763B38">
            <w:pPr>
              <w:keepNext/>
              <w:keepLines/>
              <w:jc w:val="left"/>
              <w:rPr>
                <w:rFonts w:ascii="Arial Narrow" w:hAnsi="Arial Narrow"/>
                <w:b/>
                <w:bCs/>
                <w:sz w:val="20"/>
                <w:szCs w:val="20"/>
              </w:rPr>
            </w:pPr>
            <w:r w:rsidRPr="00870AAE">
              <w:rPr>
                <w:rFonts w:ascii="Arial Narrow" w:hAnsi="Arial Narrow"/>
                <w:b/>
                <w:bCs/>
                <w:sz w:val="20"/>
                <w:szCs w:val="20"/>
              </w:rPr>
              <w:t>Treatment-emergent adverse events of special interest</w:t>
            </w:r>
          </w:p>
        </w:tc>
      </w:tr>
      <w:tr w:rsidR="00A70FBA" w:rsidRPr="00870AAE" w14:paraId="3D11C3B2" w14:textId="77777777" w:rsidTr="00236B1C">
        <w:tc>
          <w:tcPr>
            <w:tcW w:w="3005" w:type="dxa"/>
          </w:tcPr>
          <w:p w14:paraId="206BC3A6" w14:textId="77777777" w:rsidR="00A70FBA" w:rsidRPr="00870AAE" w:rsidRDefault="00A70FBA" w:rsidP="00763B38">
            <w:pPr>
              <w:keepNext/>
              <w:keepLines/>
              <w:rPr>
                <w:rFonts w:ascii="Arial Narrow" w:hAnsi="Arial Narrow"/>
                <w:sz w:val="20"/>
                <w:szCs w:val="20"/>
              </w:rPr>
            </w:pPr>
            <w:r w:rsidRPr="00870AAE">
              <w:rPr>
                <w:rFonts w:ascii="Arial Narrow" w:hAnsi="Arial Narrow"/>
                <w:sz w:val="20"/>
                <w:szCs w:val="20"/>
              </w:rPr>
              <w:t>Any TEAE of special interest</w:t>
            </w:r>
          </w:p>
        </w:tc>
        <w:tc>
          <w:tcPr>
            <w:tcW w:w="3005" w:type="dxa"/>
            <w:vAlign w:val="center"/>
          </w:tcPr>
          <w:p w14:paraId="613D7E1C" w14:textId="77777777" w:rsidR="00A70FBA" w:rsidRPr="00870AAE" w:rsidRDefault="00A70FBA" w:rsidP="00763B38">
            <w:pPr>
              <w:keepNext/>
              <w:keepLines/>
              <w:jc w:val="center"/>
              <w:rPr>
                <w:rFonts w:ascii="Arial Narrow" w:hAnsi="Arial Narrow"/>
                <w:sz w:val="20"/>
                <w:szCs w:val="20"/>
              </w:rPr>
            </w:pPr>
            <w:r w:rsidRPr="00870AAE">
              <w:rPr>
                <w:rFonts w:ascii="Arial Narrow" w:hAnsi="Arial Narrow"/>
                <w:sz w:val="20"/>
                <w:szCs w:val="20"/>
              </w:rPr>
              <w:t>78 (70.3%)</w:t>
            </w:r>
          </w:p>
        </w:tc>
        <w:tc>
          <w:tcPr>
            <w:tcW w:w="3006" w:type="dxa"/>
            <w:vAlign w:val="center"/>
          </w:tcPr>
          <w:p w14:paraId="0F1BEAF7" w14:textId="77777777" w:rsidR="00A70FBA" w:rsidRPr="00870AAE" w:rsidRDefault="00A70FBA" w:rsidP="00763B38">
            <w:pPr>
              <w:keepNext/>
              <w:keepLines/>
              <w:jc w:val="center"/>
              <w:rPr>
                <w:rFonts w:ascii="Arial Narrow" w:hAnsi="Arial Narrow"/>
                <w:sz w:val="20"/>
                <w:szCs w:val="20"/>
              </w:rPr>
            </w:pPr>
            <w:r w:rsidRPr="00870AAE">
              <w:rPr>
                <w:rFonts w:ascii="Arial Narrow" w:hAnsi="Arial Narrow"/>
                <w:sz w:val="20"/>
                <w:szCs w:val="20"/>
              </w:rPr>
              <w:t>43 (38.4%)</w:t>
            </w:r>
          </w:p>
        </w:tc>
      </w:tr>
      <w:tr w:rsidR="00A70FBA" w:rsidRPr="00870AAE" w14:paraId="76697D7F" w14:textId="77777777" w:rsidTr="00236B1C">
        <w:tc>
          <w:tcPr>
            <w:tcW w:w="3005" w:type="dxa"/>
            <w:vAlign w:val="center"/>
          </w:tcPr>
          <w:p w14:paraId="6D8D65D1" w14:textId="77777777" w:rsidR="00A70FBA" w:rsidRPr="00870AAE" w:rsidRDefault="00A70FBA" w:rsidP="00763B38">
            <w:pPr>
              <w:keepNext/>
              <w:keepLines/>
              <w:rPr>
                <w:rFonts w:ascii="Arial Narrow" w:hAnsi="Arial Narrow"/>
                <w:sz w:val="20"/>
                <w:szCs w:val="20"/>
              </w:rPr>
            </w:pPr>
            <w:r w:rsidRPr="00870AAE">
              <w:rPr>
                <w:rFonts w:ascii="Arial Narrow" w:hAnsi="Arial Narrow"/>
                <w:sz w:val="20"/>
                <w:szCs w:val="20"/>
              </w:rPr>
              <w:t>- Cytokine release syndrome</w:t>
            </w:r>
          </w:p>
        </w:tc>
        <w:tc>
          <w:tcPr>
            <w:tcW w:w="3005" w:type="dxa"/>
            <w:vAlign w:val="center"/>
          </w:tcPr>
          <w:p w14:paraId="6488012E" w14:textId="77777777" w:rsidR="00A70FBA" w:rsidRPr="00870AAE" w:rsidRDefault="00A70FBA" w:rsidP="00763B38">
            <w:pPr>
              <w:keepNext/>
              <w:keepLines/>
              <w:jc w:val="center"/>
              <w:rPr>
                <w:rFonts w:ascii="Arial Narrow" w:hAnsi="Arial Narrow"/>
                <w:sz w:val="20"/>
                <w:szCs w:val="20"/>
              </w:rPr>
            </w:pPr>
            <w:r w:rsidRPr="00870AAE">
              <w:rPr>
                <w:rFonts w:ascii="Arial Narrow" w:hAnsi="Arial Narrow"/>
                <w:sz w:val="20"/>
                <w:szCs w:val="20"/>
              </w:rPr>
              <w:t>19 (17.1%)</w:t>
            </w:r>
          </w:p>
        </w:tc>
        <w:tc>
          <w:tcPr>
            <w:tcW w:w="3006" w:type="dxa"/>
            <w:vAlign w:val="center"/>
          </w:tcPr>
          <w:p w14:paraId="50A21E19" w14:textId="77777777" w:rsidR="00A70FBA" w:rsidRPr="00870AAE" w:rsidRDefault="00A70FBA" w:rsidP="00763B38">
            <w:pPr>
              <w:keepNext/>
              <w:keepLines/>
              <w:jc w:val="center"/>
              <w:rPr>
                <w:rFonts w:ascii="Arial Narrow" w:hAnsi="Arial Narrow"/>
                <w:sz w:val="20"/>
                <w:szCs w:val="20"/>
              </w:rPr>
            </w:pPr>
            <w:r w:rsidRPr="00870AAE">
              <w:rPr>
                <w:rFonts w:ascii="Arial Narrow" w:hAnsi="Arial Narrow"/>
                <w:sz w:val="20"/>
                <w:szCs w:val="20"/>
              </w:rPr>
              <w:t>0</w:t>
            </w:r>
          </w:p>
        </w:tc>
      </w:tr>
      <w:tr w:rsidR="00A70FBA" w:rsidRPr="00870AAE" w14:paraId="225C4F40" w14:textId="77777777" w:rsidTr="00236B1C">
        <w:tc>
          <w:tcPr>
            <w:tcW w:w="3005" w:type="dxa"/>
          </w:tcPr>
          <w:p w14:paraId="480057DD" w14:textId="77777777" w:rsidR="00A70FBA" w:rsidRPr="00870AAE" w:rsidRDefault="00A70FBA" w:rsidP="00763B38">
            <w:pPr>
              <w:keepNext/>
              <w:keepLines/>
              <w:rPr>
                <w:rFonts w:ascii="Arial Narrow" w:hAnsi="Arial Narrow"/>
                <w:sz w:val="20"/>
                <w:szCs w:val="20"/>
              </w:rPr>
            </w:pPr>
            <w:r w:rsidRPr="00870AAE">
              <w:rPr>
                <w:rFonts w:ascii="Arial Narrow" w:hAnsi="Arial Narrow"/>
                <w:sz w:val="20"/>
                <w:szCs w:val="20"/>
              </w:rPr>
              <w:t xml:space="preserve">- Neurologic events (Narrow) </w:t>
            </w:r>
          </w:p>
        </w:tc>
        <w:tc>
          <w:tcPr>
            <w:tcW w:w="3005" w:type="dxa"/>
            <w:vAlign w:val="center"/>
          </w:tcPr>
          <w:p w14:paraId="50379453" w14:textId="77777777" w:rsidR="00A70FBA" w:rsidRPr="00870AAE" w:rsidRDefault="00A70FBA" w:rsidP="00763B38">
            <w:pPr>
              <w:keepNext/>
              <w:keepLines/>
              <w:jc w:val="center"/>
              <w:rPr>
                <w:rFonts w:ascii="Arial Narrow" w:hAnsi="Arial Narrow"/>
                <w:sz w:val="20"/>
                <w:szCs w:val="20"/>
              </w:rPr>
            </w:pPr>
            <w:r w:rsidRPr="00870AAE">
              <w:rPr>
                <w:rFonts w:ascii="Arial Narrow" w:hAnsi="Arial Narrow"/>
                <w:sz w:val="20"/>
                <w:szCs w:val="20"/>
              </w:rPr>
              <w:t>72 (64.9%)</w:t>
            </w:r>
          </w:p>
        </w:tc>
        <w:tc>
          <w:tcPr>
            <w:tcW w:w="3006" w:type="dxa"/>
            <w:vAlign w:val="center"/>
          </w:tcPr>
          <w:p w14:paraId="7F420239" w14:textId="77777777" w:rsidR="00A70FBA" w:rsidRPr="00870AAE" w:rsidRDefault="00A70FBA" w:rsidP="00763B38">
            <w:pPr>
              <w:keepNext/>
              <w:keepLines/>
              <w:jc w:val="center"/>
              <w:rPr>
                <w:rFonts w:ascii="Arial Narrow" w:hAnsi="Arial Narrow"/>
                <w:sz w:val="20"/>
                <w:szCs w:val="20"/>
              </w:rPr>
            </w:pPr>
            <w:r w:rsidRPr="00870AAE">
              <w:rPr>
                <w:rFonts w:ascii="Arial Narrow" w:hAnsi="Arial Narrow"/>
                <w:sz w:val="20"/>
                <w:szCs w:val="20"/>
              </w:rPr>
              <w:t>43 (38.4%)</w:t>
            </w:r>
          </w:p>
        </w:tc>
      </w:tr>
      <w:tr w:rsidR="00A70FBA" w:rsidRPr="00870AAE" w14:paraId="4D02B90B" w14:textId="77777777" w:rsidTr="00236B1C">
        <w:tc>
          <w:tcPr>
            <w:tcW w:w="3005" w:type="dxa"/>
          </w:tcPr>
          <w:p w14:paraId="4A591E8B" w14:textId="77777777" w:rsidR="00A70FBA" w:rsidRPr="00870AAE" w:rsidRDefault="00A70FBA" w:rsidP="00763B38">
            <w:pPr>
              <w:keepNext/>
              <w:keepLines/>
              <w:rPr>
                <w:rFonts w:ascii="Arial Narrow" w:hAnsi="Arial Narrow"/>
                <w:sz w:val="20"/>
                <w:szCs w:val="20"/>
              </w:rPr>
            </w:pPr>
            <w:r w:rsidRPr="00870AAE">
              <w:rPr>
                <w:rFonts w:ascii="Arial Narrow" w:hAnsi="Arial Narrow"/>
                <w:sz w:val="20"/>
                <w:szCs w:val="20"/>
              </w:rPr>
              <w:t xml:space="preserve">      Headache</w:t>
            </w:r>
          </w:p>
        </w:tc>
        <w:tc>
          <w:tcPr>
            <w:tcW w:w="3005" w:type="dxa"/>
            <w:vAlign w:val="center"/>
          </w:tcPr>
          <w:p w14:paraId="57F5A199" w14:textId="77777777" w:rsidR="00A70FBA" w:rsidRPr="00870AAE" w:rsidRDefault="00A70FBA" w:rsidP="00763B38">
            <w:pPr>
              <w:keepNext/>
              <w:keepLines/>
              <w:jc w:val="center"/>
              <w:rPr>
                <w:rFonts w:ascii="Arial Narrow" w:hAnsi="Arial Narrow"/>
                <w:sz w:val="20"/>
                <w:szCs w:val="20"/>
              </w:rPr>
            </w:pPr>
            <w:r w:rsidRPr="00870AAE">
              <w:rPr>
                <w:rFonts w:ascii="Arial Narrow" w:hAnsi="Arial Narrow"/>
                <w:sz w:val="20"/>
                <w:szCs w:val="20"/>
              </w:rPr>
              <w:t>46 (41.4%)</w:t>
            </w:r>
          </w:p>
        </w:tc>
        <w:tc>
          <w:tcPr>
            <w:tcW w:w="3006" w:type="dxa"/>
            <w:vAlign w:val="center"/>
          </w:tcPr>
          <w:p w14:paraId="05454207" w14:textId="77777777" w:rsidR="00A70FBA" w:rsidRPr="00870AAE" w:rsidRDefault="00A70FBA" w:rsidP="00763B38">
            <w:pPr>
              <w:keepNext/>
              <w:keepLines/>
              <w:jc w:val="center"/>
              <w:rPr>
                <w:rFonts w:ascii="Arial Narrow" w:hAnsi="Arial Narrow"/>
                <w:sz w:val="20"/>
                <w:szCs w:val="20"/>
              </w:rPr>
            </w:pPr>
            <w:r w:rsidRPr="00870AAE">
              <w:rPr>
                <w:rFonts w:ascii="Arial Narrow" w:hAnsi="Arial Narrow"/>
                <w:sz w:val="20"/>
                <w:szCs w:val="20"/>
              </w:rPr>
              <w:t>36 (32.1%)</w:t>
            </w:r>
          </w:p>
        </w:tc>
      </w:tr>
      <w:tr w:rsidR="00A70FBA" w:rsidRPr="00870AAE" w14:paraId="7D5B3FFB" w14:textId="77777777" w:rsidTr="00236B1C">
        <w:tc>
          <w:tcPr>
            <w:tcW w:w="3005" w:type="dxa"/>
          </w:tcPr>
          <w:p w14:paraId="7C81C52B" w14:textId="77777777" w:rsidR="00A70FBA" w:rsidRPr="00870AAE" w:rsidRDefault="00A70FBA" w:rsidP="00763B38">
            <w:pPr>
              <w:keepNext/>
              <w:keepLines/>
              <w:rPr>
                <w:rFonts w:ascii="Arial Narrow" w:hAnsi="Arial Narrow"/>
                <w:sz w:val="20"/>
                <w:szCs w:val="20"/>
              </w:rPr>
            </w:pPr>
            <w:r w:rsidRPr="00870AAE">
              <w:rPr>
                <w:rFonts w:ascii="Arial Narrow" w:hAnsi="Arial Narrow"/>
                <w:sz w:val="20"/>
                <w:szCs w:val="20"/>
              </w:rPr>
              <w:t xml:space="preserve">      Tremor</w:t>
            </w:r>
          </w:p>
        </w:tc>
        <w:tc>
          <w:tcPr>
            <w:tcW w:w="3005" w:type="dxa"/>
            <w:vAlign w:val="center"/>
          </w:tcPr>
          <w:p w14:paraId="1975EB39" w14:textId="77777777" w:rsidR="00A70FBA" w:rsidRPr="00870AAE" w:rsidRDefault="00A70FBA" w:rsidP="00763B38">
            <w:pPr>
              <w:keepNext/>
              <w:keepLines/>
              <w:jc w:val="center"/>
              <w:rPr>
                <w:rFonts w:ascii="Arial Narrow" w:hAnsi="Arial Narrow"/>
                <w:sz w:val="20"/>
                <w:szCs w:val="20"/>
              </w:rPr>
            </w:pPr>
            <w:r w:rsidRPr="00870AAE">
              <w:rPr>
                <w:rFonts w:ascii="Arial Narrow" w:hAnsi="Arial Narrow"/>
                <w:sz w:val="20"/>
                <w:szCs w:val="20"/>
              </w:rPr>
              <w:t>26 (23.4%)</w:t>
            </w:r>
          </w:p>
        </w:tc>
        <w:tc>
          <w:tcPr>
            <w:tcW w:w="3006" w:type="dxa"/>
            <w:vAlign w:val="center"/>
          </w:tcPr>
          <w:p w14:paraId="5BCDB30F" w14:textId="77777777" w:rsidR="00A70FBA" w:rsidRPr="00870AAE" w:rsidRDefault="00A70FBA" w:rsidP="00763B38">
            <w:pPr>
              <w:keepNext/>
              <w:keepLines/>
              <w:jc w:val="center"/>
              <w:rPr>
                <w:rFonts w:ascii="Arial Narrow" w:hAnsi="Arial Narrow"/>
                <w:sz w:val="20"/>
                <w:szCs w:val="20"/>
              </w:rPr>
            </w:pPr>
            <w:r w:rsidRPr="00870AAE">
              <w:rPr>
                <w:rFonts w:ascii="Arial Narrow" w:hAnsi="Arial Narrow"/>
                <w:sz w:val="20"/>
                <w:szCs w:val="20"/>
              </w:rPr>
              <w:t>5 (4.5%)</w:t>
            </w:r>
          </w:p>
        </w:tc>
      </w:tr>
      <w:tr w:rsidR="00A70FBA" w:rsidRPr="00870AAE" w14:paraId="2201B817" w14:textId="77777777" w:rsidTr="00236B1C">
        <w:tc>
          <w:tcPr>
            <w:tcW w:w="3005" w:type="dxa"/>
          </w:tcPr>
          <w:p w14:paraId="30B271DA" w14:textId="77777777" w:rsidR="00A70FBA" w:rsidRPr="00870AAE" w:rsidRDefault="00A70FBA" w:rsidP="00763B38">
            <w:pPr>
              <w:keepNext/>
              <w:keepLines/>
              <w:rPr>
                <w:rFonts w:ascii="Arial Narrow" w:hAnsi="Arial Narrow"/>
                <w:sz w:val="20"/>
                <w:szCs w:val="20"/>
              </w:rPr>
            </w:pPr>
            <w:r w:rsidRPr="00870AAE">
              <w:rPr>
                <w:rFonts w:ascii="Arial Narrow" w:hAnsi="Arial Narrow"/>
                <w:sz w:val="20"/>
                <w:szCs w:val="20"/>
              </w:rPr>
              <w:t xml:space="preserve">      Aphasia</w:t>
            </w:r>
          </w:p>
        </w:tc>
        <w:tc>
          <w:tcPr>
            <w:tcW w:w="3005" w:type="dxa"/>
            <w:vAlign w:val="center"/>
          </w:tcPr>
          <w:p w14:paraId="48C680CD" w14:textId="77777777" w:rsidR="00A70FBA" w:rsidRPr="00870AAE" w:rsidRDefault="00A70FBA" w:rsidP="00763B38">
            <w:pPr>
              <w:keepNext/>
              <w:keepLines/>
              <w:jc w:val="center"/>
              <w:rPr>
                <w:rFonts w:ascii="Arial Narrow" w:hAnsi="Arial Narrow"/>
                <w:sz w:val="20"/>
                <w:szCs w:val="20"/>
              </w:rPr>
            </w:pPr>
            <w:r w:rsidRPr="00870AAE">
              <w:rPr>
                <w:rFonts w:ascii="Arial Narrow" w:hAnsi="Arial Narrow"/>
                <w:sz w:val="20"/>
                <w:szCs w:val="20"/>
              </w:rPr>
              <w:t>9 (8.1%)</w:t>
            </w:r>
          </w:p>
        </w:tc>
        <w:tc>
          <w:tcPr>
            <w:tcW w:w="3006" w:type="dxa"/>
            <w:vAlign w:val="center"/>
          </w:tcPr>
          <w:p w14:paraId="024812B1" w14:textId="77777777" w:rsidR="00A70FBA" w:rsidRPr="00870AAE" w:rsidRDefault="00A70FBA" w:rsidP="00763B38">
            <w:pPr>
              <w:keepNext/>
              <w:keepLines/>
              <w:jc w:val="center"/>
              <w:rPr>
                <w:rFonts w:ascii="Arial Narrow" w:hAnsi="Arial Narrow"/>
                <w:sz w:val="20"/>
                <w:szCs w:val="20"/>
              </w:rPr>
            </w:pPr>
            <w:r w:rsidRPr="00870AAE">
              <w:rPr>
                <w:rFonts w:ascii="Arial Narrow" w:hAnsi="Arial Narrow"/>
                <w:sz w:val="20"/>
                <w:szCs w:val="20"/>
              </w:rPr>
              <w:t>0.0</w:t>
            </w:r>
          </w:p>
        </w:tc>
      </w:tr>
      <w:tr w:rsidR="00A70FBA" w:rsidRPr="00870AAE" w14:paraId="5257F408" w14:textId="77777777" w:rsidTr="00236B1C">
        <w:tc>
          <w:tcPr>
            <w:tcW w:w="3005" w:type="dxa"/>
          </w:tcPr>
          <w:p w14:paraId="37000F25" w14:textId="77777777" w:rsidR="00A70FBA" w:rsidRPr="00870AAE" w:rsidRDefault="00A70FBA" w:rsidP="00763B38">
            <w:pPr>
              <w:keepNext/>
              <w:keepLines/>
              <w:rPr>
                <w:rFonts w:ascii="Arial Narrow" w:hAnsi="Arial Narrow"/>
                <w:sz w:val="20"/>
                <w:szCs w:val="20"/>
              </w:rPr>
            </w:pPr>
            <w:r w:rsidRPr="00870AAE">
              <w:rPr>
                <w:rFonts w:ascii="Arial Narrow" w:hAnsi="Arial Narrow"/>
                <w:sz w:val="20"/>
                <w:szCs w:val="20"/>
              </w:rPr>
              <w:t xml:space="preserve">      Insomnia</w:t>
            </w:r>
          </w:p>
        </w:tc>
        <w:tc>
          <w:tcPr>
            <w:tcW w:w="3005" w:type="dxa"/>
            <w:vAlign w:val="center"/>
          </w:tcPr>
          <w:p w14:paraId="1851BF2F" w14:textId="77777777" w:rsidR="00A70FBA" w:rsidRPr="00870AAE" w:rsidRDefault="00A70FBA" w:rsidP="00763B38">
            <w:pPr>
              <w:keepNext/>
              <w:keepLines/>
              <w:jc w:val="center"/>
              <w:rPr>
                <w:rFonts w:ascii="Arial Narrow" w:hAnsi="Arial Narrow"/>
                <w:sz w:val="20"/>
                <w:szCs w:val="20"/>
              </w:rPr>
            </w:pPr>
            <w:r w:rsidRPr="00870AAE">
              <w:rPr>
                <w:rFonts w:ascii="Arial Narrow" w:hAnsi="Arial Narrow"/>
                <w:sz w:val="20"/>
                <w:szCs w:val="20"/>
              </w:rPr>
              <w:t>9 (8.1%)</w:t>
            </w:r>
          </w:p>
        </w:tc>
        <w:tc>
          <w:tcPr>
            <w:tcW w:w="3006" w:type="dxa"/>
            <w:vAlign w:val="center"/>
          </w:tcPr>
          <w:p w14:paraId="13201F28" w14:textId="77777777" w:rsidR="00A70FBA" w:rsidRPr="00870AAE" w:rsidRDefault="00A70FBA" w:rsidP="00763B38">
            <w:pPr>
              <w:keepNext/>
              <w:keepLines/>
              <w:jc w:val="center"/>
              <w:rPr>
                <w:rFonts w:ascii="Arial Narrow" w:hAnsi="Arial Narrow"/>
                <w:sz w:val="20"/>
                <w:szCs w:val="20"/>
              </w:rPr>
            </w:pPr>
            <w:r w:rsidRPr="00870AAE">
              <w:rPr>
                <w:rFonts w:ascii="Arial Narrow" w:hAnsi="Arial Narrow"/>
                <w:sz w:val="20"/>
                <w:szCs w:val="20"/>
              </w:rPr>
              <w:t>2 (1.8%)</w:t>
            </w:r>
          </w:p>
        </w:tc>
      </w:tr>
      <w:tr w:rsidR="00A70FBA" w:rsidRPr="00870AAE" w14:paraId="38CC3389" w14:textId="77777777" w:rsidTr="00236B1C">
        <w:tc>
          <w:tcPr>
            <w:tcW w:w="3005" w:type="dxa"/>
          </w:tcPr>
          <w:p w14:paraId="1339C115" w14:textId="77777777" w:rsidR="00A70FBA" w:rsidRPr="00870AAE" w:rsidRDefault="00A70FBA" w:rsidP="00763B38">
            <w:pPr>
              <w:keepNext/>
              <w:keepLines/>
              <w:rPr>
                <w:rFonts w:ascii="Arial Narrow" w:hAnsi="Arial Narrow"/>
                <w:sz w:val="20"/>
                <w:szCs w:val="20"/>
              </w:rPr>
            </w:pPr>
            <w:r w:rsidRPr="00870AAE">
              <w:rPr>
                <w:rFonts w:ascii="Arial Narrow" w:hAnsi="Arial Narrow"/>
                <w:sz w:val="20"/>
                <w:szCs w:val="20"/>
              </w:rPr>
              <w:t xml:space="preserve">      Dizziness</w:t>
            </w:r>
          </w:p>
        </w:tc>
        <w:tc>
          <w:tcPr>
            <w:tcW w:w="3005" w:type="dxa"/>
            <w:vAlign w:val="center"/>
          </w:tcPr>
          <w:p w14:paraId="29B104DE" w14:textId="77777777" w:rsidR="00A70FBA" w:rsidRPr="00870AAE" w:rsidRDefault="00A70FBA" w:rsidP="00763B38">
            <w:pPr>
              <w:keepNext/>
              <w:keepLines/>
              <w:jc w:val="center"/>
              <w:rPr>
                <w:rFonts w:ascii="Arial Narrow" w:hAnsi="Arial Narrow"/>
                <w:sz w:val="20"/>
                <w:szCs w:val="20"/>
              </w:rPr>
            </w:pPr>
            <w:r w:rsidRPr="00870AAE">
              <w:rPr>
                <w:rFonts w:ascii="Arial Narrow" w:hAnsi="Arial Narrow"/>
                <w:sz w:val="20"/>
                <w:szCs w:val="20"/>
              </w:rPr>
              <w:t>8 (7.2%)</w:t>
            </w:r>
          </w:p>
        </w:tc>
        <w:tc>
          <w:tcPr>
            <w:tcW w:w="3006" w:type="dxa"/>
            <w:vAlign w:val="center"/>
          </w:tcPr>
          <w:p w14:paraId="07148202" w14:textId="77777777" w:rsidR="00A70FBA" w:rsidRPr="00870AAE" w:rsidRDefault="00A70FBA" w:rsidP="00763B38">
            <w:pPr>
              <w:keepNext/>
              <w:keepLines/>
              <w:jc w:val="center"/>
              <w:rPr>
                <w:rFonts w:ascii="Arial Narrow" w:hAnsi="Arial Narrow"/>
                <w:sz w:val="20"/>
                <w:szCs w:val="20"/>
              </w:rPr>
            </w:pPr>
            <w:r w:rsidRPr="00870AAE">
              <w:rPr>
                <w:rFonts w:ascii="Arial Narrow" w:hAnsi="Arial Narrow"/>
                <w:sz w:val="20"/>
                <w:szCs w:val="20"/>
              </w:rPr>
              <w:t>3 (2.7%)</w:t>
            </w:r>
          </w:p>
        </w:tc>
      </w:tr>
      <w:tr w:rsidR="00A70FBA" w:rsidRPr="00870AAE" w14:paraId="4F77D36F" w14:textId="77777777" w:rsidTr="00236B1C">
        <w:tc>
          <w:tcPr>
            <w:tcW w:w="9016" w:type="dxa"/>
            <w:gridSpan w:val="3"/>
          </w:tcPr>
          <w:p w14:paraId="0CE1DA13" w14:textId="77777777" w:rsidR="00A70FBA" w:rsidRPr="00870AAE" w:rsidRDefault="00A70FBA" w:rsidP="00763B38">
            <w:pPr>
              <w:keepNext/>
              <w:keepLines/>
              <w:jc w:val="left"/>
              <w:rPr>
                <w:rFonts w:ascii="Arial Narrow" w:hAnsi="Arial Narrow"/>
                <w:b/>
                <w:bCs/>
                <w:sz w:val="20"/>
                <w:szCs w:val="20"/>
              </w:rPr>
            </w:pPr>
            <w:r w:rsidRPr="00870AAE">
              <w:rPr>
                <w:rFonts w:ascii="Arial Narrow" w:hAnsi="Arial Narrow"/>
                <w:b/>
                <w:bCs/>
                <w:sz w:val="20"/>
                <w:szCs w:val="20"/>
              </w:rPr>
              <w:t xml:space="preserve">Treatment-emergent expedited adverse </w:t>
            </w:r>
            <w:proofErr w:type="spellStart"/>
            <w:r w:rsidRPr="00870AAE">
              <w:rPr>
                <w:rFonts w:ascii="Arial Narrow" w:hAnsi="Arial Narrow"/>
                <w:b/>
                <w:bCs/>
                <w:sz w:val="20"/>
                <w:szCs w:val="20"/>
              </w:rPr>
              <w:t>events</w:t>
            </w:r>
            <w:r w:rsidRPr="00870AAE">
              <w:rPr>
                <w:rFonts w:ascii="Arial Narrow" w:hAnsi="Arial Narrow"/>
                <w:b/>
                <w:bCs/>
                <w:sz w:val="20"/>
                <w:szCs w:val="20"/>
                <w:vertAlign w:val="superscript"/>
              </w:rPr>
              <w:t>a</w:t>
            </w:r>
            <w:proofErr w:type="spellEnd"/>
          </w:p>
        </w:tc>
      </w:tr>
      <w:tr w:rsidR="00A70FBA" w:rsidRPr="00870AAE" w14:paraId="09DC2995" w14:textId="77777777" w:rsidTr="00236B1C">
        <w:tc>
          <w:tcPr>
            <w:tcW w:w="3005" w:type="dxa"/>
            <w:vAlign w:val="center"/>
          </w:tcPr>
          <w:p w14:paraId="42F71C92" w14:textId="77777777" w:rsidR="00A70FBA" w:rsidRPr="00870AAE" w:rsidRDefault="00A70FBA" w:rsidP="00763B38">
            <w:pPr>
              <w:keepNext/>
              <w:keepLines/>
              <w:rPr>
                <w:rFonts w:ascii="Arial Narrow" w:hAnsi="Arial Narrow"/>
                <w:sz w:val="20"/>
                <w:szCs w:val="20"/>
              </w:rPr>
            </w:pPr>
            <w:r w:rsidRPr="00870AAE">
              <w:rPr>
                <w:rFonts w:ascii="Arial Narrow" w:hAnsi="Arial Narrow"/>
                <w:sz w:val="20"/>
                <w:szCs w:val="20"/>
              </w:rPr>
              <w:t>Any expedited adverse event</w:t>
            </w:r>
          </w:p>
        </w:tc>
        <w:tc>
          <w:tcPr>
            <w:tcW w:w="3005" w:type="dxa"/>
            <w:vAlign w:val="center"/>
          </w:tcPr>
          <w:p w14:paraId="1D0FDF50" w14:textId="77777777" w:rsidR="00A70FBA" w:rsidRPr="00870AAE" w:rsidRDefault="00A70FBA" w:rsidP="00763B38">
            <w:pPr>
              <w:keepNext/>
              <w:keepLines/>
              <w:jc w:val="center"/>
              <w:rPr>
                <w:rFonts w:ascii="Arial Narrow" w:hAnsi="Arial Narrow"/>
                <w:sz w:val="20"/>
                <w:szCs w:val="20"/>
              </w:rPr>
            </w:pPr>
            <w:r w:rsidRPr="00870AAE">
              <w:rPr>
                <w:rFonts w:ascii="Arial Narrow" w:hAnsi="Arial Narrow"/>
                <w:sz w:val="20"/>
                <w:szCs w:val="20"/>
              </w:rPr>
              <w:t>67 (60.4%)</w:t>
            </w:r>
          </w:p>
        </w:tc>
        <w:tc>
          <w:tcPr>
            <w:tcW w:w="3006" w:type="dxa"/>
            <w:vAlign w:val="center"/>
          </w:tcPr>
          <w:p w14:paraId="04F6C47A" w14:textId="77777777" w:rsidR="00A70FBA" w:rsidRPr="00870AAE" w:rsidRDefault="00A70FBA" w:rsidP="00763B38">
            <w:pPr>
              <w:keepNext/>
              <w:keepLines/>
              <w:jc w:val="center"/>
              <w:rPr>
                <w:rFonts w:ascii="Arial Narrow" w:hAnsi="Arial Narrow"/>
                <w:sz w:val="20"/>
                <w:szCs w:val="20"/>
              </w:rPr>
            </w:pPr>
            <w:r w:rsidRPr="00870AAE">
              <w:rPr>
                <w:rFonts w:ascii="Arial Narrow" w:hAnsi="Arial Narrow"/>
                <w:sz w:val="20"/>
                <w:szCs w:val="20"/>
              </w:rPr>
              <w:t>31 (27.7%)</w:t>
            </w:r>
          </w:p>
        </w:tc>
      </w:tr>
      <w:tr w:rsidR="00A70FBA" w:rsidRPr="00870AAE" w14:paraId="1DAC949F" w14:textId="77777777" w:rsidTr="00236B1C">
        <w:tc>
          <w:tcPr>
            <w:tcW w:w="3005" w:type="dxa"/>
          </w:tcPr>
          <w:p w14:paraId="5E33E184" w14:textId="77777777" w:rsidR="00A70FBA" w:rsidRPr="00870AAE" w:rsidRDefault="00A70FBA" w:rsidP="00763B38">
            <w:pPr>
              <w:keepNext/>
              <w:keepLines/>
              <w:rPr>
                <w:rFonts w:ascii="Arial Narrow" w:hAnsi="Arial Narrow"/>
                <w:sz w:val="20"/>
                <w:szCs w:val="20"/>
              </w:rPr>
            </w:pPr>
            <w:r w:rsidRPr="00870AAE">
              <w:rPr>
                <w:rFonts w:ascii="Arial Narrow" w:hAnsi="Arial Narrow"/>
                <w:sz w:val="20"/>
                <w:szCs w:val="20"/>
              </w:rPr>
              <w:t>- Febrile neutropenia</w:t>
            </w:r>
          </w:p>
        </w:tc>
        <w:tc>
          <w:tcPr>
            <w:tcW w:w="3005" w:type="dxa"/>
            <w:vAlign w:val="center"/>
          </w:tcPr>
          <w:p w14:paraId="075F5B20" w14:textId="77777777" w:rsidR="00A70FBA" w:rsidRPr="00870AAE" w:rsidRDefault="00A70FBA" w:rsidP="00763B38">
            <w:pPr>
              <w:keepNext/>
              <w:keepLines/>
              <w:jc w:val="center"/>
              <w:rPr>
                <w:rFonts w:ascii="Arial Narrow" w:hAnsi="Arial Narrow"/>
                <w:sz w:val="20"/>
                <w:szCs w:val="20"/>
              </w:rPr>
            </w:pPr>
            <w:r w:rsidRPr="00870AAE">
              <w:rPr>
                <w:rFonts w:ascii="Arial Narrow" w:hAnsi="Arial Narrow"/>
                <w:sz w:val="20"/>
                <w:szCs w:val="20"/>
              </w:rPr>
              <w:t>14 (12.6%)</w:t>
            </w:r>
          </w:p>
        </w:tc>
        <w:tc>
          <w:tcPr>
            <w:tcW w:w="3006" w:type="dxa"/>
            <w:vAlign w:val="center"/>
          </w:tcPr>
          <w:p w14:paraId="703789C1" w14:textId="77777777" w:rsidR="00A70FBA" w:rsidRPr="00870AAE" w:rsidRDefault="00A70FBA" w:rsidP="00763B38">
            <w:pPr>
              <w:keepNext/>
              <w:keepLines/>
              <w:jc w:val="center"/>
              <w:rPr>
                <w:rFonts w:ascii="Arial Narrow" w:hAnsi="Arial Narrow"/>
                <w:sz w:val="20"/>
                <w:szCs w:val="20"/>
              </w:rPr>
            </w:pPr>
            <w:r w:rsidRPr="00870AAE">
              <w:rPr>
                <w:rFonts w:ascii="Arial Narrow" w:hAnsi="Arial Narrow"/>
                <w:sz w:val="20"/>
                <w:szCs w:val="20"/>
              </w:rPr>
              <w:t>14 (12.5%)</w:t>
            </w:r>
          </w:p>
        </w:tc>
      </w:tr>
      <w:tr w:rsidR="00A70FBA" w:rsidRPr="00870AAE" w14:paraId="55A67DFF" w14:textId="77777777" w:rsidTr="00236B1C">
        <w:tc>
          <w:tcPr>
            <w:tcW w:w="3005" w:type="dxa"/>
          </w:tcPr>
          <w:p w14:paraId="00CE53A2" w14:textId="77777777" w:rsidR="00A70FBA" w:rsidRPr="00870AAE" w:rsidRDefault="00A70FBA" w:rsidP="00763B38">
            <w:pPr>
              <w:keepNext/>
              <w:keepLines/>
              <w:rPr>
                <w:rFonts w:ascii="Arial Narrow" w:hAnsi="Arial Narrow"/>
                <w:sz w:val="20"/>
                <w:szCs w:val="20"/>
              </w:rPr>
            </w:pPr>
            <w:r w:rsidRPr="00870AAE">
              <w:rPr>
                <w:rFonts w:ascii="Arial Narrow" w:hAnsi="Arial Narrow"/>
                <w:sz w:val="20"/>
                <w:szCs w:val="20"/>
              </w:rPr>
              <w:t>- Pyrexia</w:t>
            </w:r>
          </w:p>
        </w:tc>
        <w:tc>
          <w:tcPr>
            <w:tcW w:w="3005" w:type="dxa"/>
            <w:vAlign w:val="center"/>
          </w:tcPr>
          <w:p w14:paraId="066B265A" w14:textId="77777777" w:rsidR="00A70FBA" w:rsidRPr="00870AAE" w:rsidRDefault="00A70FBA" w:rsidP="00763B38">
            <w:pPr>
              <w:keepNext/>
              <w:keepLines/>
              <w:jc w:val="center"/>
              <w:rPr>
                <w:rFonts w:ascii="Arial Narrow" w:hAnsi="Arial Narrow"/>
                <w:sz w:val="20"/>
                <w:szCs w:val="20"/>
              </w:rPr>
            </w:pPr>
            <w:r w:rsidRPr="00870AAE">
              <w:rPr>
                <w:rFonts w:ascii="Arial Narrow" w:hAnsi="Arial Narrow"/>
                <w:sz w:val="20"/>
                <w:szCs w:val="20"/>
              </w:rPr>
              <w:t>13 (11.7%)</w:t>
            </w:r>
          </w:p>
        </w:tc>
        <w:tc>
          <w:tcPr>
            <w:tcW w:w="3006" w:type="dxa"/>
            <w:vAlign w:val="center"/>
          </w:tcPr>
          <w:p w14:paraId="57AAFC86" w14:textId="77777777" w:rsidR="00A70FBA" w:rsidRPr="00870AAE" w:rsidRDefault="00A70FBA" w:rsidP="00763B38">
            <w:pPr>
              <w:keepNext/>
              <w:keepLines/>
              <w:jc w:val="center"/>
              <w:rPr>
                <w:rFonts w:ascii="Arial Narrow" w:hAnsi="Arial Narrow"/>
                <w:sz w:val="20"/>
                <w:szCs w:val="20"/>
              </w:rPr>
            </w:pPr>
            <w:r w:rsidRPr="00870AAE">
              <w:rPr>
                <w:rFonts w:ascii="Arial Narrow" w:hAnsi="Arial Narrow"/>
                <w:sz w:val="20"/>
                <w:szCs w:val="20"/>
              </w:rPr>
              <w:t>1 (0.9%)</w:t>
            </w:r>
          </w:p>
        </w:tc>
      </w:tr>
      <w:tr w:rsidR="00A70FBA" w:rsidRPr="00870AAE" w14:paraId="207EC28B" w14:textId="77777777" w:rsidTr="00236B1C">
        <w:tc>
          <w:tcPr>
            <w:tcW w:w="3005" w:type="dxa"/>
          </w:tcPr>
          <w:p w14:paraId="6F3C8E01" w14:textId="77777777" w:rsidR="00A70FBA" w:rsidRPr="00870AAE" w:rsidRDefault="00A70FBA" w:rsidP="00763B38">
            <w:pPr>
              <w:keepNext/>
              <w:keepLines/>
              <w:rPr>
                <w:rFonts w:ascii="Arial Narrow" w:hAnsi="Arial Narrow"/>
                <w:sz w:val="20"/>
                <w:szCs w:val="20"/>
              </w:rPr>
            </w:pPr>
            <w:r w:rsidRPr="00870AAE">
              <w:rPr>
                <w:rFonts w:ascii="Arial Narrow" w:hAnsi="Arial Narrow"/>
                <w:sz w:val="20"/>
                <w:szCs w:val="20"/>
              </w:rPr>
              <w:t>- Sepsis</w:t>
            </w:r>
          </w:p>
        </w:tc>
        <w:tc>
          <w:tcPr>
            <w:tcW w:w="3005" w:type="dxa"/>
            <w:vAlign w:val="center"/>
          </w:tcPr>
          <w:p w14:paraId="0120AB90" w14:textId="77777777" w:rsidR="00A70FBA" w:rsidRPr="00870AAE" w:rsidRDefault="00A70FBA" w:rsidP="00763B38">
            <w:pPr>
              <w:keepNext/>
              <w:keepLines/>
              <w:jc w:val="center"/>
              <w:rPr>
                <w:rFonts w:ascii="Arial Narrow" w:hAnsi="Arial Narrow"/>
                <w:sz w:val="20"/>
                <w:szCs w:val="20"/>
              </w:rPr>
            </w:pPr>
            <w:r w:rsidRPr="00870AAE">
              <w:rPr>
                <w:rFonts w:ascii="Arial Narrow" w:hAnsi="Arial Narrow"/>
                <w:sz w:val="20"/>
                <w:szCs w:val="20"/>
              </w:rPr>
              <w:t>13 (11.7%)</w:t>
            </w:r>
          </w:p>
        </w:tc>
        <w:tc>
          <w:tcPr>
            <w:tcW w:w="3006" w:type="dxa"/>
            <w:vAlign w:val="center"/>
          </w:tcPr>
          <w:p w14:paraId="5D6255B4" w14:textId="77777777" w:rsidR="00A70FBA" w:rsidRPr="00870AAE" w:rsidRDefault="00A70FBA" w:rsidP="00763B38">
            <w:pPr>
              <w:keepNext/>
              <w:keepLines/>
              <w:jc w:val="center"/>
              <w:rPr>
                <w:rFonts w:ascii="Arial Narrow" w:hAnsi="Arial Narrow"/>
                <w:sz w:val="20"/>
                <w:szCs w:val="20"/>
              </w:rPr>
            </w:pPr>
            <w:r w:rsidRPr="00870AAE">
              <w:rPr>
                <w:rFonts w:ascii="Arial Narrow" w:hAnsi="Arial Narrow"/>
                <w:sz w:val="20"/>
                <w:szCs w:val="20"/>
              </w:rPr>
              <w:t>8 (7.1%)</w:t>
            </w:r>
          </w:p>
        </w:tc>
      </w:tr>
      <w:tr w:rsidR="00A70FBA" w:rsidRPr="00870AAE" w14:paraId="39C5CE5E" w14:textId="77777777" w:rsidTr="00236B1C">
        <w:tc>
          <w:tcPr>
            <w:tcW w:w="3005" w:type="dxa"/>
          </w:tcPr>
          <w:p w14:paraId="39FA1FDE" w14:textId="77777777" w:rsidR="00A70FBA" w:rsidRPr="00870AAE" w:rsidRDefault="00A70FBA" w:rsidP="00763B38">
            <w:pPr>
              <w:keepNext/>
              <w:keepLines/>
              <w:rPr>
                <w:rFonts w:ascii="Arial Narrow" w:hAnsi="Arial Narrow"/>
                <w:sz w:val="20"/>
                <w:szCs w:val="20"/>
              </w:rPr>
            </w:pPr>
            <w:r w:rsidRPr="00870AAE">
              <w:rPr>
                <w:rFonts w:ascii="Arial Narrow" w:hAnsi="Arial Narrow"/>
                <w:sz w:val="20"/>
                <w:szCs w:val="20"/>
              </w:rPr>
              <w:t>- Device-related infection</w:t>
            </w:r>
          </w:p>
        </w:tc>
        <w:tc>
          <w:tcPr>
            <w:tcW w:w="3005" w:type="dxa"/>
            <w:vAlign w:val="center"/>
          </w:tcPr>
          <w:p w14:paraId="4BA56B87" w14:textId="77777777" w:rsidR="00A70FBA" w:rsidRPr="00870AAE" w:rsidRDefault="00A70FBA" w:rsidP="00763B38">
            <w:pPr>
              <w:keepNext/>
              <w:keepLines/>
              <w:jc w:val="center"/>
              <w:rPr>
                <w:rFonts w:ascii="Arial Narrow" w:hAnsi="Arial Narrow"/>
                <w:sz w:val="20"/>
                <w:szCs w:val="20"/>
              </w:rPr>
            </w:pPr>
            <w:r w:rsidRPr="00870AAE">
              <w:rPr>
                <w:rFonts w:ascii="Arial Narrow" w:hAnsi="Arial Narrow"/>
                <w:sz w:val="20"/>
                <w:szCs w:val="20"/>
              </w:rPr>
              <w:t>11 (9.9%)</w:t>
            </w:r>
          </w:p>
        </w:tc>
        <w:tc>
          <w:tcPr>
            <w:tcW w:w="3006" w:type="dxa"/>
            <w:vAlign w:val="center"/>
          </w:tcPr>
          <w:p w14:paraId="241AF8C1" w14:textId="77777777" w:rsidR="00A70FBA" w:rsidRPr="00870AAE" w:rsidRDefault="00A70FBA" w:rsidP="00763B38">
            <w:pPr>
              <w:keepNext/>
              <w:keepLines/>
              <w:jc w:val="center"/>
              <w:rPr>
                <w:rFonts w:ascii="Arial Narrow" w:hAnsi="Arial Narrow"/>
                <w:sz w:val="20"/>
                <w:szCs w:val="20"/>
              </w:rPr>
            </w:pPr>
            <w:r w:rsidRPr="00870AAE">
              <w:rPr>
                <w:rFonts w:ascii="Arial Narrow" w:hAnsi="Arial Narrow"/>
                <w:sz w:val="20"/>
                <w:szCs w:val="20"/>
              </w:rPr>
              <w:t>3 (2.7%)</w:t>
            </w:r>
          </w:p>
        </w:tc>
      </w:tr>
      <w:tr w:rsidR="00A70FBA" w:rsidRPr="00870AAE" w14:paraId="1CFF9206" w14:textId="77777777" w:rsidTr="00236B1C">
        <w:tc>
          <w:tcPr>
            <w:tcW w:w="3005" w:type="dxa"/>
          </w:tcPr>
          <w:p w14:paraId="748AC636" w14:textId="77777777" w:rsidR="00A70FBA" w:rsidRPr="00870AAE" w:rsidRDefault="00A70FBA" w:rsidP="00763B38">
            <w:pPr>
              <w:keepNext/>
              <w:keepLines/>
              <w:rPr>
                <w:rFonts w:ascii="Arial Narrow" w:hAnsi="Arial Narrow"/>
                <w:sz w:val="20"/>
                <w:szCs w:val="20"/>
              </w:rPr>
            </w:pPr>
            <w:r w:rsidRPr="00870AAE">
              <w:rPr>
                <w:rFonts w:ascii="Arial Narrow" w:hAnsi="Arial Narrow"/>
                <w:sz w:val="20"/>
                <w:szCs w:val="20"/>
              </w:rPr>
              <w:t>- Neutrophil count decreased</w:t>
            </w:r>
          </w:p>
        </w:tc>
        <w:tc>
          <w:tcPr>
            <w:tcW w:w="3005" w:type="dxa"/>
            <w:vAlign w:val="center"/>
          </w:tcPr>
          <w:p w14:paraId="0AE2EC33" w14:textId="77777777" w:rsidR="00A70FBA" w:rsidRPr="00870AAE" w:rsidRDefault="00A70FBA" w:rsidP="00763B38">
            <w:pPr>
              <w:keepNext/>
              <w:keepLines/>
              <w:jc w:val="center"/>
              <w:rPr>
                <w:rFonts w:ascii="Arial Narrow" w:hAnsi="Arial Narrow"/>
                <w:sz w:val="20"/>
                <w:szCs w:val="20"/>
              </w:rPr>
            </w:pPr>
            <w:r w:rsidRPr="00870AAE">
              <w:rPr>
                <w:rFonts w:ascii="Arial Narrow" w:hAnsi="Arial Narrow"/>
                <w:sz w:val="20"/>
                <w:szCs w:val="20"/>
              </w:rPr>
              <w:t>9 (8.1%)</w:t>
            </w:r>
          </w:p>
        </w:tc>
        <w:tc>
          <w:tcPr>
            <w:tcW w:w="3006" w:type="dxa"/>
            <w:vAlign w:val="center"/>
          </w:tcPr>
          <w:p w14:paraId="3E8C0744" w14:textId="77777777" w:rsidR="00A70FBA" w:rsidRPr="00870AAE" w:rsidRDefault="00A70FBA" w:rsidP="00763B38">
            <w:pPr>
              <w:keepNext/>
              <w:keepLines/>
              <w:jc w:val="center"/>
              <w:rPr>
                <w:rFonts w:ascii="Arial Narrow" w:hAnsi="Arial Narrow"/>
                <w:sz w:val="20"/>
                <w:szCs w:val="20"/>
              </w:rPr>
            </w:pPr>
            <w:r w:rsidRPr="00870AAE">
              <w:rPr>
                <w:rFonts w:ascii="Arial Narrow" w:hAnsi="Arial Narrow"/>
                <w:sz w:val="20"/>
                <w:szCs w:val="20"/>
              </w:rPr>
              <w:t>2 (1.8%)</w:t>
            </w:r>
          </w:p>
        </w:tc>
      </w:tr>
      <w:tr w:rsidR="00A70FBA" w:rsidRPr="00870AAE" w14:paraId="6980C7D5" w14:textId="77777777" w:rsidTr="00236B1C">
        <w:tc>
          <w:tcPr>
            <w:tcW w:w="3005" w:type="dxa"/>
          </w:tcPr>
          <w:p w14:paraId="1391AD40" w14:textId="77777777" w:rsidR="00A70FBA" w:rsidRPr="00870AAE" w:rsidRDefault="00A70FBA" w:rsidP="00763B38">
            <w:pPr>
              <w:keepNext/>
              <w:keepLines/>
              <w:rPr>
                <w:rFonts w:ascii="Arial Narrow" w:hAnsi="Arial Narrow"/>
                <w:sz w:val="20"/>
                <w:szCs w:val="20"/>
              </w:rPr>
            </w:pPr>
            <w:r w:rsidRPr="00870AAE">
              <w:rPr>
                <w:rFonts w:ascii="Arial Narrow" w:hAnsi="Arial Narrow"/>
                <w:sz w:val="20"/>
                <w:szCs w:val="20"/>
              </w:rPr>
              <w:t xml:space="preserve">- Alanine aminotransferase </w:t>
            </w:r>
          </w:p>
        </w:tc>
        <w:tc>
          <w:tcPr>
            <w:tcW w:w="3005" w:type="dxa"/>
            <w:vAlign w:val="center"/>
          </w:tcPr>
          <w:p w14:paraId="56B02526" w14:textId="77777777" w:rsidR="00A70FBA" w:rsidRPr="00870AAE" w:rsidRDefault="00A70FBA" w:rsidP="00763B38">
            <w:pPr>
              <w:keepNext/>
              <w:keepLines/>
              <w:jc w:val="center"/>
              <w:rPr>
                <w:rFonts w:ascii="Arial Narrow" w:hAnsi="Arial Narrow"/>
                <w:sz w:val="20"/>
                <w:szCs w:val="20"/>
              </w:rPr>
            </w:pPr>
            <w:r w:rsidRPr="00870AAE">
              <w:rPr>
                <w:rFonts w:ascii="Arial Narrow" w:hAnsi="Arial Narrow"/>
                <w:sz w:val="20"/>
                <w:szCs w:val="20"/>
              </w:rPr>
              <w:t>9 (8.1%)</w:t>
            </w:r>
          </w:p>
        </w:tc>
        <w:tc>
          <w:tcPr>
            <w:tcW w:w="3006" w:type="dxa"/>
            <w:vAlign w:val="center"/>
          </w:tcPr>
          <w:p w14:paraId="3E8E05C9" w14:textId="77777777" w:rsidR="00A70FBA" w:rsidRPr="00870AAE" w:rsidRDefault="00A70FBA" w:rsidP="00763B38">
            <w:pPr>
              <w:keepNext/>
              <w:keepLines/>
              <w:jc w:val="center"/>
              <w:rPr>
                <w:rFonts w:ascii="Arial Narrow" w:hAnsi="Arial Narrow"/>
                <w:sz w:val="20"/>
                <w:szCs w:val="20"/>
              </w:rPr>
            </w:pPr>
            <w:r w:rsidRPr="00870AAE">
              <w:rPr>
                <w:rFonts w:ascii="Arial Narrow" w:hAnsi="Arial Narrow"/>
                <w:sz w:val="20"/>
                <w:szCs w:val="20"/>
              </w:rPr>
              <w:t>0.0</w:t>
            </w:r>
          </w:p>
        </w:tc>
      </w:tr>
      <w:tr w:rsidR="00A70FBA" w:rsidRPr="00870AAE" w14:paraId="2A39E859" w14:textId="77777777" w:rsidTr="00236B1C">
        <w:tc>
          <w:tcPr>
            <w:tcW w:w="3005" w:type="dxa"/>
          </w:tcPr>
          <w:p w14:paraId="0C7F3217" w14:textId="77777777" w:rsidR="00A70FBA" w:rsidRPr="00870AAE" w:rsidRDefault="00A70FBA" w:rsidP="00763B38">
            <w:pPr>
              <w:keepNext/>
              <w:keepLines/>
              <w:rPr>
                <w:rFonts w:ascii="Arial Narrow" w:hAnsi="Arial Narrow"/>
                <w:sz w:val="20"/>
                <w:szCs w:val="20"/>
              </w:rPr>
            </w:pPr>
            <w:r w:rsidRPr="00870AAE">
              <w:rPr>
                <w:rFonts w:ascii="Arial Narrow" w:hAnsi="Arial Narrow"/>
                <w:sz w:val="20"/>
                <w:szCs w:val="20"/>
              </w:rPr>
              <w:t>- Aphasia</w:t>
            </w:r>
          </w:p>
        </w:tc>
        <w:tc>
          <w:tcPr>
            <w:tcW w:w="3005" w:type="dxa"/>
            <w:vAlign w:val="center"/>
          </w:tcPr>
          <w:p w14:paraId="06B14B90" w14:textId="77777777" w:rsidR="00A70FBA" w:rsidRPr="00870AAE" w:rsidRDefault="00A70FBA" w:rsidP="00763B38">
            <w:pPr>
              <w:keepNext/>
              <w:keepLines/>
              <w:jc w:val="center"/>
              <w:rPr>
                <w:rFonts w:ascii="Arial Narrow" w:hAnsi="Arial Narrow"/>
                <w:sz w:val="20"/>
                <w:szCs w:val="20"/>
              </w:rPr>
            </w:pPr>
            <w:r w:rsidRPr="00870AAE">
              <w:rPr>
                <w:rFonts w:ascii="Arial Narrow" w:hAnsi="Arial Narrow"/>
                <w:sz w:val="20"/>
                <w:szCs w:val="20"/>
              </w:rPr>
              <w:t>8 (7.2%)</w:t>
            </w:r>
          </w:p>
        </w:tc>
        <w:tc>
          <w:tcPr>
            <w:tcW w:w="3006" w:type="dxa"/>
            <w:vAlign w:val="center"/>
          </w:tcPr>
          <w:p w14:paraId="5AAC976C" w14:textId="77777777" w:rsidR="00A70FBA" w:rsidRPr="00870AAE" w:rsidRDefault="00A70FBA" w:rsidP="00763B38">
            <w:pPr>
              <w:keepNext/>
              <w:keepLines/>
              <w:jc w:val="center"/>
              <w:rPr>
                <w:rFonts w:ascii="Arial Narrow" w:hAnsi="Arial Narrow"/>
                <w:sz w:val="20"/>
                <w:szCs w:val="20"/>
              </w:rPr>
            </w:pPr>
            <w:r w:rsidRPr="00870AAE">
              <w:rPr>
                <w:rFonts w:ascii="Arial Narrow" w:hAnsi="Arial Narrow"/>
                <w:sz w:val="20"/>
                <w:szCs w:val="20"/>
              </w:rPr>
              <w:t>0.0</w:t>
            </w:r>
          </w:p>
        </w:tc>
      </w:tr>
      <w:tr w:rsidR="00A70FBA" w:rsidRPr="00870AAE" w14:paraId="320B1B3E" w14:textId="77777777" w:rsidTr="00236B1C">
        <w:tc>
          <w:tcPr>
            <w:tcW w:w="3005" w:type="dxa"/>
          </w:tcPr>
          <w:p w14:paraId="0A935735" w14:textId="77777777" w:rsidR="00A70FBA" w:rsidRPr="00870AAE" w:rsidRDefault="00A70FBA" w:rsidP="00763B38">
            <w:pPr>
              <w:keepNext/>
              <w:keepLines/>
              <w:rPr>
                <w:rFonts w:ascii="Arial Narrow" w:hAnsi="Arial Narrow"/>
                <w:sz w:val="20"/>
                <w:szCs w:val="20"/>
              </w:rPr>
            </w:pPr>
            <w:r w:rsidRPr="00870AAE">
              <w:rPr>
                <w:rFonts w:ascii="Arial Narrow" w:hAnsi="Arial Narrow"/>
                <w:sz w:val="20"/>
                <w:szCs w:val="20"/>
              </w:rPr>
              <w:t>- Nausea</w:t>
            </w:r>
          </w:p>
        </w:tc>
        <w:tc>
          <w:tcPr>
            <w:tcW w:w="3005" w:type="dxa"/>
            <w:vAlign w:val="center"/>
          </w:tcPr>
          <w:p w14:paraId="51853A8F" w14:textId="77777777" w:rsidR="00A70FBA" w:rsidRPr="00870AAE" w:rsidRDefault="00A70FBA" w:rsidP="00763B38">
            <w:pPr>
              <w:keepNext/>
              <w:keepLines/>
              <w:jc w:val="center"/>
              <w:rPr>
                <w:rFonts w:ascii="Arial Narrow" w:hAnsi="Arial Narrow"/>
                <w:sz w:val="20"/>
                <w:szCs w:val="20"/>
              </w:rPr>
            </w:pPr>
            <w:r w:rsidRPr="00870AAE">
              <w:rPr>
                <w:rFonts w:ascii="Arial Narrow" w:hAnsi="Arial Narrow"/>
                <w:sz w:val="20"/>
                <w:szCs w:val="20"/>
              </w:rPr>
              <w:t>6 (5.4%)</w:t>
            </w:r>
          </w:p>
        </w:tc>
        <w:tc>
          <w:tcPr>
            <w:tcW w:w="3006" w:type="dxa"/>
            <w:vAlign w:val="center"/>
          </w:tcPr>
          <w:p w14:paraId="7F246386" w14:textId="77777777" w:rsidR="00A70FBA" w:rsidRPr="00870AAE" w:rsidRDefault="00A70FBA" w:rsidP="00763B38">
            <w:pPr>
              <w:keepNext/>
              <w:keepLines/>
              <w:jc w:val="center"/>
              <w:rPr>
                <w:rFonts w:ascii="Arial Narrow" w:hAnsi="Arial Narrow"/>
                <w:sz w:val="20"/>
                <w:szCs w:val="20"/>
              </w:rPr>
            </w:pPr>
            <w:r w:rsidRPr="00870AAE">
              <w:rPr>
                <w:rFonts w:ascii="Arial Narrow" w:hAnsi="Arial Narrow"/>
                <w:sz w:val="20"/>
                <w:szCs w:val="20"/>
              </w:rPr>
              <w:t>0.0</w:t>
            </w:r>
          </w:p>
        </w:tc>
      </w:tr>
    </w:tbl>
    <w:p w14:paraId="6F20F442" w14:textId="40B9AF6A" w:rsidR="00A70FBA" w:rsidRPr="000F4C1C" w:rsidRDefault="00A70FBA" w:rsidP="00A70FBA">
      <w:pPr>
        <w:pStyle w:val="COMTablefooter"/>
        <w:rPr>
          <w:sz w:val="20"/>
        </w:rPr>
      </w:pPr>
      <w:r w:rsidRPr="000F4C1C">
        <w:t>Source: Table</w:t>
      </w:r>
      <w:r>
        <w:t xml:space="preserve"> 12-2, p111, Table 12-5, Table 14-6.7.8, and </w:t>
      </w:r>
      <w:r w:rsidRPr="00936CFC">
        <w:t xml:space="preserve">Table </w:t>
      </w:r>
      <w:r>
        <w:t>14-6.7.4</w:t>
      </w:r>
      <w:r w:rsidRPr="00936CFC">
        <w:t xml:space="preserve">, </w:t>
      </w:r>
      <w:r>
        <w:t xml:space="preserve">of the </w:t>
      </w:r>
      <w:r>
        <w:rPr>
          <w:rFonts w:cstheme="minorHAnsi"/>
          <w:szCs w:val="18"/>
        </w:rPr>
        <w:t>E1910 Clinical Study Report, Attachment 2.3 of the submission</w:t>
      </w:r>
      <w:r w:rsidRPr="000F4C1C">
        <w:t>.</w:t>
      </w:r>
    </w:p>
    <w:p w14:paraId="5E4786E7" w14:textId="6F11714D" w:rsidR="00A70FBA" w:rsidRDefault="00A70FBA" w:rsidP="00A70FBA">
      <w:pPr>
        <w:pStyle w:val="COMTablefooter"/>
      </w:pPr>
      <w:r>
        <w:rPr>
          <w:rFonts w:eastAsia="Calibri"/>
        </w:rPr>
        <w:t>Abbreviations: AE, adverse event; MRD, measurable residual disease</w:t>
      </w:r>
      <w:r>
        <w:t>;</w:t>
      </w:r>
      <w:r w:rsidR="00DD2DB5">
        <w:t xml:space="preserve"> NR, not reported;</w:t>
      </w:r>
      <w:r>
        <w:t xml:space="preserve"> SAS, safety analysis set</w:t>
      </w:r>
      <w:r w:rsidR="00BF5990">
        <w:t>; TEAE, treatment-</w:t>
      </w:r>
      <w:r w:rsidR="007F4E63">
        <w:t>emergent</w:t>
      </w:r>
      <w:r w:rsidR="00BF5990">
        <w:t xml:space="preserve"> adverse event</w:t>
      </w:r>
      <w:r>
        <w:t>.</w:t>
      </w:r>
    </w:p>
    <w:p w14:paraId="7E43A741" w14:textId="23C247A3" w:rsidR="005D26B4" w:rsidRDefault="00A70FBA" w:rsidP="00D86231">
      <w:pPr>
        <w:pStyle w:val="COMTablefooter"/>
        <w:rPr>
          <w:rFonts w:eastAsia="Calibri"/>
        </w:rPr>
      </w:pPr>
      <w:proofErr w:type="spellStart"/>
      <w:r w:rsidRPr="00936CFC">
        <w:rPr>
          <w:vertAlign w:val="superscript"/>
        </w:rPr>
        <w:t>a</w:t>
      </w:r>
      <w:proofErr w:type="spellEnd"/>
      <w:r w:rsidRPr="00936CFC">
        <w:t xml:space="preserve"> Adverse </w:t>
      </w:r>
      <w:r>
        <w:t xml:space="preserve">events that are </w:t>
      </w:r>
      <w:r w:rsidRPr="00936CFC">
        <w:t>both serious and unexpected are subject to expedited reporting</w:t>
      </w:r>
      <w:r>
        <w:t>.</w:t>
      </w:r>
    </w:p>
    <w:p w14:paraId="6F0538BF" w14:textId="77777777" w:rsidR="00C22FF1" w:rsidRDefault="00C22FF1" w:rsidP="001D1D52">
      <w:pPr>
        <w:pStyle w:val="COMexecsumnumberedpara"/>
        <w:rPr>
          <w:lang w:eastAsia="en-GB"/>
        </w:rPr>
      </w:pPr>
      <w:r w:rsidRPr="00315D5C">
        <w:rPr>
          <w:lang w:eastAsia="en-GB"/>
        </w:rPr>
        <w:t xml:space="preserve">The </w:t>
      </w:r>
      <w:r>
        <w:rPr>
          <w:lang w:eastAsia="en-GB"/>
        </w:rPr>
        <w:t>incidence of adverse events in the MRD-negative cohort was consistent with adverse events in the total trial population (including both MRD-negative and MRD-positive cohorts).</w:t>
      </w:r>
    </w:p>
    <w:p w14:paraId="70FD33AD" w14:textId="37574577" w:rsidR="00C22FF1" w:rsidRPr="00763B38" w:rsidRDefault="00C22FF1" w:rsidP="001D1D52">
      <w:pPr>
        <w:pStyle w:val="COMexecsumnumberedpara"/>
        <w:rPr>
          <w:i/>
          <w:iCs/>
          <w:lang w:eastAsia="en-GB"/>
        </w:rPr>
      </w:pPr>
      <w:r>
        <w:rPr>
          <w:lang w:eastAsia="en-GB"/>
        </w:rPr>
        <w:t xml:space="preserve">In the MRD-negative cohort, </w:t>
      </w:r>
      <w:r>
        <w:t>a</w:t>
      </w:r>
      <w:r w:rsidRPr="008E0F48">
        <w:t>lmost all patients in both treatment arms experienced an adverse event</w:t>
      </w:r>
      <w:r>
        <w:rPr>
          <w:lang w:eastAsia="en-GB"/>
        </w:rPr>
        <w:t xml:space="preserve">. </w:t>
      </w:r>
      <w:r w:rsidRPr="00B04C71">
        <w:rPr>
          <w:lang w:eastAsia="en-GB"/>
        </w:rPr>
        <w:t xml:space="preserve">There were 3 (2.7%) </w:t>
      </w:r>
      <w:r>
        <w:rPr>
          <w:lang w:eastAsia="en-GB"/>
        </w:rPr>
        <w:t>fatal adverse events reported in the blinatumomab plus standard of care treatment arm related to</w:t>
      </w:r>
      <w:r w:rsidRPr="00B04C71">
        <w:rPr>
          <w:lang w:eastAsia="en-GB"/>
        </w:rPr>
        <w:t xml:space="preserve"> sepsis </w:t>
      </w:r>
      <w:r>
        <w:rPr>
          <w:lang w:eastAsia="en-GB"/>
        </w:rPr>
        <w:t xml:space="preserve">(n=2) </w:t>
      </w:r>
      <w:r w:rsidRPr="00B04C71">
        <w:rPr>
          <w:lang w:eastAsia="en-GB"/>
        </w:rPr>
        <w:t xml:space="preserve">and intracranial haemorrhage </w:t>
      </w:r>
      <w:r>
        <w:rPr>
          <w:lang w:eastAsia="en-GB"/>
        </w:rPr>
        <w:t>(n=1), and 1 (0.9%) fatal adverse event reported in the standard of care arm, related to sepsis.</w:t>
      </w:r>
      <w:r w:rsidR="00AC3D48">
        <w:rPr>
          <w:lang w:eastAsia="en-GB"/>
        </w:rPr>
        <w:t xml:space="preserve"> A higher proportion of patients in the blinatumomab plus standard of care arm discontinued treatment due to adverse events (10.7%) compared to the standard of care arm (4.5%).</w:t>
      </w:r>
    </w:p>
    <w:p w14:paraId="3CB467B0" w14:textId="77777777" w:rsidR="00C22FF1" w:rsidRDefault="00C22FF1" w:rsidP="001D1D52">
      <w:pPr>
        <w:pStyle w:val="COMexecsumnumberedpara"/>
        <w:rPr>
          <w:lang w:eastAsia="en-GB"/>
        </w:rPr>
      </w:pPr>
      <w:r>
        <w:rPr>
          <w:lang w:eastAsia="en-GB"/>
        </w:rPr>
        <w:t xml:space="preserve">Larger proportions of patients in the blinatumomab plus standard of care arm reported treatment-emergent adverse events of special interest (70.3%), including </w:t>
      </w:r>
      <w:r>
        <w:rPr>
          <w:lang w:eastAsia="en-GB"/>
        </w:rPr>
        <w:lastRenderedPageBreak/>
        <w:t xml:space="preserve">cytokine release syndrome and neurological events, and serious and unexpected expedited adverse events (60.4%), including pyrexia, sepsis and device-related infection, compared to standard of care (38.4% and 27.7%, respectively). </w:t>
      </w:r>
    </w:p>
    <w:p w14:paraId="6FFA9DE1" w14:textId="77777777" w:rsidR="00C22FF1" w:rsidRDefault="00C22FF1" w:rsidP="001D1D52">
      <w:pPr>
        <w:pStyle w:val="COMexecsumnumberedpara"/>
      </w:pPr>
      <w:r w:rsidRPr="0051670A">
        <w:t xml:space="preserve">The most </w:t>
      </w:r>
      <w:r>
        <w:t xml:space="preserve">frequently reported adverse events of </w:t>
      </w:r>
      <w:r w:rsidRPr="0051670A">
        <w:t>Grade 3</w:t>
      </w:r>
      <w:r>
        <w:t xml:space="preserve"> or higher</w:t>
      </w:r>
      <w:r w:rsidRPr="0051670A">
        <w:t xml:space="preserve"> </w:t>
      </w:r>
      <w:r>
        <w:t>severity</w:t>
      </w:r>
      <w:r w:rsidRPr="0051670A">
        <w:t xml:space="preserve"> </w:t>
      </w:r>
      <w:r>
        <w:t xml:space="preserve">in the MRD-negative cohort were </w:t>
      </w:r>
      <w:r w:rsidRPr="000002C8">
        <w:t xml:space="preserve">anaemia </w:t>
      </w:r>
      <w:r>
        <w:t xml:space="preserve">(blinatumomab plus standard of care </w:t>
      </w:r>
      <w:r w:rsidRPr="000002C8">
        <w:t>31.5%</w:t>
      </w:r>
      <w:r>
        <w:t xml:space="preserve"> versus standard of care </w:t>
      </w:r>
      <w:r w:rsidRPr="000002C8">
        <w:t>41.1%</w:t>
      </w:r>
      <w:r>
        <w:t xml:space="preserve">), </w:t>
      </w:r>
      <w:r w:rsidRPr="000002C8">
        <w:t>febrile neutropenia</w:t>
      </w:r>
      <w:r>
        <w:t xml:space="preserve"> </w:t>
      </w:r>
      <w:r w:rsidRPr="000002C8">
        <w:t>(20.7%</w:t>
      </w:r>
      <w:r>
        <w:t xml:space="preserve"> versus </w:t>
      </w:r>
      <w:r w:rsidRPr="000002C8">
        <w:t>28.6%)</w:t>
      </w:r>
      <w:r>
        <w:t xml:space="preserve">, </w:t>
      </w:r>
      <w:r w:rsidRPr="000002C8">
        <w:t>sepsis</w:t>
      </w:r>
      <w:r>
        <w:t xml:space="preserve"> </w:t>
      </w:r>
      <w:r w:rsidRPr="000002C8">
        <w:t>(13.5%</w:t>
      </w:r>
      <w:r>
        <w:t xml:space="preserve"> versus </w:t>
      </w:r>
      <w:r w:rsidRPr="000002C8">
        <w:t>9.8%)</w:t>
      </w:r>
      <w:r>
        <w:t xml:space="preserve">, </w:t>
      </w:r>
      <w:r w:rsidRPr="000002C8">
        <w:t>device-related infection (10.8%</w:t>
      </w:r>
      <w:r>
        <w:t xml:space="preserve"> versus </w:t>
      </w:r>
      <w:r w:rsidRPr="000002C8">
        <w:t>5.4%)</w:t>
      </w:r>
      <w:r>
        <w:t xml:space="preserve">, </w:t>
      </w:r>
      <w:r w:rsidRPr="000002C8">
        <w:t>hyperglycaemia</w:t>
      </w:r>
      <w:r>
        <w:t xml:space="preserve"> </w:t>
      </w:r>
      <w:r w:rsidRPr="000002C8">
        <w:t>(</w:t>
      </w:r>
      <w:r>
        <w:t>1</w:t>
      </w:r>
      <w:r w:rsidRPr="000002C8">
        <w:t>0.8%</w:t>
      </w:r>
      <w:r>
        <w:t xml:space="preserve"> versus </w:t>
      </w:r>
      <w:r w:rsidRPr="000002C8">
        <w:t>8.0%)</w:t>
      </w:r>
      <w:r>
        <w:t xml:space="preserve"> and hypertension (10.8% versus 2.7%).</w:t>
      </w:r>
    </w:p>
    <w:p w14:paraId="47E9F0A9" w14:textId="77777777" w:rsidR="00723428" w:rsidRDefault="0088746B" w:rsidP="001D1D52">
      <w:pPr>
        <w:pStyle w:val="COMexecsumnumberedpara"/>
      </w:pPr>
      <w:r>
        <w:t xml:space="preserve">The submission presented data on potential safety concerns based on the Periodic Benefit-Risk Evaluation Report (PBRER) for the period from 3 December 2022 to 2 December </w:t>
      </w:r>
      <w:r w:rsidR="00076CDE">
        <w:t>2023</w:t>
      </w:r>
      <w:r>
        <w:t xml:space="preserve">. </w:t>
      </w:r>
      <w:r w:rsidR="00E84720" w:rsidRPr="00E84720">
        <w:t>Important identified risks included cytokine release syndrome, neurologic events, opportunistic infections, and medication errors. Important potential risks included haematopoietic stem cell transplantation related toxicity in children. Missing data included use in patients after recent ASCT, recent or concomitant treatment with other anti-cancer therapies (including radiotherapy), recent or concomitant treatment with other immunotherapy, long-term safety and efficacy, development impairment in children including neurological, endocrine, and immune system, subsequent relapse of leukaemia in children including in the central nervous system, long-term toxicity in children, and secondary malignant formation in children.</w:t>
      </w:r>
      <w:r w:rsidR="00415C82" w:rsidRPr="00415C82">
        <w:t xml:space="preserve"> No new safety signals were identified during the reporting period.</w:t>
      </w:r>
    </w:p>
    <w:p w14:paraId="787D92C2" w14:textId="1B2BE37D" w:rsidR="00A70FBA" w:rsidRPr="00A70FBA" w:rsidRDefault="00F81C2E" w:rsidP="001D1D52">
      <w:pPr>
        <w:pStyle w:val="COMexecsumnumberedpara"/>
      </w:pPr>
      <w:r w:rsidRPr="00F81C2E">
        <w:rPr>
          <w:rFonts w:eastAsia="Arial Unicode MS" w:cstheme="minorHAnsi"/>
          <w:color w:val="000000"/>
          <w:u w:color="000000"/>
          <w:bdr w:val="nil"/>
          <w:lang w:val="nl-NL"/>
        </w:rPr>
        <w:t>Safety data from 2 randomised</w:t>
      </w:r>
      <w:r w:rsidR="008207CE">
        <w:rPr>
          <w:rFonts w:eastAsia="Arial Unicode MS" w:cstheme="minorHAnsi"/>
          <w:color w:val="000000"/>
          <w:u w:color="000000"/>
          <w:bdr w:val="nil"/>
          <w:lang w:val="nl-NL"/>
        </w:rPr>
        <w:t>,</w:t>
      </w:r>
      <w:r w:rsidRPr="00F81C2E">
        <w:rPr>
          <w:rFonts w:eastAsia="Arial Unicode MS" w:cstheme="minorHAnsi"/>
          <w:color w:val="000000"/>
          <w:u w:color="000000"/>
          <w:bdr w:val="nil"/>
          <w:lang w:val="nl-NL"/>
        </w:rPr>
        <w:t xml:space="preserve"> phase 3 clinical studies (20120215; AALL1331</w:t>
      </w:r>
      <w:r>
        <w:rPr>
          <w:rFonts w:eastAsia="Arial Unicode MS" w:cstheme="minorHAnsi"/>
          <w:color w:val="000000"/>
          <w:u w:color="000000"/>
          <w:bdr w:val="nil"/>
          <w:lang w:val="nl-NL"/>
        </w:rPr>
        <w:t xml:space="preserve">) </w:t>
      </w:r>
      <w:r w:rsidRPr="00F81C2E">
        <w:rPr>
          <w:rFonts w:eastAsia="Arial Unicode MS" w:cstheme="minorHAnsi"/>
          <w:color w:val="000000"/>
          <w:u w:color="000000"/>
          <w:bdr w:val="nil"/>
          <w:lang w:val="nl-NL"/>
        </w:rPr>
        <w:t>investigating the use of blinatumomab compared to SOC chemotherapy in paediatric B-ALL patients in first relapse were also presented</w:t>
      </w:r>
      <w:r w:rsidR="008207CE">
        <w:rPr>
          <w:rFonts w:eastAsia="Arial Unicode MS" w:cstheme="minorHAnsi"/>
          <w:color w:val="000000"/>
          <w:u w:color="000000"/>
          <w:bdr w:val="nil"/>
          <w:lang w:val="nl-NL"/>
        </w:rPr>
        <w:t xml:space="preserve"> in the submission. </w:t>
      </w:r>
      <w:r w:rsidR="004B3DE9">
        <w:rPr>
          <w:rFonts w:eastAsia="Arial Unicode MS" w:cstheme="minorHAnsi"/>
          <w:color w:val="000000"/>
          <w:u w:color="000000"/>
          <w:bdr w:val="nil"/>
          <w:lang w:val="nl-NL"/>
        </w:rPr>
        <w:t>Smaller proportions of Grade ≥3 adverse events were reported by paediatric patients treated with blinatumomab in the 20120215 (paediatric patients: 57.4%) and AALL1331 (adolescent and young adult patients: 84.6%) trials, compared to the E1910 trial MRD-negative cohort (98.2%), consistent with known differences in toxicity by age.</w:t>
      </w:r>
      <w:r w:rsidR="00C31DAB" w:rsidRPr="00C31DAB">
        <w:t xml:space="preserve"> </w:t>
      </w:r>
      <w:r w:rsidR="00C31DAB" w:rsidRPr="00C31DAB">
        <w:rPr>
          <w:rFonts w:eastAsia="Arial Unicode MS" w:cstheme="minorHAnsi"/>
          <w:color w:val="000000"/>
          <w:u w:color="000000"/>
          <w:bdr w:val="nil"/>
          <w:lang w:val="nl-NL"/>
        </w:rPr>
        <w:t>Other safety data from the 20120215 and AALL1331 trials were generally consistent with the safety profile of blinatumomab in the E1910 trial, but showed higher proportions of patients reporting pyrexia (81.5%; 39.0%), nausea (40.7%; 28.0%), and anaemia (22.2%; 70.0%) in the 20120215 and AALL1331 trials, compared to the E1910 trial (11.7%, 5.4%, 31.5%).</w:t>
      </w:r>
    </w:p>
    <w:p w14:paraId="04908C7F" w14:textId="381F8EE6" w:rsidR="007F1017" w:rsidRPr="00225248" w:rsidRDefault="007F1017" w:rsidP="00D86231">
      <w:pPr>
        <w:pStyle w:val="COMH2-non-numbered"/>
      </w:pPr>
      <w:bookmarkStart w:id="48" w:name="_Toc22897643"/>
      <w:bookmarkStart w:id="49" w:name="_Toc167265609"/>
      <w:r w:rsidRPr="00225248">
        <w:t>Benefits/harms</w:t>
      </w:r>
      <w:bookmarkEnd w:id="48"/>
      <w:bookmarkEnd w:id="49"/>
    </w:p>
    <w:p w14:paraId="2AEAA67C" w14:textId="6F288ADE" w:rsidR="00415C82" w:rsidRDefault="00415C82" w:rsidP="00C31DAB">
      <w:pPr>
        <w:pStyle w:val="COMexecsumnumberedpara"/>
      </w:pPr>
      <w:proofErr w:type="gramStart"/>
      <w:r>
        <w:t>On the basis of</w:t>
      </w:r>
      <w:proofErr w:type="gramEnd"/>
      <w:r>
        <w:t xml:space="preserve"> the direct evidence presented in the submission</w:t>
      </w:r>
      <w:r w:rsidR="00B04CEA">
        <w:t xml:space="preserve">, after a median duration of follow-up of 4.5 years, for every 100 </w:t>
      </w:r>
      <w:r w:rsidR="00D015B7">
        <w:t xml:space="preserve">MRD-negative </w:t>
      </w:r>
      <w:r w:rsidR="00B04CEA">
        <w:t>patients treated with blinatumomab plus standard of care compared to standard of care alone:</w:t>
      </w:r>
    </w:p>
    <w:p w14:paraId="6F648B45" w14:textId="5BA2F7F9" w:rsidR="00B04CEA" w:rsidRDefault="00B04CEA" w:rsidP="00E31448">
      <w:pPr>
        <w:pStyle w:val="COMexecsummbulletlist"/>
        <w:ind w:left="1077" w:hanging="357"/>
      </w:pPr>
      <w:r>
        <w:t xml:space="preserve">Approximately </w:t>
      </w:r>
      <w:r w:rsidR="0044179D">
        <w:t>29</w:t>
      </w:r>
      <w:r>
        <w:t xml:space="preserve"> fewer patients would </w:t>
      </w:r>
      <w:r w:rsidR="00473DA6">
        <w:t>die</w:t>
      </w:r>
      <w:r w:rsidR="00323E1D">
        <w:t xml:space="preserve"> over 7 years</w:t>
      </w:r>
      <w:r w:rsidR="00473DA6">
        <w:t>.</w:t>
      </w:r>
    </w:p>
    <w:p w14:paraId="46094C23" w14:textId="04CCD3C4" w:rsidR="00473DA6" w:rsidRDefault="00473DA6" w:rsidP="00E31448">
      <w:pPr>
        <w:pStyle w:val="COMexecsummbulletlist"/>
        <w:ind w:left="1077" w:hanging="357"/>
      </w:pPr>
      <w:r>
        <w:t>A</w:t>
      </w:r>
      <w:r w:rsidR="00E3536D">
        <w:t>p</w:t>
      </w:r>
      <w:r>
        <w:t xml:space="preserve">proximately </w:t>
      </w:r>
      <w:r w:rsidR="002F04D7">
        <w:t>24</w:t>
      </w:r>
      <w:r>
        <w:t xml:space="preserve"> fewer patient</w:t>
      </w:r>
      <w:r w:rsidR="00E3536D">
        <w:t>s</w:t>
      </w:r>
      <w:r>
        <w:t xml:space="preserve"> would experience a relapse event (death or </w:t>
      </w:r>
      <w:r w:rsidR="00E3536D">
        <w:t>relapse)</w:t>
      </w:r>
      <w:r w:rsidR="00C377DF">
        <w:t xml:space="preserve"> over 7 years.</w:t>
      </w:r>
    </w:p>
    <w:p w14:paraId="55ED1CC4" w14:textId="77777777" w:rsidR="00CD5053" w:rsidRPr="00CD5053" w:rsidRDefault="00CD5053" w:rsidP="00E31448">
      <w:pPr>
        <w:pStyle w:val="COMexecsummbulletlist"/>
        <w:ind w:left="1077" w:hanging="357"/>
      </w:pPr>
      <w:r>
        <w:lastRenderedPageBreak/>
        <w:t>Approximately 32 additional patients would experience serious and unexpected adverse events including fever, infections, changes to markers of liver or kidney function and neurological adverse events.</w:t>
      </w:r>
    </w:p>
    <w:p w14:paraId="04756738" w14:textId="77777777" w:rsidR="00CD5053" w:rsidRDefault="00CD5053" w:rsidP="00E31448">
      <w:pPr>
        <w:pStyle w:val="COMexecsummbulletlist"/>
        <w:ind w:left="1077" w:hanging="357"/>
      </w:pPr>
      <w:r>
        <w:t>Approximately 17 additional patients would experience cytokine release syndrome (i.e. aggressive immune system response).</w:t>
      </w:r>
    </w:p>
    <w:p w14:paraId="3B653B96" w14:textId="3C268134" w:rsidR="00FC1884" w:rsidRPr="00225248" w:rsidRDefault="00CD5053" w:rsidP="00E31448">
      <w:pPr>
        <w:pStyle w:val="COMexecsummbulletlist"/>
        <w:ind w:left="1077" w:hanging="357"/>
      </w:pPr>
      <w:r>
        <w:t>Approximately 24 additional patients would experience neurological adverse events, including headache, tremor, aphasia (i.e. language difficulties), insomnia and dizziness</w:t>
      </w:r>
      <w:r w:rsidR="00A721D5">
        <w:t>.</w:t>
      </w:r>
    </w:p>
    <w:p w14:paraId="7A1772B6" w14:textId="21023AE6" w:rsidR="00B60939" w:rsidRPr="00225248" w:rsidRDefault="00B60939" w:rsidP="00E9094A">
      <w:pPr>
        <w:pStyle w:val="COMH2-non-numbered"/>
      </w:pPr>
      <w:bookmarkStart w:id="50" w:name="_Toc22897644"/>
      <w:bookmarkStart w:id="51" w:name="_Toc167265610"/>
      <w:r w:rsidRPr="00225248">
        <w:t>Clinical claim</w:t>
      </w:r>
      <w:bookmarkEnd w:id="50"/>
      <w:bookmarkEnd w:id="51"/>
    </w:p>
    <w:p w14:paraId="289EAA5E" w14:textId="12552B81" w:rsidR="007C70FF" w:rsidRPr="008C335E" w:rsidRDefault="00300125" w:rsidP="001D1D52">
      <w:pPr>
        <w:pStyle w:val="COMexecsumnumberedpara"/>
        <w:rPr>
          <w:color w:val="0066FF"/>
        </w:rPr>
      </w:pPr>
      <w:r w:rsidRPr="008C335E">
        <w:t xml:space="preserve">The submission described blinatumomab plus </w:t>
      </w:r>
      <w:r w:rsidR="003367CC" w:rsidRPr="008C335E">
        <w:t xml:space="preserve">standard of care </w:t>
      </w:r>
      <w:r w:rsidRPr="008C335E">
        <w:t xml:space="preserve">as superior in terms of effectiveness and non-inferior in terms of safety compared to </w:t>
      </w:r>
      <w:r w:rsidR="003367CC" w:rsidRPr="008C335E">
        <w:t xml:space="preserve">standard of care </w:t>
      </w:r>
      <w:r w:rsidRPr="008C335E">
        <w:t xml:space="preserve">alone. The </w:t>
      </w:r>
      <w:r w:rsidR="00F01487" w:rsidRPr="008C335E">
        <w:t xml:space="preserve">evaluation considered the </w:t>
      </w:r>
      <w:r w:rsidRPr="008C335E">
        <w:t xml:space="preserve">effectiveness claim was adequately supported by the </w:t>
      </w:r>
      <w:r w:rsidR="00F01487" w:rsidRPr="008C335E">
        <w:t xml:space="preserve">clinical </w:t>
      </w:r>
      <w:r w:rsidRPr="008C335E">
        <w:t>evidence presented, but the safety claim was not adequately supported</w:t>
      </w:r>
      <w:r w:rsidR="00ED3976" w:rsidRPr="008C335E">
        <w:t>.</w:t>
      </w:r>
    </w:p>
    <w:p w14:paraId="02CE2C91" w14:textId="335F96AE" w:rsidR="00ED3976" w:rsidRPr="008C335E" w:rsidRDefault="00ED3976" w:rsidP="001D1D52">
      <w:pPr>
        <w:pStyle w:val="COMexecsumnumberedpara"/>
        <w:rPr>
          <w:rFonts w:eastAsia="Calibri"/>
        </w:rPr>
      </w:pPr>
      <w:r w:rsidRPr="008C335E">
        <w:t xml:space="preserve">The </w:t>
      </w:r>
      <w:r w:rsidR="00F01487" w:rsidRPr="008C335E">
        <w:t xml:space="preserve">evaluation considered the </w:t>
      </w:r>
      <w:r w:rsidRPr="008C335E">
        <w:t>following issues should be considered:</w:t>
      </w:r>
    </w:p>
    <w:p w14:paraId="03535202" w14:textId="04CD506C" w:rsidR="002E1E3A" w:rsidRPr="008C335E" w:rsidRDefault="002E1E3A" w:rsidP="00E31448">
      <w:pPr>
        <w:pStyle w:val="COMexecsummbulletlist"/>
        <w:ind w:left="1077" w:hanging="357"/>
      </w:pPr>
      <w:r w:rsidRPr="008C335E">
        <w:t xml:space="preserve">The magnitude of effect observed in the E1910 trial </w:t>
      </w:r>
      <w:r w:rsidR="00632204" w:rsidRPr="008C335E">
        <w:t>wa</w:t>
      </w:r>
      <w:r w:rsidRPr="008C335E">
        <w:t>s uncertain and benefits associated with blinatumomab in the E1910 trial may not be realised in the Australian setting.</w:t>
      </w:r>
    </w:p>
    <w:p w14:paraId="2E7DDB96" w14:textId="153BDA6A" w:rsidR="002E1E3A" w:rsidRPr="008C335E" w:rsidRDefault="002E1E3A" w:rsidP="00E31448">
      <w:pPr>
        <w:pStyle w:val="ListParagraph"/>
        <w:numPr>
          <w:ilvl w:val="0"/>
          <w:numId w:val="13"/>
        </w:numPr>
        <w:ind w:left="1434" w:hanging="357"/>
      </w:pPr>
      <w:r w:rsidRPr="008C335E">
        <w:t xml:space="preserve">Chemotherapy induction, induction intensification and consolidation therapy used in the E1910 trial were based on US regimens not commonly used in Australia. It is also unclear whether chemotherapy regimens in combination with blinatumomab based on the E1910 trial protocol will be preferred over standard of care regimens currently used in the Australian setting. </w:t>
      </w:r>
      <w:r w:rsidR="009A13AF" w:rsidRPr="008C335E">
        <w:t xml:space="preserve">The ESC considered that the differences in standard of care chemotherapy was not an issue for the applicability of the E1910 clinical trial (see paragraph </w:t>
      </w:r>
      <w:r w:rsidR="009A13AF" w:rsidRPr="008C335E">
        <w:fldChar w:fldCharType="begin" w:fldLock="1"/>
      </w:r>
      <w:r w:rsidR="009A13AF" w:rsidRPr="008C335E">
        <w:instrText xml:space="preserve"> REF _Ref169636173 \r \h </w:instrText>
      </w:r>
      <w:r w:rsidR="008C335E" w:rsidRPr="008C335E">
        <w:instrText xml:space="preserve"> \* MERGEFORMAT </w:instrText>
      </w:r>
      <w:r w:rsidR="009A13AF" w:rsidRPr="008C335E">
        <w:fldChar w:fldCharType="separate"/>
      </w:r>
      <w:r w:rsidR="0021273F">
        <w:t>6.18</w:t>
      </w:r>
      <w:r w:rsidR="009A13AF" w:rsidRPr="008C335E">
        <w:fldChar w:fldCharType="end"/>
      </w:r>
      <w:r w:rsidR="009A13AF" w:rsidRPr="008C335E">
        <w:t>).</w:t>
      </w:r>
    </w:p>
    <w:p w14:paraId="2D5DE090" w14:textId="2F30F4DF" w:rsidR="002E1E3A" w:rsidRPr="008C335E" w:rsidRDefault="002E1E3A" w:rsidP="00E31448">
      <w:pPr>
        <w:pStyle w:val="ListParagraph"/>
        <w:numPr>
          <w:ilvl w:val="0"/>
          <w:numId w:val="13"/>
        </w:numPr>
        <w:ind w:left="1434" w:hanging="357"/>
      </w:pPr>
      <w:r w:rsidRPr="008C335E">
        <w:t>The impact of potential differences in ASCT rates is uncertain due to the E1910 trial design that included intent to ASCT as a randomisation stratification factor and the limited reporting on the circumstances of progression to ASCT in the trial.</w:t>
      </w:r>
      <w:r w:rsidR="009A13AF" w:rsidRPr="008C335E">
        <w:t xml:space="preserve"> The PSCR stated that intent to ASCT was included as a randomisation stratification factor because of the complexity of the patient journey in adult B-ALL and as multiple other factors (e.g. fitness, logistics, donor availability and patient choice) ultimately determine progression to ASCT. The PSCR stated that as the ASCT rate did not differ between the treatment arms, the magnitude of the blinatumomab treatment effect was not confounded by ASCT. The ESC considered the comparative efficacy of blinatumomab plus standard of care versus standard of care alone among patients who progress to ASCT is uncertain given relatively few patients and events informing survival outcomes.</w:t>
      </w:r>
    </w:p>
    <w:p w14:paraId="057CC158" w14:textId="4D54AAEC" w:rsidR="002E1E3A" w:rsidRPr="008C335E" w:rsidRDefault="002E1E3A" w:rsidP="00E31448">
      <w:pPr>
        <w:pStyle w:val="ListParagraph"/>
        <w:numPr>
          <w:ilvl w:val="0"/>
          <w:numId w:val="13"/>
        </w:numPr>
        <w:ind w:left="1434" w:hanging="357"/>
      </w:pPr>
      <w:r w:rsidRPr="008C335E">
        <w:t>The key trial excluded patients who were Ph positive, younger patients (less than 30 years of age) and older patients (aged above 70 years).</w:t>
      </w:r>
      <w:r w:rsidR="009A13AF" w:rsidRPr="008C335E">
        <w:t xml:space="preserve"> The ESC </w:t>
      </w:r>
      <w:r w:rsidR="009A13AF" w:rsidRPr="008C335E">
        <w:lastRenderedPageBreak/>
        <w:t>considered it was reasonable to assume that patients in these age groups and those who are Philadelphia chromosome positive would have similar outcomes to treatment with blinatumomab as those included in the E1910 trial.</w:t>
      </w:r>
    </w:p>
    <w:p w14:paraId="32157931" w14:textId="11549379" w:rsidR="002E1E3A" w:rsidRPr="008C335E" w:rsidRDefault="002E1E3A" w:rsidP="00E31448">
      <w:pPr>
        <w:pStyle w:val="ListParagraph"/>
        <w:numPr>
          <w:ilvl w:val="0"/>
          <w:numId w:val="13"/>
        </w:numPr>
        <w:ind w:left="1434" w:hanging="357"/>
      </w:pPr>
      <w:r w:rsidRPr="008C335E">
        <w:t>Long term survival benefits are uncertain given the median follow-up duration of 4.5 years in a trial population with a mean baseline age of 50 years. Survival outcomes were also subject to a high degree of censoring as most patients had yet to experience an event, and there were limited data on the use of subsequent therapies including ASCT, immunotherapies and chemotherapies that could affect disease trajectories.</w:t>
      </w:r>
      <w:r w:rsidR="009A13AF" w:rsidRPr="008C335E">
        <w:t xml:space="preserve"> </w:t>
      </w:r>
    </w:p>
    <w:p w14:paraId="6121680B" w14:textId="042ED4A0" w:rsidR="00F54949" w:rsidRPr="008C335E" w:rsidRDefault="002E1E3A" w:rsidP="00E31448">
      <w:pPr>
        <w:pStyle w:val="COMexecsummbulletlist"/>
        <w:ind w:left="1077" w:hanging="357"/>
      </w:pPr>
      <w:r w:rsidRPr="008C335E">
        <w:t>Safety outcomes indicated higher incidences of immunity related adverse events (e.g. cytokine release syndrome), infection (sepsis, device related infections), and nervous system related adverse events (headache, tremor, aphasia) in the blinatumomab plus standard of care arum compared to the standard of care arm of the key trial.</w:t>
      </w:r>
      <w:r w:rsidR="00221F06" w:rsidRPr="008C335E">
        <w:t xml:space="preserve"> The PSCR noted that although the safety profiles in each arm of the study were different, the overall rate and severity of adverse events was not. The ESC considered the adverse event profile from E1910 was consistent with the known safety profile of blinatumomab in other indications.</w:t>
      </w:r>
    </w:p>
    <w:p w14:paraId="5385CDCA" w14:textId="716C3BDE" w:rsidR="00221F06" w:rsidRDefault="00221F06" w:rsidP="00B10000">
      <w:pPr>
        <w:pStyle w:val="COMexecsumnumberedpara"/>
      </w:pPr>
      <w:r w:rsidRPr="008C335E">
        <w:t>Overall, the ESC agreed with the evaluation that the effectiveness claim was adequately supported by the clinical evidence presented, but the safety claim was not adequately supported.</w:t>
      </w:r>
    </w:p>
    <w:p w14:paraId="74222997" w14:textId="7FE1A891" w:rsidR="008C335E" w:rsidRPr="00DA7376" w:rsidRDefault="008C335E" w:rsidP="008C335E">
      <w:pPr>
        <w:pStyle w:val="COMexecsumnumberedpara"/>
      </w:pPr>
      <w:bookmarkStart w:id="52" w:name="_Hlk76376200"/>
      <w:r w:rsidRPr="00DA7376">
        <w:rPr>
          <w:iCs/>
        </w:rPr>
        <w:t>The</w:t>
      </w:r>
      <w:r w:rsidRPr="00DA7376">
        <w:t xml:space="preserve"> PBAC considered that the claim of superior comparative effectiveness was reasonable.</w:t>
      </w:r>
    </w:p>
    <w:p w14:paraId="47C1E2AF" w14:textId="6356CFC0" w:rsidR="008C335E" w:rsidRPr="00DA7376" w:rsidRDefault="008C335E" w:rsidP="008C335E">
      <w:pPr>
        <w:pStyle w:val="COMexecsumnumberedpara"/>
      </w:pPr>
      <w:r w:rsidRPr="00DA7376">
        <w:t>The PBAC considered that the claim of non-inferior</w:t>
      </w:r>
      <w:r w:rsidR="00DA7376" w:rsidRPr="00DA7376">
        <w:t xml:space="preserve"> c</w:t>
      </w:r>
      <w:r w:rsidRPr="00DA7376">
        <w:t>omparative safety was not adequately supported by the data</w:t>
      </w:r>
      <w:bookmarkEnd w:id="52"/>
      <w:r w:rsidR="00DA7376">
        <w:t xml:space="preserve">. </w:t>
      </w:r>
    </w:p>
    <w:p w14:paraId="74A1172E" w14:textId="1F2EDB1F" w:rsidR="00B60939" w:rsidRPr="00225248" w:rsidRDefault="00B60939" w:rsidP="00E9094A">
      <w:pPr>
        <w:pStyle w:val="COMH2-non-numbered"/>
      </w:pPr>
      <w:bookmarkStart w:id="53" w:name="_Toc22897645"/>
      <w:bookmarkStart w:id="54" w:name="_Toc167265611"/>
      <w:r w:rsidRPr="00225248">
        <w:t>Economic analysis</w:t>
      </w:r>
      <w:bookmarkEnd w:id="53"/>
      <w:bookmarkEnd w:id="54"/>
      <w:r w:rsidR="00491B3A" w:rsidRPr="00225248">
        <w:t xml:space="preserve"> </w:t>
      </w:r>
    </w:p>
    <w:p w14:paraId="14C1E8F9" w14:textId="63529C4C" w:rsidR="00275C5A" w:rsidRPr="00C478AD" w:rsidRDefault="00F0595A" w:rsidP="001D1D52">
      <w:pPr>
        <w:pStyle w:val="COMexecsumnumberedpara"/>
      </w:pPr>
      <w:r w:rsidRPr="00C478AD">
        <w:t xml:space="preserve">The submission presented a cost-utility analysis of blinatumomab in combination with standard of care consolidation chemotherapy compared to standard of care consolidation chemotherapy alone for the treatment of patients with B-ALL in complete haematological remission without minimal residual disease. The economic evaluation was based on </w:t>
      </w:r>
      <w:r w:rsidR="00C478AD" w:rsidRPr="00C478AD">
        <w:t xml:space="preserve">E1910 trial data as well as other modelled variables. </w:t>
      </w:r>
    </w:p>
    <w:p w14:paraId="15A9AFA4" w14:textId="2711168D" w:rsidR="00275C5A" w:rsidRDefault="00E16AD8" w:rsidP="00FD4ED6">
      <w:pPr>
        <w:pStyle w:val="COMtablefigcaption"/>
      </w:pPr>
      <w:r w:rsidRPr="00225248">
        <w:lastRenderedPageBreak/>
        <w:t xml:space="preserve">Table </w:t>
      </w:r>
      <w:r w:rsidR="006F0D54">
        <w:fldChar w:fldCharType="begin" w:fldLock="1"/>
      </w:r>
      <w:r w:rsidR="006F0D54">
        <w:instrText xml:space="preserve"> SEQ Table \* ARABIC </w:instrText>
      </w:r>
      <w:r w:rsidR="006F0D54">
        <w:fldChar w:fldCharType="separate"/>
      </w:r>
      <w:r w:rsidR="00356F14">
        <w:rPr>
          <w:noProof/>
        </w:rPr>
        <w:t>12</w:t>
      </w:r>
      <w:r w:rsidR="006F0D54">
        <w:rPr>
          <w:noProof/>
        </w:rPr>
        <w:fldChar w:fldCharType="end"/>
      </w:r>
      <w:r w:rsidRPr="00225248">
        <w:t>:</w:t>
      </w:r>
      <w:r w:rsidR="00275C5A" w:rsidRPr="00225248">
        <w:t xml:space="preserve"> Summary of model structure</w:t>
      </w:r>
      <w:r w:rsidR="00184B0E" w:rsidRPr="00225248">
        <w:t>, key inputs</w:t>
      </w:r>
      <w:r w:rsidR="00275C5A" w:rsidRPr="00225248">
        <w:t xml:space="preserve"> and rationale</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Caption w:val="Table 12: Summary of model structure, key inputs and rationale"/>
      </w:tblPr>
      <w:tblGrid>
        <w:gridCol w:w="1479"/>
        <w:gridCol w:w="7531"/>
      </w:tblGrid>
      <w:tr w:rsidR="00507E4E" w:rsidRPr="00B9592E" w14:paraId="59E23FB2" w14:textId="77777777" w:rsidTr="000272A3">
        <w:tc>
          <w:tcPr>
            <w:tcW w:w="821" w:type="pct"/>
            <w:vAlign w:val="center"/>
          </w:tcPr>
          <w:p w14:paraId="394239A2" w14:textId="77777777" w:rsidR="00507E4E" w:rsidRPr="00792A8D" w:rsidRDefault="00507E4E" w:rsidP="0020672F">
            <w:pPr>
              <w:pStyle w:val="COMTableheadingrow"/>
            </w:pPr>
            <w:r w:rsidRPr="00792A8D">
              <w:t>Component</w:t>
            </w:r>
          </w:p>
        </w:tc>
        <w:tc>
          <w:tcPr>
            <w:tcW w:w="4179" w:type="pct"/>
            <w:vAlign w:val="center"/>
          </w:tcPr>
          <w:p w14:paraId="3CA9D1CB" w14:textId="77777777" w:rsidR="00507E4E" w:rsidRPr="00792A8D" w:rsidRDefault="00507E4E" w:rsidP="0020672F">
            <w:pPr>
              <w:pStyle w:val="COMTableheadingrow"/>
            </w:pPr>
            <w:r w:rsidRPr="00792A8D">
              <w:t>Description</w:t>
            </w:r>
          </w:p>
        </w:tc>
      </w:tr>
      <w:tr w:rsidR="00507E4E" w:rsidRPr="00B9592E" w14:paraId="49EA3C04" w14:textId="77777777" w:rsidTr="000272A3">
        <w:tc>
          <w:tcPr>
            <w:tcW w:w="821" w:type="pct"/>
            <w:vAlign w:val="center"/>
          </w:tcPr>
          <w:p w14:paraId="57B27F88" w14:textId="77777777" w:rsidR="00507E4E" w:rsidRPr="000158A5" w:rsidRDefault="00507E4E" w:rsidP="000272A3">
            <w:pPr>
              <w:pStyle w:val="COMTabletext"/>
            </w:pPr>
            <w:r w:rsidRPr="000158A5">
              <w:t>Type of analysis</w:t>
            </w:r>
          </w:p>
        </w:tc>
        <w:tc>
          <w:tcPr>
            <w:tcW w:w="4179" w:type="pct"/>
            <w:vAlign w:val="center"/>
          </w:tcPr>
          <w:p w14:paraId="75D36583" w14:textId="77777777" w:rsidR="00507E4E" w:rsidRPr="000158A5" w:rsidRDefault="00507E4E" w:rsidP="000272A3">
            <w:pPr>
              <w:pStyle w:val="COMTabletext"/>
            </w:pPr>
            <w:r w:rsidRPr="000158A5">
              <w:t>Cost-effectiveness/cost-utility analysis</w:t>
            </w:r>
          </w:p>
        </w:tc>
      </w:tr>
      <w:tr w:rsidR="00507E4E" w:rsidRPr="00B9592E" w14:paraId="1D679DD1" w14:textId="77777777" w:rsidTr="000272A3">
        <w:tc>
          <w:tcPr>
            <w:tcW w:w="821" w:type="pct"/>
            <w:vAlign w:val="center"/>
          </w:tcPr>
          <w:p w14:paraId="3A0D2ECF" w14:textId="77777777" w:rsidR="00507E4E" w:rsidRPr="000158A5" w:rsidRDefault="00507E4E" w:rsidP="000272A3">
            <w:pPr>
              <w:pStyle w:val="COMTabletext"/>
            </w:pPr>
            <w:r>
              <w:t>Treatments</w:t>
            </w:r>
          </w:p>
        </w:tc>
        <w:tc>
          <w:tcPr>
            <w:tcW w:w="4179" w:type="pct"/>
            <w:vAlign w:val="center"/>
          </w:tcPr>
          <w:p w14:paraId="26C98E5F" w14:textId="77777777" w:rsidR="00507E4E" w:rsidRPr="000158A5" w:rsidRDefault="00507E4E" w:rsidP="000272A3">
            <w:pPr>
              <w:pStyle w:val="COMTabletext"/>
            </w:pPr>
            <w:r>
              <w:t>Blinatumomab in combination with SOC consolidation chemotherapy versus SOC consolidation chemotherapy alone</w:t>
            </w:r>
          </w:p>
        </w:tc>
      </w:tr>
      <w:tr w:rsidR="00507E4E" w:rsidRPr="00B9592E" w14:paraId="2E332206" w14:textId="77777777" w:rsidTr="000272A3">
        <w:tc>
          <w:tcPr>
            <w:tcW w:w="821" w:type="pct"/>
            <w:vAlign w:val="center"/>
          </w:tcPr>
          <w:p w14:paraId="2B1E2375" w14:textId="77777777" w:rsidR="00507E4E" w:rsidRPr="000158A5" w:rsidRDefault="00507E4E" w:rsidP="000272A3">
            <w:pPr>
              <w:pStyle w:val="COMTabletext"/>
            </w:pPr>
            <w:r w:rsidRPr="000158A5">
              <w:t>Outcomes</w:t>
            </w:r>
          </w:p>
        </w:tc>
        <w:tc>
          <w:tcPr>
            <w:tcW w:w="4179" w:type="pct"/>
            <w:vAlign w:val="center"/>
          </w:tcPr>
          <w:p w14:paraId="3E4312C0" w14:textId="77777777" w:rsidR="00507E4E" w:rsidRPr="000158A5" w:rsidRDefault="00507E4E" w:rsidP="000272A3">
            <w:pPr>
              <w:pStyle w:val="COMTabletext"/>
            </w:pPr>
            <w:r w:rsidRPr="000158A5">
              <w:t>Life years and quality-adjusted life years</w:t>
            </w:r>
          </w:p>
        </w:tc>
      </w:tr>
      <w:tr w:rsidR="00507E4E" w:rsidRPr="00B9592E" w14:paraId="44045F12" w14:textId="77777777" w:rsidTr="000272A3">
        <w:tc>
          <w:tcPr>
            <w:tcW w:w="821" w:type="pct"/>
            <w:vAlign w:val="center"/>
          </w:tcPr>
          <w:p w14:paraId="7AAD0496" w14:textId="77777777" w:rsidR="00507E4E" w:rsidRPr="000158A5" w:rsidRDefault="00507E4E" w:rsidP="000272A3">
            <w:pPr>
              <w:pStyle w:val="COMTabletext"/>
            </w:pPr>
            <w:r w:rsidRPr="000158A5">
              <w:t>Time horizon</w:t>
            </w:r>
          </w:p>
        </w:tc>
        <w:tc>
          <w:tcPr>
            <w:tcW w:w="4179" w:type="pct"/>
            <w:vAlign w:val="center"/>
          </w:tcPr>
          <w:p w14:paraId="5A95E879" w14:textId="77777777" w:rsidR="00507E4E" w:rsidRPr="000158A5" w:rsidRDefault="00507E4E" w:rsidP="000272A3">
            <w:pPr>
              <w:pStyle w:val="COMTabletext"/>
            </w:pPr>
            <w:r>
              <w:t>30</w:t>
            </w:r>
            <w:r w:rsidRPr="000158A5">
              <w:t xml:space="preserve"> years in the model base case versus</w:t>
            </w:r>
            <w:r>
              <w:t xml:space="preserve"> median follow-up of 4.5 years in the E1910 trial</w:t>
            </w:r>
            <w:r w:rsidRPr="000158A5">
              <w:t xml:space="preserve"> </w:t>
            </w:r>
          </w:p>
        </w:tc>
      </w:tr>
      <w:tr w:rsidR="00507E4E" w:rsidRPr="00B9592E" w14:paraId="20DFF878" w14:textId="77777777" w:rsidTr="000272A3">
        <w:tc>
          <w:tcPr>
            <w:tcW w:w="821" w:type="pct"/>
            <w:vAlign w:val="center"/>
          </w:tcPr>
          <w:p w14:paraId="76C00BB4" w14:textId="77777777" w:rsidR="00507E4E" w:rsidRPr="000158A5" w:rsidRDefault="00507E4E" w:rsidP="000272A3">
            <w:pPr>
              <w:pStyle w:val="COMTabletext"/>
            </w:pPr>
            <w:r w:rsidRPr="000158A5">
              <w:t>Cycle length</w:t>
            </w:r>
          </w:p>
        </w:tc>
        <w:tc>
          <w:tcPr>
            <w:tcW w:w="4179" w:type="pct"/>
            <w:vAlign w:val="center"/>
          </w:tcPr>
          <w:p w14:paraId="408DF43F" w14:textId="77777777" w:rsidR="00507E4E" w:rsidRPr="000158A5" w:rsidRDefault="00507E4E" w:rsidP="000272A3">
            <w:pPr>
              <w:pStyle w:val="COMTabletext"/>
            </w:pPr>
            <w:r>
              <w:t>2</w:t>
            </w:r>
            <w:r w:rsidRPr="000158A5">
              <w:t xml:space="preserve"> week</w:t>
            </w:r>
            <w:r>
              <w:t>s</w:t>
            </w:r>
          </w:p>
        </w:tc>
      </w:tr>
      <w:tr w:rsidR="00507E4E" w:rsidRPr="00B9592E" w14:paraId="151CEF98" w14:textId="77777777" w:rsidTr="000272A3">
        <w:tc>
          <w:tcPr>
            <w:tcW w:w="821" w:type="pct"/>
            <w:vAlign w:val="center"/>
          </w:tcPr>
          <w:p w14:paraId="4B4BD66E" w14:textId="77777777" w:rsidR="00507E4E" w:rsidRPr="000158A5" w:rsidRDefault="00507E4E" w:rsidP="000272A3">
            <w:pPr>
              <w:pStyle w:val="COMTabletext"/>
            </w:pPr>
            <w:r w:rsidRPr="000158A5">
              <w:t>Methods used to generate results</w:t>
            </w:r>
          </w:p>
        </w:tc>
        <w:tc>
          <w:tcPr>
            <w:tcW w:w="4179" w:type="pct"/>
            <w:vAlign w:val="center"/>
          </w:tcPr>
          <w:p w14:paraId="376E14B3" w14:textId="77777777" w:rsidR="00507E4E" w:rsidRPr="000158A5" w:rsidRDefault="00507E4E" w:rsidP="000272A3">
            <w:pPr>
              <w:pStyle w:val="COMTabletext"/>
            </w:pPr>
            <w:r w:rsidRPr="000158A5">
              <w:t>Partitioned survival analysis</w:t>
            </w:r>
          </w:p>
        </w:tc>
      </w:tr>
      <w:tr w:rsidR="00507E4E" w:rsidRPr="00B9592E" w14:paraId="12D40C7E" w14:textId="77777777" w:rsidTr="000272A3">
        <w:tc>
          <w:tcPr>
            <w:tcW w:w="821" w:type="pct"/>
            <w:vAlign w:val="center"/>
          </w:tcPr>
          <w:p w14:paraId="12206886" w14:textId="77777777" w:rsidR="00507E4E" w:rsidRPr="000158A5" w:rsidRDefault="00507E4E" w:rsidP="000272A3">
            <w:pPr>
              <w:pStyle w:val="COMTabletext"/>
            </w:pPr>
            <w:r w:rsidRPr="000158A5">
              <w:t>Health states</w:t>
            </w:r>
          </w:p>
        </w:tc>
        <w:tc>
          <w:tcPr>
            <w:tcW w:w="4179" w:type="pct"/>
            <w:vAlign w:val="center"/>
          </w:tcPr>
          <w:p w14:paraId="0056890B" w14:textId="77777777" w:rsidR="00507E4E" w:rsidRPr="000158A5" w:rsidRDefault="00507E4E" w:rsidP="000272A3">
            <w:pPr>
              <w:pStyle w:val="COMTabletext"/>
            </w:pPr>
            <w:r>
              <w:t>Relapse-free no on-protocol ASCT, relapsed disease no on-protocol ASCT, dead no on-protocol ASCT, relapse-free after on-protocol ASCT, relapsed disease after on-protocol ASCT, dead after on-protocol ASCT</w:t>
            </w:r>
          </w:p>
        </w:tc>
      </w:tr>
      <w:tr w:rsidR="00507E4E" w:rsidRPr="00B9592E" w14:paraId="0EDB545B" w14:textId="77777777" w:rsidTr="000272A3">
        <w:tc>
          <w:tcPr>
            <w:tcW w:w="821" w:type="pct"/>
            <w:vAlign w:val="center"/>
          </w:tcPr>
          <w:p w14:paraId="6BEFF8AB" w14:textId="77777777" w:rsidR="00507E4E" w:rsidRPr="000158A5" w:rsidRDefault="00507E4E" w:rsidP="000272A3">
            <w:pPr>
              <w:pStyle w:val="COMTabletext"/>
            </w:pPr>
            <w:r w:rsidRPr="000158A5">
              <w:t>Health state distribution</w:t>
            </w:r>
          </w:p>
        </w:tc>
        <w:tc>
          <w:tcPr>
            <w:tcW w:w="4179" w:type="pct"/>
            <w:vAlign w:val="center"/>
          </w:tcPr>
          <w:p w14:paraId="7023977C" w14:textId="77777777" w:rsidR="00507E4E" w:rsidRDefault="00507E4E" w:rsidP="000272A3">
            <w:pPr>
              <w:pStyle w:val="COMTabletext"/>
            </w:pPr>
            <w:r>
              <w:t xml:space="preserve">The allocation of patients to the 6 mutually exclusive health states was informed by four survival curves: OS censored at on-protocol ASCT, RFS censored at on-protocol ASCT, OS after on-protocol ASCT and RFS after on-protocol ASCT. The implementation of these survival curves was staggered, with initial allocation to the </w:t>
            </w:r>
            <w:proofErr w:type="spellStart"/>
            <w:r>
              <w:t>no on</w:t>
            </w:r>
            <w:proofErr w:type="spellEnd"/>
            <w:r>
              <w:t xml:space="preserve">-protocol ASCT health states followed by a forced distribution of 19.6% of patients (equal proportions in each arm) to the after on-protocol ASCT health states at fixed timepoints (16 weeks for blinatumomab and 8 weeks for SOC) based on time to on-protocol ASCT in the E1910 trial. </w:t>
            </w:r>
          </w:p>
          <w:p w14:paraId="20775A86" w14:textId="77777777" w:rsidR="00507E4E" w:rsidRDefault="00507E4E" w:rsidP="000272A3">
            <w:pPr>
              <w:pStyle w:val="COMTabletext"/>
            </w:pPr>
          </w:p>
          <w:p w14:paraId="1DD87E81" w14:textId="77777777" w:rsidR="00507E4E" w:rsidRPr="00EC45FF" w:rsidRDefault="00507E4E" w:rsidP="000272A3">
            <w:pPr>
              <w:pStyle w:val="COMTabletext"/>
            </w:pPr>
            <w:r>
              <w:t xml:space="preserve">Kaplan-Meier estimates for the two sets of OS and RFS curves were derived from a </w:t>
            </w:r>
            <w:r>
              <w:rPr>
                <w:i/>
                <w:iCs/>
              </w:rPr>
              <w:t>post hoc</w:t>
            </w:r>
            <w:r>
              <w:t xml:space="preserve"> analysis of E1910 trial data and were used directly up to the extrapolation point of 4.5 years. Mixture cure models (weighted curves based on statistically cured and uncured fractions) were used to extrapolate each outcome to 30 years. </w:t>
            </w:r>
          </w:p>
          <w:p w14:paraId="1579DAB5" w14:textId="77777777" w:rsidR="00507E4E" w:rsidRPr="000158A5" w:rsidRDefault="00507E4E" w:rsidP="000272A3">
            <w:pPr>
              <w:pStyle w:val="COMTabletext"/>
            </w:pPr>
          </w:p>
          <w:p w14:paraId="30A6ECE8" w14:textId="368ED424" w:rsidR="00507E4E" w:rsidRPr="000158A5" w:rsidRDefault="00507E4E" w:rsidP="000272A3">
            <w:pPr>
              <w:pStyle w:val="COMTabletext"/>
            </w:pPr>
            <w:r w:rsidRPr="000158A5">
              <w:t xml:space="preserve">Background mortality was informed by age- and </w:t>
            </w:r>
            <w:r>
              <w:t>sex</w:t>
            </w:r>
            <w:r w:rsidRPr="000158A5">
              <w:t>-specific general population mortality estimates from the Australian Life Tables 2019-2021</w:t>
            </w:r>
            <w:r>
              <w:t xml:space="preserve">, assuming no excess mortality. </w:t>
            </w:r>
          </w:p>
        </w:tc>
      </w:tr>
      <w:tr w:rsidR="00507E4E" w:rsidRPr="00B9592E" w14:paraId="3C771698" w14:textId="77777777" w:rsidTr="000272A3">
        <w:tc>
          <w:tcPr>
            <w:tcW w:w="821" w:type="pct"/>
            <w:vAlign w:val="center"/>
          </w:tcPr>
          <w:p w14:paraId="0F3FD2E5" w14:textId="77777777" w:rsidR="00507E4E" w:rsidRPr="000158A5" w:rsidRDefault="00507E4E" w:rsidP="000272A3">
            <w:pPr>
              <w:pStyle w:val="COMTabletext"/>
            </w:pPr>
            <w:r w:rsidRPr="000158A5">
              <w:t>Utilities</w:t>
            </w:r>
          </w:p>
        </w:tc>
        <w:tc>
          <w:tcPr>
            <w:tcW w:w="4179" w:type="pct"/>
            <w:vAlign w:val="center"/>
          </w:tcPr>
          <w:p w14:paraId="1E8A58A3" w14:textId="0ECB9EA8" w:rsidR="00507E4E" w:rsidRPr="000158A5" w:rsidRDefault="00507E4E" w:rsidP="000272A3">
            <w:pPr>
              <w:pStyle w:val="COMTabletext"/>
            </w:pPr>
            <w:r>
              <w:t xml:space="preserve">Relapse-free states (no on-protocol ASCT and after on-protocol ASCT): 0.8534, relapsed disease states (no on-protocol ASCT and after on-protocol ASCT): 0.6920. Based on utilities included in previous submissions of blinatumomab in the MRD-positive setting (multi-step approach based on </w:t>
            </w:r>
            <w:r w:rsidRPr="00097879">
              <w:t>EQ</w:t>
            </w:r>
            <w:r>
              <w:t>-</w:t>
            </w:r>
            <w:r w:rsidRPr="00097879">
              <w:t xml:space="preserve">5D from </w:t>
            </w:r>
            <w:r>
              <w:t xml:space="preserve">the </w:t>
            </w:r>
            <w:r w:rsidRPr="00097879">
              <w:t>BLAST</w:t>
            </w:r>
            <w:r>
              <w:t xml:space="preserve"> study</w:t>
            </w:r>
            <w:r w:rsidRPr="00097879">
              <w:t xml:space="preserve"> propensity score analysis population, regression analysis of EQ-5D from</w:t>
            </w:r>
            <w:r>
              <w:t xml:space="preserve"> the</w:t>
            </w:r>
            <w:r w:rsidRPr="00097879">
              <w:t xml:space="preserve"> BLAST</w:t>
            </w:r>
            <w:r>
              <w:t xml:space="preserve"> study</w:t>
            </w:r>
            <w:r w:rsidRPr="00097879">
              <w:t xml:space="preserve">, mapping of EORTC QLQ-C30 to EQ-5D from </w:t>
            </w:r>
            <w:r>
              <w:t xml:space="preserve">the </w:t>
            </w:r>
            <w:r w:rsidRPr="00097879">
              <w:t>TOWER</w:t>
            </w:r>
            <w:r>
              <w:t xml:space="preserve"> trial</w:t>
            </w:r>
            <w:r w:rsidRPr="00097879">
              <w:t>, propensity score-adjusted regression analysis of EQ-5D from BLAST and TOWER</w:t>
            </w:r>
            <w:r>
              <w:t xml:space="preserve"> studies). A treatment-related disutility of -0.57 for one year after receipt of on-protocol ASCT was applied</w:t>
            </w:r>
            <w:r w:rsidR="001474E2">
              <w:t xml:space="preserve"> (Sung 2003</w:t>
            </w:r>
            <w:r w:rsidR="00C3497F">
              <w:t xml:space="preserve"> and assumptions</w:t>
            </w:r>
            <w:r w:rsidR="001474E2">
              <w:t>)</w:t>
            </w:r>
            <w:r>
              <w:t xml:space="preserve">. No other treatment-related disutilities were included. </w:t>
            </w:r>
            <w:r w:rsidR="00A22211" w:rsidRPr="008C335E">
              <w:t>The ESC noted that no adverse event disutilities were applied and considered this may not be reasonable given the clinical claim of non-inferior safety was inadequately supported in the submission.</w:t>
            </w:r>
            <w:r w:rsidR="00A22211" w:rsidRPr="00A22211">
              <w:rPr>
                <w:i/>
                <w:iCs/>
              </w:rPr>
              <w:t xml:space="preserve"> </w:t>
            </w:r>
            <w:r w:rsidR="00A22211" w:rsidRPr="00A22211">
              <w:t xml:space="preserve"> </w:t>
            </w:r>
          </w:p>
        </w:tc>
      </w:tr>
      <w:tr w:rsidR="00507E4E" w:rsidRPr="00B9592E" w14:paraId="59553961" w14:textId="77777777" w:rsidTr="000272A3">
        <w:tc>
          <w:tcPr>
            <w:tcW w:w="821" w:type="pct"/>
            <w:vAlign w:val="center"/>
          </w:tcPr>
          <w:p w14:paraId="3FAA9398" w14:textId="77777777" w:rsidR="00507E4E" w:rsidRPr="000158A5" w:rsidRDefault="00507E4E" w:rsidP="000272A3">
            <w:pPr>
              <w:pStyle w:val="COMTabletext"/>
            </w:pPr>
            <w:r w:rsidRPr="000158A5">
              <w:t>Costs</w:t>
            </w:r>
          </w:p>
        </w:tc>
        <w:tc>
          <w:tcPr>
            <w:tcW w:w="4179" w:type="pct"/>
            <w:vAlign w:val="center"/>
          </w:tcPr>
          <w:p w14:paraId="0DED07E9" w14:textId="77777777" w:rsidR="00507E4E" w:rsidRPr="000158A5" w:rsidRDefault="00507E4E" w:rsidP="000272A3">
            <w:pPr>
              <w:pStyle w:val="COMTabletext"/>
            </w:pPr>
            <w:r>
              <w:t>Consolidation treatment and maintenance treatment costs based on trial-based circumstances of use of blinatumomab and consolidation chemotherapy. Frontline ASCT based on use of on-protocol ASCT in the trial with costs based on published estimates (Gordon 2009). Relapsed/refractory treatment costs based on off-protocol use of blinatumomab, ASCT and chemotherapy in the trial and assumptions. Disease management costs were based on expert advice and relevant MBS item fees. Adverse event costs were based on the incidence of adverse events in the trial with costs assuming events are hospitalised (</w:t>
            </w:r>
            <w:r w:rsidRPr="007229C1">
              <w:t>relevant AR-DRGs using the NHCDC cost weights 2020-2021 Public Sector report</w:t>
            </w:r>
            <w:r>
              <w:t>). Terminal care costs based on published estimates (AIHW 2022 – last year of life: patterns in health service use and expenditure report).</w:t>
            </w:r>
          </w:p>
        </w:tc>
      </w:tr>
      <w:tr w:rsidR="00507E4E" w:rsidRPr="00B9592E" w14:paraId="41343D35" w14:textId="77777777" w:rsidTr="000272A3">
        <w:tc>
          <w:tcPr>
            <w:tcW w:w="821" w:type="pct"/>
            <w:vAlign w:val="center"/>
          </w:tcPr>
          <w:p w14:paraId="35871FDF" w14:textId="77777777" w:rsidR="00507E4E" w:rsidRPr="000158A5" w:rsidRDefault="00507E4E" w:rsidP="000272A3">
            <w:pPr>
              <w:pStyle w:val="COMTabletext"/>
            </w:pPr>
            <w:r w:rsidRPr="000158A5">
              <w:t>Discounting</w:t>
            </w:r>
          </w:p>
        </w:tc>
        <w:tc>
          <w:tcPr>
            <w:tcW w:w="4179" w:type="pct"/>
            <w:vAlign w:val="center"/>
          </w:tcPr>
          <w:p w14:paraId="1BDE7B7D" w14:textId="77777777" w:rsidR="00507E4E" w:rsidRPr="000158A5" w:rsidRDefault="00507E4E" w:rsidP="000272A3">
            <w:pPr>
              <w:pStyle w:val="COMTabletext"/>
            </w:pPr>
            <w:r w:rsidRPr="000158A5">
              <w:t>5% per year applied to costs and outcomes</w:t>
            </w:r>
          </w:p>
        </w:tc>
      </w:tr>
      <w:tr w:rsidR="00507E4E" w:rsidRPr="00B9592E" w14:paraId="7C3F1DC9" w14:textId="77777777" w:rsidTr="000272A3">
        <w:tc>
          <w:tcPr>
            <w:tcW w:w="821" w:type="pct"/>
            <w:vAlign w:val="center"/>
          </w:tcPr>
          <w:p w14:paraId="0C1CE915" w14:textId="77777777" w:rsidR="00507E4E" w:rsidRPr="000158A5" w:rsidRDefault="00507E4E" w:rsidP="000272A3">
            <w:pPr>
              <w:pStyle w:val="COMTabletext"/>
            </w:pPr>
            <w:r w:rsidRPr="000158A5">
              <w:t>Software package</w:t>
            </w:r>
          </w:p>
        </w:tc>
        <w:tc>
          <w:tcPr>
            <w:tcW w:w="4179" w:type="pct"/>
            <w:vAlign w:val="center"/>
          </w:tcPr>
          <w:p w14:paraId="4C268167" w14:textId="77777777" w:rsidR="00507E4E" w:rsidRPr="000158A5" w:rsidRDefault="00507E4E" w:rsidP="000272A3">
            <w:pPr>
              <w:pStyle w:val="COMTabletext"/>
            </w:pPr>
            <w:r w:rsidRPr="000158A5">
              <w:t>Microsoft Excel</w:t>
            </w:r>
          </w:p>
        </w:tc>
      </w:tr>
    </w:tbl>
    <w:p w14:paraId="68B5BE10" w14:textId="6EF4A38E" w:rsidR="00507E4E" w:rsidRPr="00507E4E" w:rsidRDefault="00507E4E" w:rsidP="00507E4E">
      <w:pPr>
        <w:pStyle w:val="COMTablefooter"/>
      </w:pPr>
      <w:r w:rsidRPr="00507E4E">
        <w:t>Source: Table 3-2 and Sections 3.2 to 3.6of the submission</w:t>
      </w:r>
    </w:p>
    <w:p w14:paraId="520690E6" w14:textId="1F4954B7" w:rsidR="00507E4E" w:rsidRPr="00507E4E" w:rsidRDefault="00507E4E" w:rsidP="00507E4E">
      <w:pPr>
        <w:pStyle w:val="COMTablefooter"/>
      </w:pPr>
      <w:r w:rsidRPr="00507E4E">
        <w:t>Abbreviations: AIHW, Australian Institute of Health and Welfare; AR-DRG, Australian Refined Diagnosis Related Groups; ASCT, allogeneic stem cell transplant; NHCDC, National Hospital Cost Data Collection; OS, overall survival; QALY, quality adjusted life year; RFS, relapse-free survival; SOC, standard of care</w:t>
      </w:r>
    </w:p>
    <w:p w14:paraId="4FF17CA6" w14:textId="06D8A5D6" w:rsidR="007F7FC5" w:rsidRPr="008C335E" w:rsidRDefault="007F6EA8" w:rsidP="001D1D52">
      <w:pPr>
        <w:pStyle w:val="COMexecsumnumberedpara"/>
      </w:pPr>
      <w:r w:rsidRPr="008C335E">
        <w:lastRenderedPageBreak/>
        <w:t xml:space="preserve">The economic model </w:t>
      </w:r>
      <w:r w:rsidR="0086111F" w:rsidRPr="008C335E">
        <w:t xml:space="preserve">is based on a partitioned survival analysis that uses a novel two-step </w:t>
      </w:r>
      <w:r w:rsidR="00001F95" w:rsidRPr="008C335E">
        <w:t xml:space="preserve">(concurrent) </w:t>
      </w:r>
      <w:r w:rsidR="0086111F" w:rsidRPr="008C335E">
        <w:t xml:space="preserve">structure </w:t>
      </w:r>
      <w:r w:rsidR="00EE600D" w:rsidRPr="008C335E">
        <w:t xml:space="preserve">to </w:t>
      </w:r>
      <w:r w:rsidR="0086111F" w:rsidRPr="008C335E">
        <w:t xml:space="preserve">incorporate ASCT treatment pathways, which initially distributes all patients across 3 </w:t>
      </w:r>
      <w:r w:rsidR="00D8109C" w:rsidRPr="008C335E">
        <w:t xml:space="preserve">health states, </w:t>
      </w:r>
      <w:r w:rsidR="0086111F" w:rsidRPr="008C335E">
        <w:t xml:space="preserve">relapse-free, relapsed and dead, followed by the subsequent addition of </w:t>
      </w:r>
      <w:r w:rsidR="00D8109C" w:rsidRPr="008C335E">
        <w:t xml:space="preserve">a further </w:t>
      </w:r>
      <w:r w:rsidR="0086111F" w:rsidRPr="008C335E">
        <w:t xml:space="preserve">3 </w:t>
      </w:r>
      <w:r w:rsidR="00D8109C" w:rsidRPr="008C335E">
        <w:t xml:space="preserve">states, </w:t>
      </w:r>
      <w:r w:rsidR="0086111F" w:rsidRPr="008C335E">
        <w:t>relapse-free, relapsed and dead for the subset of patients who receive on-protocol ASCT.</w:t>
      </w:r>
      <w:r w:rsidR="00B922E4" w:rsidRPr="008C335E">
        <w:t xml:space="preserve"> </w:t>
      </w:r>
      <w:r w:rsidR="00A50EEB" w:rsidRPr="008C335E">
        <w:t xml:space="preserve">The </w:t>
      </w:r>
      <w:r w:rsidR="00521134" w:rsidRPr="008C335E">
        <w:t xml:space="preserve">concurrent </w:t>
      </w:r>
      <w:r w:rsidR="00BF3A16" w:rsidRPr="008C335E">
        <w:t>estimation</w:t>
      </w:r>
      <w:r w:rsidR="00A50EEB" w:rsidRPr="008C335E">
        <w:t xml:space="preserve"> relied on</w:t>
      </w:r>
      <w:r w:rsidR="00FD07EC" w:rsidRPr="008C335E">
        <w:t xml:space="preserve"> the staggered implementation of</w:t>
      </w:r>
      <w:r w:rsidR="00A50EEB" w:rsidRPr="008C335E">
        <w:t xml:space="preserve"> four extrapolated survival curves: overall survival </w:t>
      </w:r>
      <w:r w:rsidR="00BF3A16" w:rsidRPr="008C335E">
        <w:t xml:space="preserve">after on-protocol ASCT and </w:t>
      </w:r>
      <w:r w:rsidR="00A50EEB" w:rsidRPr="008C335E">
        <w:t>censored at on-protocol ASCT</w:t>
      </w:r>
      <w:r w:rsidR="00BF3A16" w:rsidRPr="008C335E">
        <w:t>; and</w:t>
      </w:r>
      <w:r w:rsidR="00A50EEB" w:rsidRPr="008C335E">
        <w:t xml:space="preserve"> relapse-free survival </w:t>
      </w:r>
      <w:r w:rsidR="00BF3A16" w:rsidRPr="008C335E">
        <w:t xml:space="preserve">after on-protocol ASCT and </w:t>
      </w:r>
      <w:r w:rsidR="00A50EEB" w:rsidRPr="008C335E">
        <w:t>censored at on-protocol ASCT.</w:t>
      </w:r>
      <w:r w:rsidR="00AA18F9" w:rsidRPr="008C335E">
        <w:t xml:space="preserve"> </w:t>
      </w:r>
    </w:p>
    <w:p w14:paraId="78A30D9A" w14:textId="25FC2DFC" w:rsidR="000F541A" w:rsidRPr="008C335E" w:rsidRDefault="009E7F12" w:rsidP="001D1D52">
      <w:pPr>
        <w:pStyle w:val="COMexecsumnumberedpara"/>
      </w:pPr>
      <w:r w:rsidRPr="008C335E">
        <w:t>The submission considered that on-protocol ASCT in the trial was a reasonable proxy for frontline ASCT</w:t>
      </w:r>
      <w:r w:rsidR="00EE600D" w:rsidRPr="008C335E">
        <w:t>,</w:t>
      </w:r>
      <w:r w:rsidRPr="008C335E">
        <w:t xml:space="preserve"> given the time to on-protocol ASCT estimates aligned with the recommended timing of frontline ASCTs in the trial (between 10 to 18 weeks of treatment in the blinatumomab arm; and between 0 to 14 weeks of treatment in the standard of care arm). The submission considered that the time to off-protocol ASCT estimates were longer and therefore more likely to reflect patients receiving ASCT in the relapsed/refractory setting.</w:t>
      </w:r>
      <w:r w:rsidR="00414174" w:rsidRPr="008C335E">
        <w:t xml:space="preserve"> </w:t>
      </w:r>
      <w:r w:rsidR="000F541A" w:rsidRPr="008C335E">
        <w:t>Th</w:t>
      </w:r>
      <w:r w:rsidR="00414174" w:rsidRPr="008C335E">
        <w:t xml:space="preserve">is assumption was inadequately justified given substantial variation in the time to off-protocol ASCT </w:t>
      </w:r>
      <w:r w:rsidR="00F2620E" w:rsidRPr="008C335E">
        <w:t xml:space="preserve">estimates and lack of data surrounding the circumstances of use of off-protocol ASCT, particularly in relation to disease status. </w:t>
      </w:r>
    </w:p>
    <w:p w14:paraId="482C15BE" w14:textId="42DFF0DF" w:rsidR="00B922E4" w:rsidRPr="008C335E" w:rsidRDefault="00B922E4" w:rsidP="001D1D52">
      <w:pPr>
        <w:pStyle w:val="COMexecsumnumberedpara"/>
      </w:pPr>
      <w:r w:rsidRPr="008C335E">
        <w:t xml:space="preserve">All patients who received on-protocol ASCT were assumed to receive it in Week 16 in the blinatumomab arm and in Week 8 in the standard of care arm. Survival estimates were weighted from these timepoints, based on 80.4% with no on-protocol ASCT and 19.6% with on-protocol ASCT in the trial (equal between arms). </w:t>
      </w:r>
      <w:r w:rsidR="00A927A0" w:rsidRPr="008C335E">
        <w:t>The assum</w:t>
      </w:r>
      <w:r w:rsidR="00973351" w:rsidRPr="008C335E">
        <w:t xml:space="preserve">ed fixed timing of ASCT lacked face validity but may be necessary given the model </w:t>
      </w:r>
      <w:r w:rsidR="00632204" w:rsidRPr="008C335E">
        <w:t>wa</w:t>
      </w:r>
      <w:r w:rsidR="00973351" w:rsidRPr="008C335E">
        <w:t xml:space="preserve">s unable to track the occurrence of events at any given time. </w:t>
      </w:r>
      <w:r w:rsidR="009E3083" w:rsidRPr="008C335E">
        <w:t xml:space="preserve">The ESC agreed with the evaluation that the fixed timing of ASCT </w:t>
      </w:r>
      <w:r w:rsidR="00632204" w:rsidRPr="008C335E">
        <w:t>wa</w:t>
      </w:r>
      <w:r w:rsidR="009E3083" w:rsidRPr="008C335E">
        <w:t xml:space="preserve">s unlikely to reflect clinical practice. </w:t>
      </w:r>
    </w:p>
    <w:p w14:paraId="1F2D05BD" w14:textId="64ECF932" w:rsidR="00C36267" w:rsidRPr="008C335E" w:rsidRDefault="00234DA9" w:rsidP="008E000F">
      <w:pPr>
        <w:pStyle w:val="COMexecsumnumberedpara"/>
      </w:pPr>
      <w:r w:rsidRPr="008C335E">
        <w:t>The PSCR noted that the PBAC had previously considered the absence of ASCT health states in the March 2019 model of blinatumomab in MRD-positive B-ALL did not adequately reflect the treatment pathways. The PSCR stated that based on this advice the model structure was chosen to explicitly include ASCT health states.</w:t>
      </w:r>
      <w:r w:rsidR="008E000F" w:rsidRPr="008C335E">
        <w:t xml:space="preserve"> </w:t>
      </w:r>
      <w:r w:rsidR="00C44A0D" w:rsidRPr="008C335E">
        <w:t>The ESC considered t</w:t>
      </w:r>
      <w:r w:rsidR="00C36267" w:rsidRPr="008C335E">
        <w:t xml:space="preserve">he stepwise incorporation of ASCT health states did not address </w:t>
      </w:r>
      <w:r w:rsidR="008A5E1E" w:rsidRPr="008C335E">
        <w:t xml:space="preserve">key </w:t>
      </w:r>
      <w:r w:rsidR="00C36267" w:rsidRPr="008C335E">
        <w:t>structural limitations associated with a partitioned survival analysis</w:t>
      </w:r>
      <w:r w:rsidR="00B932AD" w:rsidRPr="008C335E">
        <w:t>, particularly the inability to track events and lack of explicit links between t</w:t>
      </w:r>
      <w:r w:rsidR="00AB7B5F" w:rsidRPr="008C335E">
        <w:t>reatments received, disease status and mortality</w:t>
      </w:r>
      <w:r w:rsidR="003E5960" w:rsidRPr="008C335E">
        <w:t xml:space="preserve">. </w:t>
      </w:r>
    </w:p>
    <w:p w14:paraId="2C9D79D1" w14:textId="575A98E6" w:rsidR="000A74C3" w:rsidRPr="008C335E" w:rsidRDefault="000A74C3" w:rsidP="001D1D52">
      <w:pPr>
        <w:pStyle w:val="COMexecsumnumberedpara"/>
      </w:pPr>
      <w:bookmarkStart w:id="55" w:name="_Ref173932939"/>
      <w:r w:rsidRPr="008C335E">
        <w:t xml:space="preserve">The </w:t>
      </w:r>
      <w:r w:rsidR="009E3083" w:rsidRPr="008C335E">
        <w:t xml:space="preserve">ESC noted the </w:t>
      </w:r>
      <w:r w:rsidR="00215833" w:rsidRPr="008C335E">
        <w:t>model structure also limited the ability to appropriately incorporate costs and consequences associated with subsequent anti-cancer treatments for relapsed/refractory disease. The attribution of costs required assumptions that lacked face validity (see</w:t>
      </w:r>
      <w:r w:rsidR="00DB12CE" w:rsidRPr="008C335E">
        <w:t xml:space="preserve"> </w:t>
      </w:r>
      <w:r w:rsidR="00DB12CE" w:rsidRPr="008C335E">
        <w:fldChar w:fldCharType="begin" w:fldLock="1"/>
      </w:r>
      <w:r w:rsidR="00DB12CE" w:rsidRPr="008C335E">
        <w:instrText xml:space="preserve"> REF _Ref104805122 \h  \* MERGEFORMAT </w:instrText>
      </w:r>
      <w:r w:rsidR="00DB12CE" w:rsidRPr="008C335E">
        <w:fldChar w:fldCharType="separate"/>
      </w:r>
      <w:r w:rsidR="00DA7376" w:rsidRPr="00225248">
        <w:t xml:space="preserve">Table </w:t>
      </w:r>
      <w:r w:rsidR="00DA7376">
        <w:rPr>
          <w:noProof/>
        </w:rPr>
        <w:t>13</w:t>
      </w:r>
      <w:r w:rsidR="00DB12CE" w:rsidRPr="008C335E">
        <w:fldChar w:fldCharType="end"/>
      </w:r>
      <w:r w:rsidR="005643A0" w:rsidRPr="008C335E">
        <w:t xml:space="preserve"> below</w:t>
      </w:r>
      <w:r w:rsidR="00215833" w:rsidRPr="008C335E">
        <w:t xml:space="preserve">) and there was no transparency </w:t>
      </w:r>
      <w:r w:rsidR="00632204" w:rsidRPr="008C335E">
        <w:t>regarding</w:t>
      </w:r>
      <w:r w:rsidR="00215833" w:rsidRPr="008C335E">
        <w:t xml:space="preserve"> likely changes in disease trajectory that would have impacts on both survival and quality of life</w:t>
      </w:r>
      <w:r w:rsidR="005643A0" w:rsidRPr="008C335E">
        <w:t>.</w:t>
      </w:r>
      <w:r w:rsidR="00DC69C8" w:rsidRPr="008C335E">
        <w:t xml:space="preserve"> The ESC considered the use of an alternative model structure (e.g. Markov state transition) </w:t>
      </w:r>
      <w:r w:rsidR="00CD78C4" w:rsidRPr="008C335E">
        <w:t xml:space="preserve">would be a more robust approach given events could be tracked and treatments could be explicitly linked with subsequent health states and survival </w:t>
      </w:r>
      <w:r w:rsidR="00CD78C4" w:rsidRPr="008C335E">
        <w:lastRenderedPageBreak/>
        <w:t xml:space="preserve">outcomes. This approach </w:t>
      </w:r>
      <w:r w:rsidR="00DC69C8" w:rsidRPr="008C335E">
        <w:t xml:space="preserve">would </w:t>
      </w:r>
      <w:r w:rsidR="00CD78C4" w:rsidRPr="008C335E">
        <w:t xml:space="preserve">also </w:t>
      </w:r>
      <w:r w:rsidR="00DC69C8" w:rsidRPr="008C335E">
        <w:t>provide greater transparency and the ability to test underlying assumptions in sensitivity analyses.</w:t>
      </w:r>
      <w:bookmarkEnd w:id="55"/>
    </w:p>
    <w:p w14:paraId="479C1AE5" w14:textId="1E0AA50D" w:rsidR="003278B1" w:rsidRPr="008C335E" w:rsidRDefault="00926A2F" w:rsidP="001D1D52">
      <w:pPr>
        <w:pStyle w:val="COMexecsumnumberedpara"/>
      </w:pPr>
      <w:r w:rsidRPr="008C335E">
        <w:t xml:space="preserve">The difference in total cost between arms was primarily driven by blinatumomab drug costs, partially offset by the reduced use of relapsed/refractory treatments. The cost of frontline ASCT had no impact on the economic analysis given the costs were applied upfront to identical proportions of patients in each arm. </w:t>
      </w:r>
      <w:r w:rsidR="00632204" w:rsidRPr="008C335E">
        <w:t xml:space="preserve">As noted above, the ESC considered that this was unlikely to represent clinical practice. </w:t>
      </w:r>
    </w:p>
    <w:p w14:paraId="368FBFEC" w14:textId="52210BF3" w:rsidR="002223B3" w:rsidRPr="008C335E" w:rsidRDefault="002223B3" w:rsidP="001D1D52">
      <w:pPr>
        <w:pStyle w:val="COMexecsumnumberedpara"/>
      </w:pPr>
      <w:r w:rsidRPr="008C335E">
        <w:t xml:space="preserve">The difference in health outcomes between treatment arms was primarily driven by improved survival in patients who were relapse-free and did not receive </w:t>
      </w:r>
      <w:r w:rsidR="00D074CC" w:rsidRPr="008C335E">
        <w:t xml:space="preserve">on-protocol ASCT in the blinatumomab arm. </w:t>
      </w:r>
    </w:p>
    <w:p w14:paraId="4523D2F2" w14:textId="6CF52668" w:rsidR="00AB2495" w:rsidRPr="008C335E" w:rsidRDefault="00CC283C" w:rsidP="001D1D52">
      <w:pPr>
        <w:pStyle w:val="COMexecsumnumberedpara"/>
      </w:pPr>
      <w:r w:rsidRPr="008C335E">
        <w:t xml:space="preserve">Key drivers of the economic model are summarised in </w:t>
      </w:r>
      <w:r w:rsidR="009F230D" w:rsidRPr="008C335E">
        <w:fldChar w:fldCharType="begin" w:fldLock="1"/>
      </w:r>
      <w:r w:rsidR="009F230D" w:rsidRPr="008C335E">
        <w:instrText xml:space="preserve"> REF _Ref104805122 \h </w:instrText>
      </w:r>
      <w:r w:rsidR="00DF0226" w:rsidRPr="008C335E">
        <w:instrText xml:space="preserve"> \* MERGEFORMAT </w:instrText>
      </w:r>
      <w:r w:rsidR="009F230D" w:rsidRPr="008C335E">
        <w:fldChar w:fldCharType="separate"/>
      </w:r>
      <w:r w:rsidR="00356F14" w:rsidRPr="008C335E">
        <w:t xml:space="preserve">Table </w:t>
      </w:r>
      <w:r w:rsidR="00356F14" w:rsidRPr="008C335E">
        <w:rPr>
          <w:noProof/>
        </w:rPr>
        <w:t>13</w:t>
      </w:r>
      <w:r w:rsidR="009F230D" w:rsidRPr="008C335E">
        <w:fldChar w:fldCharType="end"/>
      </w:r>
      <w:r w:rsidRPr="008C335E">
        <w:t>.</w:t>
      </w:r>
    </w:p>
    <w:p w14:paraId="5F53E324" w14:textId="53908520" w:rsidR="003F5846" w:rsidRPr="00225248" w:rsidRDefault="003F5846" w:rsidP="003F5846">
      <w:pPr>
        <w:pStyle w:val="COMtablefigcaption"/>
      </w:pPr>
      <w:bookmarkStart w:id="56" w:name="_Ref104805122"/>
      <w:r w:rsidRPr="00225248">
        <w:t xml:space="preserve">Table </w:t>
      </w:r>
      <w:r w:rsidR="006F0D54">
        <w:fldChar w:fldCharType="begin" w:fldLock="1"/>
      </w:r>
      <w:r w:rsidR="006F0D54">
        <w:instrText xml:space="preserve"> SEQ Table \* ARABIC </w:instrText>
      </w:r>
      <w:r w:rsidR="006F0D54">
        <w:fldChar w:fldCharType="separate"/>
      </w:r>
      <w:r w:rsidR="00356F14">
        <w:rPr>
          <w:noProof/>
        </w:rPr>
        <w:t>13</w:t>
      </w:r>
      <w:r w:rsidR="006F0D54">
        <w:rPr>
          <w:noProof/>
        </w:rPr>
        <w:fldChar w:fldCharType="end"/>
      </w:r>
      <w:bookmarkEnd w:id="56"/>
      <w:r w:rsidRPr="00225248">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3: Key drivers of the model"/>
      </w:tblPr>
      <w:tblGrid>
        <w:gridCol w:w="1535"/>
        <w:gridCol w:w="6146"/>
        <w:gridCol w:w="1336"/>
      </w:tblGrid>
      <w:tr w:rsidR="003F5846" w:rsidRPr="00DF0226" w14:paraId="4891491D" w14:textId="77777777" w:rsidTr="0059709C">
        <w:trPr>
          <w:tblHeader/>
        </w:trPr>
        <w:tc>
          <w:tcPr>
            <w:tcW w:w="851" w:type="pct"/>
            <w:shd w:val="clear" w:color="auto" w:fill="auto"/>
            <w:vAlign w:val="center"/>
          </w:tcPr>
          <w:p w14:paraId="303DC7E7" w14:textId="77777777" w:rsidR="003F5846" w:rsidRPr="008C335E" w:rsidRDefault="003F5846" w:rsidP="0059709C">
            <w:pPr>
              <w:pStyle w:val="COMTableheadingrow"/>
              <w:keepNext w:val="0"/>
            </w:pPr>
            <w:r w:rsidRPr="008C335E">
              <w:t>Description</w:t>
            </w:r>
          </w:p>
        </w:tc>
        <w:tc>
          <w:tcPr>
            <w:tcW w:w="3407" w:type="pct"/>
            <w:shd w:val="clear" w:color="auto" w:fill="auto"/>
            <w:vAlign w:val="center"/>
          </w:tcPr>
          <w:p w14:paraId="4D2AAB01" w14:textId="77777777" w:rsidR="003F5846" w:rsidRPr="008C335E" w:rsidRDefault="003F5846" w:rsidP="0059709C">
            <w:pPr>
              <w:pStyle w:val="COMTableheadingrow"/>
              <w:keepNext w:val="0"/>
            </w:pPr>
            <w:r w:rsidRPr="008C335E">
              <w:t>Method/Value</w:t>
            </w:r>
          </w:p>
        </w:tc>
        <w:tc>
          <w:tcPr>
            <w:tcW w:w="741" w:type="pct"/>
            <w:shd w:val="clear" w:color="auto" w:fill="auto"/>
            <w:vAlign w:val="center"/>
          </w:tcPr>
          <w:p w14:paraId="09BD91DC" w14:textId="4207CDEE" w:rsidR="003F5846" w:rsidRPr="008C335E" w:rsidRDefault="003F5846" w:rsidP="0059709C">
            <w:pPr>
              <w:pStyle w:val="COMTableheadingrow"/>
              <w:keepNext w:val="0"/>
            </w:pPr>
            <w:r w:rsidRPr="008C335E">
              <w:t>Impact</w:t>
            </w:r>
          </w:p>
        </w:tc>
      </w:tr>
      <w:tr w:rsidR="003F5846" w:rsidRPr="00DF0226" w14:paraId="60A61B75" w14:textId="77777777" w:rsidTr="0059709C">
        <w:tc>
          <w:tcPr>
            <w:tcW w:w="851" w:type="pct"/>
            <w:shd w:val="clear" w:color="auto" w:fill="auto"/>
            <w:vAlign w:val="center"/>
          </w:tcPr>
          <w:p w14:paraId="08AEAD1D" w14:textId="6B0FE17C" w:rsidR="003F5846" w:rsidRPr="008C335E" w:rsidRDefault="00CC283C" w:rsidP="0059709C">
            <w:pPr>
              <w:pStyle w:val="COMTabletext"/>
              <w:keepNext w:val="0"/>
              <w:widowControl w:val="0"/>
            </w:pPr>
            <w:r w:rsidRPr="008C335E">
              <w:t>Model structure</w:t>
            </w:r>
          </w:p>
        </w:tc>
        <w:tc>
          <w:tcPr>
            <w:tcW w:w="3407" w:type="pct"/>
            <w:shd w:val="clear" w:color="auto" w:fill="auto"/>
            <w:vAlign w:val="center"/>
          </w:tcPr>
          <w:p w14:paraId="6122E4B2" w14:textId="6F850F9C" w:rsidR="003F5846" w:rsidRPr="008C335E" w:rsidRDefault="00861794" w:rsidP="0059709C">
            <w:pPr>
              <w:widowControl w:val="0"/>
              <w:jc w:val="left"/>
              <w:rPr>
                <w:rFonts w:ascii="Arial Narrow" w:eastAsiaTheme="majorEastAsia" w:hAnsi="Arial Narrow" w:cstheme="majorBidi"/>
                <w:bCs/>
                <w:sz w:val="20"/>
              </w:rPr>
            </w:pPr>
            <w:r w:rsidRPr="008C335E">
              <w:rPr>
                <w:rFonts w:ascii="Arial Narrow" w:eastAsiaTheme="majorEastAsia" w:hAnsi="Arial Narrow" w:cstheme="majorBidi"/>
                <w:bCs/>
                <w:sz w:val="20"/>
              </w:rPr>
              <w:t>The incorporation of ASCT health states within a partitioned survival analysis was complex and did not appear</w:t>
            </w:r>
            <w:r w:rsidR="00521134" w:rsidRPr="008C335E">
              <w:rPr>
                <w:rFonts w:ascii="Arial Narrow" w:eastAsiaTheme="majorEastAsia" w:hAnsi="Arial Narrow" w:cstheme="majorBidi"/>
                <w:bCs/>
                <w:sz w:val="20"/>
              </w:rPr>
              <w:t xml:space="preserve"> to be</w:t>
            </w:r>
            <w:r w:rsidRPr="008C335E">
              <w:rPr>
                <w:rFonts w:ascii="Arial Narrow" w:eastAsiaTheme="majorEastAsia" w:hAnsi="Arial Narrow" w:cstheme="majorBidi"/>
                <w:bCs/>
                <w:sz w:val="20"/>
              </w:rPr>
              <w:t xml:space="preserve"> informative of the costs and consequences associated with alternative treatment pathways. </w:t>
            </w:r>
            <w:r w:rsidR="00EF2930" w:rsidRPr="008C335E">
              <w:rPr>
                <w:rFonts w:ascii="Arial Narrow" w:eastAsiaTheme="majorEastAsia" w:hAnsi="Arial Narrow" w:cstheme="majorBidi"/>
                <w:bCs/>
                <w:sz w:val="20"/>
              </w:rPr>
              <w:t>The evaluation considered i</w:t>
            </w:r>
            <w:r w:rsidRPr="008C335E">
              <w:rPr>
                <w:rFonts w:ascii="Arial Narrow" w:eastAsiaTheme="majorEastAsia" w:hAnsi="Arial Narrow" w:cstheme="majorBidi"/>
                <w:bCs/>
                <w:sz w:val="20"/>
              </w:rPr>
              <w:t>t would be more appropriate to consider Markov state transition or microsimulation models given their ability to track events and explicitly link treatments received with disease status and survival outcomes.</w:t>
            </w:r>
            <w:r w:rsidR="00027835" w:rsidRPr="008C335E">
              <w:rPr>
                <w:rFonts w:ascii="Arial Narrow" w:eastAsiaTheme="majorEastAsia" w:hAnsi="Arial Narrow" w:cstheme="majorBidi"/>
                <w:bCs/>
                <w:sz w:val="20"/>
              </w:rPr>
              <w:t xml:space="preserve"> The PSCR stated that the survival benefits in the model are driven by the magnitude and duration of survival benefits observed in the E1910 trial, stratified by ASCT. As such, the PSCR argued that each of these model types is likely to generate comparable results given the use of the same trial data to generate assumptions regarding the extrapolation of long-term outcomes. The ESC agreed with the evaluation that a Markov state transition model structure would be a more robust approach that would provide greater transparency and the ability to test underlying assumptions in sensitivity analyses.</w:t>
            </w:r>
            <w:r w:rsidR="00EF2930" w:rsidRPr="008C335E">
              <w:rPr>
                <w:rFonts w:ascii="Arial Narrow" w:eastAsiaTheme="majorEastAsia" w:hAnsi="Arial Narrow" w:cstheme="majorBidi"/>
                <w:bCs/>
                <w:sz w:val="20"/>
              </w:rPr>
              <w:t xml:space="preserve"> </w:t>
            </w:r>
          </w:p>
        </w:tc>
        <w:tc>
          <w:tcPr>
            <w:tcW w:w="741" w:type="pct"/>
            <w:shd w:val="clear" w:color="auto" w:fill="auto"/>
            <w:vAlign w:val="center"/>
          </w:tcPr>
          <w:p w14:paraId="7A4C6AB2" w14:textId="5CB48934" w:rsidR="003F5846" w:rsidRPr="008C335E" w:rsidRDefault="00CC283C" w:rsidP="0059709C">
            <w:pPr>
              <w:pStyle w:val="COMTabletext"/>
              <w:keepNext w:val="0"/>
              <w:widowControl w:val="0"/>
              <w:jc w:val="center"/>
            </w:pPr>
            <w:r w:rsidRPr="008C335E">
              <w:t>Unclear</w:t>
            </w:r>
          </w:p>
        </w:tc>
      </w:tr>
      <w:tr w:rsidR="00877523" w:rsidRPr="00DF0226" w14:paraId="46273F99" w14:textId="77777777" w:rsidTr="0059709C">
        <w:tc>
          <w:tcPr>
            <w:tcW w:w="851" w:type="pct"/>
            <w:shd w:val="clear" w:color="auto" w:fill="auto"/>
            <w:vAlign w:val="center"/>
          </w:tcPr>
          <w:p w14:paraId="56D9E496" w14:textId="7A7F7D9F" w:rsidR="00877523" w:rsidRPr="008C335E" w:rsidRDefault="00A91E8B" w:rsidP="0059709C">
            <w:pPr>
              <w:pStyle w:val="COMTabletext"/>
              <w:keepNext w:val="0"/>
              <w:widowControl w:val="0"/>
            </w:pPr>
            <w:r w:rsidRPr="008C335E">
              <w:t>Extrapolated survival benefit</w:t>
            </w:r>
          </w:p>
        </w:tc>
        <w:tc>
          <w:tcPr>
            <w:tcW w:w="3407" w:type="pct"/>
            <w:shd w:val="clear" w:color="auto" w:fill="auto"/>
            <w:vAlign w:val="center"/>
          </w:tcPr>
          <w:p w14:paraId="7DD7C441" w14:textId="5D0F580F" w:rsidR="003213A2" w:rsidRPr="008C335E" w:rsidRDefault="00521072" w:rsidP="0059709C">
            <w:pPr>
              <w:pStyle w:val="COMTabletext"/>
              <w:keepNext w:val="0"/>
              <w:widowControl w:val="0"/>
            </w:pPr>
            <w:r w:rsidRPr="008C335E">
              <w:t xml:space="preserve">The </w:t>
            </w:r>
            <w:r w:rsidR="00143586" w:rsidRPr="008C335E">
              <w:t>clinical plausibility</w:t>
            </w:r>
            <w:r w:rsidRPr="008C335E">
              <w:t xml:space="preserve"> of extrapolate</w:t>
            </w:r>
            <w:r w:rsidR="008507D4" w:rsidRPr="008C335E">
              <w:t>d</w:t>
            </w:r>
            <w:r w:rsidRPr="008C335E">
              <w:t xml:space="preserve"> </w:t>
            </w:r>
            <w:r w:rsidR="00554DED" w:rsidRPr="008C335E">
              <w:t xml:space="preserve">survival benefits </w:t>
            </w:r>
            <w:r w:rsidR="004F2644" w:rsidRPr="008C335E">
              <w:t xml:space="preserve">based on mixture cure models </w:t>
            </w:r>
            <w:r w:rsidR="00554DED" w:rsidRPr="008C335E">
              <w:t>was</w:t>
            </w:r>
            <w:r w:rsidR="00143586" w:rsidRPr="008C335E">
              <w:t xml:space="preserve"> uncertain.</w:t>
            </w:r>
            <w:r w:rsidR="00554DED" w:rsidRPr="008C335E">
              <w:t xml:space="preserve"> </w:t>
            </w:r>
            <w:r w:rsidR="002A53AA" w:rsidRPr="008C335E">
              <w:t xml:space="preserve">The </w:t>
            </w:r>
            <w:r w:rsidR="00143586" w:rsidRPr="008C335E">
              <w:t>clinical plausibility</w:t>
            </w:r>
            <w:r w:rsidR="002A53AA" w:rsidRPr="008C335E">
              <w:t xml:space="preserve"> of modelled survival benefits is discussed further under </w:t>
            </w:r>
            <w:r w:rsidR="00EA0DA7" w:rsidRPr="008C335E">
              <w:fldChar w:fldCharType="begin" w:fldLock="1"/>
            </w:r>
            <w:r w:rsidR="00EA0DA7" w:rsidRPr="008C335E">
              <w:instrText xml:space="preserve"> REF _Ref166495108 \h  \* MERGEFORMAT </w:instrText>
            </w:r>
            <w:r w:rsidR="00EA0DA7" w:rsidRPr="008C335E">
              <w:fldChar w:fldCharType="separate"/>
            </w:r>
            <w:r w:rsidR="00C566B3" w:rsidRPr="000C524A">
              <w:t xml:space="preserve">Figure </w:t>
            </w:r>
            <w:r w:rsidR="00C566B3">
              <w:rPr>
                <w:noProof/>
              </w:rPr>
              <w:t>8</w:t>
            </w:r>
            <w:r w:rsidR="00EA0DA7" w:rsidRPr="008C335E">
              <w:fldChar w:fldCharType="end"/>
            </w:r>
            <w:r w:rsidR="00EA0DA7" w:rsidRPr="008C335E">
              <w:t xml:space="preserve"> </w:t>
            </w:r>
            <w:r w:rsidR="002A53AA" w:rsidRPr="008C335E">
              <w:t>below.</w:t>
            </w:r>
          </w:p>
          <w:p w14:paraId="28BF0EEB" w14:textId="77777777" w:rsidR="003213A2" w:rsidRPr="008C335E" w:rsidRDefault="003213A2" w:rsidP="0059709C">
            <w:pPr>
              <w:pStyle w:val="COMTabletext"/>
              <w:keepNext w:val="0"/>
              <w:widowControl w:val="0"/>
            </w:pPr>
          </w:p>
          <w:p w14:paraId="002327A9" w14:textId="5990F2CA" w:rsidR="00877523" w:rsidRPr="008C335E" w:rsidRDefault="00ED6786" w:rsidP="0059709C">
            <w:pPr>
              <w:pStyle w:val="COMTabletext"/>
              <w:keepNext w:val="0"/>
              <w:widowControl w:val="0"/>
            </w:pPr>
            <w:r w:rsidRPr="008C335E">
              <w:t xml:space="preserve">The assumption that </w:t>
            </w:r>
            <w:r w:rsidR="003213A2" w:rsidRPr="008C335E">
              <w:t>statistically</w:t>
            </w:r>
            <w:r w:rsidRPr="008C335E">
              <w:t xml:space="preserve"> cured patients have no excess mortality appears optimistic given some of these patients are likely to experience long-term disease-related and/or treatment-related complications. The trial data indicated that some patients would have received multiple lines of therapy including chemotherapy for up to 3 years and/or allogeneic stem cell transplant and other immunotherapies.</w:t>
            </w:r>
          </w:p>
        </w:tc>
        <w:tc>
          <w:tcPr>
            <w:tcW w:w="741" w:type="pct"/>
            <w:shd w:val="clear" w:color="auto" w:fill="auto"/>
            <w:vAlign w:val="center"/>
          </w:tcPr>
          <w:p w14:paraId="5FB537B7" w14:textId="50EEC262" w:rsidR="00877523" w:rsidRPr="008C335E" w:rsidRDefault="00A91E8B" w:rsidP="0059709C">
            <w:pPr>
              <w:pStyle w:val="COMTabletext"/>
              <w:keepNext w:val="0"/>
              <w:widowControl w:val="0"/>
              <w:jc w:val="center"/>
            </w:pPr>
            <w:r w:rsidRPr="008C335E">
              <w:t>High, favours blinatumomab</w:t>
            </w:r>
          </w:p>
        </w:tc>
      </w:tr>
      <w:tr w:rsidR="003F5846" w:rsidRPr="00DF0226" w14:paraId="4AE1FF5F" w14:textId="77777777" w:rsidTr="0059709C">
        <w:tc>
          <w:tcPr>
            <w:tcW w:w="851" w:type="pct"/>
            <w:shd w:val="clear" w:color="auto" w:fill="auto"/>
            <w:vAlign w:val="center"/>
          </w:tcPr>
          <w:p w14:paraId="5F784DD0" w14:textId="737ECC9F" w:rsidR="003F5846" w:rsidRPr="008C335E" w:rsidRDefault="00425405" w:rsidP="0059709C">
            <w:pPr>
              <w:pStyle w:val="COMTabletext"/>
              <w:keepNext w:val="0"/>
              <w:widowControl w:val="0"/>
            </w:pPr>
            <w:r w:rsidRPr="008C335E">
              <w:t>Health state u</w:t>
            </w:r>
            <w:r w:rsidR="003F5846" w:rsidRPr="008C335E">
              <w:t>tilities</w:t>
            </w:r>
          </w:p>
        </w:tc>
        <w:tc>
          <w:tcPr>
            <w:tcW w:w="3407" w:type="pct"/>
            <w:shd w:val="clear" w:color="auto" w:fill="auto"/>
            <w:vAlign w:val="center"/>
          </w:tcPr>
          <w:p w14:paraId="7E12D89D" w14:textId="77777777" w:rsidR="00DA5E6C" w:rsidRPr="008C335E" w:rsidRDefault="008D7318" w:rsidP="0059709C">
            <w:pPr>
              <w:pStyle w:val="COMTabletext"/>
              <w:keepNext w:val="0"/>
              <w:widowControl w:val="0"/>
            </w:pPr>
            <w:r w:rsidRPr="008C335E">
              <w:t>The validity of the utility estimates</w:t>
            </w:r>
            <w:r w:rsidR="0075144D" w:rsidRPr="008C335E">
              <w:t xml:space="preserve"> (0.8534 relapse-free, 0.6920 relapsed disease)</w:t>
            </w:r>
            <w:r w:rsidRPr="008C335E">
              <w:t xml:space="preserve"> could not be determined due to poor documentation on the derivation of these values based on previous blinatumomab submissions</w:t>
            </w:r>
            <w:r w:rsidR="0045032C" w:rsidRPr="008C335E">
              <w:t xml:space="preserve"> for the MRD-positive setting (based on EQ-5D from BLAST propensity score analysis population, regression analysis of EQ-5D from BLAST, mapping of EORTC QLQ-C30 to EQ-5D from TOWER, propensity score-adjusted regression analysis of EQ-5D from BLAST and TOWER)</w:t>
            </w:r>
            <w:r w:rsidRPr="008C335E">
              <w:t xml:space="preserve"> and limited discussion on the applicability of these estimates to the current model. </w:t>
            </w:r>
            <w:r w:rsidR="0075144D" w:rsidRPr="008C335E">
              <w:t xml:space="preserve">The </w:t>
            </w:r>
            <w:r w:rsidR="00E7297D" w:rsidRPr="008C335E">
              <w:t xml:space="preserve">PBAC previously considered that the utility estimates </w:t>
            </w:r>
            <w:r w:rsidR="0045032C" w:rsidRPr="008C335E">
              <w:t xml:space="preserve">were not adequately justified and unlikely to have been conservative (para 7.13, blinatumomab PSD, March 2019 PBAC meeting). </w:t>
            </w:r>
          </w:p>
          <w:p w14:paraId="6FE82D14" w14:textId="77777777" w:rsidR="00DD3E2C" w:rsidRPr="008C335E" w:rsidRDefault="00DD3E2C" w:rsidP="0059709C">
            <w:pPr>
              <w:pStyle w:val="COMTabletext"/>
              <w:keepNext w:val="0"/>
              <w:widowControl w:val="0"/>
            </w:pPr>
          </w:p>
          <w:p w14:paraId="254E1D80" w14:textId="45CA5D3D" w:rsidR="00DD3E2C" w:rsidRPr="008C335E" w:rsidRDefault="00DD3E2C" w:rsidP="0059709C">
            <w:pPr>
              <w:keepNext/>
              <w:keepLines/>
              <w:widowControl w:val="0"/>
              <w:jc w:val="left"/>
              <w:rPr>
                <w:rFonts w:ascii="Arial Narrow" w:eastAsiaTheme="majorEastAsia" w:hAnsi="Arial Narrow" w:cstheme="majorBidi"/>
                <w:bCs/>
                <w:sz w:val="20"/>
              </w:rPr>
            </w:pPr>
            <w:r w:rsidRPr="008C335E">
              <w:rPr>
                <w:rFonts w:ascii="Arial Narrow" w:eastAsiaTheme="majorEastAsia" w:hAnsi="Arial Narrow" w:cstheme="majorBidi"/>
                <w:bCs/>
                <w:sz w:val="20"/>
              </w:rPr>
              <w:lastRenderedPageBreak/>
              <w:t>The use of a higher utility estimate for relapse-free disease in MRD-negative patients (estimated as 0.8534) compared to MRD-positive patients (0.806) was also reliant on the assumption that MRD response is associated with improved quality of life, which was inadequately justified. The estimate for MRD-negative patients appeared optimistic as it exceeds published EQ-5D-3L estimates in the Australian general population (0.85 from age 45 years declining to 0.80 from age 75 years; reported in Clemens 2014).</w:t>
            </w:r>
            <w:r w:rsidR="00F00EB8" w:rsidRPr="008C335E">
              <w:rPr>
                <w:rFonts w:ascii="Arial Narrow" w:eastAsiaTheme="majorEastAsia" w:hAnsi="Arial Narrow" w:cstheme="majorBidi"/>
                <w:bCs/>
                <w:sz w:val="20"/>
              </w:rPr>
              <w:t xml:space="preserve"> The PSCR stated that the utility value applied for the relapse-free state was slightly higher than the value used in the MRD-positive submission as this was a function of the two disease states and is based on the available data from the BLAST trial. The PSCR stated that an updated literature search did not identify any other utility values. The ESC agreed with the evaluation that the use of a higher utility estimate for relapse-free disease in MRD-negative patients was inadequately justified. </w:t>
            </w:r>
            <w:r w:rsidR="00980F3C" w:rsidRPr="008C335E">
              <w:rPr>
                <w:rFonts w:ascii="Arial Narrow" w:eastAsiaTheme="majorEastAsia" w:hAnsi="Arial Narrow" w:cstheme="majorBidi"/>
                <w:bCs/>
                <w:sz w:val="20"/>
              </w:rPr>
              <w:t>Instead, t</w:t>
            </w:r>
            <w:r w:rsidR="00F00EB8" w:rsidRPr="008C335E">
              <w:rPr>
                <w:rFonts w:ascii="Arial Narrow" w:eastAsiaTheme="majorEastAsia" w:hAnsi="Arial Narrow" w:cstheme="majorBidi"/>
                <w:bCs/>
                <w:sz w:val="20"/>
              </w:rPr>
              <w:t xml:space="preserve">he ESC considered </w:t>
            </w:r>
            <w:r w:rsidR="00980F3C" w:rsidRPr="008C335E">
              <w:rPr>
                <w:rFonts w:ascii="Arial Narrow" w:eastAsiaTheme="majorEastAsia" w:hAnsi="Arial Narrow" w:cstheme="majorBidi"/>
                <w:bCs/>
                <w:sz w:val="20"/>
              </w:rPr>
              <w:t xml:space="preserve">the </w:t>
            </w:r>
            <w:r w:rsidR="00F00EB8" w:rsidRPr="008C335E">
              <w:rPr>
                <w:rFonts w:ascii="Arial Narrow" w:eastAsiaTheme="majorEastAsia" w:hAnsi="Arial Narrow" w:cstheme="majorBidi"/>
                <w:bCs/>
                <w:sz w:val="20"/>
              </w:rPr>
              <w:t xml:space="preserve">utility estimate for </w:t>
            </w:r>
            <w:r w:rsidR="00980F3C" w:rsidRPr="008C335E">
              <w:rPr>
                <w:rFonts w:ascii="Arial Narrow" w:eastAsiaTheme="majorEastAsia" w:hAnsi="Arial Narrow" w:cstheme="majorBidi"/>
                <w:bCs/>
                <w:sz w:val="20"/>
              </w:rPr>
              <w:t xml:space="preserve">relapse-free disease in </w:t>
            </w:r>
            <w:r w:rsidR="00F00EB8" w:rsidRPr="008C335E">
              <w:rPr>
                <w:rFonts w:ascii="Arial Narrow" w:eastAsiaTheme="majorEastAsia" w:hAnsi="Arial Narrow" w:cstheme="majorBidi"/>
                <w:bCs/>
                <w:sz w:val="20"/>
              </w:rPr>
              <w:t>MRD-positive patients (0.806)</w:t>
            </w:r>
            <w:r w:rsidR="00980F3C" w:rsidRPr="008C335E">
              <w:rPr>
                <w:rFonts w:ascii="Arial Narrow" w:eastAsiaTheme="majorEastAsia" w:hAnsi="Arial Narrow" w:cstheme="majorBidi"/>
                <w:bCs/>
                <w:sz w:val="20"/>
              </w:rPr>
              <w:t xml:space="preserve"> should be applied</w:t>
            </w:r>
            <w:r w:rsidR="00F00EB8" w:rsidRPr="008C335E">
              <w:rPr>
                <w:rFonts w:ascii="Arial Narrow" w:eastAsiaTheme="majorEastAsia" w:hAnsi="Arial Narrow" w:cstheme="majorBidi"/>
                <w:bCs/>
                <w:sz w:val="20"/>
              </w:rPr>
              <w:t xml:space="preserve"> to </w:t>
            </w:r>
            <w:r w:rsidR="00980F3C" w:rsidRPr="008C335E">
              <w:rPr>
                <w:rFonts w:ascii="Arial Narrow" w:eastAsiaTheme="majorEastAsia" w:hAnsi="Arial Narrow" w:cstheme="majorBidi"/>
                <w:bCs/>
                <w:sz w:val="20"/>
              </w:rPr>
              <w:t>MRD-negative patients in the relapse-free disease health state</w:t>
            </w:r>
            <w:r w:rsidR="00F00EB8" w:rsidRPr="008C335E">
              <w:rPr>
                <w:rFonts w:ascii="Arial Narrow" w:eastAsiaTheme="majorEastAsia" w:hAnsi="Arial Narrow" w:cstheme="majorBidi"/>
                <w:bCs/>
                <w:sz w:val="20"/>
              </w:rPr>
              <w:t>.</w:t>
            </w:r>
            <w:r w:rsidR="00BD06C1">
              <w:rPr>
                <w:rFonts w:ascii="Arial Narrow" w:eastAsiaTheme="majorEastAsia" w:hAnsi="Arial Narrow" w:cstheme="majorBidi"/>
                <w:bCs/>
                <w:sz w:val="20"/>
              </w:rPr>
              <w:t xml:space="preserve"> The pre-PBAC response applied a utility of 0.806 </w:t>
            </w:r>
            <w:r w:rsidR="00BD06C1" w:rsidRPr="008C335E">
              <w:rPr>
                <w:rFonts w:ascii="Arial Narrow" w:eastAsiaTheme="majorEastAsia" w:hAnsi="Arial Narrow" w:cstheme="majorBidi"/>
                <w:bCs/>
                <w:sz w:val="20"/>
              </w:rPr>
              <w:t>to MRD-negative patients in the relapse-free disease health state</w:t>
            </w:r>
            <w:r w:rsidR="00BD06C1">
              <w:rPr>
                <w:rFonts w:ascii="Arial Narrow" w:eastAsiaTheme="majorEastAsia" w:hAnsi="Arial Narrow" w:cstheme="majorBidi"/>
                <w:bCs/>
                <w:sz w:val="20"/>
              </w:rPr>
              <w:t xml:space="preserve"> in a revised base case.</w:t>
            </w:r>
          </w:p>
        </w:tc>
        <w:tc>
          <w:tcPr>
            <w:tcW w:w="741" w:type="pct"/>
            <w:shd w:val="clear" w:color="auto" w:fill="auto"/>
            <w:vAlign w:val="center"/>
          </w:tcPr>
          <w:p w14:paraId="40CE716B" w14:textId="7824F83F" w:rsidR="003F5846" w:rsidRPr="008C335E" w:rsidRDefault="00877523" w:rsidP="0059709C">
            <w:pPr>
              <w:pStyle w:val="COMTabletext"/>
              <w:keepNext w:val="0"/>
              <w:widowControl w:val="0"/>
              <w:jc w:val="center"/>
            </w:pPr>
            <w:r w:rsidRPr="008C335E">
              <w:lastRenderedPageBreak/>
              <w:t>Moderate</w:t>
            </w:r>
            <w:r w:rsidR="003F5846" w:rsidRPr="008C335E">
              <w:t xml:space="preserve">, favours </w:t>
            </w:r>
            <w:r w:rsidRPr="008C335E">
              <w:t>blinatumomab</w:t>
            </w:r>
          </w:p>
        </w:tc>
      </w:tr>
      <w:tr w:rsidR="003F5846" w:rsidRPr="00DF0226" w14:paraId="754B1067" w14:textId="77777777" w:rsidTr="0059709C">
        <w:tc>
          <w:tcPr>
            <w:tcW w:w="851" w:type="pct"/>
            <w:shd w:val="clear" w:color="auto" w:fill="auto"/>
            <w:vAlign w:val="center"/>
          </w:tcPr>
          <w:p w14:paraId="5B0EAFC2" w14:textId="66948D99" w:rsidR="003F5846" w:rsidRPr="008C335E" w:rsidRDefault="009E06E2" w:rsidP="0059709C">
            <w:pPr>
              <w:pStyle w:val="COMTabletext"/>
              <w:keepNext w:val="0"/>
              <w:widowControl w:val="0"/>
            </w:pPr>
            <w:r w:rsidRPr="008C335E">
              <w:t>Relapsed/refractory treatment costs</w:t>
            </w:r>
          </w:p>
        </w:tc>
        <w:tc>
          <w:tcPr>
            <w:tcW w:w="3407" w:type="pct"/>
            <w:shd w:val="clear" w:color="auto" w:fill="auto"/>
            <w:vAlign w:val="center"/>
          </w:tcPr>
          <w:p w14:paraId="49B91BAB" w14:textId="19EFD5C9" w:rsidR="003F5846" w:rsidRPr="008C335E" w:rsidRDefault="00E14522" w:rsidP="0059709C">
            <w:pPr>
              <w:pStyle w:val="COMTabletext"/>
              <w:keepNext w:val="0"/>
              <w:widowControl w:val="0"/>
            </w:pPr>
            <w:r w:rsidRPr="008C335E">
              <w:t>Relapsed/refractory treatment costs were based on the w</w:t>
            </w:r>
            <w:r w:rsidR="004E4110" w:rsidRPr="008C335E">
              <w:t xml:space="preserve">eighted cost </w:t>
            </w:r>
            <w:r w:rsidRPr="008C335E">
              <w:t>of</w:t>
            </w:r>
            <w:r w:rsidR="00DF1C28" w:rsidRPr="008C335E">
              <w:t xml:space="preserve"> the </w:t>
            </w:r>
            <w:proofErr w:type="gramStart"/>
            <w:r w:rsidR="00DF1C28" w:rsidRPr="008C335E">
              <w:t>most commonly used</w:t>
            </w:r>
            <w:proofErr w:type="gramEnd"/>
            <w:r w:rsidR="00DF1C28" w:rsidRPr="008C335E">
              <w:t xml:space="preserve"> off-protocol treatments in the </w:t>
            </w:r>
            <w:r w:rsidR="002C36A4" w:rsidRPr="008C335E">
              <w:t xml:space="preserve">standard of care arm of the </w:t>
            </w:r>
            <w:r w:rsidR="00DF1C28" w:rsidRPr="008C335E">
              <w:t>E1910 trial (</w:t>
            </w:r>
            <w:r w:rsidR="002C36A4" w:rsidRPr="008C335E">
              <w:t xml:space="preserve">68.8% </w:t>
            </w:r>
            <w:r w:rsidR="00DF1C28" w:rsidRPr="008C335E">
              <w:t xml:space="preserve">blinatumomab, </w:t>
            </w:r>
            <w:r w:rsidR="002C36A4" w:rsidRPr="008C335E">
              <w:t xml:space="preserve">46.9% </w:t>
            </w:r>
            <w:r w:rsidR="00DF1C28" w:rsidRPr="008C335E">
              <w:t xml:space="preserve">ASCT, </w:t>
            </w:r>
            <w:r w:rsidR="002C36A4" w:rsidRPr="008C335E">
              <w:t xml:space="preserve">18.8% </w:t>
            </w:r>
            <w:r w:rsidR="00DF1C28" w:rsidRPr="008C335E">
              <w:t>chemotherapy)</w:t>
            </w:r>
            <w:r w:rsidR="001F3565" w:rsidRPr="008C335E">
              <w:t xml:space="preserve"> applied to </w:t>
            </w:r>
            <w:r w:rsidR="00D5651F" w:rsidRPr="008C335E">
              <w:t>an estimated proportion of patients wh</w:t>
            </w:r>
            <w:r w:rsidR="00622A3E" w:rsidRPr="008C335E">
              <w:t>o experience relapse in the model</w:t>
            </w:r>
            <w:r w:rsidR="0079299F" w:rsidRPr="008C335E">
              <w:t>.</w:t>
            </w:r>
            <w:r w:rsidR="00622A3E" w:rsidRPr="008C335E">
              <w:t xml:space="preserve"> </w:t>
            </w:r>
            <w:r w:rsidR="0079299F" w:rsidRPr="008C335E">
              <w:t xml:space="preserve">The submission acknowledged that the model does not explicitly track the occurrence of events and that the partitioned survival analysis is unable to differentiate between deaths in patients who are relapse-free and those who experienced </w:t>
            </w:r>
            <w:r w:rsidR="00D8109C" w:rsidRPr="008C335E">
              <w:t>relapse</w:t>
            </w:r>
            <w:r w:rsidR="0079299F" w:rsidRPr="008C335E">
              <w:t xml:space="preserve">. Therefore, the submission used the distribution of events (i.e. relapses versus deaths) reported for relapse-free survival in the whole MRD-negative cohort in the trial, assuming that all relapse events were treated (60% blinatumomab, 74.4% standard of care).  </w:t>
            </w:r>
          </w:p>
          <w:p w14:paraId="52DB0286" w14:textId="77777777" w:rsidR="00003A7A" w:rsidRPr="008C335E" w:rsidRDefault="00003A7A" w:rsidP="0059709C">
            <w:pPr>
              <w:pStyle w:val="COMTabletext"/>
              <w:keepNext w:val="0"/>
              <w:widowControl w:val="0"/>
            </w:pPr>
          </w:p>
          <w:p w14:paraId="149AB659" w14:textId="357B557E" w:rsidR="00003A7A" w:rsidRPr="008C335E" w:rsidRDefault="00003A7A" w:rsidP="0059709C">
            <w:pPr>
              <w:pStyle w:val="COMTabletext"/>
              <w:keepNext w:val="0"/>
              <w:widowControl w:val="0"/>
            </w:pPr>
            <w:r w:rsidRPr="008C335E">
              <w:t>Modelled relapsed/refractory treatment costs were highly uncertain due to the following issues:</w:t>
            </w:r>
          </w:p>
          <w:p w14:paraId="67EF0039" w14:textId="5A633BA2" w:rsidR="00BA7379" w:rsidRPr="008C335E" w:rsidRDefault="00003A7A" w:rsidP="0059709C">
            <w:pPr>
              <w:pStyle w:val="COMTabletext"/>
              <w:keepNext w:val="0"/>
              <w:widowControl w:val="0"/>
              <w:numPr>
                <w:ilvl w:val="0"/>
                <w:numId w:val="8"/>
              </w:numPr>
            </w:pPr>
            <w:r w:rsidRPr="008C335E">
              <w:t>The</w:t>
            </w:r>
            <w:r w:rsidR="00694526" w:rsidRPr="008C335E">
              <w:t xml:space="preserve"> submissio</w:t>
            </w:r>
            <w:r w:rsidR="009D0457" w:rsidRPr="008C335E">
              <w:t xml:space="preserve">n noted that the assumed use of blinatumomab as subsequent treatment in the blinatumomab arm was inconsistent with the </w:t>
            </w:r>
            <w:r w:rsidR="00EA6C66" w:rsidRPr="008C335E">
              <w:t>trial but</w:t>
            </w:r>
            <w:r w:rsidR="009D0457" w:rsidRPr="008C335E">
              <w:t xml:space="preserve"> claimed that the approach </w:t>
            </w:r>
            <w:r w:rsidR="004E5B03" w:rsidRPr="008C335E">
              <w:t>was conservative given the addition of blinatumomab treatment costs with no change to modelled outcomes.</w:t>
            </w:r>
            <w:r w:rsidR="0028590E" w:rsidRPr="008C335E">
              <w:t xml:space="preserve"> </w:t>
            </w:r>
            <w:r w:rsidR="006C6D86" w:rsidRPr="008C335E">
              <w:t>The approach assumes no impact on the choice of subsequent treatments following earlier use of blinatumomab (including the use of blinatumomab for relapsed/refractory disease).</w:t>
            </w:r>
          </w:p>
          <w:p w14:paraId="7E912DA6" w14:textId="6B53A1D4" w:rsidR="00EA6C66" w:rsidRPr="008C335E" w:rsidRDefault="002B6B18" w:rsidP="0059709C">
            <w:pPr>
              <w:pStyle w:val="COMTabletext"/>
              <w:keepNext w:val="0"/>
              <w:widowControl w:val="0"/>
              <w:numPr>
                <w:ilvl w:val="0"/>
                <w:numId w:val="8"/>
              </w:numPr>
            </w:pPr>
            <w:r w:rsidRPr="008C335E">
              <w:t>The approach inappropriately assumes that off-protocol treatment use in the trial was representative of treatments used in the relapsed/refractory setting.</w:t>
            </w:r>
          </w:p>
          <w:p w14:paraId="46362078" w14:textId="258867CC" w:rsidR="00AA7DB3" w:rsidRPr="008C335E" w:rsidRDefault="006C6D86" w:rsidP="0059709C">
            <w:pPr>
              <w:pStyle w:val="COMTabletext"/>
              <w:keepNext w:val="0"/>
              <w:widowControl w:val="0"/>
              <w:numPr>
                <w:ilvl w:val="0"/>
                <w:numId w:val="8"/>
              </w:numPr>
            </w:pPr>
            <w:r w:rsidRPr="008C335E">
              <w:t xml:space="preserve">The approach assumes </w:t>
            </w:r>
            <w:r w:rsidR="00AA11CA" w:rsidRPr="008C335E">
              <w:t>the same relapsed/refractory treatments are used despite receipt of on-protocol ASCT</w:t>
            </w:r>
            <w:r w:rsidR="00AA7DB3" w:rsidRPr="008C335E">
              <w:t xml:space="preserve">. </w:t>
            </w:r>
            <w:r w:rsidR="00C1425B" w:rsidRPr="008C335E">
              <w:t>The application of the same uptake rates effectively assumes that 47% of patients who relapse after ASCT would undergo ASCT again, which does not meet face validity.</w:t>
            </w:r>
          </w:p>
          <w:p w14:paraId="6F6D6BEC" w14:textId="12CB883A" w:rsidR="00B9799A" w:rsidRPr="008C335E" w:rsidRDefault="00B9799A" w:rsidP="0059709C">
            <w:pPr>
              <w:pStyle w:val="COMTabletext"/>
              <w:keepNext w:val="0"/>
              <w:widowControl w:val="0"/>
              <w:numPr>
                <w:ilvl w:val="0"/>
                <w:numId w:val="8"/>
              </w:numPr>
            </w:pPr>
            <w:r w:rsidRPr="008C335E">
              <w:t xml:space="preserve">The cost of blinatumomab </w:t>
            </w:r>
            <w:r w:rsidR="00D364E9" w:rsidRPr="008C335E">
              <w:t>was based on 53 vials, which appears to be based on the cost of blinatumomab in the MRD-positive setting, rather than 42 vials for relapsed/refractory disease (Table 3, blinatumomab PSD, July 2019 PBAC m</w:t>
            </w:r>
            <w:r w:rsidR="00EE600D" w:rsidRPr="008C335E">
              <w:t>e</w:t>
            </w:r>
            <w:r w:rsidR="00D364E9" w:rsidRPr="008C335E">
              <w:t>eting).</w:t>
            </w:r>
          </w:p>
          <w:p w14:paraId="2AEF93B7" w14:textId="77777777" w:rsidR="00AA7DB3" w:rsidRPr="008C335E" w:rsidRDefault="00AA7DB3" w:rsidP="0059709C">
            <w:pPr>
              <w:pStyle w:val="COMTabletext"/>
              <w:keepNext w:val="0"/>
              <w:widowControl w:val="0"/>
              <w:numPr>
                <w:ilvl w:val="0"/>
                <w:numId w:val="8"/>
              </w:numPr>
            </w:pPr>
            <w:r w:rsidRPr="008C335E">
              <w:t>Drug and hospitalisation costs associated with relapsed/refractory chemotherapy were incorrectly estimated in the submission using the ALLG ALL06 protocol for consolidation chemotherapy (following induction chemotherapy) rather than salvage chemotherapy for recurrent disease.</w:t>
            </w:r>
          </w:p>
          <w:p w14:paraId="16015D27" w14:textId="77777777" w:rsidR="00AD2886" w:rsidRPr="008C335E" w:rsidRDefault="00AD2886" w:rsidP="0059709C">
            <w:pPr>
              <w:pStyle w:val="COMTabletext"/>
              <w:keepNext w:val="0"/>
              <w:widowControl w:val="0"/>
              <w:numPr>
                <w:ilvl w:val="0"/>
                <w:numId w:val="8"/>
              </w:numPr>
            </w:pPr>
            <w:r w:rsidRPr="008C335E">
              <w:t xml:space="preserve">ASCT costs were based on a relatively old study (Gordon 2009) and may not be representative of current practice. The submission’s inflation adjustment </w:t>
            </w:r>
            <w:r w:rsidRPr="008C335E">
              <w:lastRenderedPageBreak/>
              <w:t xml:space="preserve">was inappropriate. </w:t>
            </w:r>
          </w:p>
          <w:p w14:paraId="5D7993EB" w14:textId="22CCF66A" w:rsidR="00AC1F66" w:rsidRPr="008C335E" w:rsidRDefault="00AC1F66" w:rsidP="0059709C">
            <w:pPr>
              <w:pStyle w:val="COMTabletext"/>
              <w:keepNext w:val="0"/>
              <w:widowControl w:val="0"/>
              <w:numPr>
                <w:ilvl w:val="0"/>
                <w:numId w:val="8"/>
              </w:numPr>
            </w:pPr>
            <w:r w:rsidRPr="008C335E">
              <w:t>The application of the weighted cost effectively distributes the full cost of all treatments in a single model cycle irrespective of time on treatment or treatment modality.</w:t>
            </w:r>
          </w:p>
        </w:tc>
        <w:tc>
          <w:tcPr>
            <w:tcW w:w="741" w:type="pct"/>
            <w:shd w:val="clear" w:color="auto" w:fill="auto"/>
            <w:vAlign w:val="center"/>
          </w:tcPr>
          <w:p w14:paraId="1C2C9489" w14:textId="4DA3B1DA" w:rsidR="003F5846" w:rsidRPr="008C335E" w:rsidRDefault="009E06E2" w:rsidP="0059709C">
            <w:pPr>
              <w:pStyle w:val="COMTabletext"/>
              <w:keepNext w:val="0"/>
              <w:widowControl w:val="0"/>
              <w:jc w:val="center"/>
            </w:pPr>
            <w:r w:rsidRPr="008C335E">
              <w:lastRenderedPageBreak/>
              <w:t>Moderate, direction unclear</w:t>
            </w:r>
          </w:p>
        </w:tc>
      </w:tr>
    </w:tbl>
    <w:p w14:paraId="4AF4244C" w14:textId="03BCD6C9" w:rsidR="003F5846" w:rsidRDefault="003F5846" w:rsidP="003F5846">
      <w:pPr>
        <w:pStyle w:val="COMTablefooter"/>
      </w:pPr>
      <w:r w:rsidRPr="00225248">
        <w:t xml:space="preserve">Source: </w:t>
      </w:r>
      <w:r w:rsidR="00310CB3">
        <w:t>constructed during the evaluation based on Section 3</w:t>
      </w:r>
      <w:r w:rsidR="008B427E">
        <w:t xml:space="preserve">and the blinatumomab </w:t>
      </w:r>
      <w:r w:rsidR="00C82DCA">
        <w:t>economic</w:t>
      </w:r>
      <w:r w:rsidR="008B427E">
        <w:t xml:space="preserve"> model of the submission</w:t>
      </w:r>
    </w:p>
    <w:p w14:paraId="3B3D8C6C" w14:textId="2B1D925C" w:rsidR="001951A6" w:rsidRPr="001951A6" w:rsidRDefault="001951A6" w:rsidP="001951A6">
      <w:pPr>
        <w:pStyle w:val="COMTablefooter"/>
      </w:pPr>
      <w:r>
        <w:t>Abbreviations: ASCT, allogeneic stem cell transplant</w:t>
      </w:r>
      <w:r w:rsidR="00DF1C28">
        <w:t>; MRD, minimal residual disease</w:t>
      </w:r>
    </w:p>
    <w:p w14:paraId="6246299B" w14:textId="1F3813FA" w:rsidR="007E27BD" w:rsidRPr="00ED659A" w:rsidRDefault="00DB12CE" w:rsidP="001D1D52">
      <w:pPr>
        <w:pStyle w:val="COMexecsumnumberedpara"/>
      </w:pPr>
      <w:r>
        <w:fldChar w:fldCharType="begin" w:fldLock="1"/>
      </w:r>
      <w:r>
        <w:instrText xml:space="preserve"> REF _Ref166495105 \h </w:instrText>
      </w:r>
      <w:r>
        <w:fldChar w:fldCharType="separate"/>
      </w:r>
      <w:r w:rsidR="00356F14" w:rsidRPr="000C524A">
        <w:t xml:space="preserve">Figure </w:t>
      </w:r>
      <w:r w:rsidR="00356F14">
        <w:rPr>
          <w:noProof/>
        </w:rPr>
        <w:t>7</w:t>
      </w:r>
      <w:r>
        <w:fldChar w:fldCharType="end"/>
      </w:r>
      <w:r>
        <w:t xml:space="preserve"> and </w:t>
      </w:r>
      <w:r>
        <w:fldChar w:fldCharType="begin" w:fldLock="1"/>
      </w:r>
      <w:r>
        <w:instrText xml:space="preserve"> REF _Ref166495108 \h </w:instrText>
      </w:r>
      <w:r>
        <w:fldChar w:fldCharType="separate"/>
      </w:r>
      <w:r w:rsidR="00356F14" w:rsidRPr="000C524A">
        <w:t xml:space="preserve">Figure </w:t>
      </w:r>
      <w:r w:rsidR="00356F14">
        <w:rPr>
          <w:noProof/>
        </w:rPr>
        <w:t>8</w:t>
      </w:r>
      <w:r>
        <w:fldChar w:fldCharType="end"/>
      </w:r>
      <w:r w:rsidR="00B07375" w:rsidRPr="00ED659A">
        <w:t xml:space="preserve"> present the model traces for </w:t>
      </w:r>
      <w:r w:rsidR="007E27BD" w:rsidRPr="00ED659A">
        <w:t>the blinatumomab and standard of care arms, respectively.</w:t>
      </w:r>
    </w:p>
    <w:p w14:paraId="2A3D90F7" w14:textId="5AEE7EA8" w:rsidR="007E27BD" w:rsidRDefault="007E27BD" w:rsidP="00DB12CE">
      <w:pPr>
        <w:pStyle w:val="Caption"/>
      </w:pPr>
      <w:bookmarkStart w:id="57" w:name="_Ref166495105"/>
      <w:r w:rsidRPr="000C524A">
        <w:t xml:space="preserve">Figure </w:t>
      </w:r>
      <w:r w:rsidR="006F0D54">
        <w:fldChar w:fldCharType="begin" w:fldLock="1"/>
      </w:r>
      <w:r w:rsidR="006F0D54">
        <w:instrText xml:space="preserve"> SEQ Figure \* ARABIC </w:instrText>
      </w:r>
      <w:r w:rsidR="006F0D54">
        <w:fldChar w:fldCharType="separate"/>
      </w:r>
      <w:r w:rsidR="00356F14">
        <w:rPr>
          <w:noProof/>
        </w:rPr>
        <w:t>7</w:t>
      </w:r>
      <w:r w:rsidR="006F0D54">
        <w:rPr>
          <w:noProof/>
        </w:rPr>
        <w:fldChar w:fldCharType="end"/>
      </w:r>
      <w:bookmarkEnd w:id="57"/>
      <w:r w:rsidRPr="000C524A">
        <w:t>: Model trace</w:t>
      </w:r>
      <w:r>
        <w:t xml:space="preserve"> </w:t>
      </w:r>
      <w:r w:rsidRPr="000C524A">
        <w:t xml:space="preserve">for </w:t>
      </w:r>
      <w:r>
        <w:t>the blinatumomab arm</w:t>
      </w:r>
    </w:p>
    <w:p w14:paraId="16EF2C13" w14:textId="70F27B98" w:rsidR="007E27BD" w:rsidRDefault="000930AB" w:rsidP="0020672F">
      <w:pPr>
        <w:pStyle w:val="COMTableheadingrow"/>
      </w:pPr>
      <w:r>
        <w:rPr>
          <w:noProof/>
        </w:rPr>
        <w:drawing>
          <wp:inline distT="0" distB="0" distL="0" distR="0" wp14:anchorId="7BE9CF56" wp14:editId="27A32028">
            <wp:extent cx="5761355" cy="2597150"/>
            <wp:effectExtent l="0" t="0" r="0" b="0"/>
            <wp:docPr id="664927203" name="Picture 1" descr="Figure 7: Model trace for the blinatumomab 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927203" name="Picture 1" descr="Figure 7: Model trace for the blinatumomab ar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1355" cy="2597150"/>
                    </a:xfrm>
                    <a:prstGeom prst="rect">
                      <a:avLst/>
                    </a:prstGeom>
                    <a:noFill/>
                  </pic:spPr>
                </pic:pic>
              </a:graphicData>
            </a:graphic>
          </wp:inline>
        </w:drawing>
      </w:r>
    </w:p>
    <w:p w14:paraId="707A8E4B" w14:textId="732857F6" w:rsidR="007E27BD" w:rsidRDefault="007E27BD" w:rsidP="007E27BD">
      <w:pPr>
        <w:pStyle w:val="COMTablefooter"/>
      </w:pPr>
      <w:r>
        <w:t>Source: Figure 3-</w:t>
      </w:r>
      <w:r w:rsidR="00054958">
        <w:t>26 of</w:t>
      </w:r>
      <w:r>
        <w:t xml:space="preserve"> the submission</w:t>
      </w:r>
    </w:p>
    <w:p w14:paraId="28B1D8B2" w14:textId="77777777" w:rsidR="007E27BD" w:rsidRPr="00411876" w:rsidRDefault="007E27BD" w:rsidP="007E27BD">
      <w:pPr>
        <w:pStyle w:val="COMTablefooter"/>
      </w:pPr>
      <w:r>
        <w:t xml:space="preserve">Abbreviations: ASCT, allogeneic stem cell transplant; RD, relapsed disease; RF, relapse-free </w:t>
      </w:r>
    </w:p>
    <w:p w14:paraId="49D2EB79" w14:textId="1480119D" w:rsidR="007E27BD" w:rsidRDefault="007E27BD" w:rsidP="00DB12CE">
      <w:pPr>
        <w:pStyle w:val="Caption"/>
      </w:pPr>
      <w:bookmarkStart w:id="58" w:name="_Ref166495108"/>
      <w:r w:rsidRPr="000C524A">
        <w:t xml:space="preserve">Figure </w:t>
      </w:r>
      <w:r w:rsidR="006F0D54">
        <w:fldChar w:fldCharType="begin" w:fldLock="1"/>
      </w:r>
      <w:r w:rsidR="006F0D54">
        <w:instrText xml:space="preserve"> SEQ Figure \* ARABIC </w:instrText>
      </w:r>
      <w:r w:rsidR="006F0D54">
        <w:fldChar w:fldCharType="separate"/>
      </w:r>
      <w:r w:rsidR="00356F14">
        <w:rPr>
          <w:noProof/>
        </w:rPr>
        <w:t>8</w:t>
      </w:r>
      <w:r w:rsidR="006F0D54">
        <w:rPr>
          <w:noProof/>
        </w:rPr>
        <w:fldChar w:fldCharType="end"/>
      </w:r>
      <w:bookmarkEnd w:id="58"/>
      <w:r w:rsidRPr="000C524A">
        <w:t>: Model trace</w:t>
      </w:r>
      <w:r>
        <w:t xml:space="preserve"> </w:t>
      </w:r>
      <w:r w:rsidRPr="000C524A">
        <w:t xml:space="preserve">for </w:t>
      </w:r>
      <w:r>
        <w:t>the standard of care arm</w:t>
      </w:r>
    </w:p>
    <w:p w14:paraId="3BA04D62" w14:textId="33FE4F4D" w:rsidR="007E27BD" w:rsidRDefault="000930AB" w:rsidP="0020672F">
      <w:pPr>
        <w:pStyle w:val="COMTableheadingrow"/>
      </w:pPr>
      <w:r>
        <w:rPr>
          <w:noProof/>
        </w:rPr>
        <w:drawing>
          <wp:inline distT="0" distB="0" distL="0" distR="0" wp14:anchorId="306C6C75" wp14:editId="5E976230">
            <wp:extent cx="5761355" cy="2603500"/>
            <wp:effectExtent l="0" t="0" r="0" b="6350"/>
            <wp:docPr id="429327978" name="Picture 2" descr="Figure 8: Model trace for the standard of care 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327978" name="Picture 2" descr="Figure 8: Model trace for the standard of care ar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1355" cy="2603500"/>
                    </a:xfrm>
                    <a:prstGeom prst="rect">
                      <a:avLst/>
                    </a:prstGeom>
                    <a:noFill/>
                  </pic:spPr>
                </pic:pic>
              </a:graphicData>
            </a:graphic>
          </wp:inline>
        </w:drawing>
      </w:r>
    </w:p>
    <w:p w14:paraId="0FC58CEF" w14:textId="57899067" w:rsidR="007E27BD" w:rsidRDefault="007E27BD" w:rsidP="007E27BD">
      <w:pPr>
        <w:pStyle w:val="COMTablefooter"/>
      </w:pPr>
      <w:r>
        <w:t>Source: Figure 3-27 of the submission</w:t>
      </w:r>
    </w:p>
    <w:p w14:paraId="28BC689E" w14:textId="77777777" w:rsidR="007E27BD" w:rsidRPr="00411876" w:rsidRDefault="007E27BD" w:rsidP="007E27BD">
      <w:pPr>
        <w:pStyle w:val="COMTablefooter"/>
      </w:pPr>
      <w:r>
        <w:t xml:space="preserve">Abbreviations: ASCT, allogeneic stem cell transplant; RD, relapsed disease; RF, relapse-free </w:t>
      </w:r>
    </w:p>
    <w:p w14:paraId="23C24228" w14:textId="04BA4FEF" w:rsidR="007E27BD" w:rsidRPr="008C335E" w:rsidRDefault="007E27BD" w:rsidP="001D1D52">
      <w:pPr>
        <w:pStyle w:val="COMexecsumnumberedpara"/>
      </w:pPr>
      <w:r w:rsidRPr="008C335E">
        <w:t xml:space="preserve">The model traces show the impact of the </w:t>
      </w:r>
      <w:r w:rsidR="00521134" w:rsidRPr="008C335E">
        <w:t>concurrent</w:t>
      </w:r>
      <w:r w:rsidRPr="008C335E">
        <w:t xml:space="preserve"> structure, with forced allocations of patients from the relapse-free no on-protocol ASCT state to the relapse-free after </w:t>
      </w:r>
      <w:r w:rsidRPr="008C335E">
        <w:lastRenderedPageBreak/>
        <w:t>on-protocol ASCT state at fixed timepoints (16 weeks in blinatumomab and 8 weeks in standard of care).</w:t>
      </w:r>
    </w:p>
    <w:p w14:paraId="4CE1FC6C" w14:textId="66A7E9ED" w:rsidR="007E27BD" w:rsidRPr="008C335E" w:rsidRDefault="007E27BD" w:rsidP="001D1D52">
      <w:pPr>
        <w:pStyle w:val="COMexecsumnumberedpara"/>
      </w:pPr>
      <w:r w:rsidRPr="008C335E">
        <w:t>The traces also show a modelled survival benefit for blinatumomab versus standard of care over the median follow-up period of the trial of 4.5 years, persisting throughout the 30-year model duration. Survival benefits are largely driven by patients who are in the relapse-free no on-protocol ASCT health state, although there were also survival gains associated with patients who are relapse-free after on-protocol ASCT.</w:t>
      </w:r>
    </w:p>
    <w:p w14:paraId="49FBC1E1" w14:textId="2F78AA7C" w:rsidR="007E27BD" w:rsidRPr="00DF0226" w:rsidRDefault="007E27BD" w:rsidP="001D1D52">
      <w:pPr>
        <w:pStyle w:val="COMexecsumnumberedpara"/>
      </w:pPr>
      <w:r w:rsidRPr="00DF0226">
        <w:t>The relapsed disease traces show a modelled benefit in favour of blinatumomab, with fewer patients experiencing disease relapse compared to standard of care. The predicted estimates for relapsed patients in the blinatumomab arm showed an unexpected pattern</w:t>
      </w:r>
      <w:r w:rsidR="00611F53" w:rsidRPr="00DF0226">
        <w:t xml:space="preserve"> (shown in the blue line of </w:t>
      </w:r>
      <w:r w:rsidR="002165BE" w:rsidRPr="00DF0226">
        <w:fldChar w:fldCharType="begin" w:fldLock="1"/>
      </w:r>
      <w:r w:rsidR="002165BE" w:rsidRPr="00DF0226">
        <w:instrText xml:space="preserve"> REF _Ref166495105 \h  \* MERGEFORMAT </w:instrText>
      </w:r>
      <w:r w:rsidR="002165BE" w:rsidRPr="00DF0226">
        <w:fldChar w:fldCharType="separate"/>
      </w:r>
      <w:r w:rsidR="00356F14" w:rsidRPr="000C524A">
        <w:t xml:space="preserve">Figure </w:t>
      </w:r>
      <w:r w:rsidR="00356F14">
        <w:rPr>
          <w:noProof/>
        </w:rPr>
        <w:t>7</w:t>
      </w:r>
      <w:r w:rsidR="002165BE" w:rsidRPr="00DF0226">
        <w:fldChar w:fldCharType="end"/>
      </w:r>
      <w:r w:rsidR="002165BE" w:rsidRPr="00DF0226">
        <w:t>)</w:t>
      </w:r>
      <w:r w:rsidRPr="00DF0226">
        <w:t>, where these patients appear to experience relatively low rates of mortality over the modelled duration. The reason for this could not be determined during the evaluation.</w:t>
      </w:r>
    </w:p>
    <w:p w14:paraId="262739F2" w14:textId="4CD47290" w:rsidR="007E27BD" w:rsidRPr="008C335E" w:rsidRDefault="007E27BD" w:rsidP="001D1D52">
      <w:pPr>
        <w:pStyle w:val="COMexecsumnumberedpara"/>
      </w:pPr>
      <w:bookmarkStart w:id="59" w:name="_Ref169864344"/>
      <w:r w:rsidRPr="008C335E">
        <w:t>The submission claimed that the plateaus at the tail-end of Kaplan-Meier curves for overall survival and relapse-free survival were indicative of cure in a significant proportion of patients who received frontline therapy in the trial</w:t>
      </w:r>
      <w:r w:rsidR="0058300E" w:rsidRPr="008C335E">
        <w:t xml:space="preserve"> (see </w:t>
      </w:r>
      <w:r w:rsidR="003F3002" w:rsidRPr="008C335E">
        <w:fldChar w:fldCharType="begin" w:fldLock="1"/>
      </w:r>
      <w:r w:rsidR="003F3002" w:rsidRPr="008C335E">
        <w:instrText xml:space="preserve"> REF _Ref166156958 \h </w:instrText>
      </w:r>
      <w:r w:rsidR="00DF0226" w:rsidRPr="008C335E">
        <w:instrText xml:space="preserve"> \* MERGEFORMAT </w:instrText>
      </w:r>
      <w:r w:rsidR="003F3002" w:rsidRPr="008C335E">
        <w:fldChar w:fldCharType="separate"/>
      </w:r>
      <w:r w:rsidR="0021273F" w:rsidRPr="001D4902">
        <w:t xml:space="preserve">Figure </w:t>
      </w:r>
      <w:r w:rsidR="0021273F">
        <w:rPr>
          <w:noProof/>
        </w:rPr>
        <w:t>1</w:t>
      </w:r>
      <w:r w:rsidR="003F3002" w:rsidRPr="008C335E">
        <w:fldChar w:fldCharType="end"/>
      </w:r>
      <w:r w:rsidR="005D05A9" w:rsidRPr="008C335E">
        <w:t xml:space="preserve"> and </w:t>
      </w:r>
      <w:r w:rsidR="005D05A9" w:rsidRPr="008C335E">
        <w:fldChar w:fldCharType="begin" w:fldLock="1"/>
      </w:r>
      <w:r w:rsidR="005D05A9" w:rsidRPr="008C335E">
        <w:instrText xml:space="preserve"> REF _Ref166157736 \h </w:instrText>
      </w:r>
      <w:r w:rsidR="00DF0226" w:rsidRPr="008C335E">
        <w:instrText xml:space="preserve"> \* MERGEFORMAT </w:instrText>
      </w:r>
      <w:r w:rsidR="005D05A9" w:rsidRPr="008C335E">
        <w:fldChar w:fldCharType="separate"/>
      </w:r>
      <w:r w:rsidR="0021273F">
        <w:t xml:space="preserve">Figure </w:t>
      </w:r>
      <w:r w:rsidR="0021273F">
        <w:rPr>
          <w:noProof/>
        </w:rPr>
        <w:t>2</w:t>
      </w:r>
      <w:r w:rsidR="005D05A9" w:rsidRPr="008C335E">
        <w:fldChar w:fldCharType="end"/>
      </w:r>
      <w:r w:rsidR="005D05A9" w:rsidRPr="008C335E">
        <w:t>)</w:t>
      </w:r>
      <w:r w:rsidRPr="008C335E">
        <w:t xml:space="preserve">. There is known potential for cure with frontline treatment. However, the </w:t>
      </w:r>
      <w:r w:rsidR="00413788" w:rsidRPr="008C335E">
        <w:t xml:space="preserve">evaluation and the ESC considered that the </w:t>
      </w:r>
      <w:r w:rsidRPr="008C335E">
        <w:t>likely proportion who achieve cure based on the trial data is uncertain given the high degree of censoring and limited data regarding the circumstances of use of subsequent therapies</w:t>
      </w:r>
      <w:r w:rsidR="00C42EEC" w:rsidRPr="008C335E">
        <w:t xml:space="preserve"> (e.g. it was unclear if the outcomes in the standard of care arm adequately accounted for the efficacy of later-line treatments such as access to blinatumomab or ASCT in the relapsed/refractory setting)</w:t>
      </w:r>
      <w:r w:rsidRPr="008C335E">
        <w:t>.</w:t>
      </w:r>
      <w:bookmarkEnd w:id="59"/>
    </w:p>
    <w:p w14:paraId="141AF6D1" w14:textId="5BE84798" w:rsidR="00715E6C" w:rsidRPr="00DF0226" w:rsidRDefault="007658D0" w:rsidP="001D1D52">
      <w:pPr>
        <w:pStyle w:val="COMexecsumnumberedpara"/>
      </w:pPr>
      <w:r w:rsidRPr="00DF0226">
        <w:t xml:space="preserve">The difference in health outcomes between arms was driven by assumptions of cure and long-term survival benefit that were separately modelled, based on receipt of on-protocol ASCT in the trial. </w:t>
      </w:r>
      <w:r w:rsidR="00DC2961" w:rsidRPr="00DF0226">
        <w:t xml:space="preserve">During the evaluation, the probabilities of death in each arm were compared with background mortality to determine approximate cure rates and cure timepoints in the model. </w:t>
      </w:r>
    </w:p>
    <w:p w14:paraId="7FDAA9D8" w14:textId="4C892E51" w:rsidR="00DC2961" w:rsidRPr="00DF0226" w:rsidRDefault="00DC2961" w:rsidP="001D1D52">
      <w:pPr>
        <w:pStyle w:val="COMexecsumnumberedpara"/>
      </w:pPr>
      <w:r w:rsidRPr="00DF0226">
        <w:t>An approximate cure timepoint was estimated in each arm based on a mortality difference of less than 0.01% between background mortality and modelled estimates.</w:t>
      </w:r>
      <w:r w:rsidR="00715E6C" w:rsidRPr="00DF0226">
        <w:t xml:space="preserve"> </w:t>
      </w:r>
      <w:r w:rsidR="004B14E9" w:rsidRPr="00DF0226">
        <w:t>For</w:t>
      </w:r>
      <w:r w:rsidR="008F2F8C" w:rsidRPr="00DF0226">
        <w:t xml:space="preserve"> modelled overall survival censored at on-protocol ASCT</w:t>
      </w:r>
      <w:r w:rsidR="004B14E9" w:rsidRPr="00DF0226">
        <w:t xml:space="preserve">, the cure timepoint was approximately 12 years for blinatumomab (75% of surviving patients) and 29 years for standard of care (25% of surviving patients). For modelled overall survival after on-protocol ASCT, </w:t>
      </w:r>
      <w:r w:rsidR="00321F6B" w:rsidRPr="00DF0226">
        <w:t>the cure timepoint was approximately 2.2 years in the blinatumomab arm (82% of surviving patients) and from 8.4 years in the standard of care arm (67% of surviving patients).</w:t>
      </w:r>
    </w:p>
    <w:p w14:paraId="55A99BFA" w14:textId="59C5C4FA" w:rsidR="00321F6B" w:rsidRPr="00DF0226" w:rsidRDefault="00321F6B" w:rsidP="001D1D52">
      <w:pPr>
        <w:pStyle w:val="COMexecsumnumberedpara"/>
      </w:pPr>
      <w:r w:rsidRPr="008C335E">
        <w:t xml:space="preserve">Overall, </w:t>
      </w:r>
      <w:r w:rsidR="00875BE5" w:rsidRPr="008C335E">
        <w:t xml:space="preserve">the </w:t>
      </w:r>
      <w:r w:rsidR="00AD6E32" w:rsidRPr="008C335E">
        <w:t>ESC agreed with the evaluation that</w:t>
      </w:r>
      <w:r w:rsidR="00AD6E32">
        <w:rPr>
          <w:i/>
          <w:iCs/>
        </w:rPr>
        <w:t xml:space="preserve"> </w:t>
      </w:r>
      <w:r w:rsidR="00875BE5" w:rsidRPr="00DF0226">
        <w:t>incorporation of</w:t>
      </w:r>
      <w:r w:rsidRPr="00DF0226">
        <w:t xml:space="preserve"> on-protocol ASCT health states </w:t>
      </w:r>
      <w:r w:rsidR="00667F85" w:rsidRPr="00DF0226">
        <w:t xml:space="preserve">within a partitioned survival analysis </w:t>
      </w:r>
      <w:r w:rsidRPr="00DF0226">
        <w:t>and use of mixture cure models for extrapolation introduced additional complexity and difficulty in determining the validity of modelled outcomes.</w:t>
      </w:r>
    </w:p>
    <w:p w14:paraId="7F74EE85" w14:textId="22352D74" w:rsidR="003F5846" w:rsidRPr="00DF0226" w:rsidRDefault="003F5846" w:rsidP="001D1D52">
      <w:pPr>
        <w:pStyle w:val="COMexecsumnumberedpara"/>
      </w:pPr>
      <w:r w:rsidRPr="00DF0226">
        <w:lastRenderedPageBreak/>
        <w:t xml:space="preserve">The results of the stepped economic evaluation are presented in </w:t>
      </w:r>
      <w:r w:rsidR="00DB12CE" w:rsidRPr="00DF0226">
        <w:fldChar w:fldCharType="begin" w:fldLock="1"/>
      </w:r>
      <w:r w:rsidR="00DB12CE" w:rsidRPr="00DF0226">
        <w:instrText xml:space="preserve"> REF _Ref104805160 \h </w:instrText>
      </w:r>
      <w:r w:rsidR="00DF0226" w:rsidRPr="00DF0226">
        <w:instrText xml:space="preserve"> \* MERGEFORMAT </w:instrText>
      </w:r>
      <w:r w:rsidR="00DB12CE" w:rsidRPr="00DF0226">
        <w:fldChar w:fldCharType="separate"/>
      </w:r>
      <w:r w:rsidR="00356F14" w:rsidRPr="00225248">
        <w:t xml:space="preserve">Table </w:t>
      </w:r>
      <w:r w:rsidR="00356F14">
        <w:rPr>
          <w:noProof/>
        </w:rPr>
        <w:t>14</w:t>
      </w:r>
      <w:r w:rsidR="00DB12CE" w:rsidRPr="00DF0226">
        <w:fldChar w:fldCharType="end"/>
      </w:r>
      <w:r w:rsidRPr="00DF0226">
        <w:t xml:space="preserve"> below.</w:t>
      </w:r>
    </w:p>
    <w:p w14:paraId="63D487B8" w14:textId="7AFCBBFF" w:rsidR="00D110BD" w:rsidRDefault="00E16AD8" w:rsidP="00FD4ED6">
      <w:pPr>
        <w:pStyle w:val="COMtablefigcaption"/>
      </w:pPr>
      <w:bookmarkStart w:id="60" w:name="_Ref104805160"/>
      <w:r w:rsidRPr="00225248">
        <w:t xml:space="preserve">Table </w:t>
      </w:r>
      <w:r w:rsidR="006F0D54">
        <w:fldChar w:fldCharType="begin" w:fldLock="1"/>
      </w:r>
      <w:r w:rsidR="006F0D54">
        <w:instrText xml:space="preserve"> SEQ Table \* ARABIC </w:instrText>
      </w:r>
      <w:r w:rsidR="006F0D54">
        <w:fldChar w:fldCharType="separate"/>
      </w:r>
      <w:r w:rsidR="00356F14">
        <w:rPr>
          <w:noProof/>
        </w:rPr>
        <w:t>14</w:t>
      </w:r>
      <w:r w:rsidR="006F0D54">
        <w:rPr>
          <w:noProof/>
        </w:rPr>
        <w:fldChar w:fldCharType="end"/>
      </w:r>
      <w:bookmarkEnd w:id="60"/>
      <w:r w:rsidRPr="00225248">
        <w:t>:</w:t>
      </w:r>
      <w:r w:rsidR="005A373D" w:rsidRPr="00225248">
        <w:t xml:space="preserve"> 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4: Results of the stepped economic evaluation"/>
      </w:tblPr>
      <w:tblGrid>
        <w:gridCol w:w="2757"/>
        <w:gridCol w:w="2451"/>
        <w:gridCol w:w="2298"/>
        <w:gridCol w:w="1511"/>
      </w:tblGrid>
      <w:tr w:rsidR="003F5846" w:rsidRPr="00225248" w14:paraId="288E142D" w14:textId="77777777" w:rsidTr="000272A3">
        <w:trPr>
          <w:tblHeader/>
        </w:trPr>
        <w:tc>
          <w:tcPr>
            <w:tcW w:w="1529" w:type="pct"/>
            <w:vAlign w:val="center"/>
          </w:tcPr>
          <w:p w14:paraId="25957F9D" w14:textId="77777777" w:rsidR="003F5846" w:rsidRPr="00225248" w:rsidRDefault="003F5846" w:rsidP="0020672F">
            <w:pPr>
              <w:pStyle w:val="COMTableheadingrow"/>
            </w:pPr>
            <w:r w:rsidRPr="00225248">
              <w:t>Step and component</w:t>
            </w:r>
          </w:p>
        </w:tc>
        <w:tc>
          <w:tcPr>
            <w:tcW w:w="1359" w:type="pct"/>
            <w:vAlign w:val="center"/>
          </w:tcPr>
          <w:p w14:paraId="734D7FE6" w14:textId="77777777" w:rsidR="003F5846" w:rsidRPr="00225248" w:rsidRDefault="003F5846" w:rsidP="0020672F">
            <w:pPr>
              <w:pStyle w:val="COMTableheadingrow"/>
            </w:pPr>
            <w:r w:rsidRPr="00225248">
              <w:t>BLIN</w:t>
            </w:r>
          </w:p>
        </w:tc>
        <w:tc>
          <w:tcPr>
            <w:tcW w:w="1274" w:type="pct"/>
            <w:vAlign w:val="center"/>
          </w:tcPr>
          <w:p w14:paraId="7F30A0E6" w14:textId="77777777" w:rsidR="003F5846" w:rsidRPr="00225248" w:rsidRDefault="003F5846" w:rsidP="0020672F">
            <w:pPr>
              <w:pStyle w:val="COMTableheadingrow"/>
            </w:pPr>
            <w:r w:rsidRPr="00225248">
              <w:t>SOC</w:t>
            </w:r>
          </w:p>
        </w:tc>
        <w:tc>
          <w:tcPr>
            <w:tcW w:w="838" w:type="pct"/>
            <w:vAlign w:val="center"/>
          </w:tcPr>
          <w:p w14:paraId="07998B9F" w14:textId="77777777" w:rsidR="003F5846" w:rsidRPr="00225248" w:rsidRDefault="003F5846" w:rsidP="0020672F">
            <w:pPr>
              <w:pStyle w:val="COMTableheadingrow"/>
            </w:pPr>
            <w:r w:rsidRPr="00225248">
              <w:t>Increment</w:t>
            </w:r>
          </w:p>
        </w:tc>
      </w:tr>
      <w:tr w:rsidR="003F5846" w:rsidRPr="00225248" w14:paraId="7F9E6B6E" w14:textId="77777777" w:rsidTr="000272A3">
        <w:tc>
          <w:tcPr>
            <w:tcW w:w="5000" w:type="pct"/>
            <w:gridSpan w:val="4"/>
            <w:vAlign w:val="center"/>
          </w:tcPr>
          <w:p w14:paraId="6DA8CBC6" w14:textId="77777777" w:rsidR="003F5846" w:rsidRPr="00225248" w:rsidRDefault="003F5846" w:rsidP="000272A3">
            <w:pPr>
              <w:pStyle w:val="COMTabletext"/>
              <w:rPr>
                <w:b/>
                <w:bCs w:val="0"/>
              </w:rPr>
            </w:pPr>
            <w:r w:rsidRPr="00225248">
              <w:rPr>
                <w:b/>
                <w:bCs w:val="0"/>
              </w:rPr>
              <w:t xml:space="preserve">Step 1: 5-year time horizon, trial-based outcomes </w:t>
            </w:r>
            <w:r w:rsidRPr="00225248">
              <w:rPr>
                <w:b/>
                <w:bCs w:val="0"/>
                <w:vertAlign w:val="superscript"/>
              </w:rPr>
              <w:t>a</w:t>
            </w:r>
            <w:r w:rsidRPr="00225248">
              <w:rPr>
                <w:b/>
                <w:bCs w:val="0"/>
              </w:rPr>
              <w:t xml:space="preserve">, consolidation treatment costs (drug acquisition, administration), </w:t>
            </w:r>
            <w:r>
              <w:rPr>
                <w:b/>
                <w:bCs w:val="0"/>
              </w:rPr>
              <w:t>frontline</w:t>
            </w:r>
            <w:r w:rsidRPr="00225248">
              <w:rPr>
                <w:b/>
                <w:bCs w:val="0"/>
              </w:rPr>
              <w:t xml:space="preserve"> ASCT costs, 5% discounting to costs and outcomes</w:t>
            </w:r>
          </w:p>
        </w:tc>
      </w:tr>
      <w:tr w:rsidR="003F5846" w:rsidRPr="00225248" w14:paraId="669AB8B8" w14:textId="77777777" w:rsidTr="00AF1BA2">
        <w:tc>
          <w:tcPr>
            <w:tcW w:w="1529" w:type="pct"/>
            <w:vAlign w:val="center"/>
          </w:tcPr>
          <w:p w14:paraId="7B8C4894" w14:textId="77777777" w:rsidR="003F5846" w:rsidRPr="00225248" w:rsidRDefault="003F5846" w:rsidP="000272A3">
            <w:pPr>
              <w:pStyle w:val="COMTabletext"/>
              <w:rPr>
                <w:rFonts w:ascii="Times" w:hAnsi="Times"/>
              </w:rPr>
            </w:pPr>
            <w:r w:rsidRPr="00225248">
              <w:t>Costs</w:t>
            </w:r>
          </w:p>
        </w:tc>
        <w:tc>
          <w:tcPr>
            <w:tcW w:w="1359" w:type="pct"/>
            <w:tcBorders>
              <w:bottom w:val="single" w:sz="4" w:space="0" w:color="auto"/>
            </w:tcBorders>
            <w:vAlign w:val="center"/>
          </w:tcPr>
          <w:p w14:paraId="4FC94C14" w14:textId="31D6B96A" w:rsidR="003F5846" w:rsidRPr="00225248" w:rsidRDefault="003F5846" w:rsidP="000272A3">
            <w:pPr>
              <w:pStyle w:val="COMTabletext"/>
              <w:jc w:val="center"/>
              <w:rPr>
                <w:rFonts w:ascii="Times" w:hAnsi="Times"/>
              </w:rPr>
            </w:pPr>
            <w:r w:rsidRPr="00225248">
              <w:t>$</w:t>
            </w:r>
            <w:r w:rsidR="00AF1BA2" w:rsidRPr="00AF1BA2">
              <w:rPr>
                <w:color w:val="000000"/>
                <w:shd w:val="solid" w:color="000000" w:fill="000000"/>
                <w14:textFill>
                  <w14:solidFill>
                    <w14:srgbClr w14:val="000000">
                      <w14:alpha w14:val="100000"/>
                    </w14:srgbClr>
                  </w14:solidFill>
                </w14:textFill>
              </w:rPr>
              <w:t>|</w:t>
            </w:r>
          </w:p>
        </w:tc>
        <w:tc>
          <w:tcPr>
            <w:tcW w:w="1274" w:type="pct"/>
            <w:vAlign w:val="center"/>
          </w:tcPr>
          <w:p w14:paraId="78786DE9" w14:textId="77777777" w:rsidR="003F5846" w:rsidRPr="00225248" w:rsidRDefault="003F5846" w:rsidP="000272A3">
            <w:pPr>
              <w:pStyle w:val="COMTabletext"/>
              <w:jc w:val="center"/>
              <w:rPr>
                <w:rFonts w:ascii="Times" w:hAnsi="Times"/>
              </w:rPr>
            </w:pPr>
            <w:r w:rsidRPr="00225248">
              <w:t>$35,567</w:t>
            </w:r>
          </w:p>
        </w:tc>
        <w:tc>
          <w:tcPr>
            <w:tcW w:w="838" w:type="pct"/>
            <w:tcBorders>
              <w:bottom w:val="single" w:sz="4" w:space="0" w:color="auto"/>
            </w:tcBorders>
            <w:vAlign w:val="center"/>
          </w:tcPr>
          <w:p w14:paraId="3F1D6AE5" w14:textId="275A2F6E" w:rsidR="003F5846" w:rsidRPr="00225248" w:rsidRDefault="003F5846" w:rsidP="000272A3">
            <w:pPr>
              <w:pStyle w:val="COMTabletext"/>
              <w:jc w:val="center"/>
              <w:rPr>
                <w:rFonts w:ascii="Times" w:hAnsi="Times"/>
              </w:rPr>
            </w:pPr>
            <w:r w:rsidRPr="00225248">
              <w:t>$</w:t>
            </w:r>
            <w:r w:rsidR="00AF1BA2" w:rsidRPr="00AF1BA2">
              <w:rPr>
                <w:color w:val="000000"/>
                <w:shd w:val="solid" w:color="000000" w:fill="000000"/>
                <w14:textFill>
                  <w14:solidFill>
                    <w14:srgbClr w14:val="000000">
                      <w14:alpha w14:val="100000"/>
                    </w14:srgbClr>
                  </w14:solidFill>
                </w14:textFill>
              </w:rPr>
              <w:t>|</w:t>
            </w:r>
          </w:p>
        </w:tc>
      </w:tr>
      <w:tr w:rsidR="00E31448" w:rsidRPr="00225248" w14:paraId="3360CAD1" w14:textId="77777777" w:rsidTr="006A53C0">
        <w:tc>
          <w:tcPr>
            <w:tcW w:w="1529" w:type="pct"/>
            <w:vAlign w:val="center"/>
          </w:tcPr>
          <w:p w14:paraId="58AD4967" w14:textId="77777777" w:rsidR="00E31448" w:rsidRPr="00225248" w:rsidRDefault="00E31448" w:rsidP="00E31448">
            <w:pPr>
              <w:pStyle w:val="COMTabletext"/>
              <w:rPr>
                <w:rFonts w:ascii="Times" w:hAnsi="Times"/>
              </w:rPr>
            </w:pPr>
            <w:r w:rsidRPr="00225248">
              <w:t>LYs</w:t>
            </w:r>
          </w:p>
        </w:tc>
        <w:tc>
          <w:tcPr>
            <w:tcW w:w="1359" w:type="pct"/>
            <w:shd w:val="clear" w:color="auto" w:fill="auto"/>
          </w:tcPr>
          <w:p w14:paraId="0AE5D71A" w14:textId="6A62DA4E" w:rsidR="00E31448" w:rsidRPr="00225248" w:rsidRDefault="00E31448" w:rsidP="00E31448">
            <w:pPr>
              <w:pStyle w:val="COMTabletext"/>
              <w:jc w:val="center"/>
            </w:pPr>
            <w:r w:rsidRPr="00DF61A7">
              <w:t>4.044</w:t>
            </w:r>
          </w:p>
        </w:tc>
        <w:tc>
          <w:tcPr>
            <w:tcW w:w="1274" w:type="pct"/>
            <w:shd w:val="clear" w:color="auto" w:fill="auto"/>
          </w:tcPr>
          <w:p w14:paraId="2E79BC64" w14:textId="40C6937C" w:rsidR="00E31448" w:rsidRPr="00225248" w:rsidRDefault="00E31448" w:rsidP="00E31448">
            <w:pPr>
              <w:pStyle w:val="COMTabletext"/>
              <w:jc w:val="center"/>
            </w:pPr>
            <w:r w:rsidRPr="00DF61A7">
              <w:t>3.574</w:t>
            </w:r>
          </w:p>
        </w:tc>
        <w:tc>
          <w:tcPr>
            <w:tcW w:w="838" w:type="pct"/>
            <w:shd w:val="clear" w:color="auto" w:fill="auto"/>
          </w:tcPr>
          <w:p w14:paraId="0F3D07CC" w14:textId="42C8BDDD" w:rsidR="00E31448" w:rsidRPr="00225248" w:rsidRDefault="00E31448" w:rsidP="00E31448">
            <w:pPr>
              <w:pStyle w:val="COMTabletext"/>
              <w:jc w:val="center"/>
            </w:pPr>
            <w:r w:rsidRPr="00DF61A7">
              <w:t>0.470</w:t>
            </w:r>
          </w:p>
        </w:tc>
      </w:tr>
      <w:tr w:rsidR="003F5846" w:rsidRPr="00225248" w14:paraId="6FB45EEA" w14:textId="77777777" w:rsidTr="000272A3">
        <w:tc>
          <w:tcPr>
            <w:tcW w:w="4162" w:type="pct"/>
            <w:gridSpan w:val="3"/>
            <w:vAlign w:val="center"/>
          </w:tcPr>
          <w:p w14:paraId="23518620" w14:textId="77777777" w:rsidR="003F5846" w:rsidRPr="00225248" w:rsidRDefault="003F5846" w:rsidP="000272A3">
            <w:pPr>
              <w:pStyle w:val="COMTabletext"/>
              <w:rPr>
                <w:rFonts w:ascii="Times" w:hAnsi="Times"/>
              </w:rPr>
            </w:pPr>
            <w:r w:rsidRPr="00225248">
              <w:t>Incremental cost per LY gained</w:t>
            </w:r>
          </w:p>
        </w:tc>
        <w:tc>
          <w:tcPr>
            <w:tcW w:w="838" w:type="pct"/>
            <w:vAlign w:val="center"/>
          </w:tcPr>
          <w:p w14:paraId="09933712" w14:textId="561A276A" w:rsidR="003F5846" w:rsidRPr="00225248" w:rsidRDefault="003F5846" w:rsidP="000272A3">
            <w:pPr>
              <w:pStyle w:val="COMTabletext"/>
              <w:jc w:val="center"/>
              <w:rPr>
                <w:rFonts w:ascii="Times" w:hAnsi="Times"/>
              </w:rPr>
            </w:pPr>
            <w:r w:rsidRPr="00225248">
              <w:t>$</w:t>
            </w:r>
            <w:r w:rsidR="00AF1BA2" w:rsidRPr="00AF1BA2">
              <w:rPr>
                <w:color w:val="000000"/>
                <w:shd w:val="solid" w:color="000000" w:fill="000000"/>
                <w14:textFill>
                  <w14:solidFill>
                    <w14:srgbClr w14:val="000000">
                      <w14:alpha w14:val="100000"/>
                    </w14:srgbClr>
                  </w14:solidFill>
                </w14:textFill>
              </w:rPr>
              <w:t>|</w:t>
            </w:r>
            <w:r w:rsidR="00096E1C" w:rsidRPr="00327E8F">
              <w:rPr>
                <w:vertAlign w:val="superscript"/>
              </w:rPr>
              <w:t>1</w:t>
            </w:r>
          </w:p>
        </w:tc>
      </w:tr>
      <w:tr w:rsidR="003F5846" w:rsidRPr="00225248" w14:paraId="1C5D183A" w14:textId="77777777" w:rsidTr="000272A3">
        <w:tc>
          <w:tcPr>
            <w:tcW w:w="5000" w:type="pct"/>
            <w:gridSpan w:val="4"/>
            <w:vAlign w:val="center"/>
          </w:tcPr>
          <w:p w14:paraId="75AA2BBE" w14:textId="77777777" w:rsidR="003F5846" w:rsidRPr="00225248" w:rsidRDefault="003F5846" w:rsidP="0020672F">
            <w:pPr>
              <w:pStyle w:val="COMTableheadingrow"/>
            </w:pPr>
            <w:r w:rsidRPr="00225248">
              <w:t>Step 2: Add utility values</w:t>
            </w:r>
          </w:p>
        </w:tc>
      </w:tr>
      <w:tr w:rsidR="003F5846" w:rsidRPr="00225248" w14:paraId="3562D212" w14:textId="77777777" w:rsidTr="00AF1BA2">
        <w:tc>
          <w:tcPr>
            <w:tcW w:w="1529" w:type="pct"/>
            <w:vAlign w:val="center"/>
          </w:tcPr>
          <w:p w14:paraId="3A773AD1" w14:textId="77777777" w:rsidR="003F5846" w:rsidRPr="00225248" w:rsidRDefault="003F5846" w:rsidP="000272A3">
            <w:pPr>
              <w:pStyle w:val="COMTabletext"/>
              <w:rPr>
                <w:rFonts w:ascii="Times" w:hAnsi="Times"/>
              </w:rPr>
            </w:pPr>
            <w:r w:rsidRPr="00225248">
              <w:t>Costs</w:t>
            </w:r>
          </w:p>
        </w:tc>
        <w:tc>
          <w:tcPr>
            <w:tcW w:w="1359" w:type="pct"/>
            <w:tcBorders>
              <w:bottom w:val="single" w:sz="4" w:space="0" w:color="auto"/>
            </w:tcBorders>
            <w:vAlign w:val="center"/>
          </w:tcPr>
          <w:p w14:paraId="0B18444A" w14:textId="1D1F66AF" w:rsidR="003F5846" w:rsidRPr="00225248" w:rsidRDefault="003F5846" w:rsidP="000272A3">
            <w:pPr>
              <w:pStyle w:val="COMTabletext"/>
              <w:jc w:val="center"/>
              <w:rPr>
                <w:rFonts w:ascii="Times" w:hAnsi="Times"/>
              </w:rPr>
            </w:pPr>
            <w:r w:rsidRPr="00225248">
              <w:t>$</w:t>
            </w:r>
            <w:r w:rsidR="00AF1BA2" w:rsidRPr="00AF1BA2">
              <w:rPr>
                <w:color w:val="000000"/>
                <w:shd w:val="solid" w:color="000000" w:fill="000000"/>
                <w14:textFill>
                  <w14:solidFill>
                    <w14:srgbClr w14:val="000000">
                      <w14:alpha w14:val="100000"/>
                    </w14:srgbClr>
                  </w14:solidFill>
                </w14:textFill>
              </w:rPr>
              <w:t>|</w:t>
            </w:r>
          </w:p>
        </w:tc>
        <w:tc>
          <w:tcPr>
            <w:tcW w:w="1274" w:type="pct"/>
            <w:vAlign w:val="center"/>
          </w:tcPr>
          <w:p w14:paraId="3D006EA0" w14:textId="77777777" w:rsidR="003F5846" w:rsidRPr="00225248" w:rsidRDefault="003F5846" w:rsidP="000272A3">
            <w:pPr>
              <w:pStyle w:val="COMTabletext"/>
              <w:jc w:val="center"/>
              <w:rPr>
                <w:rFonts w:ascii="Times" w:hAnsi="Times"/>
              </w:rPr>
            </w:pPr>
            <w:r w:rsidRPr="00225248">
              <w:t>$35,567</w:t>
            </w:r>
          </w:p>
        </w:tc>
        <w:tc>
          <w:tcPr>
            <w:tcW w:w="838" w:type="pct"/>
            <w:tcBorders>
              <w:bottom w:val="single" w:sz="4" w:space="0" w:color="auto"/>
            </w:tcBorders>
            <w:vAlign w:val="center"/>
          </w:tcPr>
          <w:p w14:paraId="54A0BC40" w14:textId="5A5F6B54" w:rsidR="003F5846" w:rsidRPr="00327E8F" w:rsidRDefault="003F5846" w:rsidP="000272A3">
            <w:pPr>
              <w:pStyle w:val="COMTabletext"/>
              <w:jc w:val="center"/>
              <w:rPr>
                <w:rFonts w:ascii="Times" w:hAnsi="Times"/>
                <w:highlight w:val="lightGray"/>
              </w:rPr>
            </w:pPr>
            <w:r w:rsidRPr="00164514">
              <w:t>$</w:t>
            </w:r>
            <w:r w:rsidR="00AF1BA2" w:rsidRPr="00AF1BA2">
              <w:rPr>
                <w:color w:val="000000"/>
                <w:shd w:val="solid" w:color="000000" w:fill="000000"/>
                <w14:textFill>
                  <w14:solidFill>
                    <w14:srgbClr w14:val="000000">
                      <w14:alpha w14:val="100000"/>
                    </w14:srgbClr>
                  </w14:solidFill>
                </w14:textFill>
              </w:rPr>
              <w:t>|</w:t>
            </w:r>
          </w:p>
        </w:tc>
      </w:tr>
      <w:tr w:rsidR="00E31448" w:rsidRPr="00225248" w14:paraId="591D151A" w14:textId="77777777" w:rsidTr="00637DE5">
        <w:tc>
          <w:tcPr>
            <w:tcW w:w="1529" w:type="pct"/>
            <w:vAlign w:val="center"/>
          </w:tcPr>
          <w:p w14:paraId="2B21C8D1" w14:textId="77777777" w:rsidR="00E31448" w:rsidRPr="00225248" w:rsidRDefault="00E31448" w:rsidP="00E31448">
            <w:pPr>
              <w:pStyle w:val="COMTabletext"/>
            </w:pPr>
            <w:r w:rsidRPr="00225248">
              <w:t>LYs</w:t>
            </w:r>
          </w:p>
        </w:tc>
        <w:tc>
          <w:tcPr>
            <w:tcW w:w="1359" w:type="pct"/>
            <w:tcBorders>
              <w:bottom w:val="single" w:sz="4" w:space="0" w:color="auto"/>
            </w:tcBorders>
            <w:shd w:val="clear" w:color="auto" w:fill="auto"/>
          </w:tcPr>
          <w:p w14:paraId="4A21D051" w14:textId="6C092FDA" w:rsidR="00E31448" w:rsidRPr="00327E8F" w:rsidRDefault="00E31448" w:rsidP="00E31448">
            <w:pPr>
              <w:pStyle w:val="COMTabletext"/>
              <w:jc w:val="center"/>
              <w:rPr>
                <w:highlight w:val="lightGray"/>
              </w:rPr>
            </w:pPr>
            <w:r w:rsidRPr="00DC09C1">
              <w:t>4.044</w:t>
            </w:r>
          </w:p>
        </w:tc>
        <w:tc>
          <w:tcPr>
            <w:tcW w:w="1274" w:type="pct"/>
            <w:shd w:val="clear" w:color="auto" w:fill="auto"/>
            <w:vAlign w:val="center"/>
          </w:tcPr>
          <w:p w14:paraId="0E419DD4" w14:textId="77777777" w:rsidR="00E31448" w:rsidRPr="00225248" w:rsidRDefault="00E31448" w:rsidP="00E31448">
            <w:pPr>
              <w:pStyle w:val="COMTabletext"/>
              <w:jc w:val="center"/>
            </w:pPr>
            <w:r w:rsidRPr="00225248">
              <w:t>3.574</w:t>
            </w:r>
          </w:p>
        </w:tc>
        <w:tc>
          <w:tcPr>
            <w:tcW w:w="838" w:type="pct"/>
            <w:tcBorders>
              <w:bottom w:val="single" w:sz="4" w:space="0" w:color="auto"/>
            </w:tcBorders>
            <w:shd w:val="clear" w:color="auto" w:fill="auto"/>
          </w:tcPr>
          <w:p w14:paraId="06507ECC" w14:textId="44EDC624" w:rsidR="00E31448" w:rsidRPr="00327E8F" w:rsidRDefault="00E31448" w:rsidP="00E31448">
            <w:pPr>
              <w:pStyle w:val="COMTabletext"/>
              <w:jc w:val="center"/>
              <w:rPr>
                <w:highlight w:val="lightGray"/>
              </w:rPr>
            </w:pPr>
            <w:r w:rsidRPr="00907E75">
              <w:t>0.470</w:t>
            </w:r>
          </w:p>
        </w:tc>
      </w:tr>
      <w:tr w:rsidR="00E31448" w:rsidRPr="00225248" w14:paraId="12710825" w14:textId="77777777" w:rsidTr="00637DE5">
        <w:tc>
          <w:tcPr>
            <w:tcW w:w="1529" w:type="pct"/>
            <w:vAlign w:val="center"/>
          </w:tcPr>
          <w:p w14:paraId="4BBF5ABD" w14:textId="77777777" w:rsidR="00E31448" w:rsidRPr="00225248" w:rsidRDefault="00E31448" w:rsidP="00E31448">
            <w:pPr>
              <w:pStyle w:val="COMTabletext"/>
              <w:rPr>
                <w:rFonts w:ascii="Times" w:hAnsi="Times"/>
              </w:rPr>
            </w:pPr>
            <w:r w:rsidRPr="00225248">
              <w:t>QALYs</w:t>
            </w:r>
          </w:p>
        </w:tc>
        <w:tc>
          <w:tcPr>
            <w:tcW w:w="1359" w:type="pct"/>
            <w:shd w:val="clear" w:color="auto" w:fill="auto"/>
          </w:tcPr>
          <w:p w14:paraId="0708EBC4" w14:textId="6B2CA12F" w:rsidR="00E31448" w:rsidRPr="00327E8F" w:rsidRDefault="00E31448" w:rsidP="00E31448">
            <w:pPr>
              <w:pStyle w:val="COMTabletext"/>
              <w:jc w:val="center"/>
              <w:rPr>
                <w:highlight w:val="lightGray"/>
              </w:rPr>
            </w:pPr>
            <w:r w:rsidRPr="00DC09C1">
              <w:t>3.318</w:t>
            </w:r>
          </w:p>
        </w:tc>
        <w:tc>
          <w:tcPr>
            <w:tcW w:w="1274" w:type="pct"/>
            <w:shd w:val="clear" w:color="auto" w:fill="auto"/>
            <w:vAlign w:val="center"/>
          </w:tcPr>
          <w:p w14:paraId="7C496F47" w14:textId="77777777" w:rsidR="00E31448" w:rsidRPr="00225248" w:rsidRDefault="00E31448" w:rsidP="00E31448">
            <w:pPr>
              <w:pStyle w:val="COMTabletext"/>
              <w:jc w:val="center"/>
            </w:pPr>
            <w:r w:rsidRPr="00225248">
              <w:t>2.922</w:t>
            </w:r>
          </w:p>
        </w:tc>
        <w:tc>
          <w:tcPr>
            <w:tcW w:w="838" w:type="pct"/>
            <w:shd w:val="clear" w:color="auto" w:fill="auto"/>
          </w:tcPr>
          <w:p w14:paraId="283EF606" w14:textId="07B27E44" w:rsidR="00E31448" w:rsidRPr="00327E8F" w:rsidRDefault="00E31448" w:rsidP="00E31448">
            <w:pPr>
              <w:pStyle w:val="COMTabletext"/>
              <w:jc w:val="center"/>
              <w:rPr>
                <w:highlight w:val="lightGray"/>
              </w:rPr>
            </w:pPr>
            <w:r w:rsidRPr="00907E75">
              <w:t>0.396</w:t>
            </w:r>
          </w:p>
        </w:tc>
      </w:tr>
      <w:tr w:rsidR="003F5846" w:rsidRPr="00225248" w14:paraId="48EA3E7D" w14:textId="77777777" w:rsidTr="000272A3">
        <w:tc>
          <w:tcPr>
            <w:tcW w:w="4162" w:type="pct"/>
            <w:gridSpan w:val="3"/>
            <w:vAlign w:val="center"/>
          </w:tcPr>
          <w:p w14:paraId="15521D41" w14:textId="77777777" w:rsidR="003F5846" w:rsidRPr="00225248" w:rsidRDefault="003F5846" w:rsidP="000272A3">
            <w:pPr>
              <w:pStyle w:val="COMTabletext"/>
              <w:rPr>
                <w:rFonts w:ascii="Times" w:hAnsi="Times"/>
              </w:rPr>
            </w:pPr>
            <w:r w:rsidRPr="00225248">
              <w:rPr>
                <w:bCs w:val="0"/>
              </w:rPr>
              <w:t>Incremental cost per QALY gained</w:t>
            </w:r>
          </w:p>
        </w:tc>
        <w:tc>
          <w:tcPr>
            <w:tcW w:w="838" w:type="pct"/>
            <w:vAlign w:val="center"/>
          </w:tcPr>
          <w:p w14:paraId="0A3907BB" w14:textId="78F3F37A" w:rsidR="003F5846" w:rsidRPr="00327E8F" w:rsidRDefault="00AF1BA2" w:rsidP="000272A3">
            <w:pPr>
              <w:pStyle w:val="COMTabletext"/>
              <w:jc w:val="center"/>
              <w:rPr>
                <w:rFonts w:ascii="Times" w:hAnsi="Times"/>
                <w:highlight w:val="lightGray"/>
              </w:rPr>
            </w:pPr>
            <w:r w:rsidRPr="00AF1BA2">
              <w:rPr>
                <w:color w:val="000000"/>
                <w:shd w:val="solid" w:color="000000" w:fill="000000"/>
                <w14:textFill>
                  <w14:solidFill>
                    <w14:srgbClr w14:val="000000">
                      <w14:alpha w14:val="100000"/>
                    </w14:srgbClr>
                  </w14:solidFill>
                </w14:textFill>
              </w:rPr>
              <w:t>|</w:t>
            </w:r>
            <w:r w:rsidR="00ED71FF">
              <w:rPr>
                <w:vertAlign w:val="superscript"/>
              </w:rPr>
              <w:t>2</w:t>
            </w:r>
          </w:p>
        </w:tc>
      </w:tr>
      <w:tr w:rsidR="003F5846" w:rsidRPr="00225248" w14:paraId="19E21AF5" w14:textId="77777777" w:rsidTr="000272A3">
        <w:tc>
          <w:tcPr>
            <w:tcW w:w="5000" w:type="pct"/>
            <w:gridSpan w:val="4"/>
            <w:vAlign w:val="center"/>
          </w:tcPr>
          <w:p w14:paraId="5D6C2C08" w14:textId="77777777" w:rsidR="003F5846" w:rsidRPr="00225248" w:rsidRDefault="003F5846" w:rsidP="0020672F">
            <w:pPr>
              <w:pStyle w:val="COMTableheadingrow"/>
            </w:pPr>
            <w:r w:rsidRPr="00225248">
              <w:t>Step 3: Extrapolate to 30-year time horizon</w:t>
            </w:r>
          </w:p>
        </w:tc>
      </w:tr>
      <w:tr w:rsidR="003F5846" w:rsidRPr="00225248" w14:paraId="7BF0B3F6" w14:textId="77777777" w:rsidTr="00AF1BA2">
        <w:tc>
          <w:tcPr>
            <w:tcW w:w="1529" w:type="pct"/>
            <w:vAlign w:val="center"/>
          </w:tcPr>
          <w:p w14:paraId="1230D9A3" w14:textId="77777777" w:rsidR="003F5846" w:rsidRPr="00CD6CF6" w:rsidRDefault="003F5846" w:rsidP="000272A3">
            <w:pPr>
              <w:pStyle w:val="COMTabletext"/>
              <w:rPr>
                <w:rFonts w:ascii="Times" w:hAnsi="Times"/>
              </w:rPr>
            </w:pPr>
            <w:r w:rsidRPr="00225248">
              <w:t>Costs</w:t>
            </w:r>
            <w:r>
              <w:t xml:space="preserve"> </w:t>
            </w:r>
            <w:r>
              <w:rPr>
                <w:vertAlign w:val="superscript"/>
              </w:rPr>
              <w:t>b</w:t>
            </w:r>
          </w:p>
        </w:tc>
        <w:tc>
          <w:tcPr>
            <w:tcW w:w="1359" w:type="pct"/>
            <w:tcBorders>
              <w:bottom w:val="single" w:sz="4" w:space="0" w:color="auto"/>
            </w:tcBorders>
            <w:vAlign w:val="center"/>
          </w:tcPr>
          <w:p w14:paraId="7719F144" w14:textId="72E9C16D" w:rsidR="003F5846" w:rsidRPr="00225248" w:rsidRDefault="003F5846" w:rsidP="000272A3">
            <w:pPr>
              <w:pStyle w:val="COMTabletext"/>
              <w:jc w:val="center"/>
              <w:rPr>
                <w:rFonts w:ascii="Times" w:hAnsi="Times"/>
              </w:rPr>
            </w:pPr>
            <w:r w:rsidRPr="00225248">
              <w:t>$</w:t>
            </w:r>
            <w:r w:rsidR="00AF1BA2" w:rsidRPr="00AF1BA2">
              <w:rPr>
                <w:color w:val="000000"/>
                <w:shd w:val="solid" w:color="000000" w:fill="000000"/>
                <w14:textFill>
                  <w14:solidFill>
                    <w14:srgbClr w14:val="000000">
                      <w14:alpha w14:val="100000"/>
                    </w14:srgbClr>
                  </w14:solidFill>
                </w14:textFill>
              </w:rPr>
              <w:t>|</w:t>
            </w:r>
          </w:p>
        </w:tc>
        <w:tc>
          <w:tcPr>
            <w:tcW w:w="1274" w:type="pct"/>
            <w:vAlign w:val="center"/>
          </w:tcPr>
          <w:p w14:paraId="3949C09B" w14:textId="77777777" w:rsidR="003F5846" w:rsidRPr="00225248" w:rsidRDefault="003F5846" w:rsidP="000272A3">
            <w:pPr>
              <w:pStyle w:val="COMTabletext"/>
              <w:jc w:val="center"/>
              <w:rPr>
                <w:rFonts w:ascii="Times" w:hAnsi="Times"/>
              </w:rPr>
            </w:pPr>
            <w:r w:rsidRPr="00225248">
              <w:t>$35,567</w:t>
            </w:r>
          </w:p>
        </w:tc>
        <w:tc>
          <w:tcPr>
            <w:tcW w:w="838" w:type="pct"/>
            <w:tcBorders>
              <w:bottom w:val="single" w:sz="4" w:space="0" w:color="auto"/>
            </w:tcBorders>
            <w:vAlign w:val="center"/>
          </w:tcPr>
          <w:p w14:paraId="5D6EBA5F" w14:textId="7A82AF9F" w:rsidR="003F5846" w:rsidRPr="00225248" w:rsidRDefault="003F5846" w:rsidP="000272A3">
            <w:pPr>
              <w:pStyle w:val="COMTabletext"/>
              <w:jc w:val="center"/>
              <w:rPr>
                <w:rFonts w:ascii="Times" w:hAnsi="Times"/>
              </w:rPr>
            </w:pPr>
            <w:r w:rsidRPr="00225248">
              <w:t>$</w:t>
            </w:r>
            <w:r w:rsidR="00AF1BA2" w:rsidRPr="00AF1BA2">
              <w:rPr>
                <w:color w:val="000000"/>
                <w:shd w:val="solid" w:color="000000" w:fill="000000"/>
                <w14:textFill>
                  <w14:solidFill>
                    <w14:srgbClr w14:val="000000">
                      <w14:alpha w14:val="100000"/>
                    </w14:srgbClr>
                  </w14:solidFill>
                </w14:textFill>
              </w:rPr>
              <w:t>|</w:t>
            </w:r>
          </w:p>
        </w:tc>
      </w:tr>
      <w:tr w:rsidR="00862762" w:rsidRPr="00225248" w14:paraId="772CBB06" w14:textId="77777777" w:rsidTr="00776216">
        <w:tc>
          <w:tcPr>
            <w:tcW w:w="1529" w:type="pct"/>
            <w:vAlign w:val="center"/>
          </w:tcPr>
          <w:p w14:paraId="5C34E252" w14:textId="77777777" w:rsidR="00862762" w:rsidRPr="00225248" w:rsidRDefault="00862762" w:rsidP="00862762">
            <w:pPr>
              <w:pStyle w:val="COMTabletext"/>
            </w:pPr>
            <w:r>
              <w:t>LYs</w:t>
            </w:r>
          </w:p>
        </w:tc>
        <w:tc>
          <w:tcPr>
            <w:tcW w:w="1359" w:type="pct"/>
            <w:tcBorders>
              <w:bottom w:val="single" w:sz="4" w:space="0" w:color="auto"/>
            </w:tcBorders>
            <w:shd w:val="clear" w:color="auto" w:fill="auto"/>
          </w:tcPr>
          <w:p w14:paraId="73DB4AAA" w14:textId="4CADC435" w:rsidR="00862762" w:rsidRPr="00327E8F" w:rsidRDefault="00862762" w:rsidP="00862762">
            <w:pPr>
              <w:pStyle w:val="COMTabletext"/>
              <w:jc w:val="center"/>
              <w:rPr>
                <w:highlight w:val="lightGray"/>
              </w:rPr>
            </w:pPr>
            <w:r w:rsidRPr="003F0A62">
              <w:t>12.537</w:t>
            </w:r>
          </w:p>
        </w:tc>
        <w:tc>
          <w:tcPr>
            <w:tcW w:w="1274" w:type="pct"/>
            <w:shd w:val="clear" w:color="auto" w:fill="auto"/>
            <w:vAlign w:val="center"/>
          </w:tcPr>
          <w:p w14:paraId="3ECC44A8" w14:textId="77777777" w:rsidR="00862762" w:rsidRPr="00225248" w:rsidRDefault="00862762" w:rsidP="00862762">
            <w:pPr>
              <w:pStyle w:val="COMTabletext"/>
              <w:jc w:val="center"/>
            </w:pPr>
            <w:r>
              <w:t>8.541</w:t>
            </w:r>
          </w:p>
        </w:tc>
        <w:tc>
          <w:tcPr>
            <w:tcW w:w="838" w:type="pct"/>
            <w:tcBorders>
              <w:bottom w:val="single" w:sz="4" w:space="0" w:color="auto"/>
            </w:tcBorders>
            <w:shd w:val="clear" w:color="auto" w:fill="auto"/>
          </w:tcPr>
          <w:p w14:paraId="3D72C643" w14:textId="4C9FB9B7" w:rsidR="00862762" w:rsidRPr="00327E8F" w:rsidRDefault="00862762" w:rsidP="00862762">
            <w:pPr>
              <w:pStyle w:val="COMTabletext"/>
              <w:jc w:val="center"/>
              <w:rPr>
                <w:highlight w:val="lightGray"/>
              </w:rPr>
            </w:pPr>
            <w:r w:rsidRPr="000F4468">
              <w:t>3.997</w:t>
            </w:r>
          </w:p>
        </w:tc>
      </w:tr>
      <w:tr w:rsidR="00862762" w:rsidRPr="00225248" w14:paraId="4555DFB4" w14:textId="77777777" w:rsidTr="00776216">
        <w:tc>
          <w:tcPr>
            <w:tcW w:w="1529" w:type="pct"/>
            <w:vAlign w:val="center"/>
          </w:tcPr>
          <w:p w14:paraId="0A0FC859" w14:textId="77777777" w:rsidR="00862762" w:rsidRPr="00225248" w:rsidRDefault="00862762" w:rsidP="00862762">
            <w:pPr>
              <w:pStyle w:val="COMTabletext"/>
              <w:rPr>
                <w:rFonts w:ascii="Times" w:hAnsi="Times"/>
              </w:rPr>
            </w:pPr>
            <w:r w:rsidRPr="00225248">
              <w:t>QALYs</w:t>
            </w:r>
          </w:p>
        </w:tc>
        <w:tc>
          <w:tcPr>
            <w:tcW w:w="1359" w:type="pct"/>
            <w:shd w:val="clear" w:color="auto" w:fill="auto"/>
          </w:tcPr>
          <w:p w14:paraId="1A85B8DB" w14:textId="43391E00" w:rsidR="00862762" w:rsidRPr="00327E8F" w:rsidRDefault="00862762" w:rsidP="00862762">
            <w:pPr>
              <w:pStyle w:val="COMTabletext"/>
              <w:jc w:val="center"/>
              <w:rPr>
                <w:rFonts w:ascii="Times" w:hAnsi="Times"/>
                <w:highlight w:val="lightGray"/>
              </w:rPr>
            </w:pPr>
            <w:r w:rsidRPr="003F0A62">
              <w:t>10.516</w:t>
            </w:r>
          </w:p>
        </w:tc>
        <w:tc>
          <w:tcPr>
            <w:tcW w:w="1274" w:type="pct"/>
            <w:shd w:val="clear" w:color="auto" w:fill="auto"/>
            <w:vAlign w:val="center"/>
          </w:tcPr>
          <w:p w14:paraId="171157B8" w14:textId="77777777" w:rsidR="00862762" w:rsidRPr="00225248" w:rsidRDefault="00862762" w:rsidP="00862762">
            <w:pPr>
              <w:pStyle w:val="COMTabletext"/>
              <w:jc w:val="center"/>
              <w:rPr>
                <w:rFonts w:ascii="Times" w:hAnsi="Times"/>
              </w:rPr>
            </w:pPr>
            <w:r w:rsidRPr="00225248">
              <w:t>7.156</w:t>
            </w:r>
          </w:p>
        </w:tc>
        <w:tc>
          <w:tcPr>
            <w:tcW w:w="838" w:type="pct"/>
            <w:shd w:val="clear" w:color="auto" w:fill="auto"/>
          </w:tcPr>
          <w:p w14:paraId="0F5EDD20" w14:textId="1185CEA9" w:rsidR="00862762" w:rsidRPr="00327E8F" w:rsidRDefault="00862762" w:rsidP="00862762">
            <w:pPr>
              <w:pStyle w:val="COMTabletext"/>
              <w:jc w:val="center"/>
              <w:rPr>
                <w:highlight w:val="lightGray"/>
              </w:rPr>
            </w:pPr>
            <w:r w:rsidRPr="000F4468">
              <w:t>3.360</w:t>
            </w:r>
          </w:p>
        </w:tc>
      </w:tr>
      <w:tr w:rsidR="003F5846" w:rsidRPr="00225248" w14:paraId="698323FA" w14:textId="77777777" w:rsidTr="000272A3">
        <w:tc>
          <w:tcPr>
            <w:tcW w:w="4162" w:type="pct"/>
            <w:gridSpan w:val="3"/>
            <w:vAlign w:val="center"/>
          </w:tcPr>
          <w:p w14:paraId="0A73D662" w14:textId="77777777" w:rsidR="003F5846" w:rsidRPr="00225248" w:rsidRDefault="003F5846" w:rsidP="000272A3">
            <w:pPr>
              <w:pStyle w:val="COMTabletext"/>
              <w:rPr>
                <w:rFonts w:ascii="Times" w:hAnsi="Times"/>
              </w:rPr>
            </w:pPr>
            <w:r w:rsidRPr="00225248">
              <w:rPr>
                <w:bCs w:val="0"/>
              </w:rPr>
              <w:t>Incremental cost per QALY gained</w:t>
            </w:r>
          </w:p>
        </w:tc>
        <w:tc>
          <w:tcPr>
            <w:tcW w:w="838" w:type="pct"/>
            <w:vAlign w:val="center"/>
          </w:tcPr>
          <w:p w14:paraId="18F426D9" w14:textId="05A20212" w:rsidR="003F5846" w:rsidRPr="00327E8F" w:rsidRDefault="00AF1BA2" w:rsidP="000272A3">
            <w:pPr>
              <w:pStyle w:val="COMTabletext"/>
              <w:jc w:val="center"/>
              <w:rPr>
                <w:rFonts w:ascii="Times" w:hAnsi="Times"/>
                <w:highlight w:val="lightGray"/>
              </w:rPr>
            </w:pPr>
            <w:r w:rsidRPr="00AF1BA2">
              <w:rPr>
                <w:color w:val="000000"/>
                <w:shd w:val="solid" w:color="000000" w:fill="000000"/>
                <w14:textFill>
                  <w14:solidFill>
                    <w14:srgbClr w14:val="000000">
                      <w14:alpha w14:val="100000"/>
                    </w14:srgbClr>
                  </w14:solidFill>
                </w14:textFill>
              </w:rPr>
              <w:t>|</w:t>
            </w:r>
            <w:r w:rsidR="00020C6A" w:rsidRPr="00327E8F">
              <w:rPr>
                <w:vertAlign w:val="superscript"/>
              </w:rPr>
              <w:t>3</w:t>
            </w:r>
          </w:p>
        </w:tc>
      </w:tr>
      <w:tr w:rsidR="003F5846" w:rsidRPr="00225248" w14:paraId="3E39A09B" w14:textId="77777777" w:rsidTr="000272A3">
        <w:tc>
          <w:tcPr>
            <w:tcW w:w="5000" w:type="pct"/>
            <w:gridSpan w:val="4"/>
            <w:vAlign w:val="center"/>
          </w:tcPr>
          <w:p w14:paraId="67082328" w14:textId="77777777" w:rsidR="003F5846" w:rsidRPr="00225248" w:rsidRDefault="003F5846" w:rsidP="0020672F">
            <w:pPr>
              <w:pStyle w:val="COMTableheadingrow"/>
            </w:pPr>
            <w:r w:rsidRPr="00225248">
              <w:t>Step 4: Add costs associated with maintenance treatment, relapsed/refractory treatment, disease management, adverse events and terminal care</w:t>
            </w:r>
          </w:p>
        </w:tc>
      </w:tr>
      <w:tr w:rsidR="003F5846" w:rsidRPr="00225248" w14:paraId="5B61906F" w14:textId="77777777" w:rsidTr="00AF1BA2">
        <w:tc>
          <w:tcPr>
            <w:tcW w:w="1529" w:type="pct"/>
            <w:vAlign w:val="center"/>
          </w:tcPr>
          <w:p w14:paraId="43D32370" w14:textId="77777777" w:rsidR="003F5846" w:rsidRPr="00225248" w:rsidRDefault="003F5846" w:rsidP="000272A3">
            <w:pPr>
              <w:pStyle w:val="COMTabletext"/>
              <w:rPr>
                <w:rFonts w:ascii="Times" w:hAnsi="Times"/>
              </w:rPr>
            </w:pPr>
            <w:r w:rsidRPr="00225248">
              <w:t>Costs</w:t>
            </w:r>
          </w:p>
        </w:tc>
        <w:tc>
          <w:tcPr>
            <w:tcW w:w="1359" w:type="pct"/>
            <w:tcBorders>
              <w:bottom w:val="single" w:sz="4" w:space="0" w:color="auto"/>
            </w:tcBorders>
            <w:vAlign w:val="center"/>
          </w:tcPr>
          <w:p w14:paraId="16036452" w14:textId="2A5D9A7F" w:rsidR="003F5846" w:rsidRPr="00225248" w:rsidRDefault="003F5846" w:rsidP="000272A3">
            <w:pPr>
              <w:pStyle w:val="COMTabletext"/>
              <w:jc w:val="center"/>
            </w:pPr>
            <w:r w:rsidRPr="00225248">
              <w:t>$</w:t>
            </w:r>
            <w:r w:rsidR="00AF1BA2" w:rsidRPr="00AF1BA2">
              <w:rPr>
                <w:color w:val="000000"/>
                <w:shd w:val="solid" w:color="000000" w:fill="000000"/>
                <w14:textFill>
                  <w14:solidFill>
                    <w14:srgbClr w14:val="000000">
                      <w14:alpha w14:val="100000"/>
                    </w14:srgbClr>
                  </w14:solidFill>
                </w14:textFill>
              </w:rPr>
              <w:t>|</w:t>
            </w:r>
          </w:p>
        </w:tc>
        <w:tc>
          <w:tcPr>
            <w:tcW w:w="1274" w:type="pct"/>
            <w:vAlign w:val="center"/>
          </w:tcPr>
          <w:p w14:paraId="1B2C4F18" w14:textId="77777777" w:rsidR="003F5846" w:rsidRPr="00225248" w:rsidRDefault="003F5846" w:rsidP="000272A3">
            <w:pPr>
              <w:pStyle w:val="COMTabletext"/>
              <w:jc w:val="center"/>
            </w:pPr>
            <w:r w:rsidRPr="00225248">
              <w:t>$113,366</w:t>
            </w:r>
          </w:p>
        </w:tc>
        <w:tc>
          <w:tcPr>
            <w:tcW w:w="838" w:type="pct"/>
            <w:tcBorders>
              <w:bottom w:val="single" w:sz="4" w:space="0" w:color="auto"/>
            </w:tcBorders>
            <w:vAlign w:val="center"/>
          </w:tcPr>
          <w:p w14:paraId="0DE31321" w14:textId="1CB143CB" w:rsidR="003F5846" w:rsidRPr="00225248" w:rsidRDefault="003F5846" w:rsidP="000272A3">
            <w:pPr>
              <w:pStyle w:val="COMTabletext"/>
              <w:jc w:val="center"/>
            </w:pPr>
            <w:r w:rsidRPr="00225248">
              <w:t>$</w:t>
            </w:r>
            <w:r w:rsidR="00AF1BA2" w:rsidRPr="00AF1BA2">
              <w:rPr>
                <w:color w:val="000000"/>
                <w:shd w:val="solid" w:color="000000" w:fill="000000"/>
                <w14:textFill>
                  <w14:solidFill>
                    <w14:srgbClr w14:val="000000">
                      <w14:alpha w14:val="100000"/>
                    </w14:srgbClr>
                  </w14:solidFill>
                </w14:textFill>
              </w:rPr>
              <w:t>|</w:t>
            </w:r>
          </w:p>
        </w:tc>
      </w:tr>
      <w:tr w:rsidR="00862762" w:rsidRPr="00225248" w14:paraId="46E03D37" w14:textId="77777777" w:rsidTr="001C38BD">
        <w:tc>
          <w:tcPr>
            <w:tcW w:w="1529" w:type="pct"/>
            <w:vAlign w:val="center"/>
          </w:tcPr>
          <w:p w14:paraId="48EEDC0C" w14:textId="77777777" w:rsidR="00862762" w:rsidRPr="00225248" w:rsidRDefault="00862762" w:rsidP="00862762">
            <w:pPr>
              <w:pStyle w:val="COMTabletext"/>
            </w:pPr>
            <w:r>
              <w:t>LYs</w:t>
            </w:r>
          </w:p>
        </w:tc>
        <w:tc>
          <w:tcPr>
            <w:tcW w:w="1359" w:type="pct"/>
            <w:tcBorders>
              <w:bottom w:val="single" w:sz="4" w:space="0" w:color="auto"/>
            </w:tcBorders>
            <w:shd w:val="clear" w:color="auto" w:fill="auto"/>
          </w:tcPr>
          <w:p w14:paraId="0E7C9D84" w14:textId="64B25BEF" w:rsidR="00862762" w:rsidRPr="00327E8F" w:rsidRDefault="00862762" w:rsidP="00862762">
            <w:pPr>
              <w:pStyle w:val="COMTabletext"/>
              <w:jc w:val="center"/>
              <w:rPr>
                <w:highlight w:val="lightGray"/>
              </w:rPr>
            </w:pPr>
            <w:r w:rsidRPr="00EC3DBF">
              <w:t>12.537</w:t>
            </w:r>
          </w:p>
        </w:tc>
        <w:tc>
          <w:tcPr>
            <w:tcW w:w="1274" w:type="pct"/>
            <w:shd w:val="clear" w:color="auto" w:fill="auto"/>
            <w:vAlign w:val="center"/>
          </w:tcPr>
          <w:p w14:paraId="5DB38CAB" w14:textId="77777777" w:rsidR="00862762" w:rsidRPr="00225248" w:rsidRDefault="00862762" w:rsidP="00862762">
            <w:pPr>
              <w:pStyle w:val="COMTabletext"/>
              <w:jc w:val="center"/>
            </w:pPr>
            <w:r>
              <w:t>8.541</w:t>
            </w:r>
          </w:p>
        </w:tc>
        <w:tc>
          <w:tcPr>
            <w:tcW w:w="838" w:type="pct"/>
            <w:tcBorders>
              <w:bottom w:val="single" w:sz="4" w:space="0" w:color="auto"/>
            </w:tcBorders>
            <w:shd w:val="clear" w:color="auto" w:fill="auto"/>
          </w:tcPr>
          <w:p w14:paraId="4C287368" w14:textId="0F982547" w:rsidR="00862762" w:rsidRPr="00327E8F" w:rsidRDefault="00862762" w:rsidP="00862762">
            <w:pPr>
              <w:pStyle w:val="COMTabletext"/>
              <w:jc w:val="center"/>
              <w:rPr>
                <w:highlight w:val="lightGray"/>
              </w:rPr>
            </w:pPr>
            <w:r w:rsidRPr="00210D64">
              <w:t>3.997</w:t>
            </w:r>
          </w:p>
        </w:tc>
      </w:tr>
      <w:tr w:rsidR="00862762" w:rsidRPr="00225248" w14:paraId="05444A0D" w14:textId="77777777" w:rsidTr="001C38BD">
        <w:tc>
          <w:tcPr>
            <w:tcW w:w="1529" w:type="pct"/>
            <w:vAlign w:val="center"/>
          </w:tcPr>
          <w:p w14:paraId="2399380E" w14:textId="77777777" w:rsidR="00862762" w:rsidRPr="00225248" w:rsidRDefault="00862762" w:rsidP="00862762">
            <w:pPr>
              <w:pStyle w:val="COMTabletext"/>
              <w:rPr>
                <w:rFonts w:ascii="Times" w:hAnsi="Times"/>
              </w:rPr>
            </w:pPr>
            <w:r w:rsidRPr="00225248">
              <w:t>QALYs</w:t>
            </w:r>
          </w:p>
        </w:tc>
        <w:tc>
          <w:tcPr>
            <w:tcW w:w="1359" w:type="pct"/>
            <w:shd w:val="clear" w:color="auto" w:fill="auto"/>
          </w:tcPr>
          <w:p w14:paraId="48083918" w14:textId="58F7AD08" w:rsidR="00862762" w:rsidRPr="00327E8F" w:rsidRDefault="00862762" w:rsidP="00862762">
            <w:pPr>
              <w:pStyle w:val="COMTabletext"/>
              <w:jc w:val="center"/>
              <w:rPr>
                <w:rFonts w:ascii="Times" w:hAnsi="Times"/>
                <w:highlight w:val="lightGray"/>
              </w:rPr>
            </w:pPr>
            <w:r w:rsidRPr="00EC3DBF">
              <w:t>10.516</w:t>
            </w:r>
          </w:p>
        </w:tc>
        <w:tc>
          <w:tcPr>
            <w:tcW w:w="1274" w:type="pct"/>
            <w:shd w:val="clear" w:color="auto" w:fill="auto"/>
            <w:vAlign w:val="center"/>
          </w:tcPr>
          <w:p w14:paraId="7E83168C" w14:textId="77777777" w:rsidR="00862762" w:rsidRPr="00225248" w:rsidRDefault="00862762" w:rsidP="00862762">
            <w:pPr>
              <w:pStyle w:val="COMTabletext"/>
              <w:jc w:val="center"/>
              <w:rPr>
                <w:rFonts w:ascii="Times" w:hAnsi="Times"/>
              </w:rPr>
            </w:pPr>
            <w:r w:rsidRPr="00225248">
              <w:t>7.156</w:t>
            </w:r>
          </w:p>
        </w:tc>
        <w:tc>
          <w:tcPr>
            <w:tcW w:w="838" w:type="pct"/>
            <w:shd w:val="clear" w:color="auto" w:fill="auto"/>
          </w:tcPr>
          <w:p w14:paraId="0604E7FB" w14:textId="1619928D" w:rsidR="00862762" w:rsidRPr="00327E8F" w:rsidRDefault="00862762" w:rsidP="00862762">
            <w:pPr>
              <w:pStyle w:val="COMTabletext"/>
              <w:jc w:val="center"/>
              <w:rPr>
                <w:highlight w:val="lightGray"/>
              </w:rPr>
            </w:pPr>
            <w:r w:rsidRPr="00210D64">
              <w:t>3.360</w:t>
            </w:r>
          </w:p>
        </w:tc>
      </w:tr>
      <w:tr w:rsidR="003F5846" w:rsidRPr="00225248" w14:paraId="50A594D5" w14:textId="77777777" w:rsidTr="000272A3">
        <w:tc>
          <w:tcPr>
            <w:tcW w:w="4162" w:type="pct"/>
            <w:gridSpan w:val="3"/>
            <w:vAlign w:val="center"/>
          </w:tcPr>
          <w:p w14:paraId="27D97B3D" w14:textId="77777777" w:rsidR="003F5846" w:rsidRPr="00225248" w:rsidRDefault="003F5846" w:rsidP="000272A3">
            <w:pPr>
              <w:pStyle w:val="COMTabletext"/>
              <w:rPr>
                <w:rFonts w:ascii="Times" w:hAnsi="Times"/>
                <w:b/>
              </w:rPr>
            </w:pPr>
            <w:r w:rsidRPr="00225248">
              <w:rPr>
                <w:b/>
              </w:rPr>
              <w:t>Incremental cost per QALY gained (base case)</w:t>
            </w:r>
          </w:p>
        </w:tc>
        <w:tc>
          <w:tcPr>
            <w:tcW w:w="838" w:type="pct"/>
            <w:vAlign w:val="center"/>
          </w:tcPr>
          <w:p w14:paraId="5D599492" w14:textId="724E7578" w:rsidR="003F5846" w:rsidRPr="00327E8F" w:rsidRDefault="00AF1BA2" w:rsidP="000272A3">
            <w:pPr>
              <w:pStyle w:val="COMTabletext"/>
              <w:jc w:val="center"/>
              <w:rPr>
                <w:rFonts w:ascii="Times" w:hAnsi="Times"/>
                <w:b/>
                <w:highlight w:val="lightGray"/>
              </w:rPr>
            </w:pPr>
            <w:r w:rsidRPr="00AF1BA2">
              <w:rPr>
                <w:b/>
                <w:color w:val="000000"/>
                <w:shd w:val="solid" w:color="000000" w:fill="000000"/>
                <w14:textFill>
                  <w14:solidFill>
                    <w14:srgbClr w14:val="000000">
                      <w14:alpha w14:val="100000"/>
                    </w14:srgbClr>
                  </w14:solidFill>
                </w14:textFill>
              </w:rPr>
              <w:t>|</w:t>
            </w:r>
            <w:r w:rsidR="00CE7014" w:rsidRPr="00327E8F">
              <w:rPr>
                <w:b/>
                <w:vertAlign w:val="superscript"/>
              </w:rPr>
              <w:t xml:space="preserve">4 </w:t>
            </w:r>
          </w:p>
        </w:tc>
      </w:tr>
    </w:tbl>
    <w:p w14:paraId="2E9D19C0" w14:textId="5375AB3D" w:rsidR="003F5846" w:rsidRPr="003F5846" w:rsidRDefault="003F5846" w:rsidP="003F5846">
      <w:pPr>
        <w:pStyle w:val="COMTablefooter"/>
      </w:pPr>
      <w:r w:rsidRPr="003F5846">
        <w:t>Source: Table 3-56, of the submission</w:t>
      </w:r>
    </w:p>
    <w:p w14:paraId="5BF1AF7E" w14:textId="77777777" w:rsidR="003F5846" w:rsidRPr="003F5846" w:rsidRDefault="003F5846" w:rsidP="003F5846">
      <w:pPr>
        <w:pStyle w:val="COMTablefooter"/>
      </w:pPr>
      <w:r w:rsidRPr="003F5846">
        <w:t>Abbreviations: ASCT, allogeneic stem cell transplant; BLIN, blinatumomab; LY, life year; QALY, quality-adjusted life year; SOC, standard of care</w:t>
      </w:r>
    </w:p>
    <w:p w14:paraId="61E65F52" w14:textId="77777777" w:rsidR="003F5846" w:rsidRPr="003F5846" w:rsidRDefault="003F5846" w:rsidP="003F5846">
      <w:pPr>
        <w:pStyle w:val="COMTablefooter"/>
      </w:pPr>
      <w:r w:rsidRPr="003F5846">
        <w:rPr>
          <w:vertAlign w:val="superscript"/>
        </w:rPr>
        <w:t>a</w:t>
      </w:r>
      <w:r w:rsidRPr="003F5846">
        <w:t xml:space="preserve"> Kaplan-Meier estimates from a </w:t>
      </w:r>
      <w:r w:rsidRPr="00297449">
        <w:rPr>
          <w:i/>
          <w:iCs/>
        </w:rPr>
        <w:t xml:space="preserve">post hoc </w:t>
      </w:r>
      <w:r w:rsidRPr="003F5846">
        <w:t>analysis of survival outcomes (overall survival, relapse-free survival) censored at on-protocol ASCT and from ASCT applied for 4.5 years, then extrapolated using mixture cure models to 5 years</w:t>
      </w:r>
    </w:p>
    <w:p w14:paraId="71BDDC2F" w14:textId="5DE3B1DE" w:rsidR="003F5846" w:rsidRDefault="003F5846" w:rsidP="00E31448">
      <w:pPr>
        <w:pStyle w:val="COMTablefooter"/>
        <w:spacing w:after="0"/>
      </w:pPr>
      <w:r w:rsidRPr="003F5846">
        <w:rPr>
          <w:vertAlign w:val="superscript"/>
        </w:rPr>
        <w:t>b</w:t>
      </w:r>
      <w:r w:rsidRPr="003F5846">
        <w:t xml:space="preserve"> There were no changes to the costs in each arm as costs associated with consolidation treatment and frontline ASCT were applied as one-off upfront costs in the model (already included in Step 1 of the analysis)</w:t>
      </w:r>
    </w:p>
    <w:p w14:paraId="35390058" w14:textId="77777777" w:rsidR="006132AA" w:rsidRPr="00E31448" w:rsidRDefault="006132AA" w:rsidP="006132AA">
      <w:pPr>
        <w:spacing w:after="120"/>
        <w:contextualSpacing/>
        <w:rPr>
          <w:rFonts w:ascii="Arial Narrow" w:hAnsi="Arial Narrow"/>
          <w:i/>
          <w:iCs/>
          <w:snapToGrid w:val="0"/>
          <w:sz w:val="18"/>
          <w:szCs w:val="18"/>
        </w:rPr>
      </w:pPr>
      <w:bookmarkStart w:id="61" w:name="_Hlk176506332"/>
      <w:r w:rsidRPr="00E31448">
        <w:rPr>
          <w:rFonts w:ascii="Arial Narrow" w:hAnsi="Arial Narrow"/>
          <w:i/>
          <w:iCs/>
          <w:snapToGrid w:val="0"/>
          <w:sz w:val="18"/>
          <w:szCs w:val="18"/>
        </w:rPr>
        <w:t>The redacted values correspond to the following ranges</w:t>
      </w:r>
    </w:p>
    <w:p w14:paraId="4A267655" w14:textId="77777777" w:rsidR="007117BD" w:rsidRPr="00E31448" w:rsidRDefault="006132AA" w:rsidP="007117BD">
      <w:pPr>
        <w:spacing w:after="120"/>
        <w:contextualSpacing/>
        <w:rPr>
          <w:rFonts w:ascii="Arial Narrow" w:hAnsi="Arial Narrow"/>
          <w:i/>
          <w:iCs/>
          <w:snapToGrid w:val="0"/>
          <w:sz w:val="18"/>
          <w:szCs w:val="18"/>
        </w:rPr>
      </w:pPr>
      <w:r w:rsidRPr="00E31448">
        <w:rPr>
          <w:rFonts w:ascii="Arial Narrow" w:hAnsi="Arial Narrow"/>
          <w:i/>
          <w:iCs/>
          <w:snapToGrid w:val="0"/>
          <w:sz w:val="18"/>
          <w:szCs w:val="18"/>
        </w:rPr>
        <w:t xml:space="preserve">1 </w:t>
      </w:r>
      <w:r w:rsidR="007117BD" w:rsidRPr="00E31448">
        <w:rPr>
          <w:rFonts w:ascii="Arial Narrow" w:hAnsi="Arial Narrow"/>
          <w:i/>
          <w:iCs/>
          <w:snapToGrid w:val="0"/>
          <w:sz w:val="18"/>
          <w:szCs w:val="18"/>
        </w:rPr>
        <w:t>$355,000 to &lt; $455,000</w:t>
      </w:r>
    </w:p>
    <w:p w14:paraId="7233831C" w14:textId="5FF480C2" w:rsidR="006913C1" w:rsidRPr="00E31448" w:rsidRDefault="00ED71FF" w:rsidP="006913C1">
      <w:pPr>
        <w:spacing w:after="120"/>
        <w:contextualSpacing/>
        <w:rPr>
          <w:rFonts w:ascii="Arial Narrow" w:hAnsi="Arial Narrow"/>
          <w:i/>
          <w:iCs/>
          <w:snapToGrid w:val="0"/>
          <w:sz w:val="18"/>
          <w:szCs w:val="18"/>
        </w:rPr>
      </w:pPr>
      <w:r w:rsidRPr="00E31448">
        <w:rPr>
          <w:rFonts w:ascii="Arial Narrow" w:hAnsi="Arial Narrow"/>
          <w:i/>
          <w:iCs/>
          <w:snapToGrid w:val="0"/>
          <w:sz w:val="18"/>
          <w:szCs w:val="18"/>
        </w:rPr>
        <w:t xml:space="preserve">2 </w:t>
      </w:r>
      <w:r w:rsidR="006913C1" w:rsidRPr="00E31448">
        <w:rPr>
          <w:rFonts w:ascii="Arial Narrow" w:hAnsi="Arial Narrow"/>
          <w:i/>
          <w:iCs/>
          <w:snapToGrid w:val="0"/>
          <w:sz w:val="18"/>
          <w:szCs w:val="18"/>
        </w:rPr>
        <w:t>$455,000 to &lt; $555,000</w:t>
      </w:r>
    </w:p>
    <w:p w14:paraId="12EEC1C0" w14:textId="77777777" w:rsidR="00020C6A" w:rsidRPr="00E31448" w:rsidRDefault="00020C6A" w:rsidP="00020C6A">
      <w:pPr>
        <w:spacing w:after="120"/>
        <w:contextualSpacing/>
        <w:rPr>
          <w:rFonts w:ascii="Arial Narrow" w:hAnsi="Arial Narrow"/>
          <w:i/>
          <w:iCs/>
          <w:snapToGrid w:val="0"/>
          <w:sz w:val="18"/>
          <w:szCs w:val="18"/>
        </w:rPr>
      </w:pPr>
      <w:r w:rsidRPr="00E31448">
        <w:rPr>
          <w:rFonts w:ascii="Arial Narrow" w:hAnsi="Arial Narrow"/>
          <w:i/>
          <w:iCs/>
          <w:snapToGrid w:val="0"/>
          <w:sz w:val="18"/>
          <w:szCs w:val="18"/>
        </w:rPr>
        <w:t xml:space="preserve">3 $55,000 to &lt; $75,000 </w:t>
      </w:r>
    </w:p>
    <w:p w14:paraId="5980B400" w14:textId="7949A651" w:rsidR="00DD45FE" w:rsidRPr="00E31448" w:rsidRDefault="00CE7014" w:rsidP="00DD45FE">
      <w:pPr>
        <w:spacing w:after="120"/>
        <w:contextualSpacing/>
        <w:rPr>
          <w:rFonts w:ascii="Arial Narrow" w:hAnsi="Arial Narrow"/>
          <w:i/>
          <w:iCs/>
          <w:snapToGrid w:val="0"/>
          <w:sz w:val="18"/>
          <w:szCs w:val="18"/>
        </w:rPr>
      </w:pPr>
      <w:r w:rsidRPr="00E31448">
        <w:rPr>
          <w:rFonts w:ascii="Arial Narrow" w:hAnsi="Arial Narrow"/>
          <w:i/>
          <w:iCs/>
          <w:snapToGrid w:val="0"/>
          <w:sz w:val="18"/>
          <w:szCs w:val="18"/>
        </w:rPr>
        <w:t xml:space="preserve">4 </w:t>
      </w:r>
      <w:r w:rsidR="00DD45FE" w:rsidRPr="00E31448">
        <w:rPr>
          <w:rFonts w:ascii="Arial Narrow" w:hAnsi="Arial Narrow"/>
          <w:i/>
          <w:iCs/>
          <w:snapToGrid w:val="0"/>
          <w:sz w:val="18"/>
          <w:szCs w:val="18"/>
        </w:rPr>
        <w:t>$45,000 to &lt; $55,000</w:t>
      </w:r>
    </w:p>
    <w:bookmarkEnd w:id="61"/>
    <w:p w14:paraId="272B2237" w14:textId="6341079B" w:rsidR="00AB2D88" w:rsidRPr="008C335E" w:rsidRDefault="00AB2D88" w:rsidP="001D1D52">
      <w:pPr>
        <w:pStyle w:val="COMexecsumnumberedpara"/>
      </w:pPr>
      <w:r w:rsidRPr="008C335E">
        <w:t>The extrapolation of the modelled time horizon to 30 years had the largest impact on the stepped economic evaluation.</w:t>
      </w:r>
      <w:r w:rsidR="00E76B7B" w:rsidRPr="008C335E">
        <w:t xml:space="preserve"> </w:t>
      </w:r>
      <w:r w:rsidR="00A329B2" w:rsidRPr="008C335E">
        <w:t>The ESC</w:t>
      </w:r>
      <w:r w:rsidR="00632204" w:rsidRPr="008C335E">
        <w:t xml:space="preserve">, noting that the time horizon was consistent with the economic evaluation of blinatumomab in the MRD-positive setting recommended by the PBAC in July 2019, </w:t>
      </w:r>
      <w:r w:rsidR="00A329B2" w:rsidRPr="008C335E">
        <w:t>considered</w:t>
      </w:r>
      <w:r w:rsidR="00632204" w:rsidRPr="008C335E">
        <w:t xml:space="preserve"> </w:t>
      </w:r>
      <w:r w:rsidR="00A329B2" w:rsidRPr="008C335E">
        <w:t>the 30 year time horizon reasonable</w:t>
      </w:r>
      <w:r w:rsidR="00632204" w:rsidRPr="008C335E">
        <w:t>; however, the ESC did note that the 30 year time horizon introduced uncertainty as there was considerable extrapolation of the trial data (median follow- up of 4.5 years)</w:t>
      </w:r>
      <w:r w:rsidR="00A329B2" w:rsidRPr="008C335E">
        <w:t xml:space="preserve">. </w:t>
      </w:r>
      <w:r w:rsidR="00E76B7B" w:rsidRPr="008C335E">
        <w:t xml:space="preserve">In the </w:t>
      </w:r>
      <w:r w:rsidR="00A329B2" w:rsidRPr="008C335E">
        <w:t xml:space="preserve">current economic </w:t>
      </w:r>
      <w:r w:rsidR="00E76B7B" w:rsidRPr="008C335E">
        <w:t xml:space="preserve">model, 88% of incremental QALYs and 2% of incremental costs were accrued in the extrapolated period beyond 5 years. </w:t>
      </w:r>
    </w:p>
    <w:p w14:paraId="167572DF" w14:textId="0137D82B" w:rsidR="00BC064F" w:rsidRPr="008C335E" w:rsidRDefault="00BC064F" w:rsidP="001D1D52">
      <w:pPr>
        <w:pStyle w:val="COMexecsumnumberedpara"/>
      </w:pPr>
      <w:r w:rsidRPr="008C335E">
        <w:t xml:space="preserve">Based on the economic model, treatment with blinatumomab in combination with standard of care consolidation chemotherapy was associated with a cost per QALY gained of </w:t>
      </w:r>
      <w:r w:rsidR="000831C8" w:rsidRPr="000831C8">
        <w:t>$45,000 to &lt; $55,000</w:t>
      </w:r>
      <w:r w:rsidR="00054958">
        <w:t xml:space="preserve"> </w:t>
      </w:r>
      <w:r w:rsidRPr="008C335E">
        <w:t>compared to standard of care consolidation chemotherapy for the treatment of patients with B-ALL in haematological complete remission who are MRD-negative following induction chemotherapy.</w:t>
      </w:r>
      <w:r w:rsidR="001D4D79" w:rsidRPr="008C335E">
        <w:t xml:space="preserve"> </w:t>
      </w:r>
    </w:p>
    <w:p w14:paraId="09F7B629" w14:textId="4ACCE6F3" w:rsidR="001D4D79" w:rsidRPr="008C335E" w:rsidRDefault="001D4D79" w:rsidP="001D1D52">
      <w:pPr>
        <w:pStyle w:val="COMexecsumnumberedpara"/>
      </w:pPr>
      <w:r w:rsidRPr="008C335E">
        <w:lastRenderedPageBreak/>
        <w:t>For every patient treated with blinatumomab in combination with standard of care versus standard of care and followed up for 30 years, the economic model (without discounting) estimated that there would be:</w:t>
      </w:r>
    </w:p>
    <w:p w14:paraId="03244ADA" w14:textId="79A40B91" w:rsidR="001D4D79" w:rsidRPr="008C335E" w:rsidRDefault="001D4D79" w:rsidP="1797D1E5">
      <w:pPr>
        <w:pStyle w:val="COMexecsummbulletlist"/>
        <w:numPr>
          <w:ilvl w:val="0"/>
          <w:numId w:val="0"/>
        </w:numPr>
        <w:ind w:left="1077" w:hanging="357"/>
      </w:pPr>
      <w:r w:rsidRPr="008C335E">
        <w:t>Additional consolidation treatment costs (drug acquisition, administration) of $</w:t>
      </w:r>
      <w:r w:rsidR="00AF1BA2" w:rsidRPr="004D5C66">
        <w:rPr>
          <w:color w:val="000000"/>
          <w:w w:val="15"/>
          <w:shd w:val="solid" w:color="000000" w:fill="000000"/>
          <w:fitText w:val="-20" w:id="-894171892"/>
          <w14:textFill>
            <w14:solidFill>
              <w14:srgbClr w14:val="000000">
                <w14:alpha w14:val="100000"/>
              </w14:srgbClr>
            </w14:solidFill>
          </w14:textFill>
        </w:rPr>
        <w:t xml:space="preserve">|  </w:t>
      </w:r>
      <w:r w:rsidR="00AF1BA2" w:rsidRPr="004D5C66">
        <w:rPr>
          <w:color w:val="000000"/>
          <w:spacing w:val="-69"/>
          <w:w w:val="15"/>
          <w:shd w:val="solid" w:color="000000" w:fill="000000"/>
          <w:fitText w:val="-20" w:id="-894171892"/>
          <w14:textFill>
            <w14:solidFill>
              <w14:srgbClr w14:val="000000">
                <w14:alpha w14:val="100000"/>
              </w14:srgbClr>
            </w14:solidFill>
          </w14:textFill>
        </w:rPr>
        <w:t>|</w:t>
      </w:r>
      <w:r w:rsidRPr="008C335E">
        <w:t>, additional adverse event costs of $</w:t>
      </w:r>
      <w:r w:rsidR="00AF1BA2" w:rsidRPr="004D5C66">
        <w:rPr>
          <w:color w:val="000000"/>
          <w:w w:val="15"/>
          <w:shd w:val="solid" w:color="000000" w:fill="000000"/>
          <w:fitText w:val="-20" w:id="-894171891"/>
          <w14:textFill>
            <w14:solidFill>
              <w14:srgbClr w14:val="000000">
                <w14:alpha w14:val="100000"/>
              </w14:srgbClr>
            </w14:solidFill>
          </w14:textFill>
        </w:rPr>
        <w:t xml:space="preserve">|  </w:t>
      </w:r>
      <w:r w:rsidR="00AF1BA2" w:rsidRPr="004D5C66">
        <w:rPr>
          <w:color w:val="000000"/>
          <w:spacing w:val="-69"/>
          <w:w w:val="15"/>
          <w:shd w:val="solid" w:color="000000" w:fill="000000"/>
          <w:fitText w:val="-20" w:id="-894171891"/>
          <w14:textFill>
            <w14:solidFill>
              <w14:srgbClr w14:val="000000">
                <w14:alpha w14:val="100000"/>
              </w14:srgbClr>
            </w14:solidFill>
          </w14:textFill>
        </w:rPr>
        <w:t>|</w:t>
      </w:r>
      <w:r w:rsidRPr="008C335E">
        <w:t>, additional maintenance treatment costs of $</w:t>
      </w:r>
      <w:r w:rsidR="00AF1BA2" w:rsidRPr="004D5C66">
        <w:rPr>
          <w:color w:val="000000"/>
          <w:w w:val="15"/>
          <w:shd w:val="solid" w:color="000000" w:fill="000000"/>
          <w:fitText w:val="-20" w:id="-894171890"/>
          <w14:textFill>
            <w14:solidFill>
              <w14:srgbClr w14:val="000000">
                <w14:alpha w14:val="100000"/>
              </w14:srgbClr>
            </w14:solidFill>
          </w14:textFill>
        </w:rPr>
        <w:t xml:space="preserve">|  </w:t>
      </w:r>
      <w:r w:rsidR="00AF1BA2" w:rsidRPr="004D5C66">
        <w:rPr>
          <w:color w:val="000000"/>
          <w:spacing w:val="-69"/>
          <w:w w:val="15"/>
          <w:shd w:val="solid" w:color="000000" w:fill="000000"/>
          <w:fitText w:val="-20" w:id="-894171890"/>
          <w14:textFill>
            <w14:solidFill>
              <w14:srgbClr w14:val="000000">
                <w14:alpha w14:val="100000"/>
              </w14:srgbClr>
            </w14:solidFill>
          </w14:textFill>
        </w:rPr>
        <w:t>|</w:t>
      </w:r>
      <w:r w:rsidRPr="008C335E">
        <w:t>, additional disease management costs of $</w:t>
      </w:r>
      <w:r w:rsidR="00AF1BA2" w:rsidRPr="004D5C66">
        <w:rPr>
          <w:color w:val="000000"/>
          <w:w w:val="15"/>
          <w:shd w:val="solid" w:color="000000" w:fill="000000"/>
          <w:fitText w:val="-20" w:id="-894171889"/>
          <w14:textFill>
            <w14:solidFill>
              <w14:srgbClr w14:val="000000">
                <w14:alpha w14:val="100000"/>
              </w14:srgbClr>
            </w14:solidFill>
          </w14:textFill>
        </w:rPr>
        <w:t xml:space="preserve">|  </w:t>
      </w:r>
      <w:r w:rsidR="00AF1BA2" w:rsidRPr="004D5C66">
        <w:rPr>
          <w:color w:val="000000"/>
          <w:spacing w:val="-69"/>
          <w:w w:val="15"/>
          <w:shd w:val="solid" w:color="000000" w:fill="000000"/>
          <w:fitText w:val="-20" w:id="-894171889"/>
          <w14:textFill>
            <w14:solidFill>
              <w14:srgbClr w14:val="000000">
                <w14:alpha w14:val="100000"/>
              </w14:srgbClr>
            </w14:solidFill>
          </w14:textFill>
        </w:rPr>
        <w:t>|</w:t>
      </w:r>
      <w:r w:rsidRPr="008C335E">
        <w:t xml:space="preserve"> and no difference in frontline ASCT costs.</w:t>
      </w:r>
    </w:p>
    <w:p w14:paraId="74D9353F" w14:textId="39646F5E" w:rsidR="001D4D79" w:rsidRPr="008C335E" w:rsidRDefault="001D4D79" w:rsidP="1797D1E5">
      <w:pPr>
        <w:pStyle w:val="COMexecsummbulletlist"/>
        <w:numPr>
          <w:ilvl w:val="0"/>
          <w:numId w:val="0"/>
        </w:numPr>
        <w:ind w:left="1077" w:hanging="357"/>
      </w:pPr>
      <w:r w:rsidRPr="008C335E">
        <w:t>Reduced costs of subsequent therapies for relapsed/refractory disease of $</w:t>
      </w:r>
      <w:r w:rsidR="00AF1BA2" w:rsidRPr="004D5C66">
        <w:rPr>
          <w:color w:val="000000"/>
          <w:w w:val="15"/>
          <w:shd w:val="solid" w:color="000000" w:fill="000000"/>
          <w:fitText w:val="-20" w:id="-894171888"/>
          <w14:textFill>
            <w14:solidFill>
              <w14:srgbClr w14:val="000000">
                <w14:alpha w14:val="100000"/>
              </w14:srgbClr>
            </w14:solidFill>
          </w14:textFill>
        </w:rPr>
        <w:t xml:space="preserve">|  </w:t>
      </w:r>
      <w:r w:rsidR="00AF1BA2" w:rsidRPr="004D5C66">
        <w:rPr>
          <w:color w:val="000000"/>
          <w:spacing w:val="-69"/>
          <w:w w:val="15"/>
          <w:shd w:val="solid" w:color="000000" w:fill="000000"/>
          <w:fitText w:val="-20" w:id="-894171888"/>
          <w14:textFill>
            <w14:solidFill>
              <w14:srgbClr w14:val="000000">
                <w14:alpha w14:val="100000"/>
              </w14:srgbClr>
            </w14:solidFill>
          </w14:textFill>
        </w:rPr>
        <w:t>|</w:t>
      </w:r>
      <w:r w:rsidRPr="008C335E">
        <w:t>.</w:t>
      </w:r>
    </w:p>
    <w:p w14:paraId="66AF3B37" w14:textId="6BF437C6" w:rsidR="001D4D79" w:rsidRPr="008C335E" w:rsidRDefault="001D4D79" w:rsidP="00862762">
      <w:pPr>
        <w:pStyle w:val="COMexecsummbulletlist"/>
        <w:ind w:left="1077" w:hanging="357"/>
      </w:pPr>
      <w:r w:rsidRPr="008C335E">
        <w:t>An additional 8.29 years of life lived and an additional 6.98 quality-adjusted life years.</w:t>
      </w:r>
    </w:p>
    <w:p w14:paraId="1BAC1159" w14:textId="6CAEE840" w:rsidR="00A86E8B" w:rsidRPr="008C335E" w:rsidRDefault="00D23D11" w:rsidP="001D1D52">
      <w:pPr>
        <w:pStyle w:val="COMexecsumnumberedpara"/>
      </w:pPr>
      <w:r w:rsidRPr="008C335E">
        <w:t xml:space="preserve">The results of key sensitivity analyses are summarised </w:t>
      </w:r>
      <w:r w:rsidR="00E16AD8" w:rsidRPr="008C335E">
        <w:t xml:space="preserve">in </w:t>
      </w:r>
      <w:r w:rsidR="00E16AD8" w:rsidRPr="008C335E">
        <w:fldChar w:fldCharType="begin" w:fldLock="1"/>
      </w:r>
      <w:r w:rsidR="00E16AD8" w:rsidRPr="008C335E">
        <w:instrText xml:space="preserve"> REF _Ref104804865 \h </w:instrText>
      </w:r>
      <w:r w:rsidR="00DF0226" w:rsidRPr="008C335E">
        <w:instrText xml:space="preserve"> \* MERGEFORMAT </w:instrText>
      </w:r>
      <w:r w:rsidR="00E16AD8" w:rsidRPr="008C335E">
        <w:fldChar w:fldCharType="separate"/>
      </w:r>
      <w:r w:rsidR="00356F14" w:rsidRPr="008C335E">
        <w:t xml:space="preserve">Table </w:t>
      </w:r>
      <w:r w:rsidR="00356F14" w:rsidRPr="008C335E">
        <w:rPr>
          <w:noProof/>
        </w:rPr>
        <w:t>15</w:t>
      </w:r>
      <w:r w:rsidR="00E16AD8" w:rsidRPr="008C335E">
        <w:fldChar w:fldCharType="end"/>
      </w:r>
      <w:r w:rsidRPr="008C335E">
        <w:t xml:space="preserve">. </w:t>
      </w:r>
    </w:p>
    <w:p w14:paraId="3A64F4E7" w14:textId="73F59AEA" w:rsidR="00D23D11" w:rsidRDefault="00E16AD8" w:rsidP="00FD4ED6">
      <w:pPr>
        <w:pStyle w:val="COMtablefigcaption"/>
      </w:pPr>
      <w:bookmarkStart w:id="62" w:name="_Ref104804865"/>
      <w:r w:rsidRPr="00225248">
        <w:t xml:space="preserve">Table </w:t>
      </w:r>
      <w:r w:rsidR="006F0D54">
        <w:fldChar w:fldCharType="begin" w:fldLock="1"/>
      </w:r>
      <w:r w:rsidR="006F0D54">
        <w:instrText xml:space="preserve"> SEQ Table \* ARABIC </w:instrText>
      </w:r>
      <w:r w:rsidR="006F0D54">
        <w:fldChar w:fldCharType="separate"/>
      </w:r>
      <w:r w:rsidR="00356F14">
        <w:rPr>
          <w:noProof/>
        </w:rPr>
        <w:t>15</w:t>
      </w:r>
      <w:r w:rsidR="006F0D54">
        <w:rPr>
          <w:noProof/>
        </w:rPr>
        <w:fldChar w:fldCharType="end"/>
      </w:r>
      <w:bookmarkEnd w:id="62"/>
      <w:r w:rsidRPr="00225248">
        <w:t>:</w:t>
      </w:r>
      <w:r w:rsidR="00354F64" w:rsidRPr="00225248">
        <w:t xml:space="preserve"> </w:t>
      </w:r>
      <w:r w:rsidR="00D15314" w:rsidRPr="00225248">
        <w:t>Sensitivity analyses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5: Sensitivity analyses"/>
      </w:tblPr>
      <w:tblGrid>
        <w:gridCol w:w="4769"/>
        <w:gridCol w:w="1107"/>
        <w:gridCol w:w="1149"/>
        <w:gridCol w:w="1078"/>
        <w:gridCol w:w="914"/>
      </w:tblGrid>
      <w:tr w:rsidR="00670F7F" w:rsidRPr="00DF0226" w14:paraId="639743D6" w14:textId="77777777" w:rsidTr="1797D1E5">
        <w:trPr>
          <w:cantSplit/>
          <w:tblHeader/>
        </w:trPr>
        <w:tc>
          <w:tcPr>
            <w:tcW w:w="2644" w:type="pct"/>
            <w:vAlign w:val="center"/>
          </w:tcPr>
          <w:p w14:paraId="5D6FA122" w14:textId="77777777" w:rsidR="00670F7F" w:rsidRPr="00DF0226" w:rsidRDefault="00670F7F" w:rsidP="0020672F">
            <w:pPr>
              <w:pStyle w:val="COMTableheadingrow"/>
            </w:pPr>
            <w:r w:rsidRPr="00DF0226">
              <w:t>Analysis</w:t>
            </w:r>
          </w:p>
        </w:tc>
        <w:tc>
          <w:tcPr>
            <w:tcW w:w="614" w:type="pct"/>
            <w:tcBorders>
              <w:bottom w:val="single" w:sz="4" w:space="0" w:color="auto"/>
            </w:tcBorders>
            <w:vAlign w:val="center"/>
          </w:tcPr>
          <w:p w14:paraId="1E8587FF" w14:textId="5A6B2E6E" w:rsidR="00670F7F" w:rsidRPr="00DF0226" w:rsidRDefault="00670F7F" w:rsidP="00E86AA4">
            <w:pPr>
              <w:pStyle w:val="COMTableheadingrow"/>
              <w:jc w:val="center"/>
            </w:pPr>
            <w:r w:rsidRPr="00DF0226">
              <w:t>Incremental cost</w:t>
            </w:r>
            <w:r w:rsidR="00602C32">
              <w:t xml:space="preserve"> ($)</w:t>
            </w:r>
          </w:p>
        </w:tc>
        <w:tc>
          <w:tcPr>
            <w:tcW w:w="637" w:type="pct"/>
            <w:vAlign w:val="center"/>
          </w:tcPr>
          <w:p w14:paraId="03BEF1AB" w14:textId="77777777" w:rsidR="00670F7F" w:rsidRPr="00DF0226" w:rsidRDefault="00670F7F" w:rsidP="00E86AA4">
            <w:pPr>
              <w:pStyle w:val="COMTableheadingrow"/>
              <w:jc w:val="center"/>
            </w:pPr>
            <w:r w:rsidRPr="00DF0226">
              <w:t>Incremental QALY</w:t>
            </w:r>
          </w:p>
        </w:tc>
        <w:tc>
          <w:tcPr>
            <w:tcW w:w="598" w:type="pct"/>
            <w:vAlign w:val="center"/>
          </w:tcPr>
          <w:p w14:paraId="4F49F128" w14:textId="77777777" w:rsidR="00670F7F" w:rsidRPr="00DF0226" w:rsidRDefault="00670F7F" w:rsidP="00E86AA4">
            <w:pPr>
              <w:pStyle w:val="COMTableheadingrow"/>
              <w:jc w:val="center"/>
            </w:pPr>
            <w:r w:rsidRPr="00DF0226">
              <w:t>ICER</w:t>
            </w:r>
          </w:p>
        </w:tc>
        <w:tc>
          <w:tcPr>
            <w:tcW w:w="507" w:type="pct"/>
            <w:vAlign w:val="center"/>
          </w:tcPr>
          <w:p w14:paraId="62B562AC" w14:textId="77777777" w:rsidR="00670F7F" w:rsidRPr="00DF0226" w:rsidRDefault="00670F7F" w:rsidP="00E86AA4">
            <w:pPr>
              <w:pStyle w:val="COMTableheadingrow"/>
              <w:jc w:val="center"/>
            </w:pPr>
            <w:r w:rsidRPr="00DF0226">
              <w:t>% change</w:t>
            </w:r>
          </w:p>
        </w:tc>
      </w:tr>
      <w:tr w:rsidR="00670F7F" w:rsidRPr="00DF0226" w14:paraId="45657DF8" w14:textId="77777777" w:rsidTr="1797D1E5">
        <w:trPr>
          <w:cantSplit/>
        </w:trPr>
        <w:tc>
          <w:tcPr>
            <w:tcW w:w="2644" w:type="pct"/>
            <w:vAlign w:val="center"/>
          </w:tcPr>
          <w:p w14:paraId="3D126366" w14:textId="77777777" w:rsidR="00670F7F" w:rsidRPr="00DF0226" w:rsidRDefault="00670F7F" w:rsidP="00B254FA">
            <w:pPr>
              <w:pStyle w:val="COMTabletext"/>
              <w:keepNext w:val="0"/>
              <w:rPr>
                <w:b/>
                <w:bCs w:val="0"/>
              </w:rPr>
            </w:pPr>
            <w:r w:rsidRPr="00DF0226">
              <w:rPr>
                <w:b/>
                <w:bCs w:val="0"/>
              </w:rPr>
              <w:t>Base case</w:t>
            </w:r>
          </w:p>
        </w:tc>
        <w:tc>
          <w:tcPr>
            <w:tcW w:w="614" w:type="pct"/>
            <w:shd w:val="clear" w:color="auto" w:fill="000000" w:themeFill="text1"/>
            <w:vAlign w:val="center"/>
          </w:tcPr>
          <w:p w14:paraId="057C2729" w14:textId="2D7CBAB1" w:rsidR="00670F7F" w:rsidRPr="00327E8F" w:rsidRDefault="00AF1BA2" w:rsidP="00B254FA">
            <w:pPr>
              <w:pStyle w:val="COMTabletext"/>
              <w:keepNext w:val="0"/>
              <w:jc w:val="center"/>
              <w:rPr>
                <w:b/>
                <w:bCs w:val="0"/>
                <w:highlight w:val="lightGray"/>
              </w:rPr>
            </w:pPr>
            <w:r w:rsidRPr="00C64633">
              <w:rPr>
                <w:rFonts w:hint="eastAsia"/>
                <w:b/>
                <w:bCs w:val="0"/>
                <w:color w:val="000000"/>
                <w:w w:val="15"/>
                <w:fitText w:val="60" w:id="-894171904"/>
                <w14:textFill>
                  <w14:solidFill>
                    <w14:srgbClr w14:val="000000">
                      <w14:alpha w14:val="100000"/>
                    </w14:srgbClr>
                  </w14:solidFill>
                </w14:textFill>
              </w:rPr>
              <w:t xml:space="preserve">　</w:t>
            </w:r>
            <w:r w:rsidRPr="00C64633">
              <w:rPr>
                <w:b/>
                <w:bCs w:val="0"/>
                <w:color w:val="000000"/>
                <w:w w:val="15"/>
                <w:fitText w:val="60" w:id="-894171904"/>
                <w14:textFill>
                  <w14:solidFill>
                    <w14:srgbClr w14:val="000000">
                      <w14:alpha w14:val="100000"/>
                    </w14:srgbClr>
                  </w14:solidFill>
                </w14:textFill>
              </w:rPr>
              <w:t>|</w:t>
            </w:r>
            <w:r w:rsidRPr="00C64633">
              <w:rPr>
                <w:rFonts w:hint="eastAsia"/>
                <w:b/>
                <w:bCs w:val="0"/>
                <w:color w:val="000000"/>
                <w:w w:val="15"/>
                <w:fitText w:val="60" w:id="-894171904"/>
                <w14:textFill>
                  <w14:solidFill>
                    <w14:srgbClr w14:val="000000">
                      <w14:alpha w14:val="100000"/>
                    </w14:srgbClr>
                  </w14:solidFill>
                </w14:textFill>
              </w:rPr>
              <w:t xml:space="preserve">　</w:t>
            </w:r>
          </w:p>
        </w:tc>
        <w:tc>
          <w:tcPr>
            <w:tcW w:w="637" w:type="pct"/>
            <w:vAlign w:val="center"/>
          </w:tcPr>
          <w:p w14:paraId="06F700FA" w14:textId="77777777" w:rsidR="00670F7F" w:rsidRPr="00DF0226" w:rsidRDefault="00670F7F" w:rsidP="00B254FA">
            <w:pPr>
              <w:pStyle w:val="COMTabletext"/>
              <w:keepNext w:val="0"/>
              <w:jc w:val="center"/>
              <w:rPr>
                <w:b/>
                <w:bCs w:val="0"/>
              </w:rPr>
            </w:pPr>
            <w:r w:rsidRPr="00DF0226">
              <w:rPr>
                <w:b/>
                <w:bCs w:val="0"/>
              </w:rPr>
              <w:t>3.3595</w:t>
            </w:r>
          </w:p>
        </w:tc>
        <w:tc>
          <w:tcPr>
            <w:tcW w:w="598" w:type="pct"/>
            <w:vAlign w:val="center"/>
          </w:tcPr>
          <w:p w14:paraId="4CED2952" w14:textId="09E8151F" w:rsidR="00670F7F" w:rsidRPr="00DF0226" w:rsidRDefault="00AF1BA2" w:rsidP="00B254FA">
            <w:pPr>
              <w:pStyle w:val="COMTabletext"/>
              <w:keepNext w:val="0"/>
              <w:jc w:val="center"/>
              <w:rPr>
                <w:b/>
                <w:bCs w:val="0"/>
              </w:rPr>
            </w:pPr>
            <w:r w:rsidRPr="00C64633">
              <w:rPr>
                <w:rFonts w:hint="eastAsia"/>
                <w:b/>
                <w:bCs w:val="0"/>
                <w:color w:val="000000"/>
                <w:w w:val="26"/>
                <w:shd w:val="solid" w:color="000000" w:fill="000000"/>
                <w:fitText w:val="120" w:id="-894171903"/>
                <w14:textFill>
                  <w14:solidFill>
                    <w14:srgbClr w14:val="000000">
                      <w14:alpha w14:val="100000"/>
                    </w14:srgbClr>
                  </w14:solidFill>
                </w14:textFill>
              </w:rPr>
              <w:t xml:space="preserve">　</w:t>
            </w:r>
            <w:r w:rsidRPr="00C64633">
              <w:rPr>
                <w:b/>
                <w:bCs w:val="0"/>
                <w:color w:val="000000"/>
                <w:w w:val="26"/>
                <w:shd w:val="solid" w:color="000000" w:fill="000000"/>
                <w:fitText w:val="120" w:id="-894171903"/>
                <w14:textFill>
                  <w14:solidFill>
                    <w14:srgbClr w14:val="000000">
                      <w14:alpha w14:val="100000"/>
                    </w14:srgbClr>
                  </w14:solidFill>
                </w14:textFill>
              </w:rPr>
              <w:t>|</w:t>
            </w:r>
            <w:r w:rsidRPr="00C64633">
              <w:rPr>
                <w:rFonts w:hint="eastAsia"/>
                <w:b/>
                <w:bCs w:val="0"/>
                <w:color w:val="000000"/>
                <w:w w:val="26"/>
                <w:shd w:val="solid" w:color="000000" w:fill="000000"/>
                <w:fitText w:val="120" w:id="-894171903"/>
                <w14:textFill>
                  <w14:solidFill>
                    <w14:srgbClr w14:val="000000">
                      <w14:alpha w14:val="100000"/>
                    </w14:srgbClr>
                  </w14:solidFill>
                </w14:textFill>
              </w:rPr>
              <w:t xml:space="preserve">　</w:t>
            </w:r>
            <w:r w:rsidR="0099676C" w:rsidRPr="005C269B">
              <w:rPr>
                <w:vertAlign w:val="superscript"/>
              </w:rPr>
              <w:t>1</w:t>
            </w:r>
          </w:p>
        </w:tc>
        <w:tc>
          <w:tcPr>
            <w:tcW w:w="507" w:type="pct"/>
          </w:tcPr>
          <w:p w14:paraId="415718F6" w14:textId="77777777" w:rsidR="00670F7F" w:rsidRPr="00DF0226" w:rsidRDefault="00670F7F" w:rsidP="00B254FA">
            <w:pPr>
              <w:pStyle w:val="COMTabletext"/>
              <w:keepNext w:val="0"/>
              <w:jc w:val="center"/>
              <w:rPr>
                <w:b/>
                <w:bCs w:val="0"/>
              </w:rPr>
            </w:pPr>
            <w:r w:rsidRPr="00DF0226">
              <w:rPr>
                <w:b/>
                <w:bCs w:val="0"/>
              </w:rPr>
              <w:t>-</w:t>
            </w:r>
          </w:p>
        </w:tc>
      </w:tr>
      <w:tr w:rsidR="00670F7F" w:rsidRPr="00DF0226" w14:paraId="134D7AF3" w14:textId="77777777" w:rsidTr="1797D1E5">
        <w:trPr>
          <w:cantSplit/>
        </w:trPr>
        <w:tc>
          <w:tcPr>
            <w:tcW w:w="5000" w:type="pct"/>
            <w:gridSpan w:val="5"/>
            <w:vAlign w:val="center"/>
          </w:tcPr>
          <w:p w14:paraId="619E5C72" w14:textId="77777777" w:rsidR="00670F7F" w:rsidRPr="00DF0226" w:rsidRDefault="00670F7F" w:rsidP="00B254FA">
            <w:pPr>
              <w:pStyle w:val="COMTabletext"/>
              <w:keepNext w:val="0"/>
              <w:rPr>
                <w:b/>
                <w:bCs w:val="0"/>
              </w:rPr>
            </w:pPr>
            <w:r w:rsidRPr="00DF0226">
              <w:rPr>
                <w:b/>
                <w:bCs w:val="0"/>
              </w:rPr>
              <w:t>Discount rate (base case 5% costs and outcomes)</w:t>
            </w:r>
          </w:p>
        </w:tc>
      </w:tr>
      <w:tr w:rsidR="00670F7F" w:rsidRPr="00DF0226" w14:paraId="7C9442ED" w14:textId="77777777" w:rsidTr="1797D1E5">
        <w:trPr>
          <w:cantSplit/>
        </w:trPr>
        <w:tc>
          <w:tcPr>
            <w:tcW w:w="2644" w:type="pct"/>
          </w:tcPr>
          <w:p w14:paraId="1E728795" w14:textId="77777777" w:rsidR="00670F7F" w:rsidRPr="00DF0226" w:rsidRDefault="00670F7F" w:rsidP="00B254FA">
            <w:pPr>
              <w:pStyle w:val="COMTabletext"/>
              <w:keepNext w:val="0"/>
            </w:pPr>
            <w:r w:rsidRPr="00DF0226">
              <w:t>0%</w:t>
            </w:r>
          </w:p>
        </w:tc>
        <w:tc>
          <w:tcPr>
            <w:tcW w:w="614" w:type="pct"/>
            <w:tcBorders>
              <w:bottom w:val="single" w:sz="4" w:space="0" w:color="auto"/>
            </w:tcBorders>
            <w:shd w:val="clear" w:color="auto" w:fill="000000" w:themeFill="text1"/>
          </w:tcPr>
          <w:p w14:paraId="2AC827A9" w14:textId="1C5F66C4" w:rsidR="00670F7F" w:rsidRPr="00327E8F" w:rsidRDefault="00AF1BA2" w:rsidP="00B254FA">
            <w:pPr>
              <w:pStyle w:val="COMTabletext"/>
              <w:keepNext w:val="0"/>
              <w:jc w:val="center"/>
              <w:rPr>
                <w:highlight w:val="lightGray"/>
              </w:rPr>
            </w:pPr>
            <w:r>
              <w:rPr>
                <w:color w:val="000000"/>
                <w:w w:val="15"/>
                <w:fitText w:val="10" w:id="-894171902"/>
                <w14:textFill>
                  <w14:solidFill>
                    <w14:srgbClr w14:val="000000">
                      <w14:alpha w14:val="100000"/>
                    </w14:srgbClr>
                  </w14:solidFill>
                </w14:textFill>
              </w:rPr>
              <w:t xml:space="preserve">　</w:t>
            </w:r>
            <w:r>
              <w:rPr>
                <w:color w:val="000000"/>
                <w:w w:val="15"/>
                <w:fitText w:val="10" w:id="-894171902"/>
                <w14:textFill>
                  <w14:solidFill>
                    <w14:srgbClr w14:val="000000">
                      <w14:alpha w14:val="100000"/>
                    </w14:srgbClr>
                  </w14:solidFill>
                </w14:textFill>
              </w:rPr>
              <w:t>|</w:t>
            </w:r>
            <w:r>
              <w:rPr>
                <w:color w:val="000000"/>
                <w:spacing w:val="-56"/>
                <w:w w:val="15"/>
                <w:fitText w:val="10" w:id="-894171902"/>
                <w14:textFill>
                  <w14:solidFill>
                    <w14:srgbClr w14:val="000000">
                      <w14:alpha w14:val="100000"/>
                    </w14:srgbClr>
                  </w14:solidFill>
                </w14:textFill>
              </w:rPr>
              <w:t xml:space="preserve">　</w:t>
            </w:r>
          </w:p>
        </w:tc>
        <w:tc>
          <w:tcPr>
            <w:tcW w:w="637" w:type="pct"/>
          </w:tcPr>
          <w:p w14:paraId="5BA651A3" w14:textId="77777777" w:rsidR="00670F7F" w:rsidRPr="00DF0226" w:rsidRDefault="00670F7F" w:rsidP="00B254FA">
            <w:pPr>
              <w:pStyle w:val="COMTabletext"/>
              <w:keepNext w:val="0"/>
              <w:jc w:val="center"/>
            </w:pPr>
            <w:r w:rsidRPr="00DF0226">
              <w:t>6.9776</w:t>
            </w:r>
          </w:p>
        </w:tc>
        <w:tc>
          <w:tcPr>
            <w:tcW w:w="598" w:type="pct"/>
          </w:tcPr>
          <w:p w14:paraId="1696D2DA" w14:textId="5065ADAE" w:rsidR="00670F7F" w:rsidRPr="00327E8F" w:rsidRDefault="00AF1BA2" w:rsidP="00B254FA">
            <w:pPr>
              <w:pStyle w:val="COMTabletext"/>
              <w:keepNext w:val="0"/>
              <w:jc w:val="center"/>
              <w:rPr>
                <w:highlight w:val="lightGray"/>
              </w:rPr>
            </w:pPr>
            <w:r w:rsidRPr="00C64633">
              <w:rPr>
                <w:rFonts w:hint="eastAsia"/>
                <w:color w:val="000000"/>
                <w:w w:val="15"/>
                <w:shd w:val="solid" w:color="000000" w:fill="000000"/>
                <w:fitText w:val="70" w:id="-894171901"/>
                <w14:textFill>
                  <w14:solidFill>
                    <w14:srgbClr w14:val="000000">
                      <w14:alpha w14:val="100000"/>
                    </w14:srgbClr>
                  </w14:solidFill>
                </w14:textFill>
              </w:rPr>
              <w:t xml:space="preserve">　</w:t>
            </w:r>
            <w:r w:rsidRPr="00C64633">
              <w:rPr>
                <w:color w:val="000000"/>
                <w:w w:val="15"/>
                <w:shd w:val="solid" w:color="000000" w:fill="000000"/>
                <w:fitText w:val="70" w:id="-894171901"/>
                <w14:textFill>
                  <w14:solidFill>
                    <w14:srgbClr w14:val="000000">
                      <w14:alpha w14:val="100000"/>
                    </w14:srgbClr>
                  </w14:solidFill>
                </w14:textFill>
              </w:rPr>
              <w:t>|</w:t>
            </w:r>
            <w:r w:rsidRPr="00C64633">
              <w:rPr>
                <w:rFonts w:hint="eastAsia"/>
                <w:color w:val="000000"/>
                <w:w w:val="15"/>
                <w:shd w:val="solid" w:color="000000" w:fill="000000"/>
                <w:fitText w:val="70" w:id="-894171901"/>
                <w14:textFill>
                  <w14:solidFill>
                    <w14:srgbClr w14:val="000000">
                      <w14:alpha w14:val="100000"/>
                    </w14:srgbClr>
                  </w14:solidFill>
                </w14:textFill>
              </w:rPr>
              <w:t xml:space="preserve">　</w:t>
            </w:r>
            <w:r w:rsidR="0099676C" w:rsidRPr="00327E8F">
              <w:rPr>
                <w:vertAlign w:val="superscript"/>
              </w:rPr>
              <w:t>2</w:t>
            </w:r>
          </w:p>
        </w:tc>
        <w:tc>
          <w:tcPr>
            <w:tcW w:w="507" w:type="pct"/>
          </w:tcPr>
          <w:p w14:paraId="3323B99B" w14:textId="6B574370" w:rsidR="00670F7F" w:rsidRPr="00DF0226" w:rsidRDefault="00670F7F" w:rsidP="00B254FA">
            <w:pPr>
              <w:pStyle w:val="COMTabletext"/>
              <w:keepNext w:val="0"/>
              <w:jc w:val="center"/>
            </w:pPr>
            <w:r w:rsidRPr="00DF0226">
              <w:t>-</w:t>
            </w:r>
            <w:r w:rsidR="00AF1BA2" w:rsidRPr="00C64633">
              <w:rPr>
                <w:color w:val="000000"/>
                <w:spacing w:val="46"/>
                <w:shd w:val="solid" w:color="000000" w:fill="000000"/>
                <w:fitText w:val="220" w:id="-894171900"/>
                <w14:textFill>
                  <w14:solidFill>
                    <w14:srgbClr w14:val="000000">
                      <w14:alpha w14:val="100000"/>
                    </w14:srgbClr>
                  </w14:solidFill>
                </w14:textFill>
              </w:rPr>
              <w:t>||</w:t>
            </w:r>
            <w:r w:rsidR="00AF1BA2" w:rsidRPr="00C64633">
              <w:rPr>
                <w:color w:val="000000"/>
                <w:spacing w:val="1"/>
                <w:shd w:val="solid" w:color="000000" w:fill="000000"/>
                <w:fitText w:val="220" w:id="-894171900"/>
                <w14:textFill>
                  <w14:solidFill>
                    <w14:srgbClr w14:val="000000">
                      <w14:alpha w14:val="100000"/>
                    </w14:srgbClr>
                  </w14:solidFill>
                </w14:textFill>
              </w:rPr>
              <w:t>|</w:t>
            </w:r>
            <w:r w:rsidRPr="00DF0226">
              <w:t>%</w:t>
            </w:r>
          </w:p>
        </w:tc>
      </w:tr>
      <w:tr w:rsidR="00670F7F" w:rsidRPr="00DF0226" w14:paraId="3445A0E1" w14:textId="77777777" w:rsidTr="1797D1E5">
        <w:trPr>
          <w:cantSplit/>
        </w:trPr>
        <w:tc>
          <w:tcPr>
            <w:tcW w:w="2644" w:type="pct"/>
          </w:tcPr>
          <w:p w14:paraId="6FFE19D0" w14:textId="77777777" w:rsidR="00670F7F" w:rsidRPr="00DF0226" w:rsidRDefault="00670F7F" w:rsidP="00B254FA">
            <w:pPr>
              <w:pStyle w:val="COMTabletext"/>
              <w:keepNext w:val="0"/>
            </w:pPr>
            <w:r w:rsidRPr="00DF0226">
              <w:t>3.5%</w:t>
            </w:r>
          </w:p>
        </w:tc>
        <w:tc>
          <w:tcPr>
            <w:tcW w:w="614" w:type="pct"/>
            <w:shd w:val="clear" w:color="auto" w:fill="000000" w:themeFill="text1"/>
          </w:tcPr>
          <w:p w14:paraId="023122A6" w14:textId="3A8F3159" w:rsidR="00670F7F" w:rsidRPr="00327E8F" w:rsidRDefault="00AF1BA2" w:rsidP="00B254FA">
            <w:pPr>
              <w:pStyle w:val="COMTabletext"/>
              <w:keepNext w:val="0"/>
              <w:jc w:val="center"/>
              <w:rPr>
                <w:highlight w:val="lightGray"/>
              </w:rPr>
            </w:pPr>
            <w:r>
              <w:rPr>
                <w:color w:val="000000"/>
                <w:w w:val="15"/>
                <w:fitText w:val="10" w:id="-894171899"/>
                <w14:textFill>
                  <w14:solidFill>
                    <w14:srgbClr w14:val="000000">
                      <w14:alpha w14:val="100000"/>
                    </w14:srgbClr>
                  </w14:solidFill>
                </w14:textFill>
              </w:rPr>
              <w:t xml:space="preserve">　</w:t>
            </w:r>
            <w:r>
              <w:rPr>
                <w:color w:val="000000"/>
                <w:w w:val="15"/>
                <w:fitText w:val="10" w:id="-894171899"/>
                <w14:textFill>
                  <w14:solidFill>
                    <w14:srgbClr w14:val="000000">
                      <w14:alpha w14:val="100000"/>
                    </w14:srgbClr>
                  </w14:solidFill>
                </w14:textFill>
              </w:rPr>
              <w:t>|</w:t>
            </w:r>
            <w:r>
              <w:rPr>
                <w:color w:val="000000"/>
                <w:spacing w:val="-56"/>
                <w:w w:val="15"/>
                <w:fitText w:val="10" w:id="-894171899"/>
                <w14:textFill>
                  <w14:solidFill>
                    <w14:srgbClr w14:val="000000">
                      <w14:alpha w14:val="100000"/>
                    </w14:srgbClr>
                  </w14:solidFill>
                </w14:textFill>
              </w:rPr>
              <w:t xml:space="preserve">　</w:t>
            </w:r>
          </w:p>
        </w:tc>
        <w:tc>
          <w:tcPr>
            <w:tcW w:w="637" w:type="pct"/>
          </w:tcPr>
          <w:p w14:paraId="320AE4F1" w14:textId="77777777" w:rsidR="00670F7F" w:rsidRPr="00DF0226" w:rsidRDefault="00670F7F" w:rsidP="00B254FA">
            <w:pPr>
              <w:pStyle w:val="COMTabletext"/>
              <w:keepNext w:val="0"/>
              <w:jc w:val="center"/>
            </w:pPr>
            <w:r w:rsidRPr="00DF0226">
              <w:t>4.1084</w:t>
            </w:r>
          </w:p>
        </w:tc>
        <w:tc>
          <w:tcPr>
            <w:tcW w:w="598" w:type="pct"/>
          </w:tcPr>
          <w:p w14:paraId="66FDB297" w14:textId="5E593A51" w:rsidR="00670F7F" w:rsidRPr="00327E8F" w:rsidRDefault="00AF1BA2" w:rsidP="00B254FA">
            <w:pPr>
              <w:pStyle w:val="COMTabletext"/>
              <w:keepNext w:val="0"/>
              <w:jc w:val="center"/>
              <w:rPr>
                <w:highlight w:val="lightGray"/>
              </w:rPr>
            </w:pPr>
            <w:r w:rsidRPr="00C64633">
              <w:rPr>
                <w:rFonts w:hint="eastAsia"/>
                <w:color w:val="000000"/>
                <w:w w:val="15"/>
                <w:shd w:val="solid" w:color="000000" w:fill="000000"/>
                <w:fitText w:val="70" w:id="-894171898"/>
                <w14:textFill>
                  <w14:solidFill>
                    <w14:srgbClr w14:val="000000">
                      <w14:alpha w14:val="100000"/>
                    </w14:srgbClr>
                  </w14:solidFill>
                </w14:textFill>
              </w:rPr>
              <w:t xml:space="preserve">　</w:t>
            </w:r>
            <w:r w:rsidRPr="00C64633">
              <w:rPr>
                <w:color w:val="000000"/>
                <w:w w:val="15"/>
                <w:shd w:val="solid" w:color="000000" w:fill="000000"/>
                <w:fitText w:val="70" w:id="-894171898"/>
                <w14:textFill>
                  <w14:solidFill>
                    <w14:srgbClr w14:val="000000">
                      <w14:alpha w14:val="100000"/>
                    </w14:srgbClr>
                  </w14:solidFill>
                </w14:textFill>
              </w:rPr>
              <w:t>|</w:t>
            </w:r>
            <w:r w:rsidRPr="00C64633">
              <w:rPr>
                <w:rFonts w:hint="eastAsia"/>
                <w:color w:val="000000"/>
                <w:w w:val="15"/>
                <w:shd w:val="solid" w:color="000000" w:fill="000000"/>
                <w:fitText w:val="70" w:id="-894171898"/>
                <w14:textFill>
                  <w14:solidFill>
                    <w14:srgbClr w14:val="000000">
                      <w14:alpha w14:val="100000"/>
                    </w14:srgbClr>
                  </w14:solidFill>
                </w14:textFill>
              </w:rPr>
              <w:t xml:space="preserve">　</w:t>
            </w:r>
            <w:r w:rsidR="00C00C91" w:rsidRPr="00327E8F">
              <w:rPr>
                <w:vertAlign w:val="superscript"/>
              </w:rPr>
              <w:t>3</w:t>
            </w:r>
          </w:p>
        </w:tc>
        <w:tc>
          <w:tcPr>
            <w:tcW w:w="507" w:type="pct"/>
          </w:tcPr>
          <w:p w14:paraId="2DB92ED0" w14:textId="7663ACE6" w:rsidR="00670F7F" w:rsidRPr="00DF0226" w:rsidRDefault="00670F7F" w:rsidP="00B254FA">
            <w:pPr>
              <w:pStyle w:val="COMTabletext"/>
              <w:keepNext w:val="0"/>
              <w:jc w:val="center"/>
            </w:pPr>
            <w:r w:rsidRPr="00DF0226">
              <w:t>-</w:t>
            </w:r>
            <w:r w:rsidR="00AF1BA2" w:rsidRPr="00C64633">
              <w:rPr>
                <w:color w:val="000000"/>
                <w:spacing w:val="46"/>
                <w:shd w:val="solid" w:color="000000" w:fill="000000"/>
                <w:fitText w:val="220" w:id="-894171897"/>
                <w14:textFill>
                  <w14:solidFill>
                    <w14:srgbClr w14:val="000000">
                      <w14:alpha w14:val="100000"/>
                    </w14:srgbClr>
                  </w14:solidFill>
                </w14:textFill>
              </w:rPr>
              <w:t>||</w:t>
            </w:r>
            <w:r w:rsidR="00AF1BA2" w:rsidRPr="00C64633">
              <w:rPr>
                <w:color w:val="000000"/>
                <w:spacing w:val="1"/>
                <w:shd w:val="solid" w:color="000000" w:fill="000000"/>
                <w:fitText w:val="220" w:id="-894171897"/>
                <w14:textFill>
                  <w14:solidFill>
                    <w14:srgbClr w14:val="000000">
                      <w14:alpha w14:val="100000"/>
                    </w14:srgbClr>
                  </w14:solidFill>
                </w14:textFill>
              </w:rPr>
              <w:t>|</w:t>
            </w:r>
            <w:r w:rsidRPr="00DF0226">
              <w:t>%</w:t>
            </w:r>
          </w:p>
        </w:tc>
      </w:tr>
      <w:tr w:rsidR="00670F7F" w:rsidRPr="00DF0226" w14:paraId="336A4E74" w14:textId="77777777" w:rsidTr="1797D1E5">
        <w:trPr>
          <w:cantSplit/>
        </w:trPr>
        <w:tc>
          <w:tcPr>
            <w:tcW w:w="5000" w:type="pct"/>
            <w:gridSpan w:val="5"/>
            <w:vAlign w:val="center"/>
          </w:tcPr>
          <w:p w14:paraId="6E399DDE" w14:textId="77777777" w:rsidR="00670F7F" w:rsidRPr="00DF0226" w:rsidRDefault="00670F7F" w:rsidP="0020672F">
            <w:pPr>
              <w:pStyle w:val="COMTableheadingrow"/>
            </w:pPr>
            <w:r w:rsidRPr="00DF0226">
              <w:t>Time horizon (base case 30 years)</w:t>
            </w:r>
          </w:p>
        </w:tc>
      </w:tr>
      <w:tr w:rsidR="00670F7F" w:rsidRPr="00DF0226" w14:paraId="4A0A7091" w14:textId="77777777" w:rsidTr="1797D1E5">
        <w:trPr>
          <w:cantSplit/>
        </w:trPr>
        <w:tc>
          <w:tcPr>
            <w:tcW w:w="2644" w:type="pct"/>
          </w:tcPr>
          <w:p w14:paraId="105074E9" w14:textId="77777777" w:rsidR="00670F7F" w:rsidRPr="00DF0226" w:rsidRDefault="00670F7F" w:rsidP="00B254FA">
            <w:pPr>
              <w:pStyle w:val="COMTabletext"/>
              <w:keepNext w:val="0"/>
            </w:pPr>
            <w:r w:rsidRPr="00DF0226">
              <w:t>5 years</w:t>
            </w:r>
          </w:p>
        </w:tc>
        <w:tc>
          <w:tcPr>
            <w:tcW w:w="614" w:type="pct"/>
            <w:tcBorders>
              <w:bottom w:val="single" w:sz="4" w:space="0" w:color="auto"/>
            </w:tcBorders>
            <w:shd w:val="clear" w:color="auto" w:fill="000000" w:themeFill="text1"/>
            <w:vAlign w:val="center"/>
          </w:tcPr>
          <w:p w14:paraId="79A1CE08" w14:textId="4DA2E516" w:rsidR="00670F7F" w:rsidRPr="00327E8F" w:rsidRDefault="00AF1BA2" w:rsidP="00B254FA">
            <w:pPr>
              <w:pStyle w:val="COMTabletext"/>
              <w:keepNext w:val="0"/>
              <w:jc w:val="center"/>
              <w:rPr>
                <w:highlight w:val="lightGray"/>
              </w:rPr>
            </w:pPr>
            <w:r>
              <w:rPr>
                <w:color w:val="000000"/>
                <w:w w:val="15"/>
                <w:fitText w:val="10" w:id="-894171896"/>
                <w14:textFill>
                  <w14:solidFill>
                    <w14:srgbClr w14:val="000000">
                      <w14:alpha w14:val="100000"/>
                    </w14:srgbClr>
                  </w14:solidFill>
                </w14:textFill>
              </w:rPr>
              <w:t xml:space="preserve">　</w:t>
            </w:r>
            <w:r>
              <w:rPr>
                <w:color w:val="000000"/>
                <w:w w:val="15"/>
                <w:fitText w:val="10" w:id="-894171896"/>
                <w14:textFill>
                  <w14:solidFill>
                    <w14:srgbClr w14:val="000000">
                      <w14:alpha w14:val="100000"/>
                    </w14:srgbClr>
                  </w14:solidFill>
                </w14:textFill>
              </w:rPr>
              <w:t>|</w:t>
            </w:r>
            <w:r>
              <w:rPr>
                <w:color w:val="000000"/>
                <w:spacing w:val="-56"/>
                <w:w w:val="15"/>
                <w:fitText w:val="10" w:id="-894171896"/>
                <w14:textFill>
                  <w14:solidFill>
                    <w14:srgbClr w14:val="000000">
                      <w14:alpha w14:val="100000"/>
                    </w14:srgbClr>
                  </w14:solidFill>
                </w14:textFill>
              </w:rPr>
              <w:t xml:space="preserve">　</w:t>
            </w:r>
          </w:p>
        </w:tc>
        <w:tc>
          <w:tcPr>
            <w:tcW w:w="637" w:type="pct"/>
            <w:vAlign w:val="center"/>
          </w:tcPr>
          <w:p w14:paraId="4F69FC5F" w14:textId="77777777" w:rsidR="00670F7F" w:rsidRPr="00DF0226" w:rsidRDefault="00670F7F" w:rsidP="00B254FA">
            <w:pPr>
              <w:pStyle w:val="COMTabletext"/>
              <w:keepNext w:val="0"/>
              <w:jc w:val="center"/>
            </w:pPr>
            <w:r w:rsidRPr="00DF0226">
              <w:t>0.3959</w:t>
            </w:r>
          </w:p>
        </w:tc>
        <w:tc>
          <w:tcPr>
            <w:tcW w:w="598" w:type="pct"/>
            <w:vAlign w:val="center"/>
          </w:tcPr>
          <w:p w14:paraId="30039EE8" w14:textId="1085C8DC" w:rsidR="00670F7F" w:rsidRPr="00327E8F" w:rsidRDefault="00AF1BA2" w:rsidP="00B254FA">
            <w:pPr>
              <w:pStyle w:val="COMTabletext"/>
              <w:keepNext w:val="0"/>
              <w:jc w:val="center"/>
              <w:rPr>
                <w:highlight w:val="lightGray"/>
              </w:rPr>
            </w:pPr>
            <w:r w:rsidRPr="00C64633">
              <w:rPr>
                <w:rFonts w:hint="eastAsia"/>
                <w:color w:val="000000"/>
                <w:w w:val="15"/>
                <w:shd w:val="solid" w:color="000000" w:fill="000000"/>
                <w:fitText w:val="70" w:id="-894171895"/>
                <w14:textFill>
                  <w14:solidFill>
                    <w14:srgbClr w14:val="000000">
                      <w14:alpha w14:val="100000"/>
                    </w14:srgbClr>
                  </w14:solidFill>
                </w14:textFill>
              </w:rPr>
              <w:t xml:space="preserve">　</w:t>
            </w:r>
            <w:r w:rsidRPr="00C64633">
              <w:rPr>
                <w:color w:val="000000"/>
                <w:w w:val="15"/>
                <w:shd w:val="solid" w:color="000000" w:fill="000000"/>
                <w:fitText w:val="70" w:id="-894171895"/>
                <w14:textFill>
                  <w14:solidFill>
                    <w14:srgbClr w14:val="000000">
                      <w14:alpha w14:val="100000"/>
                    </w14:srgbClr>
                  </w14:solidFill>
                </w14:textFill>
              </w:rPr>
              <w:t>|</w:t>
            </w:r>
            <w:r w:rsidRPr="00C64633">
              <w:rPr>
                <w:rFonts w:hint="eastAsia"/>
                <w:color w:val="000000"/>
                <w:w w:val="15"/>
                <w:shd w:val="solid" w:color="000000" w:fill="000000"/>
                <w:fitText w:val="70" w:id="-894171895"/>
                <w14:textFill>
                  <w14:solidFill>
                    <w14:srgbClr w14:val="000000">
                      <w14:alpha w14:val="100000"/>
                    </w14:srgbClr>
                  </w14:solidFill>
                </w14:textFill>
              </w:rPr>
              <w:t xml:space="preserve">　</w:t>
            </w:r>
            <w:r w:rsidR="005A0C9E" w:rsidRPr="00327E8F">
              <w:rPr>
                <w:vertAlign w:val="superscript"/>
              </w:rPr>
              <w:t>4</w:t>
            </w:r>
          </w:p>
        </w:tc>
        <w:tc>
          <w:tcPr>
            <w:tcW w:w="507" w:type="pct"/>
          </w:tcPr>
          <w:p w14:paraId="15F3EE52" w14:textId="18CAD5B8" w:rsidR="00670F7F" w:rsidRPr="00DF0226" w:rsidRDefault="00353D9C" w:rsidP="00B254FA">
            <w:pPr>
              <w:pStyle w:val="COMTabletext"/>
              <w:keepNext w:val="0"/>
              <w:jc w:val="center"/>
            </w:pPr>
            <w:r w:rsidRPr="00DF0226">
              <w:t>+</w:t>
            </w:r>
            <w:r w:rsidR="00AF1BA2" w:rsidRPr="00C64633">
              <w:rPr>
                <w:color w:val="000000"/>
                <w:spacing w:val="154"/>
                <w:shd w:val="solid" w:color="000000" w:fill="000000"/>
                <w:fitText w:val="240" w:id="-894171894"/>
                <w14:textFill>
                  <w14:solidFill>
                    <w14:srgbClr w14:val="000000">
                      <w14:alpha w14:val="100000"/>
                    </w14:srgbClr>
                  </w14:solidFill>
                </w14:textFill>
              </w:rPr>
              <w:t>|</w:t>
            </w:r>
            <w:r w:rsidR="00AF1BA2" w:rsidRPr="00C64633">
              <w:rPr>
                <w:color w:val="000000"/>
                <w:shd w:val="solid" w:color="000000" w:fill="000000"/>
                <w:fitText w:val="240" w:id="-894171894"/>
                <w14:textFill>
                  <w14:solidFill>
                    <w14:srgbClr w14:val="000000">
                      <w14:alpha w14:val="100000"/>
                    </w14:srgbClr>
                  </w14:solidFill>
                </w14:textFill>
              </w:rPr>
              <w:t>|</w:t>
            </w:r>
            <w:r w:rsidR="00670F7F" w:rsidRPr="00DF0226">
              <w:t>%</w:t>
            </w:r>
          </w:p>
        </w:tc>
      </w:tr>
      <w:tr w:rsidR="00670F7F" w:rsidRPr="00DF0226" w14:paraId="29A1C070" w14:textId="77777777" w:rsidTr="1797D1E5">
        <w:trPr>
          <w:cantSplit/>
        </w:trPr>
        <w:tc>
          <w:tcPr>
            <w:tcW w:w="2644" w:type="pct"/>
          </w:tcPr>
          <w:p w14:paraId="0D8D4E09" w14:textId="77777777" w:rsidR="00670F7F" w:rsidRPr="00DF0226" w:rsidRDefault="00670F7F" w:rsidP="00B254FA">
            <w:pPr>
              <w:pStyle w:val="COMTabletext"/>
              <w:keepNext w:val="0"/>
            </w:pPr>
            <w:r w:rsidRPr="00DF0226">
              <w:t>10 years</w:t>
            </w:r>
          </w:p>
        </w:tc>
        <w:tc>
          <w:tcPr>
            <w:tcW w:w="614" w:type="pct"/>
            <w:tcBorders>
              <w:bottom w:val="single" w:sz="4" w:space="0" w:color="auto"/>
            </w:tcBorders>
            <w:shd w:val="clear" w:color="auto" w:fill="000000" w:themeFill="text1"/>
            <w:vAlign w:val="center"/>
          </w:tcPr>
          <w:p w14:paraId="00F75D34" w14:textId="79DE441A" w:rsidR="00670F7F" w:rsidRPr="00327E8F" w:rsidRDefault="00AF1BA2" w:rsidP="00B254FA">
            <w:pPr>
              <w:pStyle w:val="COMTabletext"/>
              <w:keepNext w:val="0"/>
              <w:jc w:val="center"/>
              <w:rPr>
                <w:highlight w:val="lightGray"/>
              </w:rPr>
            </w:pPr>
            <w:r>
              <w:rPr>
                <w:color w:val="000000"/>
                <w:w w:val="15"/>
                <w:fitText w:val="10" w:id="-894171893"/>
                <w14:textFill>
                  <w14:solidFill>
                    <w14:srgbClr w14:val="000000">
                      <w14:alpha w14:val="100000"/>
                    </w14:srgbClr>
                  </w14:solidFill>
                </w14:textFill>
              </w:rPr>
              <w:t xml:space="preserve">　</w:t>
            </w:r>
            <w:r>
              <w:rPr>
                <w:color w:val="000000"/>
                <w:w w:val="15"/>
                <w:fitText w:val="10" w:id="-894171893"/>
                <w14:textFill>
                  <w14:solidFill>
                    <w14:srgbClr w14:val="000000">
                      <w14:alpha w14:val="100000"/>
                    </w14:srgbClr>
                  </w14:solidFill>
                </w14:textFill>
              </w:rPr>
              <w:t>|</w:t>
            </w:r>
            <w:r>
              <w:rPr>
                <w:color w:val="000000"/>
                <w:spacing w:val="-56"/>
                <w:w w:val="15"/>
                <w:fitText w:val="10" w:id="-894171893"/>
                <w14:textFill>
                  <w14:solidFill>
                    <w14:srgbClr w14:val="000000">
                      <w14:alpha w14:val="100000"/>
                    </w14:srgbClr>
                  </w14:solidFill>
                </w14:textFill>
              </w:rPr>
              <w:t xml:space="preserve">　</w:t>
            </w:r>
          </w:p>
        </w:tc>
        <w:tc>
          <w:tcPr>
            <w:tcW w:w="637" w:type="pct"/>
            <w:vAlign w:val="center"/>
          </w:tcPr>
          <w:p w14:paraId="2CBF54A1" w14:textId="77777777" w:rsidR="00670F7F" w:rsidRPr="00DF0226" w:rsidRDefault="00670F7F" w:rsidP="00B254FA">
            <w:pPr>
              <w:pStyle w:val="COMTabletext"/>
              <w:keepNext w:val="0"/>
              <w:jc w:val="center"/>
            </w:pPr>
            <w:r w:rsidRPr="00DF0226">
              <w:t>1.1787</w:t>
            </w:r>
          </w:p>
        </w:tc>
        <w:tc>
          <w:tcPr>
            <w:tcW w:w="598" w:type="pct"/>
            <w:vAlign w:val="center"/>
          </w:tcPr>
          <w:p w14:paraId="431E7BEE" w14:textId="6C37B7D5" w:rsidR="00670F7F" w:rsidRPr="00327E8F" w:rsidRDefault="00AF1BA2" w:rsidP="00B254FA">
            <w:pPr>
              <w:pStyle w:val="COMTabletext"/>
              <w:keepNext w:val="0"/>
              <w:jc w:val="center"/>
              <w:rPr>
                <w:highlight w:val="lightGray"/>
              </w:rPr>
            </w:pPr>
            <w:r w:rsidRPr="00C64633">
              <w:rPr>
                <w:rFonts w:hint="eastAsia"/>
                <w:color w:val="000000"/>
                <w:w w:val="15"/>
                <w:shd w:val="solid" w:color="000000" w:fill="000000"/>
                <w:fitText w:val="70" w:id="-894171892"/>
                <w14:textFill>
                  <w14:solidFill>
                    <w14:srgbClr w14:val="000000">
                      <w14:alpha w14:val="100000"/>
                    </w14:srgbClr>
                  </w14:solidFill>
                </w14:textFill>
              </w:rPr>
              <w:t xml:space="preserve">　</w:t>
            </w:r>
            <w:r w:rsidRPr="00C64633">
              <w:rPr>
                <w:color w:val="000000"/>
                <w:w w:val="15"/>
                <w:shd w:val="solid" w:color="000000" w:fill="000000"/>
                <w:fitText w:val="70" w:id="-894171892"/>
                <w14:textFill>
                  <w14:solidFill>
                    <w14:srgbClr w14:val="000000">
                      <w14:alpha w14:val="100000"/>
                    </w14:srgbClr>
                  </w14:solidFill>
                </w14:textFill>
              </w:rPr>
              <w:t>|</w:t>
            </w:r>
            <w:r w:rsidRPr="00C64633">
              <w:rPr>
                <w:rFonts w:hint="eastAsia"/>
                <w:color w:val="000000"/>
                <w:w w:val="15"/>
                <w:shd w:val="solid" w:color="000000" w:fill="000000"/>
                <w:fitText w:val="70" w:id="-894171892"/>
                <w14:textFill>
                  <w14:solidFill>
                    <w14:srgbClr w14:val="000000">
                      <w14:alpha w14:val="100000"/>
                    </w14:srgbClr>
                  </w14:solidFill>
                </w14:textFill>
              </w:rPr>
              <w:t xml:space="preserve">　</w:t>
            </w:r>
            <w:r w:rsidR="006B75F1" w:rsidRPr="00327E8F">
              <w:rPr>
                <w:vertAlign w:val="superscript"/>
              </w:rPr>
              <w:t>5</w:t>
            </w:r>
          </w:p>
        </w:tc>
        <w:tc>
          <w:tcPr>
            <w:tcW w:w="507" w:type="pct"/>
          </w:tcPr>
          <w:p w14:paraId="03853DD5" w14:textId="322D5F98" w:rsidR="00670F7F" w:rsidRPr="00DF0226" w:rsidRDefault="00353D9C" w:rsidP="00B254FA">
            <w:pPr>
              <w:pStyle w:val="COMTabletext"/>
              <w:keepNext w:val="0"/>
              <w:jc w:val="center"/>
            </w:pPr>
            <w:r w:rsidRPr="00DF0226">
              <w:t>+</w:t>
            </w:r>
            <w:r w:rsidR="00AF1BA2" w:rsidRPr="00C64633">
              <w:rPr>
                <w:color w:val="000000"/>
                <w:spacing w:val="154"/>
                <w:shd w:val="solid" w:color="000000" w:fill="000000"/>
                <w:fitText w:val="240" w:id="-894171891"/>
                <w14:textFill>
                  <w14:solidFill>
                    <w14:srgbClr w14:val="000000">
                      <w14:alpha w14:val="100000"/>
                    </w14:srgbClr>
                  </w14:solidFill>
                </w14:textFill>
              </w:rPr>
              <w:t>|</w:t>
            </w:r>
            <w:r w:rsidR="00AF1BA2" w:rsidRPr="00C64633">
              <w:rPr>
                <w:color w:val="000000"/>
                <w:shd w:val="solid" w:color="000000" w:fill="000000"/>
                <w:fitText w:val="240" w:id="-894171891"/>
                <w14:textFill>
                  <w14:solidFill>
                    <w14:srgbClr w14:val="000000">
                      <w14:alpha w14:val="100000"/>
                    </w14:srgbClr>
                  </w14:solidFill>
                </w14:textFill>
              </w:rPr>
              <w:t>|</w:t>
            </w:r>
            <w:r w:rsidR="00670F7F" w:rsidRPr="00DF0226">
              <w:t>%</w:t>
            </w:r>
          </w:p>
        </w:tc>
      </w:tr>
      <w:tr w:rsidR="00670F7F" w:rsidRPr="00DF0226" w14:paraId="6EC22D57" w14:textId="77777777" w:rsidTr="1797D1E5">
        <w:trPr>
          <w:cantSplit/>
        </w:trPr>
        <w:tc>
          <w:tcPr>
            <w:tcW w:w="2644" w:type="pct"/>
          </w:tcPr>
          <w:p w14:paraId="3D605B09" w14:textId="77777777" w:rsidR="00670F7F" w:rsidRPr="00DF0226" w:rsidRDefault="00670F7F" w:rsidP="00B254FA">
            <w:pPr>
              <w:pStyle w:val="COMTabletext"/>
              <w:keepNext w:val="0"/>
            </w:pPr>
            <w:r w:rsidRPr="00DF0226">
              <w:t>20 years</w:t>
            </w:r>
          </w:p>
        </w:tc>
        <w:tc>
          <w:tcPr>
            <w:tcW w:w="614" w:type="pct"/>
            <w:shd w:val="clear" w:color="auto" w:fill="000000" w:themeFill="text1"/>
            <w:vAlign w:val="center"/>
          </w:tcPr>
          <w:p w14:paraId="349133A6" w14:textId="23FB7B2A" w:rsidR="00670F7F" w:rsidRPr="00327E8F" w:rsidRDefault="00AF1BA2" w:rsidP="00B254FA">
            <w:pPr>
              <w:pStyle w:val="COMTabletext"/>
              <w:keepNext w:val="0"/>
              <w:jc w:val="center"/>
              <w:rPr>
                <w:highlight w:val="lightGray"/>
              </w:rPr>
            </w:pPr>
            <w:r>
              <w:rPr>
                <w:color w:val="000000"/>
                <w:w w:val="15"/>
                <w:fitText w:val="10" w:id="-894171890"/>
                <w14:textFill>
                  <w14:solidFill>
                    <w14:srgbClr w14:val="000000">
                      <w14:alpha w14:val="100000"/>
                    </w14:srgbClr>
                  </w14:solidFill>
                </w14:textFill>
              </w:rPr>
              <w:t xml:space="preserve">　</w:t>
            </w:r>
            <w:r>
              <w:rPr>
                <w:color w:val="000000"/>
                <w:w w:val="15"/>
                <w:fitText w:val="10" w:id="-894171890"/>
                <w14:textFill>
                  <w14:solidFill>
                    <w14:srgbClr w14:val="000000">
                      <w14:alpha w14:val="100000"/>
                    </w14:srgbClr>
                  </w14:solidFill>
                </w14:textFill>
              </w:rPr>
              <w:t>|</w:t>
            </w:r>
            <w:r>
              <w:rPr>
                <w:color w:val="000000"/>
                <w:spacing w:val="-56"/>
                <w:w w:val="15"/>
                <w:fitText w:val="10" w:id="-894171890"/>
                <w14:textFill>
                  <w14:solidFill>
                    <w14:srgbClr w14:val="000000">
                      <w14:alpha w14:val="100000"/>
                    </w14:srgbClr>
                  </w14:solidFill>
                </w14:textFill>
              </w:rPr>
              <w:t xml:space="preserve">　</w:t>
            </w:r>
          </w:p>
        </w:tc>
        <w:tc>
          <w:tcPr>
            <w:tcW w:w="637" w:type="pct"/>
            <w:vAlign w:val="center"/>
          </w:tcPr>
          <w:p w14:paraId="417736CE" w14:textId="77777777" w:rsidR="00670F7F" w:rsidRPr="00DF0226" w:rsidRDefault="00670F7F" w:rsidP="00B254FA">
            <w:pPr>
              <w:pStyle w:val="COMTabletext"/>
              <w:keepNext w:val="0"/>
              <w:jc w:val="center"/>
            </w:pPr>
            <w:r w:rsidRPr="00DF0226">
              <w:t>2.5401</w:t>
            </w:r>
          </w:p>
        </w:tc>
        <w:tc>
          <w:tcPr>
            <w:tcW w:w="598" w:type="pct"/>
            <w:vAlign w:val="center"/>
          </w:tcPr>
          <w:p w14:paraId="157E4BF7" w14:textId="09276D0A" w:rsidR="00670F7F" w:rsidRPr="00327E8F" w:rsidRDefault="00AF1BA2" w:rsidP="00B254FA">
            <w:pPr>
              <w:pStyle w:val="COMTabletext"/>
              <w:keepNext w:val="0"/>
              <w:jc w:val="center"/>
              <w:rPr>
                <w:highlight w:val="lightGray"/>
              </w:rPr>
            </w:pPr>
            <w:r w:rsidRPr="00C64633">
              <w:rPr>
                <w:rFonts w:hint="eastAsia"/>
                <w:color w:val="000000"/>
                <w:w w:val="15"/>
                <w:shd w:val="solid" w:color="000000" w:fill="000000"/>
                <w:fitText w:val="70" w:id="-894171889"/>
                <w14:textFill>
                  <w14:solidFill>
                    <w14:srgbClr w14:val="000000">
                      <w14:alpha w14:val="100000"/>
                    </w14:srgbClr>
                  </w14:solidFill>
                </w14:textFill>
              </w:rPr>
              <w:t xml:space="preserve">　</w:t>
            </w:r>
            <w:r w:rsidRPr="00C64633">
              <w:rPr>
                <w:color w:val="000000"/>
                <w:w w:val="15"/>
                <w:shd w:val="solid" w:color="000000" w:fill="000000"/>
                <w:fitText w:val="70" w:id="-894171889"/>
                <w14:textFill>
                  <w14:solidFill>
                    <w14:srgbClr w14:val="000000">
                      <w14:alpha w14:val="100000"/>
                    </w14:srgbClr>
                  </w14:solidFill>
                </w14:textFill>
              </w:rPr>
              <w:t>|</w:t>
            </w:r>
            <w:r w:rsidRPr="00C64633">
              <w:rPr>
                <w:rFonts w:hint="eastAsia"/>
                <w:color w:val="000000"/>
                <w:w w:val="15"/>
                <w:shd w:val="solid" w:color="000000" w:fill="000000"/>
                <w:fitText w:val="70" w:id="-894171889"/>
                <w14:textFill>
                  <w14:solidFill>
                    <w14:srgbClr w14:val="000000">
                      <w14:alpha w14:val="100000"/>
                    </w14:srgbClr>
                  </w14:solidFill>
                </w14:textFill>
              </w:rPr>
              <w:t xml:space="preserve">　</w:t>
            </w:r>
            <w:r w:rsidR="008419DD" w:rsidRPr="00327E8F">
              <w:rPr>
                <w:vertAlign w:val="superscript"/>
              </w:rPr>
              <w:t>6</w:t>
            </w:r>
          </w:p>
        </w:tc>
        <w:tc>
          <w:tcPr>
            <w:tcW w:w="507" w:type="pct"/>
          </w:tcPr>
          <w:p w14:paraId="2934EF04" w14:textId="3BA754F8" w:rsidR="00670F7F" w:rsidRPr="00DF0226" w:rsidRDefault="00353D9C" w:rsidP="00B254FA">
            <w:pPr>
              <w:pStyle w:val="COMTabletext"/>
              <w:keepNext w:val="0"/>
              <w:jc w:val="center"/>
            </w:pPr>
            <w:r w:rsidRPr="00DF0226">
              <w:t>+</w:t>
            </w:r>
            <w:r w:rsidR="00AF1BA2" w:rsidRPr="00C64633">
              <w:rPr>
                <w:color w:val="000000"/>
                <w:spacing w:val="154"/>
                <w:shd w:val="solid" w:color="000000" w:fill="000000"/>
                <w:fitText w:val="240" w:id="-894171888"/>
                <w14:textFill>
                  <w14:solidFill>
                    <w14:srgbClr w14:val="000000">
                      <w14:alpha w14:val="100000"/>
                    </w14:srgbClr>
                  </w14:solidFill>
                </w14:textFill>
              </w:rPr>
              <w:t>|</w:t>
            </w:r>
            <w:r w:rsidR="00AF1BA2" w:rsidRPr="00C64633">
              <w:rPr>
                <w:color w:val="000000"/>
                <w:shd w:val="solid" w:color="000000" w:fill="000000"/>
                <w:fitText w:val="240" w:id="-894171888"/>
                <w14:textFill>
                  <w14:solidFill>
                    <w14:srgbClr w14:val="000000">
                      <w14:alpha w14:val="100000"/>
                    </w14:srgbClr>
                  </w14:solidFill>
                </w14:textFill>
              </w:rPr>
              <w:t>|</w:t>
            </w:r>
            <w:r w:rsidR="00670F7F" w:rsidRPr="00DF0226">
              <w:t>%</w:t>
            </w:r>
          </w:p>
        </w:tc>
      </w:tr>
      <w:tr w:rsidR="00670F7F" w:rsidRPr="00DF0226" w14:paraId="57FAA238" w14:textId="77777777" w:rsidTr="1797D1E5">
        <w:trPr>
          <w:cantSplit/>
        </w:trPr>
        <w:tc>
          <w:tcPr>
            <w:tcW w:w="5000" w:type="pct"/>
            <w:gridSpan w:val="5"/>
          </w:tcPr>
          <w:p w14:paraId="325DEA84" w14:textId="77777777" w:rsidR="00670F7F" w:rsidRPr="00DF0226" w:rsidRDefault="00670F7F" w:rsidP="0020672F">
            <w:pPr>
              <w:pStyle w:val="COMTableheadingrow"/>
            </w:pPr>
            <w:r w:rsidRPr="00DF0226">
              <w:t>Overall survival extrapolation (base case OS censored at on-protocol ASCT: blinatumomab exponential MCM, SOC loglogistic MCM; OS from on-protocol ASCT: blinatumomab lognormal MCM, SOC exponential MCM)</w:t>
            </w:r>
          </w:p>
        </w:tc>
      </w:tr>
      <w:tr w:rsidR="00670F7F" w:rsidRPr="00DF0226" w14:paraId="4EA57A6F" w14:textId="77777777" w:rsidTr="1797D1E5">
        <w:trPr>
          <w:cantSplit/>
        </w:trPr>
        <w:tc>
          <w:tcPr>
            <w:tcW w:w="2644" w:type="pct"/>
          </w:tcPr>
          <w:p w14:paraId="6BFD7505" w14:textId="77777777" w:rsidR="00670F7F" w:rsidRPr="00DF0226" w:rsidRDefault="00670F7F" w:rsidP="00B254FA">
            <w:pPr>
              <w:pStyle w:val="COMTabletext"/>
              <w:keepNext w:val="0"/>
            </w:pPr>
            <w:r w:rsidRPr="00DF0226">
              <w:t>SOC censored at ASCT: exponential MCM</w:t>
            </w:r>
          </w:p>
        </w:tc>
        <w:tc>
          <w:tcPr>
            <w:tcW w:w="614" w:type="pct"/>
            <w:tcBorders>
              <w:bottom w:val="single" w:sz="4" w:space="0" w:color="auto"/>
            </w:tcBorders>
            <w:shd w:val="clear" w:color="auto" w:fill="000000" w:themeFill="text1"/>
          </w:tcPr>
          <w:p w14:paraId="757F2FB5" w14:textId="5F051D07" w:rsidR="00670F7F" w:rsidRPr="00327E8F" w:rsidRDefault="00AF1BA2" w:rsidP="00B254FA">
            <w:pPr>
              <w:pStyle w:val="COMTabletext"/>
              <w:keepNext w:val="0"/>
              <w:jc w:val="center"/>
              <w:rPr>
                <w:highlight w:val="lightGray"/>
              </w:rPr>
            </w:pPr>
            <w:r>
              <w:rPr>
                <w:color w:val="000000"/>
                <w:w w:val="15"/>
                <w:fitText w:val="10" w:id="-894171904"/>
                <w14:textFill>
                  <w14:solidFill>
                    <w14:srgbClr w14:val="000000">
                      <w14:alpha w14:val="100000"/>
                    </w14:srgbClr>
                  </w14:solidFill>
                </w14:textFill>
              </w:rPr>
              <w:t xml:space="preserve">　</w:t>
            </w:r>
            <w:r>
              <w:rPr>
                <w:color w:val="000000"/>
                <w:w w:val="15"/>
                <w:fitText w:val="10" w:id="-894171904"/>
                <w14:textFill>
                  <w14:solidFill>
                    <w14:srgbClr w14:val="000000">
                      <w14:alpha w14:val="100000"/>
                    </w14:srgbClr>
                  </w14:solidFill>
                </w14:textFill>
              </w:rPr>
              <w:t>|</w:t>
            </w:r>
            <w:r>
              <w:rPr>
                <w:color w:val="000000"/>
                <w:spacing w:val="-56"/>
                <w:w w:val="15"/>
                <w:fitText w:val="10" w:id="-894171904"/>
                <w14:textFill>
                  <w14:solidFill>
                    <w14:srgbClr w14:val="000000">
                      <w14:alpha w14:val="100000"/>
                    </w14:srgbClr>
                  </w14:solidFill>
                </w14:textFill>
              </w:rPr>
              <w:t xml:space="preserve">　</w:t>
            </w:r>
          </w:p>
        </w:tc>
        <w:tc>
          <w:tcPr>
            <w:tcW w:w="637" w:type="pct"/>
          </w:tcPr>
          <w:p w14:paraId="2B562C5D" w14:textId="77777777" w:rsidR="00670F7F" w:rsidRPr="00DF0226" w:rsidRDefault="00670F7F" w:rsidP="00B254FA">
            <w:pPr>
              <w:pStyle w:val="COMTabletext"/>
              <w:keepNext w:val="0"/>
              <w:jc w:val="center"/>
            </w:pPr>
            <w:r w:rsidRPr="00DF0226">
              <w:t>4.3370</w:t>
            </w:r>
          </w:p>
        </w:tc>
        <w:tc>
          <w:tcPr>
            <w:tcW w:w="598" w:type="pct"/>
          </w:tcPr>
          <w:p w14:paraId="23F0BE22" w14:textId="170FC673" w:rsidR="00670F7F" w:rsidRPr="00327E8F" w:rsidRDefault="00AF1BA2" w:rsidP="00B254FA">
            <w:pPr>
              <w:pStyle w:val="COMTabletext"/>
              <w:keepNext w:val="0"/>
              <w:jc w:val="center"/>
              <w:rPr>
                <w:highlight w:val="lightGray"/>
              </w:rPr>
            </w:pPr>
            <w:r w:rsidRPr="00C64633">
              <w:rPr>
                <w:rFonts w:hint="eastAsia"/>
                <w:color w:val="000000"/>
                <w:w w:val="15"/>
                <w:shd w:val="solid" w:color="000000" w:fill="000000"/>
                <w:fitText w:val="70" w:id="-894171903"/>
                <w14:textFill>
                  <w14:solidFill>
                    <w14:srgbClr w14:val="000000">
                      <w14:alpha w14:val="100000"/>
                    </w14:srgbClr>
                  </w14:solidFill>
                </w14:textFill>
              </w:rPr>
              <w:t xml:space="preserve">　</w:t>
            </w:r>
            <w:r w:rsidRPr="00C64633">
              <w:rPr>
                <w:color w:val="000000"/>
                <w:w w:val="15"/>
                <w:shd w:val="solid" w:color="000000" w:fill="000000"/>
                <w:fitText w:val="70" w:id="-894171903"/>
                <w14:textFill>
                  <w14:solidFill>
                    <w14:srgbClr w14:val="000000">
                      <w14:alpha w14:val="100000"/>
                    </w14:srgbClr>
                  </w14:solidFill>
                </w14:textFill>
              </w:rPr>
              <w:t>|</w:t>
            </w:r>
            <w:r w:rsidRPr="00C64633">
              <w:rPr>
                <w:rFonts w:hint="eastAsia"/>
                <w:color w:val="000000"/>
                <w:w w:val="15"/>
                <w:shd w:val="solid" w:color="000000" w:fill="000000"/>
                <w:fitText w:val="70" w:id="-894171903"/>
                <w14:textFill>
                  <w14:solidFill>
                    <w14:srgbClr w14:val="000000">
                      <w14:alpha w14:val="100000"/>
                    </w14:srgbClr>
                  </w14:solidFill>
                </w14:textFill>
              </w:rPr>
              <w:t xml:space="preserve">　</w:t>
            </w:r>
            <w:r w:rsidR="00697328" w:rsidRPr="005C269B">
              <w:rPr>
                <w:vertAlign w:val="superscript"/>
              </w:rPr>
              <w:t>3</w:t>
            </w:r>
          </w:p>
        </w:tc>
        <w:tc>
          <w:tcPr>
            <w:tcW w:w="507" w:type="pct"/>
          </w:tcPr>
          <w:p w14:paraId="65BAE9BA" w14:textId="7209007F" w:rsidR="00670F7F" w:rsidRPr="00DF0226" w:rsidRDefault="00670F7F" w:rsidP="00B254FA">
            <w:pPr>
              <w:pStyle w:val="COMTabletext"/>
              <w:keepNext w:val="0"/>
              <w:jc w:val="center"/>
            </w:pPr>
            <w:r w:rsidRPr="00DF0226">
              <w:t>-</w:t>
            </w:r>
            <w:r w:rsidR="00AF1BA2" w:rsidRPr="00C64633">
              <w:rPr>
                <w:color w:val="000000"/>
                <w:spacing w:val="46"/>
                <w:shd w:val="solid" w:color="000000" w:fill="000000"/>
                <w:fitText w:val="220" w:id="-894171902"/>
                <w14:textFill>
                  <w14:solidFill>
                    <w14:srgbClr w14:val="000000">
                      <w14:alpha w14:val="100000"/>
                    </w14:srgbClr>
                  </w14:solidFill>
                </w14:textFill>
              </w:rPr>
              <w:t>||</w:t>
            </w:r>
            <w:r w:rsidR="00AF1BA2" w:rsidRPr="00C64633">
              <w:rPr>
                <w:color w:val="000000"/>
                <w:spacing w:val="1"/>
                <w:shd w:val="solid" w:color="000000" w:fill="000000"/>
                <w:fitText w:val="220" w:id="-894171902"/>
                <w14:textFill>
                  <w14:solidFill>
                    <w14:srgbClr w14:val="000000">
                      <w14:alpha w14:val="100000"/>
                    </w14:srgbClr>
                  </w14:solidFill>
                </w14:textFill>
              </w:rPr>
              <w:t>|</w:t>
            </w:r>
            <w:r w:rsidRPr="00DF0226">
              <w:t>%</w:t>
            </w:r>
          </w:p>
        </w:tc>
      </w:tr>
      <w:tr w:rsidR="00670F7F" w:rsidRPr="00DF0226" w14:paraId="3F8C4A44" w14:textId="77777777" w:rsidTr="1797D1E5">
        <w:trPr>
          <w:cantSplit/>
        </w:trPr>
        <w:tc>
          <w:tcPr>
            <w:tcW w:w="2644" w:type="pct"/>
          </w:tcPr>
          <w:p w14:paraId="3D56C373" w14:textId="77777777" w:rsidR="00670F7F" w:rsidRPr="00DF0226" w:rsidRDefault="00670F7F" w:rsidP="00B254FA">
            <w:pPr>
              <w:pStyle w:val="COMTabletext"/>
              <w:keepNext w:val="0"/>
            </w:pPr>
            <w:r w:rsidRPr="00DF0226">
              <w:t>SOC censored at ASCT: generalised gamma MCM</w:t>
            </w:r>
          </w:p>
        </w:tc>
        <w:tc>
          <w:tcPr>
            <w:tcW w:w="614" w:type="pct"/>
            <w:tcBorders>
              <w:bottom w:val="single" w:sz="4" w:space="0" w:color="auto"/>
            </w:tcBorders>
            <w:shd w:val="clear" w:color="auto" w:fill="000000" w:themeFill="text1"/>
          </w:tcPr>
          <w:p w14:paraId="4494E56C" w14:textId="6A7645C9" w:rsidR="00670F7F" w:rsidRPr="00327E8F" w:rsidRDefault="00AF1BA2" w:rsidP="00B254FA">
            <w:pPr>
              <w:pStyle w:val="COMTabletext"/>
              <w:keepNext w:val="0"/>
              <w:jc w:val="center"/>
              <w:rPr>
                <w:highlight w:val="lightGray"/>
              </w:rPr>
            </w:pPr>
            <w:r>
              <w:rPr>
                <w:color w:val="000000"/>
                <w:w w:val="15"/>
                <w:fitText w:val="10" w:id="-894171901"/>
                <w14:textFill>
                  <w14:solidFill>
                    <w14:srgbClr w14:val="000000">
                      <w14:alpha w14:val="100000"/>
                    </w14:srgbClr>
                  </w14:solidFill>
                </w14:textFill>
              </w:rPr>
              <w:t xml:space="preserve">　</w:t>
            </w:r>
            <w:r>
              <w:rPr>
                <w:color w:val="000000"/>
                <w:w w:val="15"/>
                <w:fitText w:val="10" w:id="-894171901"/>
                <w14:textFill>
                  <w14:solidFill>
                    <w14:srgbClr w14:val="000000">
                      <w14:alpha w14:val="100000"/>
                    </w14:srgbClr>
                  </w14:solidFill>
                </w14:textFill>
              </w:rPr>
              <w:t>|</w:t>
            </w:r>
            <w:r>
              <w:rPr>
                <w:color w:val="000000"/>
                <w:spacing w:val="-56"/>
                <w:w w:val="15"/>
                <w:fitText w:val="10" w:id="-894171901"/>
                <w14:textFill>
                  <w14:solidFill>
                    <w14:srgbClr w14:val="000000">
                      <w14:alpha w14:val="100000"/>
                    </w14:srgbClr>
                  </w14:solidFill>
                </w14:textFill>
              </w:rPr>
              <w:t xml:space="preserve">　</w:t>
            </w:r>
          </w:p>
        </w:tc>
        <w:tc>
          <w:tcPr>
            <w:tcW w:w="637" w:type="pct"/>
          </w:tcPr>
          <w:p w14:paraId="1F32477D" w14:textId="77777777" w:rsidR="00670F7F" w:rsidRPr="00DF0226" w:rsidRDefault="00670F7F" w:rsidP="00B254FA">
            <w:pPr>
              <w:pStyle w:val="COMTabletext"/>
              <w:keepNext w:val="0"/>
              <w:jc w:val="center"/>
            </w:pPr>
            <w:r w:rsidRPr="00DF0226">
              <w:t>3.1976</w:t>
            </w:r>
          </w:p>
        </w:tc>
        <w:tc>
          <w:tcPr>
            <w:tcW w:w="598" w:type="pct"/>
          </w:tcPr>
          <w:p w14:paraId="66ED456C" w14:textId="6F379D22" w:rsidR="00670F7F" w:rsidRPr="00327E8F" w:rsidRDefault="00AF1BA2" w:rsidP="00B254FA">
            <w:pPr>
              <w:pStyle w:val="COMTabletext"/>
              <w:keepNext w:val="0"/>
              <w:jc w:val="center"/>
              <w:rPr>
                <w:highlight w:val="lightGray"/>
              </w:rPr>
            </w:pPr>
            <w:r w:rsidRPr="00C64633">
              <w:rPr>
                <w:rFonts w:hint="eastAsia"/>
                <w:color w:val="000000"/>
                <w:w w:val="15"/>
                <w:shd w:val="solid" w:color="000000" w:fill="000000"/>
                <w:fitText w:val="70" w:id="-894171900"/>
                <w14:textFill>
                  <w14:solidFill>
                    <w14:srgbClr w14:val="000000">
                      <w14:alpha w14:val="100000"/>
                    </w14:srgbClr>
                  </w14:solidFill>
                </w14:textFill>
              </w:rPr>
              <w:t xml:space="preserve">　</w:t>
            </w:r>
            <w:r w:rsidRPr="00C64633">
              <w:rPr>
                <w:color w:val="000000"/>
                <w:w w:val="15"/>
                <w:shd w:val="solid" w:color="000000" w:fill="000000"/>
                <w:fitText w:val="70" w:id="-894171900"/>
                <w14:textFill>
                  <w14:solidFill>
                    <w14:srgbClr w14:val="000000">
                      <w14:alpha w14:val="100000"/>
                    </w14:srgbClr>
                  </w14:solidFill>
                </w14:textFill>
              </w:rPr>
              <w:t>|</w:t>
            </w:r>
            <w:r w:rsidRPr="00C64633">
              <w:rPr>
                <w:rFonts w:hint="eastAsia"/>
                <w:color w:val="000000"/>
                <w:w w:val="15"/>
                <w:shd w:val="solid" w:color="000000" w:fill="000000"/>
                <w:fitText w:val="70" w:id="-894171900"/>
                <w14:textFill>
                  <w14:solidFill>
                    <w14:srgbClr w14:val="000000">
                      <w14:alpha w14:val="100000"/>
                    </w14:srgbClr>
                  </w14:solidFill>
                </w14:textFill>
              </w:rPr>
              <w:t xml:space="preserve">　</w:t>
            </w:r>
            <w:r w:rsidR="0099676C" w:rsidRPr="005C269B">
              <w:rPr>
                <w:vertAlign w:val="superscript"/>
              </w:rPr>
              <w:t>1</w:t>
            </w:r>
          </w:p>
        </w:tc>
        <w:tc>
          <w:tcPr>
            <w:tcW w:w="507" w:type="pct"/>
          </w:tcPr>
          <w:p w14:paraId="378D3739" w14:textId="1BD48879" w:rsidR="00670F7F" w:rsidRPr="00DF0226" w:rsidRDefault="00353D9C" w:rsidP="00B254FA">
            <w:pPr>
              <w:pStyle w:val="COMTabletext"/>
              <w:keepNext w:val="0"/>
              <w:jc w:val="center"/>
            </w:pPr>
            <w:r w:rsidRPr="00DF0226">
              <w:t>+</w:t>
            </w:r>
            <w:r w:rsidR="00AF1BA2" w:rsidRPr="00C64633">
              <w:rPr>
                <w:color w:val="000000"/>
                <w:spacing w:val="154"/>
                <w:shd w:val="solid" w:color="000000" w:fill="000000"/>
                <w:fitText w:val="240" w:id="-894171899"/>
                <w14:textFill>
                  <w14:solidFill>
                    <w14:srgbClr w14:val="000000">
                      <w14:alpha w14:val="100000"/>
                    </w14:srgbClr>
                  </w14:solidFill>
                </w14:textFill>
              </w:rPr>
              <w:t>|</w:t>
            </w:r>
            <w:r w:rsidR="00AF1BA2" w:rsidRPr="00C64633">
              <w:rPr>
                <w:color w:val="000000"/>
                <w:shd w:val="solid" w:color="000000" w:fill="000000"/>
                <w:fitText w:val="240" w:id="-894171899"/>
                <w14:textFill>
                  <w14:solidFill>
                    <w14:srgbClr w14:val="000000">
                      <w14:alpha w14:val="100000"/>
                    </w14:srgbClr>
                  </w14:solidFill>
                </w14:textFill>
              </w:rPr>
              <w:t>|</w:t>
            </w:r>
            <w:r w:rsidR="00670F7F" w:rsidRPr="00DF0226">
              <w:t>%</w:t>
            </w:r>
          </w:p>
        </w:tc>
      </w:tr>
      <w:tr w:rsidR="00670F7F" w:rsidRPr="00DF0226" w14:paraId="16E0F134" w14:textId="77777777" w:rsidTr="1797D1E5">
        <w:trPr>
          <w:cantSplit/>
        </w:trPr>
        <w:tc>
          <w:tcPr>
            <w:tcW w:w="2644" w:type="pct"/>
          </w:tcPr>
          <w:p w14:paraId="0409F444" w14:textId="77777777" w:rsidR="00670F7F" w:rsidRPr="00DF0226" w:rsidRDefault="00670F7F" w:rsidP="00B254FA">
            <w:pPr>
              <w:pStyle w:val="COMTabletext"/>
              <w:keepNext w:val="0"/>
            </w:pPr>
            <w:r w:rsidRPr="00DF0226">
              <w:t>SOC censored at ASCT: Gompertz MCM</w:t>
            </w:r>
          </w:p>
        </w:tc>
        <w:tc>
          <w:tcPr>
            <w:tcW w:w="614" w:type="pct"/>
            <w:tcBorders>
              <w:bottom w:val="single" w:sz="4" w:space="0" w:color="auto"/>
            </w:tcBorders>
            <w:shd w:val="clear" w:color="auto" w:fill="000000" w:themeFill="text1"/>
          </w:tcPr>
          <w:p w14:paraId="0CEC74DA" w14:textId="5FEE532D" w:rsidR="00670F7F" w:rsidRPr="00327E8F" w:rsidRDefault="00AF1BA2" w:rsidP="00B254FA">
            <w:pPr>
              <w:pStyle w:val="COMTabletext"/>
              <w:keepNext w:val="0"/>
              <w:jc w:val="center"/>
              <w:rPr>
                <w:highlight w:val="lightGray"/>
              </w:rPr>
            </w:pPr>
            <w:r>
              <w:rPr>
                <w:color w:val="000000"/>
                <w:w w:val="15"/>
                <w:fitText w:val="10" w:id="-894171898"/>
                <w14:textFill>
                  <w14:solidFill>
                    <w14:srgbClr w14:val="000000">
                      <w14:alpha w14:val="100000"/>
                    </w14:srgbClr>
                  </w14:solidFill>
                </w14:textFill>
              </w:rPr>
              <w:t xml:space="preserve">　</w:t>
            </w:r>
            <w:r>
              <w:rPr>
                <w:color w:val="000000"/>
                <w:w w:val="15"/>
                <w:fitText w:val="10" w:id="-894171898"/>
                <w14:textFill>
                  <w14:solidFill>
                    <w14:srgbClr w14:val="000000">
                      <w14:alpha w14:val="100000"/>
                    </w14:srgbClr>
                  </w14:solidFill>
                </w14:textFill>
              </w:rPr>
              <w:t>|</w:t>
            </w:r>
            <w:r>
              <w:rPr>
                <w:color w:val="000000"/>
                <w:spacing w:val="-56"/>
                <w:w w:val="15"/>
                <w:fitText w:val="10" w:id="-894171898"/>
                <w14:textFill>
                  <w14:solidFill>
                    <w14:srgbClr w14:val="000000">
                      <w14:alpha w14:val="100000"/>
                    </w14:srgbClr>
                  </w14:solidFill>
                </w14:textFill>
              </w:rPr>
              <w:t xml:space="preserve">　</w:t>
            </w:r>
          </w:p>
        </w:tc>
        <w:tc>
          <w:tcPr>
            <w:tcW w:w="637" w:type="pct"/>
          </w:tcPr>
          <w:p w14:paraId="664B7FBF" w14:textId="77777777" w:rsidR="00670F7F" w:rsidRPr="00DF0226" w:rsidRDefault="00670F7F" w:rsidP="00B254FA">
            <w:pPr>
              <w:pStyle w:val="COMTabletext"/>
              <w:keepNext w:val="0"/>
              <w:jc w:val="center"/>
            </w:pPr>
            <w:r w:rsidRPr="00DF0226">
              <w:t>3.0085</w:t>
            </w:r>
          </w:p>
        </w:tc>
        <w:tc>
          <w:tcPr>
            <w:tcW w:w="598" w:type="pct"/>
          </w:tcPr>
          <w:p w14:paraId="7970B732" w14:textId="1DFAA3BE" w:rsidR="00670F7F" w:rsidRPr="00327E8F" w:rsidRDefault="00AF1BA2" w:rsidP="00B254FA">
            <w:pPr>
              <w:pStyle w:val="COMTabletext"/>
              <w:keepNext w:val="0"/>
              <w:jc w:val="center"/>
              <w:rPr>
                <w:highlight w:val="lightGray"/>
              </w:rPr>
            </w:pPr>
            <w:r w:rsidRPr="00C64633">
              <w:rPr>
                <w:rFonts w:hint="eastAsia"/>
                <w:color w:val="000000"/>
                <w:w w:val="15"/>
                <w:shd w:val="solid" w:color="000000" w:fill="000000"/>
                <w:fitText w:val="70" w:id="-894171897"/>
                <w14:textFill>
                  <w14:solidFill>
                    <w14:srgbClr w14:val="000000">
                      <w14:alpha w14:val="100000"/>
                    </w14:srgbClr>
                  </w14:solidFill>
                </w14:textFill>
              </w:rPr>
              <w:t xml:space="preserve">　</w:t>
            </w:r>
            <w:r w:rsidRPr="00C64633">
              <w:rPr>
                <w:color w:val="000000"/>
                <w:w w:val="15"/>
                <w:shd w:val="solid" w:color="000000" w:fill="000000"/>
                <w:fitText w:val="70" w:id="-894171897"/>
                <w14:textFill>
                  <w14:solidFill>
                    <w14:srgbClr w14:val="000000">
                      <w14:alpha w14:val="100000"/>
                    </w14:srgbClr>
                  </w14:solidFill>
                </w14:textFill>
              </w:rPr>
              <w:t>|</w:t>
            </w:r>
            <w:r w:rsidRPr="00C64633">
              <w:rPr>
                <w:rFonts w:hint="eastAsia"/>
                <w:color w:val="000000"/>
                <w:w w:val="15"/>
                <w:shd w:val="solid" w:color="000000" w:fill="000000"/>
                <w:fitText w:val="70" w:id="-894171897"/>
                <w14:textFill>
                  <w14:solidFill>
                    <w14:srgbClr w14:val="000000">
                      <w14:alpha w14:val="100000"/>
                    </w14:srgbClr>
                  </w14:solidFill>
                </w14:textFill>
              </w:rPr>
              <w:t xml:space="preserve">　</w:t>
            </w:r>
            <w:r w:rsidR="00307527" w:rsidRPr="005C269B">
              <w:rPr>
                <w:vertAlign w:val="superscript"/>
              </w:rPr>
              <w:t>6</w:t>
            </w:r>
          </w:p>
        </w:tc>
        <w:tc>
          <w:tcPr>
            <w:tcW w:w="507" w:type="pct"/>
          </w:tcPr>
          <w:p w14:paraId="7431002F" w14:textId="5FC2DD9B" w:rsidR="00670F7F" w:rsidRPr="00DF0226" w:rsidRDefault="00353D9C" w:rsidP="00B254FA">
            <w:pPr>
              <w:pStyle w:val="COMTabletext"/>
              <w:keepNext w:val="0"/>
              <w:jc w:val="center"/>
            </w:pPr>
            <w:r w:rsidRPr="00DF0226">
              <w:t>+</w:t>
            </w:r>
            <w:r w:rsidR="00AF1BA2" w:rsidRPr="00C64633">
              <w:rPr>
                <w:color w:val="000000"/>
                <w:spacing w:val="154"/>
                <w:shd w:val="solid" w:color="000000" w:fill="000000"/>
                <w:fitText w:val="240" w:id="-894171896"/>
                <w14:textFill>
                  <w14:solidFill>
                    <w14:srgbClr w14:val="000000">
                      <w14:alpha w14:val="100000"/>
                    </w14:srgbClr>
                  </w14:solidFill>
                </w14:textFill>
              </w:rPr>
              <w:t>|</w:t>
            </w:r>
            <w:r w:rsidR="00AF1BA2" w:rsidRPr="00C64633">
              <w:rPr>
                <w:color w:val="000000"/>
                <w:shd w:val="solid" w:color="000000" w:fill="000000"/>
                <w:fitText w:val="240" w:id="-894171896"/>
                <w14:textFill>
                  <w14:solidFill>
                    <w14:srgbClr w14:val="000000">
                      <w14:alpha w14:val="100000"/>
                    </w14:srgbClr>
                  </w14:solidFill>
                </w14:textFill>
              </w:rPr>
              <w:t>|</w:t>
            </w:r>
            <w:r w:rsidR="00670F7F" w:rsidRPr="00DF0226">
              <w:t>%</w:t>
            </w:r>
          </w:p>
        </w:tc>
      </w:tr>
      <w:tr w:rsidR="00670F7F" w:rsidRPr="00DF0226" w14:paraId="290ADF56" w14:textId="77777777" w:rsidTr="1797D1E5">
        <w:trPr>
          <w:cantSplit/>
        </w:trPr>
        <w:tc>
          <w:tcPr>
            <w:tcW w:w="2644" w:type="pct"/>
          </w:tcPr>
          <w:p w14:paraId="4E92218B" w14:textId="77777777" w:rsidR="00670F7F" w:rsidRPr="00DF0226" w:rsidRDefault="00670F7F" w:rsidP="00B254FA">
            <w:pPr>
              <w:pStyle w:val="COMTabletext"/>
              <w:keepNext w:val="0"/>
            </w:pPr>
            <w:r w:rsidRPr="00DF0226">
              <w:t>SOC censored at ASCT: lognormal MCM</w:t>
            </w:r>
          </w:p>
        </w:tc>
        <w:tc>
          <w:tcPr>
            <w:tcW w:w="614" w:type="pct"/>
            <w:tcBorders>
              <w:bottom w:val="single" w:sz="4" w:space="0" w:color="auto"/>
            </w:tcBorders>
            <w:shd w:val="clear" w:color="auto" w:fill="000000" w:themeFill="text1"/>
          </w:tcPr>
          <w:p w14:paraId="571DC08A" w14:textId="5A6A372D" w:rsidR="00670F7F" w:rsidRPr="00327E8F" w:rsidRDefault="00AF1BA2" w:rsidP="00B254FA">
            <w:pPr>
              <w:pStyle w:val="COMTabletext"/>
              <w:keepNext w:val="0"/>
              <w:jc w:val="center"/>
              <w:rPr>
                <w:highlight w:val="lightGray"/>
              </w:rPr>
            </w:pPr>
            <w:r>
              <w:rPr>
                <w:color w:val="000000"/>
                <w:w w:val="15"/>
                <w:fitText w:val="10" w:id="-894171895"/>
                <w14:textFill>
                  <w14:solidFill>
                    <w14:srgbClr w14:val="000000">
                      <w14:alpha w14:val="100000"/>
                    </w14:srgbClr>
                  </w14:solidFill>
                </w14:textFill>
              </w:rPr>
              <w:t xml:space="preserve">　</w:t>
            </w:r>
            <w:r>
              <w:rPr>
                <w:color w:val="000000"/>
                <w:w w:val="15"/>
                <w:fitText w:val="10" w:id="-894171895"/>
                <w14:textFill>
                  <w14:solidFill>
                    <w14:srgbClr w14:val="000000">
                      <w14:alpha w14:val="100000"/>
                    </w14:srgbClr>
                  </w14:solidFill>
                </w14:textFill>
              </w:rPr>
              <w:t>|</w:t>
            </w:r>
            <w:r>
              <w:rPr>
                <w:color w:val="000000"/>
                <w:spacing w:val="-56"/>
                <w:w w:val="15"/>
                <w:fitText w:val="10" w:id="-894171895"/>
                <w14:textFill>
                  <w14:solidFill>
                    <w14:srgbClr w14:val="000000">
                      <w14:alpha w14:val="100000"/>
                    </w14:srgbClr>
                  </w14:solidFill>
                </w14:textFill>
              </w:rPr>
              <w:t xml:space="preserve">　</w:t>
            </w:r>
          </w:p>
        </w:tc>
        <w:tc>
          <w:tcPr>
            <w:tcW w:w="637" w:type="pct"/>
          </w:tcPr>
          <w:p w14:paraId="2B704F51" w14:textId="77777777" w:rsidR="00670F7F" w:rsidRPr="00DF0226" w:rsidRDefault="00670F7F" w:rsidP="00B254FA">
            <w:pPr>
              <w:pStyle w:val="COMTabletext"/>
              <w:keepNext w:val="0"/>
              <w:jc w:val="center"/>
            </w:pPr>
            <w:r w:rsidRPr="00DF0226">
              <w:t>3.8205</w:t>
            </w:r>
          </w:p>
        </w:tc>
        <w:tc>
          <w:tcPr>
            <w:tcW w:w="598" w:type="pct"/>
          </w:tcPr>
          <w:p w14:paraId="0E9FA075" w14:textId="1F5EE4D0" w:rsidR="00670F7F" w:rsidRPr="00327E8F" w:rsidRDefault="00AF1BA2" w:rsidP="00B254FA">
            <w:pPr>
              <w:pStyle w:val="COMTabletext"/>
              <w:keepNext w:val="0"/>
              <w:jc w:val="center"/>
              <w:rPr>
                <w:highlight w:val="lightGray"/>
              </w:rPr>
            </w:pPr>
            <w:r w:rsidRPr="00C64633">
              <w:rPr>
                <w:rFonts w:hint="eastAsia"/>
                <w:color w:val="000000"/>
                <w:w w:val="15"/>
                <w:shd w:val="solid" w:color="000000" w:fill="000000"/>
                <w:fitText w:val="70" w:id="-894171894"/>
                <w14:textFill>
                  <w14:solidFill>
                    <w14:srgbClr w14:val="000000">
                      <w14:alpha w14:val="100000"/>
                    </w14:srgbClr>
                  </w14:solidFill>
                </w14:textFill>
              </w:rPr>
              <w:t xml:space="preserve">　</w:t>
            </w:r>
            <w:r w:rsidRPr="00C64633">
              <w:rPr>
                <w:color w:val="000000"/>
                <w:w w:val="15"/>
                <w:shd w:val="solid" w:color="000000" w:fill="000000"/>
                <w:fitText w:val="70" w:id="-894171894"/>
                <w14:textFill>
                  <w14:solidFill>
                    <w14:srgbClr w14:val="000000">
                      <w14:alpha w14:val="100000"/>
                    </w14:srgbClr>
                  </w14:solidFill>
                </w14:textFill>
              </w:rPr>
              <w:t>|</w:t>
            </w:r>
            <w:r w:rsidRPr="00C64633">
              <w:rPr>
                <w:rFonts w:hint="eastAsia"/>
                <w:color w:val="000000"/>
                <w:w w:val="15"/>
                <w:shd w:val="solid" w:color="000000" w:fill="000000"/>
                <w:fitText w:val="70" w:id="-894171894"/>
                <w14:textFill>
                  <w14:solidFill>
                    <w14:srgbClr w14:val="000000">
                      <w14:alpha w14:val="100000"/>
                    </w14:srgbClr>
                  </w14:solidFill>
                </w14:textFill>
              </w:rPr>
              <w:t xml:space="preserve">　</w:t>
            </w:r>
            <w:r w:rsidR="00697328" w:rsidRPr="005C269B">
              <w:rPr>
                <w:vertAlign w:val="superscript"/>
              </w:rPr>
              <w:t>3</w:t>
            </w:r>
          </w:p>
        </w:tc>
        <w:tc>
          <w:tcPr>
            <w:tcW w:w="507" w:type="pct"/>
          </w:tcPr>
          <w:p w14:paraId="1CDB6DAA" w14:textId="7CA3CCDF" w:rsidR="00670F7F" w:rsidRPr="00DF0226" w:rsidRDefault="00670F7F" w:rsidP="00B254FA">
            <w:pPr>
              <w:pStyle w:val="COMTabletext"/>
              <w:keepNext w:val="0"/>
              <w:jc w:val="center"/>
            </w:pPr>
            <w:r w:rsidRPr="00DF0226">
              <w:t>-</w:t>
            </w:r>
            <w:r w:rsidR="00AF1BA2" w:rsidRPr="00C64633">
              <w:rPr>
                <w:color w:val="000000"/>
                <w:spacing w:val="46"/>
                <w:shd w:val="solid" w:color="000000" w:fill="000000"/>
                <w:fitText w:val="220" w:id="-894171893"/>
                <w14:textFill>
                  <w14:solidFill>
                    <w14:srgbClr w14:val="000000">
                      <w14:alpha w14:val="100000"/>
                    </w14:srgbClr>
                  </w14:solidFill>
                </w14:textFill>
              </w:rPr>
              <w:t>||</w:t>
            </w:r>
            <w:r w:rsidR="00AF1BA2" w:rsidRPr="00C64633">
              <w:rPr>
                <w:color w:val="000000"/>
                <w:spacing w:val="1"/>
                <w:shd w:val="solid" w:color="000000" w:fill="000000"/>
                <w:fitText w:val="220" w:id="-894171893"/>
                <w14:textFill>
                  <w14:solidFill>
                    <w14:srgbClr w14:val="000000">
                      <w14:alpha w14:val="100000"/>
                    </w14:srgbClr>
                  </w14:solidFill>
                </w14:textFill>
              </w:rPr>
              <w:t>|</w:t>
            </w:r>
            <w:r w:rsidRPr="00DF0226">
              <w:t>%</w:t>
            </w:r>
          </w:p>
        </w:tc>
      </w:tr>
      <w:tr w:rsidR="00670F7F" w:rsidRPr="00DF0226" w14:paraId="4C4497D9" w14:textId="77777777" w:rsidTr="1797D1E5">
        <w:trPr>
          <w:cantSplit/>
        </w:trPr>
        <w:tc>
          <w:tcPr>
            <w:tcW w:w="2644" w:type="pct"/>
          </w:tcPr>
          <w:p w14:paraId="2126B226" w14:textId="77777777" w:rsidR="00670F7F" w:rsidRPr="00DF0226" w:rsidRDefault="00670F7F" w:rsidP="00B254FA">
            <w:pPr>
              <w:pStyle w:val="COMTabletext"/>
              <w:keepNext w:val="0"/>
            </w:pPr>
            <w:r w:rsidRPr="00DF0226">
              <w:t>SOC censored at ASCT: Weibull MCM</w:t>
            </w:r>
          </w:p>
        </w:tc>
        <w:tc>
          <w:tcPr>
            <w:tcW w:w="614" w:type="pct"/>
            <w:shd w:val="clear" w:color="auto" w:fill="000000" w:themeFill="text1"/>
          </w:tcPr>
          <w:p w14:paraId="648D0F5A" w14:textId="4220AE81" w:rsidR="00670F7F" w:rsidRPr="00327E8F" w:rsidRDefault="00AF1BA2" w:rsidP="00B254FA">
            <w:pPr>
              <w:pStyle w:val="COMTabletext"/>
              <w:keepNext w:val="0"/>
              <w:jc w:val="center"/>
              <w:rPr>
                <w:highlight w:val="lightGray"/>
              </w:rPr>
            </w:pPr>
            <w:r>
              <w:rPr>
                <w:color w:val="000000"/>
                <w:w w:val="15"/>
                <w:fitText w:val="10" w:id="-894171892"/>
                <w14:textFill>
                  <w14:solidFill>
                    <w14:srgbClr w14:val="000000">
                      <w14:alpha w14:val="100000"/>
                    </w14:srgbClr>
                  </w14:solidFill>
                </w14:textFill>
              </w:rPr>
              <w:t xml:space="preserve">　</w:t>
            </w:r>
            <w:r>
              <w:rPr>
                <w:color w:val="000000"/>
                <w:w w:val="15"/>
                <w:fitText w:val="10" w:id="-894171892"/>
                <w14:textFill>
                  <w14:solidFill>
                    <w14:srgbClr w14:val="000000">
                      <w14:alpha w14:val="100000"/>
                    </w14:srgbClr>
                  </w14:solidFill>
                </w14:textFill>
              </w:rPr>
              <w:t>|</w:t>
            </w:r>
            <w:r>
              <w:rPr>
                <w:color w:val="000000"/>
                <w:spacing w:val="-56"/>
                <w:w w:val="15"/>
                <w:fitText w:val="10" w:id="-894171892"/>
                <w14:textFill>
                  <w14:solidFill>
                    <w14:srgbClr w14:val="000000">
                      <w14:alpha w14:val="100000"/>
                    </w14:srgbClr>
                  </w14:solidFill>
                </w14:textFill>
              </w:rPr>
              <w:t xml:space="preserve">　</w:t>
            </w:r>
          </w:p>
        </w:tc>
        <w:tc>
          <w:tcPr>
            <w:tcW w:w="637" w:type="pct"/>
          </w:tcPr>
          <w:p w14:paraId="1292EEB4" w14:textId="77777777" w:rsidR="00670F7F" w:rsidRPr="00DF0226" w:rsidRDefault="00670F7F" w:rsidP="00B254FA">
            <w:pPr>
              <w:pStyle w:val="COMTabletext"/>
              <w:keepNext w:val="0"/>
              <w:jc w:val="center"/>
            </w:pPr>
            <w:r w:rsidRPr="00DF0226">
              <w:t>2.9043</w:t>
            </w:r>
          </w:p>
        </w:tc>
        <w:tc>
          <w:tcPr>
            <w:tcW w:w="598" w:type="pct"/>
          </w:tcPr>
          <w:p w14:paraId="29DC1E4C" w14:textId="18BA46D5" w:rsidR="00670F7F" w:rsidRPr="00327E8F" w:rsidRDefault="00AF1BA2" w:rsidP="00B254FA">
            <w:pPr>
              <w:pStyle w:val="COMTabletext"/>
              <w:keepNext w:val="0"/>
              <w:jc w:val="center"/>
              <w:rPr>
                <w:highlight w:val="lightGray"/>
              </w:rPr>
            </w:pPr>
            <w:r w:rsidRPr="00C64633">
              <w:rPr>
                <w:rFonts w:hint="eastAsia"/>
                <w:color w:val="000000"/>
                <w:w w:val="15"/>
                <w:shd w:val="solid" w:color="000000" w:fill="000000"/>
                <w:fitText w:val="70" w:id="-894171891"/>
                <w14:textFill>
                  <w14:solidFill>
                    <w14:srgbClr w14:val="000000">
                      <w14:alpha w14:val="100000"/>
                    </w14:srgbClr>
                  </w14:solidFill>
                </w14:textFill>
              </w:rPr>
              <w:t xml:space="preserve">　</w:t>
            </w:r>
            <w:r w:rsidRPr="00C64633">
              <w:rPr>
                <w:color w:val="000000"/>
                <w:w w:val="15"/>
                <w:shd w:val="solid" w:color="000000" w:fill="000000"/>
                <w:fitText w:val="70" w:id="-894171891"/>
                <w14:textFill>
                  <w14:solidFill>
                    <w14:srgbClr w14:val="000000">
                      <w14:alpha w14:val="100000"/>
                    </w14:srgbClr>
                  </w14:solidFill>
                </w14:textFill>
              </w:rPr>
              <w:t>|</w:t>
            </w:r>
            <w:r w:rsidRPr="00C64633">
              <w:rPr>
                <w:rFonts w:hint="eastAsia"/>
                <w:color w:val="000000"/>
                <w:w w:val="15"/>
                <w:shd w:val="solid" w:color="000000" w:fill="000000"/>
                <w:fitText w:val="70" w:id="-894171891"/>
                <w14:textFill>
                  <w14:solidFill>
                    <w14:srgbClr w14:val="000000">
                      <w14:alpha w14:val="100000"/>
                    </w14:srgbClr>
                  </w14:solidFill>
                </w14:textFill>
              </w:rPr>
              <w:t xml:space="preserve">　</w:t>
            </w:r>
            <w:r w:rsidR="00307527" w:rsidRPr="005C269B">
              <w:rPr>
                <w:vertAlign w:val="superscript"/>
              </w:rPr>
              <w:t>6</w:t>
            </w:r>
          </w:p>
        </w:tc>
        <w:tc>
          <w:tcPr>
            <w:tcW w:w="507" w:type="pct"/>
          </w:tcPr>
          <w:p w14:paraId="7C831835" w14:textId="7DCE0D54" w:rsidR="00670F7F" w:rsidRPr="00DF0226" w:rsidRDefault="00353D9C" w:rsidP="00B254FA">
            <w:pPr>
              <w:pStyle w:val="COMTabletext"/>
              <w:keepNext w:val="0"/>
              <w:jc w:val="center"/>
            </w:pPr>
            <w:r w:rsidRPr="00DF0226">
              <w:t>+</w:t>
            </w:r>
            <w:r w:rsidR="00AF1BA2" w:rsidRPr="00C64633">
              <w:rPr>
                <w:color w:val="000000"/>
                <w:spacing w:val="154"/>
                <w:shd w:val="solid" w:color="000000" w:fill="000000"/>
                <w:fitText w:val="240" w:id="-894171890"/>
                <w14:textFill>
                  <w14:solidFill>
                    <w14:srgbClr w14:val="000000">
                      <w14:alpha w14:val="100000"/>
                    </w14:srgbClr>
                  </w14:solidFill>
                </w14:textFill>
              </w:rPr>
              <w:t>|</w:t>
            </w:r>
            <w:r w:rsidR="00AF1BA2" w:rsidRPr="00C64633">
              <w:rPr>
                <w:color w:val="000000"/>
                <w:shd w:val="solid" w:color="000000" w:fill="000000"/>
                <w:fitText w:val="240" w:id="-894171890"/>
                <w14:textFill>
                  <w14:solidFill>
                    <w14:srgbClr w14:val="000000">
                      <w14:alpha w14:val="100000"/>
                    </w14:srgbClr>
                  </w14:solidFill>
                </w14:textFill>
              </w:rPr>
              <w:t>|</w:t>
            </w:r>
            <w:r w:rsidR="00670F7F" w:rsidRPr="00DF0226">
              <w:t>%</w:t>
            </w:r>
          </w:p>
        </w:tc>
      </w:tr>
      <w:tr w:rsidR="00670F7F" w:rsidRPr="00DF0226" w14:paraId="7D7B990F" w14:textId="77777777" w:rsidTr="1797D1E5">
        <w:trPr>
          <w:cantSplit/>
        </w:trPr>
        <w:tc>
          <w:tcPr>
            <w:tcW w:w="5000" w:type="pct"/>
            <w:gridSpan w:val="5"/>
          </w:tcPr>
          <w:p w14:paraId="5845813B" w14:textId="77777777" w:rsidR="00670F7F" w:rsidRPr="00DF0226" w:rsidRDefault="00670F7F" w:rsidP="0020672F">
            <w:pPr>
              <w:pStyle w:val="COMTableheadingrow"/>
            </w:pPr>
            <w:r w:rsidRPr="00DF0226">
              <w:t>Overall survival curve convergence (base case no convergence)</w:t>
            </w:r>
          </w:p>
        </w:tc>
      </w:tr>
      <w:tr w:rsidR="00670F7F" w:rsidRPr="00DF0226" w14:paraId="4BC89210" w14:textId="77777777" w:rsidTr="1797D1E5">
        <w:trPr>
          <w:cantSplit/>
        </w:trPr>
        <w:tc>
          <w:tcPr>
            <w:tcW w:w="2644" w:type="pct"/>
          </w:tcPr>
          <w:p w14:paraId="09ABD27B" w14:textId="77777777" w:rsidR="00670F7F" w:rsidRPr="00DF0226" w:rsidRDefault="00670F7F" w:rsidP="00B254FA">
            <w:pPr>
              <w:pStyle w:val="COMTabletext"/>
              <w:keepNext w:val="0"/>
            </w:pPr>
            <w:r w:rsidRPr="00DF0226">
              <w:t>Linear convergence from 4.5 years to 30 years</w:t>
            </w:r>
          </w:p>
        </w:tc>
        <w:tc>
          <w:tcPr>
            <w:tcW w:w="614" w:type="pct"/>
            <w:tcBorders>
              <w:bottom w:val="single" w:sz="4" w:space="0" w:color="auto"/>
            </w:tcBorders>
            <w:shd w:val="clear" w:color="auto" w:fill="000000" w:themeFill="text1"/>
          </w:tcPr>
          <w:p w14:paraId="1FB6803E" w14:textId="59CBB06C" w:rsidR="00670F7F" w:rsidRPr="00327E8F" w:rsidRDefault="00AF1BA2" w:rsidP="00B254FA">
            <w:pPr>
              <w:pStyle w:val="COMTabletext"/>
              <w:keepNext w:val="0"/>
              <w:jc w:val="center"/>
              <w:rPr>
                <w:highlight w:val="lightGray"/>
              </w:rPr>
            </w:pPr>
            <w:r>
              <w:rPr>
                <w:color w:val="000000"/>
                <w:w w:val="15"/>
                <w:fitText w:val="10" w:id="-894171889"/>
                <w14:textFill>
                  <w14:solidFill>
                    <w14:srgbClr w14:val="000000">
                      <w14:alpha w14:val="100000"/>
                    </w14:srgbClr>
                  </w14:solidFill>
                </w14:textFill>
              </w:rPr>
              <w:t xml:space="preserve">　</w:t>
            </w:r>
            <w:r>
              <w:rPr>
                <w:color w:val="000000"/>
                <w:w w:val="15"/>
                <w:fitText w:val="10" w:id="-894171889"/>
                <w14:textFill>
                  <w14:solidFill>
                    <w14:srgbClr w14:val="000000">
                      <w14:alpha w14:val="100000"/>
                    </w14:srgbClr>
                  </w14:solidFill>
                </w14:textFill>
              </w:rPr>
              <w:t>|</w:t>
            </w:r>
            <w:r>
              <w:rPr>
                <w:color w:val="000000"/>
                <w:spacing w:val="-56"/>
                <w:w w:val="15"/>
                <w:fitText w:val="10" w:id="-894171889"/>
                <w14:textFill>
                  <w14:solidFill>
                    <w14:srgbClr w14:val="000000">
                      <w14:alpha w14:val="100000"/>
                    </w14:srgbClr>
                  </w14:solidFill>
                </w14:textFill>
              </w:rPr>
              <w:t xml:space="preserve">　</w:t>
            </w:r>
          </w:p>
        </w:tc>
        <w:tc>
          <w:tcPr>
            <w:tcW w:w="637" w:type="pct"/>
          </w:tcPr>
          <w:p w14:paraId="37628FE8" w14:textId="77777777" w:rsidR="00670F7F" w:rsidRPr="00DF0226" w:rsidRDefault="00670F7F" w:rsidP="00B254FA">
            <w:pPr>
              <w:pStyle w:val="COMTabletext"/>
              <w:keepNext w:val="0"/>
              <w:jc w:val="center"/>
            </w:pPr>
            <w:r w:rsidRPr="00DF0226">
              <w:t>2.0734</w:t>
            </w:r>
          </w:p>
        </w:tc>
        <w:tc>
          <w:tcPr>
            <w:tcW w:w="598" w:type="pct"/>
          </w:tcPr>
          <w:p w14:paraId="5B3798C3" w14:textId="15CCA78D" w:rsidR="00670F7F" w:rsidRPr="00327E8F" w:rsidRDefault="00AF1BA2" w:rsidP="00B254FA">
            <w:pPr>
              <w:pStyle w:val="COMTabletext"/>
              <w:keepNext w:val="0"/>
              <w:jc w:val="center"/>
              <w:rPr>
                <w:highlight w:val="lightGray"/>
              </w:rPr>
            </w:pPr>
            <w:r w:rsidRPr="00C64633">
              <w:rPr>
                <w:rFonts w:hint="eastAsia"/>
                <w:color w:val="000000"/>
                <w:w w:val="15"/>
                <w:shd w:val="solid" w:color="000000" w:fill="000000"/>
                <w:fitText w:val="70" w:id="-894171888"/>
                <w14:textFill>
                  <w14:solidFill>
                    <w14:srgbClr w14:val="000000">
                      <w14:alpha w14:val="100000"/>
                    </w14:srgbClr>
                  </w14:solidFill>
                </w14:textFill>
              </w:rPr>
              <w:t xml:space="preserve">　</w:t>
            </w:r>
            <w:r w:rsidRPr="00C64633">
              <w:rPr>
                <w:color w:val="000000"/>
                <w:w w:val="15"/>
                <w:shd w:val="solid" w:color="000000" w:fill="000000"/>
                <w:fitText w:val="70" w:id="-894171888"/>
                <w14:textFill>
                  <w14:solidFill>
                    <w14:srgbClr w14:val="000000">
                      <w14:alpha w14:val="100000"/>
                    </w14:srgbClr>
                  </w14:solidFill>
                </w14:textFill>
              </w:rPr>
              <w:t>|</w:t>
            </w:r>
            <w:r w:rsidRPr="00C64633">
              <w:rPr>
                <w:rFonts w:hint="eastAsia"/>
                <w:color w:val="000000"/>
                <w:w w:val="15"/>
                <w:shd w:val="solid" w:color="000000" w:fill="000000"/>
                <w:fitText w:val="70" w:id="-894171888"/>
                <w14:textFill>
                  <w14:solidFill>
                    <w14:srgbClr w14:val="000000">
                      <w14:alpha w14:val="100000"/>
                    </w14:srgbClr>
                  </w14:solidFill>
                </w14:textFill>
              </w:rPr>
              <w:t xml:space="preserve">　</w:t>
            </w:r>
            <w:r w:rsidR="00B42770" w:rsidRPr="00327E8F">
              <w:rPr>
                <w:vertAlign w:val="superscript"/>
              </w:rPr>
              <w:t>7</w:t>
            </w:r>
          </w:p>
        </w:tc>
        <w:tc>
          <w:tcPr>
            <w:tcW w:w="507" w:type="pct"/>
          </w:tcPr>
          <w:p w14:paraId="7EEC56BD" w14:textId="2BC0BB96" w:rsidR="00670F7F" w:rsidRPr="00DF0226" w:rsidRDefault="00353D9C" w:rsidP="00B254FA">
            <w:pPr>
              <w:pStyle w:val="COMTabletext"/>
              <w:keepNext w:val="0"/>
              <w:jc w:val="center"/>
            </w:pPr>
            <w:r w:rsidRPr="00DF0226">
              <w:t>+</w:t>
            </w:r>
            <w:r w:rsidR="00AF1BA2" w:rsidRPr="00C64633">
              <w:rPr>
                <w:color w:val="000000"/>
                <w:spacing w:val="154"/>
                <w:shd w:val="solid" w:color="000000" w:fill="000000"/>
                <w:fitText w:val="240" w:id="-894171904"/>
                <w14:textFill>
                  <w14:solidFill>
                    <w14:srgbClr w14:val="000000">
                      <w14:alpha w14:val="100000"/>
                    </w14:srgbClr>
                  </w14:solidFill>
                </w14:textFill>
              </w:rPr>
              <w:t>|</w:t>
            </w:r>
            <w:r w:rsidR="00AF1BA2" w:rsidRPr="00C64633">
              <w:rPr>
                <w:color w:val="000000"/>
                <w:shd w:val="solid" w:color="000000" w:fill="000000"/>
                <w:fitText w:val="240" w:id="-894171904"/>
                <w14:textFill>
                  <w14:solidFill>
                    <w14:srgbClr w14:val="000000">
                      <w14:alpha w14:val="100000"/>
                    </w14:srgbClr>
                  </w14:solidFill>
                </w14:textFill>
              </w:rPr>
              <w:t>|</w:t>
            </w:r>
            <w:r w:rsidR="00670F7F" w:rsidRPr="00DF0226">
              <w:t>%</w:t>
            </w:r>
          </w:p>
        </w:tc>
      </w:tr>
      <w:tr w:rsidR="00670F7F" w:rsidRPr="00DF0226" w14:paraId="60A00334" w14:textId="77777777" w:rsidTr="1797D1E5">
        <w:trPr>
          <w:cantSplit/>
        </w:trPr>
        <w:tc>
          <w:tcPr>
            <w:tcW w:w="2644" w:type="pct"/>
          </w:tcPr>
          <w:p w14:paraId="68983DF6" w14:textId="77777777" w:rsidR="00670F7F" w:rsidRPr="00DF0226" w:rsidRDefault="00670F7F" w:rsidP="00B254FA">
            <w:pPr>
              <w:pStyle w:val="COMTabletext"/>
              <w:keepNext w:val="0"/>
            </w:pPr>
            <w:r w:rsidRPr="00DF0226">
              <w:t>Linear convergence from 10 years to 30 years</w:t>
            </w:r>
          </w:p>
        </w:tc>
        <w:tc>
          <w:tcPr>
            <w:tcW w:w="614" w:type="pct"/>
            <w:shd w:val="clear" w:color="auto" w:fill="000000" w:themeFill="text1"/>
          </w:tcPr>
          <w:p w14:paraId="338DF184" w14:textId="062AE79D" w:rsidR="00670F7F" w:rsidRPr="00327E8F" w:rsidRDefault="00AF1BA2" w:rsidP="00B254FA">
            <w:pPr>
              <w:pStyle w:val="COMTabletext"/>
              <w:keepNext w:val="0"/>
              <w:jc w:val="center"/>
              <w:rPr>
                <w:highlight w:val="lightGray"/>
              </w:rPr>
            </w:pPr>
            <w:r>
              <w:rPr>
                <w:color w:val="000000"/>
                <w:w w:val="15"/>
                <w:fitText w:val="10" w:id="-894171903"/>
                <w14:textFill>
                  <w14:solidFill>
                    <w14:srgbClr w14:val="000000">
                      <w14:alpha w14:val="100000"/>
                    </w14:srgbClr>
                  </w14:solidFill>
                </w14:textFill>
              </w:rPr>
              <w:t xml:space="preserve">　</w:t>
            </w:r>
            <w:r>
              <w:rPr>
                <w:color w:val="000000"/>
                <w:w w:val="15"/>
                <w:fitText w:val="10" w:id="-894171903"/>
                <w14:textFill>
                  <w14:solidFill>
                    <w14:srgbClr w14:val="000000">
                      <w14:alpha w14:val="100000"/>
                    </w14:srgbClr>
                  </w14:solidFill>
                </w14:textFill>
              </w:rPr>
              <w:t>|</w:t>
            </w:r>
            <w:r>
              <w:rPr>
                <w:color w:val="000000"/>
                <w:spacing w:val="-56"/>
                <w:w w:val="15"/>
                <w:fitText w:val="10" w:id="-894171903"/>
                <w14:textFill>
                  <w14:solidFill>
                    <w14:srgbClr w14:val="000000">
                      <w14:alpha w14:val="100000"/>
                    </w14:srgbClr>
                  </w14:solidFill>
                </w14:textFill>
              </w:rPr>
              <w:t xml:space="preserve">　</w:t>
            </w:r>
          </w:p>
        </w:tc>
        <w:tc>
          <w:tcPr>
            <w:tcW w:w="637" w:type="pct"/>
          </w:tcPr>
          <w:p w14:paraId="6777250D" w14:textId="77777777" w:rsidR="00670F7F" w:rsidRPr="00DF0226" w:rsidRDefault="00670F7F" w:rsidP="00B254FA">
            <w:pPr>
              <w:pStyle w:val="COMTabletext"/>
              <w:keepNext w:val="0"/>
              <w:jc w:val="center"/>
            </w:pPr>
            <w:r w:rsidRPr="00DF0226">
              <w:t>2.4052</w:t>
            </w:r>
          </w:p>
        </w:tc>
        <w:tc>
          <w:tcPr>
            <w:tcW w:w="598" w:type="pct"/>
          </w:tcPr>
          <w:p w14:paraId="60D5443B" w14:textId="5CCFA23F" w:rsidR="00670F7F" w:rsidRPr="00327E8F" w:rsidRDefault="00AF1BA2" w:rsidP="00B254FA">
            <w:pPr>
              <w:pStyle w:val="COMTabletext"/>
              <w:keepNext w:val="0"/>
              <w:jc w:val="center"/>
              <w:rPr>
                <w:highlight w:val="lightGray"/>
              </w:rPr>
            </w:pPr>
            <w:r w:rsidRPr="00C64633">
              <w:rPr>
                <w:rFonts w:hint="eastAsia"/>
                <w:color w:val="000000"/>
                <w:w w:val="15"/>
                <w:shd w:val="solid" w:color="000000" w:fill="000000"/>
                <w:fitText w:val="70" w:id="-894171902"/>
                <w14:textFill>
                  <w14:solidFill>
                    <w14:srgbClr w14:val="000000">
                      <w14:alpha w14:val="100000"/>
                    </w14:srgbClr>
                  </w14:solidFill>
                </w14:textFill>
              </w:rPr>
              <w:t xml:space="preserve">　</w:t>
            </w:r>
            <w:r w:rsidRPr="00C64633">
              <w:rPr>
                <w:color w:val="000000"/>
                <w:w w:val="15"/>
                <w:shd w:val="solid" w:color="000000" w:fill="000000"/>
                <w:fitText w:val="70" w:id="-894171902"/>
                <w14:textFill>
                  <w14:solidFill>
                    <w14:srgbClr w14:val="000000">
                      <w14:alpha w14:val="100000"/>
                    </w14:srgbClr>
                  </w14:solidFill>
                </w14:textFill>
              </w:rPr>
              <w:t>|</w:t>
            </w:r>
            <w:r w:rsidRPr="00C64633">
              <w:rPr>
                <w:rFonts w:hint="eastAsia"/>
                <w:color w:val="000000"/>
                <w:w w:val="15"/>
                <w:shd w:val="solid" w:color="000000" w:fill="000000"/>
                <w:fitText w:val="70" w:id="-894171902"/>
                <w14:textFill>
                  <w14:solidFill>
                    <w14:srgbClr w14:val="000000">
                      <w14:alpha w14:val="100000"/>
                    </w14:srgbClr>
                  </w14:solidFill>
                </w14:textFill>
              </w:rPr>
              <w:t xml:space="preserve">　</w:t>
            </w:r>
            <w:r w:rsidR="00307527" w:rsidRPr="005C269B">
              <w:rPr>
                <w:vertAlign w:val="superscript"/>
              </w:rPr>
              <w:t>6</w:t>
            </w:r>
          </w:p>
        </w:tc>
        <w:tc>
          <w:tcPr>
            <w:tcW w:w="507" w:type="pct"/>
          </w:tcPr>
          <w:p w14:paraId="70A76379" w14:textId="1A08F523" w:rsidR="00670F7F" w:rsidRPr="00DF0226" w:rsidRDefault="00353D9C" w:rsidP="00B254FA">
            <w:pPr>
              <w:pStyle w:val="COMTabletext"/>
              <w:keepNext w:val="0"/>
              <w:jc w:val="center"/>
            </w:pPr>
            <w:r w:rsidRPr="00DF0226">
              <w:t>+</w:t>
            </w:r>
            <w:r w:rsidR="00AF1BA2" w:rsidRPr="00C64633">
              <w:rPr>
                <w:color w:val="000000"/>
                <w:spacing w:val="154"/>
                <w:shd w:val="solid" w:color="000000" w:fill="000000"/>
                <w:fitText w:val="240" w:id="-894171901"/>
                <w14:textFill>
                  <w14:solidFill>
                    <w14:srgbClr w14:val="000000">
                      <w14:alpha w14:val="100000"/>
                    </w14:srgbClr>
                  </w14:solidFill>
                </w14:textFill>
              </w:rPr>
              <w:t>|</w:t>
            </w:r>
            <w:r w:rsidR="00AF1BA2" w:rsidRPr="00C64633">
              <w:rPr>
                <w:color w:val="000000"/>
                <w:shd w:val="solid" w:color="000000" w:fill="000000"/>
                <w:fitText w:val="240" w:id="-894171901"/>
                <w14:textFill>
                  <w14:solidFill>
                    <w14:srgbClr w14:val="000000">
                      <w14:alpha w14:val="100000"/>
                    </w14:srgbClr>
                  </w14:solidFill>
                </w14:textFill>
              </w:rPr>
              <w:t>|</w:t>
            </w:r>
            <w:r w:rsidR="00670F7F" w:rsidRPr="00DF0226">
              <w:t>%</w:t>
            </w:r>
          </w:p>
        </w:tc>
      </w:tr>
      <w:tr w:rsidR="00670F7F" w:rsidRPr="00DF0226" w14:paraId="422120D8" w14:textId="77777777" w:rsidTr="1797D1E5">
        <w:trPr>
          <w:cantSplit/>
        </w:trPr>
        <w:tc>
          <w:tcPr>
            <w:tcW w:w="5000" w:type="pct"/>
            <w:gridSpan w:val="5"/>
          </w:tcPr>
          <w:p w14:paraId="75A7D19B" w14:textId="77777777" w:rsidR="00670F7F" w:rsidRPr="00DF0226" w:rsidRDefault="00670F7F" w:rsidP="0020672F">
            <w:pPr>
              <w:pStyle w:val="COMTableheadingrow"/>
            </w:pPr>
            <w:r w:rsidRPr="00DF0226">
              <w:t>Health state utilities (base case relapse-free 0.8534, relapsed disease 0.6920; first year post ASCT: 0.2834)</w:t>
            </w:r>
          </w:p>
        </w:tc>
      </w:tr>
      <w:tr w:rsidR="00670F7F" w:rsidRPr="00DF0226" w14:paraId="311855DE" w14:textId="77777777" w:rsidTr="1797D1E5">
        <w:trPr>
          <w:cantSplit/>
        </w:trPr>
        <w:tc>
          <w:tcPr>
            <w:tcW w:w="2644" w:type="pct"/>
          </w:tcPr>
          <w:p w14:paraId="0BF5C9ED" w14:textId="77777777" w:rsidR="00670F7F" w:rsidRPr="00DF0226" w:rsidRDefault="00670F7F" w:rsidP="00B254FA">
            <w:pPr>
              <w:pStyle w:val="COMTabletext"/>
              <w:keepNext w:val="0"/>
            </w:pPr>
            <w:r w:rsidRPr="00DF0226">
              <w:t>Relapse-free 0.80</w:t>
            </w:r>
          </w:p>
        </w:tc>
        <w:tc>
          <w:tcPr>
            <w:tcW w:w="614" w:type="pct"/>
            <w:tcBorders>
              <w:bottom w:val="single" w:sz="4" w:space="0" w:color="auto"/>
            </w:tcBorders>
            <w:shd w:val="clear" w:color="auto" w:fill="000000" w:themeFill="text1"/>
          </w:tcPr>
          <w:p w14:paraId="6F503933" w14:textId="785CFF68" w:rsidR="00670F7F" w:rsidRPr="00327E8F" w:rsidRDefault="00AF1BA2" w:rsidP="00B254FA">
            <w:pPr>
              <w:pStyle w:val="COMTabletext"/>
              <w:keepNext w:val="0"/>
              <w:jc w:val="center"/>
              <w:rPr>
                <w:highlight w:val="lightGray"/>
              </w:rPr>
            </w:pPr>
            <w:r>
              <w:rPr>
                <w:color w:val="000000"/>
                <w:w w:val="15"/>
                <w:fitText w:val="10" w:id="-894171900"/>
                <w14:textFill>
                  <w14:solidFill>
                    <w14:srgbClr w14:val="000000">
                      <w14:alpha w14:val="100000"/>
                    </w14:srgbClr>
                  </w14:solidFill>
                </w14:textFill>
              </w:rPr>
              <w:t xml:space="preserve">　</w:t>
            </w:r>
            <w:r>
              <w:rPr>
                <w:color w:val="000000"/>
                <w:w w:val="15"/>
                <w:fitText w:val="10" w:id="-894171900"/>
                <w14:textFill>
                  <w14:solidFill>
                    <w14:srgbClr w14:val="000000">
                      <w14:alpha w14:val="100000"/>
                    </w14:srgbClr>
                  </w14:solidFill>
                </w14:textFill>
              </w:rPr>
              <w:t>|</w:t>
            </w:r>
            <w:r>
              <w:rPr>
                <w:color w:val="000000"/>
                <w:spacing w:val="-56"/>
                <w:w w:val="15"/>
                <w:fitText w:val="10" w:id="-894171900"/>
                <w14:textFill>
                  <w14:solidFill>
                    <w14:srgbClr w14:val="000000">
                      <w14:alpha w14:val="100000"/>
                    </w14:srgbClr>
                  </w14:solidFill>
                </w14:textFill>
              </w:rPr>
              <w:t xml:space="preserve">　</w:t>
            </w:r>
          </w:p>
        </w:tc>
        <w:tc>
          <w:tcPr>
            <w:tcW w:w="637" w:type="pct"/>
          </w:tcPr>
          <w:p w14:paraId="73AF4AE4" w14:textId="77777777" w:rsidR="00670F7F" w:rsidRPr="00DF0226" w:rsidRDefault="00670F7F" w:rsidP="00B254FA">
            <w:pPr>
              <w:pStyle w:val="COMTabletext"/>
              <w:keepNext w:val="0"/>
              <w:jc w:val="center"/>
            </w:pPr>
            <w:r w:rsidRPr="00DF0226">
              <w:t>3.1618</w:t>
            </w:r>
          </w:p>
        </w:tc>
        <w:tc>
          <w:tcPr>
            <w:tcW w:w="598" w:type="pct"/>
          </w:tcPr>
          <w:p w14:paraId="26D9064A" w14:textId="077AE8A5" w:rsidR="00670F7F" w:rsidRPr="00327E8F" w:rsidRDefault="00AF1BA2" w:rsidP="00B254FA">
            <w:pPr>
              <w:pStyle w:val="COMTabletext"/>
              <w:keepNext w:val="0"/>
              <w:jc w:val="center"/>
              <w:rPr>
                <w:highlight w:val="lightGray"/>
              </w:rPr>
            </w:pPr>
            <w:r w:rsidRPr="00C64633">
              <w:rPr>
                <w:rFonts w:hint="eastAsia"/>
                <w:color w:val="000000"/>
                <w:w w:val="15"/>
                <w:shd w:val="solid" w:color="000000" w:fill="000000"/>
                <w:fitText w:val="70" w:id="-894171899"/>
                <w14:textFill>
                  <w14:solidFill>
                    <w14:srgbClr w14:val="000000">
                      <w14:alpha w14:val="100000"/>
                    </w14:srgbClr>
                  </w14:solidFill>
                </w14:textFill>
              </w:rPr>
              <w:t xml:space="preserve">　</w:t>
            </w:r>
            <w:r w:rsidRPr="00C64633">
              <w:rPr>
                <w:color w:val="000000"/>
                <w:w w:val="15"/>
                <w:shd w:val="solid" w:color="000000" w:fill="000000"/>
                <w:fitText w:val="70" w:id="-894171899"/>
                <w14:textFill>
                  <w14:solidFill>
                    <w14:srgbClr w14:val="000000">
                      <w14:alpha w14:val="100000"/>
                    </w14:srgbClr>
                  </w14:solidFill>
                </w14:textFill>
              </w:rPr>
              <w:t>|</w:t>
            </w:r>
            <w:r w:rsidRPr="00C64633">
              <w:rPr>
                <w:rFonts w:hint="eastAsia"/>
                <w:color w:val="000000"/>
                <w:w w:val="15"/>
                <w:shd w:val="solid" w:color="000000" w:fill="000000"/>
                <w:fitText w:val="70" w:id="-894171899"/>
                <w14:textFill>
                  <w14:solidFill>
                    <w14:srgbClr w14:val="000000">
                      <w14:alpha w14:val="100000"/>
                    </w14:srgbClr>
                  </w14:solidFill>
                </w14:textFill>
              </w:rPr>
              <w:t xml:space="preserve">　</w:t>
            </w:r>
            <w:r w:rsidR="0099676C" w:rsidRPr="005C269B">
              <w:rPr>
                <w:vertAlign w:val="superscript"/>
              </w:rPr>
              <w:t>1</w:t>
            </w:r>
          </w:p>
        </w:tc>
        <w:tc>
          <w:tcPr>
            <w:tcW w:w="507" w:type="pct"/>
          </w:tcPr>
          <w:p w14:paraId="6ED3094A" w14:textId="347BC26D" w:rsidR="00670F7F" w:rsidRPr="00DF0226" w:rsidRDefault="00353D9C" w:rsidP="00B254FA">
            <w:pPr>
              <w:pStyle w:val="COMTabletext"/>
              <w:keepNext w:val="0"/>
              <w:jc w:val="center"/>
            </w:pPr>
            <w:r w:rsidRPr="00DF0226">
              <w:t>+</w:t>
            </w:r>
            <w:r w:rsidR="00AF1BA2" w:rsidRPr="00C64633">
              <w:rPr>
                <w:color w:val="000000"/>
                <w:spacing w:val="154"/>
                <w:shd w:val="solid" w:color="000000" w:fill="000000"/>
                <w:fitText w:val="240" w:id="-894171898"/>
                <w14:textFill>
                  <w14:solidFill>
                    <w14:srgbClr w14:val="000000">
                      <w14:alpha w14:val="100000"/>
                    </w14:srgbClr>
                  </w14:solidFill>
                </w14:textFill>
              </w:rPr>
              <w:t>|</w:t>
            </w:r>
            <w:r w:rsidR="00AF1BA2" w:rsidRPr="00C64633">
              <w:rPr>
                <w:color w:val="000000"/>
                <w:shd w:val="solid" w:color="000000" w:fill="000000"/>
                <w:fitText w:val="240" w:id="-894171898"/>
                <w14:textFill>
                  <w14:solidFill>
                    <w14:srgbClr w14:val="000000">
                      <w14:alpha w14:val="100000"/>
                    </w14:srgbClr>
                  </w14:solidFill>
                </w14:textFill>
              </w:rPr>
              <w:t>|</w:t>
            </w:r>
            <w:r w:rsidR="00670F7F" w:rsidRPr="00DF0226">
              <w:t>%</w:t>
            </w:r>
          </w:p>
        </w:tc>
      </w:tr>
      <w:tr w:rsidR="00670F7F" w:rsidRPr="00DF0226" w14:paraId="39B999A6" w14:textId="77777777" w:rsidTr="1797D1E5">
        <w:trPr>
          <w:cantSplit/>
        </w:trPr>
        <w:tc>
          <w:tcPr>
            <w:tcW w:w="2644" w:type="pct"/>
          </w:tcPr>
          <w:p w14:paraId="0DA2F467" w14:textId="77777777" w:rsidR="00670F7F" w:rsidRPr="00DF0226" w:rsidRDefault="00670F7F" w:rsidP="00B254FA">
            <w:pPr>
              <w:pStyle w:val="COMTabletext"/>
              <w:keepNext w:val="0"/>
            </w:pPr>
            <w:r w:rsidRPr="00DF0226">
              <w:t>Relapse-free 0.70</w:t>
            </w:r>
          </w:p>
        </w:tc>
        <w:tc>
          <w:tcPr>
            <w:tcW w:w="614" w:type="pct"/>
            <w:tcBorders>
              <w:bottom w:val="single" w:sz="4" w:space="0" w:color="auto"/>
            </w:tcBorders>
            <w:shd w:val="clear" w:color="auto" w:fill="000000" w:themeFill="text1"/>
          </w:tcPr>
          <w:p w14:paraId="3F86C339" w14:textId="4197E571" w:rsidR="00670F7F" w:rsidRPr="00327E8F" w:rsidRDefault="00AF1BA2" w:rsidP="00B254FA">
            <w:pPr>
              <w:pStyle w:val="COMTabletext"/>
              <w:keepNext w:val="0"/>
              <w:jc w:val="center"/>
              <w:rPr>
                <w:highlight w:val="lightGray"/>
              </w:rPr>
            </w:pPr>
            <w:r>
              <w:rPr>
                <w:color w:val="000000"/>
                <w:w w:val="15"/>
                <w:fitText w:val="10" w:id="-894171897"/>
                <w14:textFill>
                  <w14:solidFill>
                    <w14:srgbClr w14:val="000000">
                      <w14:alpha w14:val="100000"/>
                    </w14:srgbClr>
                  </w14:solidFill>
                </w14:textFill>
              </w:rPr>
              <w:t xml:space="preserve">　</w:t>
            </w:r>
            <w:r>
              <w:rPr>
                <w:color w:val="000000"/>
                <w:w w:val="15"/>
                <w:fitText w:val="10" w:id="-894171897"/>
                <w14:textFill>
                  <w14:solidFill>
                    <w14:srgbClr w14:val="000000">
                      <w14:alpha w14:val="100000"/>
                    </w14:srgbClr>
                  </w14:solidFill>
                </w14:textFill>
              </w:rPr>
              <w:t>|</w:t>
            </w:r>
            <w:r>
              <w:rPr>
                <w:color w:val="000000"/>
                <w:spacing w:val="-56"/>
                <w:w w:val="15"/>
                <w:fitText w:val="10" w:id="-894171897"/>
                <w14:textFill>
                  <w14:solidFill>
                    <w14:srgbClr w14:val="000000">
                      <w14:alpha w14:val="100000"/>
                    </w14:srgbClr>
                  </w14:solidFill>
                </w14:textFill>
              </w:rPr>
              <w:t xml:space="preserve">　</w:t>
            </w:r>
          </w:p>
        </w:tc>
        <w:tc>
          <w:tcPr>
            <w:tcW w:w="637" w:type="pct"/>
          </w:tcPr>
          <w:p w14:paraId="2FFC3734" w14:textId="77777777" w:rsidR="00670F7F" w:rsidRPr="00DF0226" w:rsidRDefault="00670F7F" w:rsidP="00B254FA">
            <w:pPr>
              <w:pStyle w:val="COMTabletext"/>
              <w:keepNext w:val="0"/>
              <w:jc w:val="center"/>
            </w:pPr>
            <w:r w:rsidRPr="00DF0226">
              <w:t>2.7914</w:t>
            </w:r>
          </w:p>
        </w:tc>
        <w:tc>
          <w:tcPr>
            <w:tcW w:w="598" w:type="pct"/>
          </w:tcPr>
          <w:p w14:paraId="79DE8307" w14:textId="4F856664" w:rsidR="00670F7F" w:rsidRPr="00327E8F" w:rsidRDefault="00AF1BA2" w:rsidP="00B254FA">
            <w:pPr>
              <w:pStyle w:val="COMTabletext"/>
              <w:keepNext w:val="0"/>
              <w:jc w:val="center"/>
              <w:rPr>
                <w:highlight w:val="lightGray"/>
              </w:rPr>
            </w:pPr>
            <w:r w:rsidRPr="00C64633">
              <w:rPr>
                <w:rFonts w:hint="eastAsia"/>
                <w:color w:val="000000"/>
                <w:w w:val="15"/>
                <w:shd w:val="solid" w:color="000000" w:fill="000000"/>
                <w:fitText w:val="70" w:id="-894171896"/>
                <w14:textFill>
                  <w14:solidFill>
                    <w14:srgbClr w14:val="000000">
                      <w14:alpha w14:val="100000"/>
                    </w14:srgbClr>
                  </w14:solidFill>
                </w14:textFill>
              </w:rPr>
              <w:t xml:space="preserve">　</w:t>
            </w:r>
            <w:r w:rsidRPr="00C64633">
              <w:rPr>
                <w:color w:val="000000"/>
                <w:w w:val="15"/>
                <w:shd w:val="solid" w:color="000000" w:fill="000000"/>
                <w:fitText w:val="70" w:id="-894171896"/>
                <w14:textFill>
                  <w14:solidFill>
                    <w14:srgbClr w14:val="000000">
                      <w14:alpha w14:val="100000"/>
                    </w14:srgbClr>
                  </w14:solidFill>
                </w14:textFill>
              </w:rPr>
              <w:t>|</w:t>
            </w:r>
            <w:r w:rsidRPr="00C64633">
              <w:rPr>
                <w:rFonts w:hint="eastAsia"/>
                <w:color w:val="000000"/>
                <w:w w:val="15"/>
                <w:shd w:val="solid" w:color="000000" w:fill="000000"/>
                <w:fitText w:val="70" w:id="-894171896"/>
                <w14:textFill>
                  <w14:solidFill>
                    <w14:srgbClr w14:val="000000">
                      <w14:alpha w14:val="100000"/>
                    </w14:srgbClr>
                  </w14:solidFill>
                </w14:textFill>
              </w:rPr>
              <w:t xml:space="preserve">　</w:t>
            </w:r>
            <w:r w:rsidR="00307527" w:rsidRPr="005C269B">
              <w:rPr>
                <w:vertAlign w:val="superscript"/>
              </w:rPr>
              <w:t>6</w:t>
            </w:r>
          </w:p>
        </w:tc>
        <w:tc>
          <w:tcPr>
            <w:tcW w:w="507" w:type="pct"/>
          </w:tcPr>
          <w:p w14:paraId="6855AC23" w14:textId="0945A767" w:rsidR="00670F7F" w:rsidRPr="00DF0226" w:rsidRDefault="00353D9C" w:rsidP="00B254FA">
            <w:pPr>
              <w:pStyle w:val="COMTabletext"/>
              <w:keepNext w:val="0"/>
              <w:jc w:val="center"/>
            </w:pPr>
            <w:r w:rsidRPr="00DF0226">
              <w:t>+</w:t>
            </w:r>
            <w:r w:rsidR="00AF1BA2" w:rsidRPr="00C64633">
              <w:rPr>
                <w:color w:val="000000"/>
                <w:spacing w:val="154"/>
                <w:shd w:val="solid" w:color="000000" w:fill="000000"/>
                <w:fitText w:val="240" w:id="-894171895"/>
                <w14:textFill>
                  <w14:solidFill>
                    <w14:srgbClr w14:val="000000">
                      <w14:alpha w14:val="100000"/>
                    </w14:srgbClr>
                  </w14:solidFill>
                </w14:textFill>
              </w:rPr>
              <w:t>|</w:t>
            </w:r>
            <w:r w:rsidR="00AF1BA2" w:rsidRPr="00C64633">
              <w:rPr>
                <w:color w:val="000000"/>
                <w:shd w:val="solid" w:color="000000" w:fill="000000"/>
                <w:fitText w:val="240" w:id="-894171895"/>
                <w14:textFill>
                  <w14:solidFill>
                    <w14:srgbClr w14:val="000000">
                      <w14:alpha w14:val="100000"/>
                    </w14:srgbClr>
                  </w14:solidFill>
                </w14:textFill>
              </w:rPr>
              <w:t>|</w:t>
            </w:r>
            <w:r w:rsidR="00670F7F" w:rsidRPr="00DF0226">
              <w:t>%</w:t>
            </w:r>
          </w:p>
        </w:tc>
      </w:tr>
      <w:tr w:rsidR="0041711E" w:rsidRPr="00DF0226" w14:paraId="523B2B27" w14:textId="77777777" w:rsidTr="1797D1E5">
        <w:trPr>
          <w:cantSplit/>
        </w:trPr>
        <w:tc>
          <w:tcPr>
            <w:tcW w:w="2644" w:type="pct"/>
          </w:tcPr>
          <w:p w14:paraId="1BF6BB26" w14:textId="48B27D2D" w:rsidR="0041711E" w:rsidRPr="0041711E" w:rsidRDefault="0041711E" w:rsidP="0041711E">
            <w:pPr>
              <w:pStyle w:val="COMTabletext"/>
              <w:keepNext w:val="0"/>
              <w:rPr>
                <w:i/>
                <w:iCs/>
              </w:rPr>
            </w:pPr>
            <w:r w:rsidRPr="0041711E">
              <w:rPr>
                <w:i/>
                <w:iCs/>
              </w:rPr>
              <w:t>Relapse-free 0.806 (based on MRD-positive B-ALL submission)</w:t>
            </w:r>
          </w:p>
        </w:tc>
        <w:tc>
          <w:tcPr>
            <w:tcW w:w="614" w:type="pct"/>
            <w:tcBorders>
              <w:bottom w:val="single" w:sz="4" w:space="0" w:color="auto"/>
            </w:tcBorders>
            <w:shd w:val="clear" w:color="auto" w:fill="000000" w:themeFill="text1"/>
          </w:tcPr>
          <w:p w14:paraId="63766E34" w14:textId="2D4615E5" w:rsidR="0041711E" w:rsidRPr="00327E8F" w:rsidRDefault="00AF1BA2" w:rsidP="1797D1E5">
            <w:pPr>
              <w:pStyle w:val="COMTabletext"/>
              <w:keepNext w:val="0"/>
              <w:jc w:val="center"/>
              <w:rPr>
                <w:i/>
                <w:iCs/>
                <w:highlight w:val="lightGray"/>
              </w:rPr>
            </w:pPr>
            <w:r>
              <w:rPr>
                <w:i/>
                <w:iCs/>
                <w:color w:val="000000"/>
                <w:w w:val="15"/>
                <w:fitText w:val="10" w:id="-894171894"/>
                <w14:textFill>
                  <w14:solidFill>
                    <w14:srgbClr w14:val="000000">
                      <w14:alpha w14:val="100000"/>
                    </w14:srgbClr>
                  </w14:solidFill>
                </w14:textFill>
              </w:rPr>
              <w:t xml:space="preserve">　</w:t>
            </w:r>
            <w:r>
              <w:rPr>
                <w:i/>
                <w:iCs/>
                <w:color w:val="000000"/>
                <w:w w:val="15"/>
                <w:fitText w:val="10" w:id="-894171894"/>
                <w14:textFill>
                  <w14:solidFill>
                    <w14:srgbClr w14:val="000000">
                      <w14:alpha w14:val="100000"/>
                    </w14:srgbClr>
                  </w14:solidFill>
                </w14:textFill>
              </w:rPr>
              <w:t>|</w:t>
            </w:r>
            <w:r>
              <w:rPr>
                <w:i/>
                <w:iCs/>
                <w:color w:val="000000"/>
                <w:spacing w:val="-56"/>
                <w:w w:val="15"/>
                <w:fitText w:val="10" w:id="-894171894"/>
                <w14:textFill>
                  <w14:solidFill>
                    <w14:srgbClr w14:val="000000">
                      <w14:alpha w14:val="100000"/>
                    </w14:srgbClr>
                  </w14:solidFill>
                </w14:textFill>
              </w:rPr>
              <w:t xml:space="preserve">　</w:t>
            </w:r>
          </w:p>
        </w:tc>
        <w:tc>
          <w:tcPr>
            <w:tcW w:w="637" w:type="pct"/>
          </w:tcPr>
          <w:p w14:paraId="516EB315" w14:textId="52695A53" w:rsidR="0041711E" w:rsidRPr="0041711E" w:rsidRDefault="0041711E" w:rsidP="0041711E">
            <w:pPr>
              <w:pStyle w:val="COMTabletext"/>
              <w:keepNext w:val="0"/>
              <w:jc w:val="center"/>
              <w:rPr>
                <w:i/>
                <w:iCs/>
              </w:rPr>
            </w:pPr>
            <w:r w:rsidRPr="0041711E">
              <w:rPr>
                <w:i/>
                <w:iCs/>
              </w:rPr>
              <w:t>3.</w:t>
            </w:r>
            <w:r w:rsidR="00632204">
              <w:rPr>
                <w:i/>
                <w:iCs/>
              </w:rPr>
              <w:t>2025</w:t>
            </w:r>
          </w:p>
        </w:tc>
        <w:tc>
          <w:tcPr>
            <w:tcW w:w="598" w:type="pct"/>
          </w:tcPr>
          <w:p w14:paraId="1ED8FF94" w14:textId="5BF50BE4" w:rsidR="0041711E" w:rsidRPr="00327E8F" w:rsidRDefault="00AF1BA2" w:rsidP="0041711E">
            <w:pPr>
              <w:pStyle w:val="COMTabletext"/>
              <w:keepNext w:val="0"/>
              <w:jc w:val="center"/>
              <w:rPr>
                <w:i/>
                <w:iCs/>
                <w:highlight w:val="lightGray"/>
              </w:rPr>
            </w:pPr>
            <w:r w:rsidRPr="00C64633">
              <w:rPr>
                <w:rFonts w:hint="eastAsia"/>
                <w:i/>
                <w:iCs/>
                <w:color w:val="000000"/>
                <w:w w:val="15"/>
                <w:shd w:val="solid" w:color="000000" w:fill="000000"/>
                <w:fitText w:val="70" w:id="-894171893"/>
                <w14:textFill>
                  <w14:solidFill>
                    <w14:srgbClr w14:val="000000">
                      <w14:alpha w14:val="100000"/>
                    </w14:srgbClr>
                  </w14:solidFill>
                </w14:textFill>
              </w:rPr>
              <w:t xml:space="preserve">　</w:t>
            </w:r>
            <w:r w:rsidRPr="00C64633">
              <w:rPr>
                <w:i/>
                <w:iCs/>
                <w:color w:val="000000"/>
                <w:w w:val="15"/>
                <w:shd w:val="solid" w:color="000000" w:fill="000000"/>
                <w:fitText w:val="70" w:id="-894171893"/>
                <w14:textFill>
                  <w14:solidFill>
                    <w14:srgbClr w14:val="000000">
                      <w14:alpha w14:val="100000"/>
                    </w14:srgbClr>
                  </w14:solidFill>
                </w14:textFill>
              </w:rPr>
              <w:t>|</w:t>
            </w:r>
            <w:r w:rsidRPr="00C64633">
              <w:rPr>
                <w:rFonts w:hint="eastAsia"/>
                <w:i/>
                <w:iCs/>
                <w:color w:val="000000"/>
                <w:w w:val="15"/>
                <w:shd w:val="solid" w:color="000000" w:fill="000000"/>
                <w:fitText w:val="70" w:id="-894171893"/>
                <w14:textFill>
                  <w14:solidFill>
                    <w14:srgbClr w14:val="000000">
                      <w14:alpha w14:val="100000"/>
                    </w14:srgbClr>
                  </w14:solidFill>
                </w14:textFill>
              </w:rPr>
              <w:t xml:space="preserve">　</w:t>
            </w:r>
            <w:r w:rsidR="0099676C" w:rsidRPr="005C269B">
              <w:rPr>
                <w:vertAlign w:val="superscript"/>
              </w:rPr>
              <w:t>1</w:t>
            </w:r>
          </w:p>
        </w:tc>
        <w:tc>
          <w:tcPr>
            <w:tcW w:w="507" w:type="pct"/>
          </w:tcPr>
          <w:p w14:paraId="05D1872B" w14:textId="20FD39AB" w:rsidR="0041711E" w:rsidRPr="0041711E" w:rsidRDefault="0041711E" w:rsidP="0041711E">
            <w:pPr>
              <w:pStyle w:val="COMTabletext"/>
              <w:keepNext w:val="0"/>
              <w:jc w:val="center"/>
              <w:rPr>
                <w:i/>
                <w:iCs/>
              </w:rPr>
            </w:pPr>
            <w:r w:rsidRPr="00632204">
              <w:rPr>
                <w:i/>
                <w:iCs/>
              </w:rPr>
              <w:t>+</w:t>
            </w:r>
            <w:r w:rsidR="00AF1BA2" w:rsidRPr="00C64633">
              <w:rPr>
                <w:i/>
                <w:iCs/>
                <w:color w:val="000000"/>
                <w:spacing w:val="154"/>
                <w:shd w:val="solid" w:color="000000" w:fill="000000"/>
                <w:fitText w:val="240" w:id="-894171892"/>
                <w14:textFill>
                  <w14:solidFill>
                    <w14:srgbClr w14:val="000000">
                      <w14:alpha w14:val="100000"/>
                    </w14:srgbClr>
                  </w14:solidFill>
                </w14:textFill>
              </w:rPr>
              <w:t>|</w:t>
            </w:r>
            <w:r w:rsidR="00AF1BA2" w:rsidRPr="00C64633">
              <w:rPr>
                <w:i/>
                <w:iCs/>
                <w:color w:val="000000"/>
                <w:shd w:val="solid" w:color="000000" w:fill="000000"/>
                <w:fitText w:val="240" w:id="-894171892"/>
                <w14:textFill>
                  <w14:solidFill>
                    <w14:srgbClr w14:val="000000">
                      <w14:alpha w14:val="100000"/>
                    </w14:srgbClr>
                  </w14:solidFill>
                </w14:textFill>
              </w:rPr>
              <w:t>|</w:t>
            </w:r>
            <w:r w:rsidRPr="00632204">
              <w:rPr>
                <w:i/>
                <w:iCs/>
              </w:rPr>
              <w:t>%</w:t>
            </w:r>
          </w:p>
        </w:tc>
      </w:tr>
      <w:tr w:rsidR="00670F7F" w:rsidRPr="00DF0226" w14:paraId="1EF1D47D" w14:textId="77777777" w:rsidTr="1797D1E5">
        <w:trPr>
          <w:cantSplit/>
        </w:trPr>
        <w:tc>
          <w:tcPr>
            <w:tcW w:w="2644" w:type="pct"/>
          </w:tcPr>
          <w:p w14:paraId="20485477" w14:textId="77777777" w:rsidR="00670F7F" w:rsidRPr="00DF0226" w:rsidRDefault="00670F7F" w:rsidP="00B254FA">
            <w:pPr>
              <w:pStyle w:val="COMTabletext"/>
              <w:keepNext w:val="0"/>
            </w:pPr>
            <w:r w:rsidRPr="00DF0226">
              <w:t>Relapsed disease 0.60</w:t>
            </w:r>
          </w:p>
        </w:tc>
        <w:tc>
          <w:tcPr>
            <w:tcW w:w="614" w:type="pct"/>
            <w:tcBorders>
              <w:bottom w:val="single" w:sz="4" w:space="0" w:color="auto"/>
            </w:tcBorders>
            <w:shd w:val="clear" w:color="auto" w:fill="000000" w:themeFill="text1"/>
          </w:tcPr>
          <w:p w14:paraId="11DD26EF" w14:textId="7A613CA5" w:rsidR="00670F7F" w:rsidRPr="00327E8F" w:rsidRDefault="00AF1BA2" w:rsidP="00B254FA">
            <w:pPr>
              <w:pStyle w:val="COMTabletext"/>
              <w:keepNext w:val="0"/>
              <w:jc w:val="center"/>
              <w:rPr>
                <w:highlight w:val="lightGray"/>
              </w:rPr>
            </w:pPr>
            <w:r>
              <w:rPr>
                <w:color w:val="000000"/>
                <w:w w:val="15"/>
                <w:fitText w:val="10" w:id="-894171891"/>
                <w14:textFill>
                  <w14:solidFill>
                    <w14:srgbClr w14:val="000000">
                      <w14:alpha w14:val="100000"/>
                    </w14:srgbClr>
                  </w14:solidFill>
                </w14:textFill>
              </w:rPr>
              <w:t xml:space="preserve">　</w:t>
            </w:r>
            <w:r>
              <w:rPr>
                <w:color w:val="000000"/>
                <w:w w:val="15"/>
                <w:fitText w:val="10" w:id="-894171891"/>
                <w14:textFill>
                  <w14:solidFill>
                    <w14:srgbClr w14:val="000000">
                      <w14:alpha w14:val="100000"/>
                    </w14:srgbClr>
                  </w14:solidFill>
                </w14:textFill>
              </w:rPr>
              <w:t>|</w:t>
            </w:r>
            <w:r>
              <w:rPr>
                <w:color w:val="000000"/>
                <w:spacing w:val="-56"/>
                <w:w w:val="15"/>
                <w:fitText w:val="10" w:id="-894171891"/>
                <w14:textFill>
                  <w14:solidFill>
                    <w14:srgbClr w14:val="000000">
                      <w14:alpha w14:val="100000"/>
                    </w14:srgbClr>
                  </w14:solidFill>
                </w14:textFill>
              </w:rPr>
              <w:t xml:space="preserve">　</w:t>
            </w:r>
          </w:p>
        </w:tc>
        <w:tc>
          <w:tcPr>
            <w:tcW w:w="637" w:type="pct"/>
          </w:tcPr>
          <w:p w14:paraId="6C2B6029" w14:textId="77777777" w:rsidR="00670F7F" w:rsidRPr="00DF0226" w:rsidRDefault="00670F7F" w:rsidP="00B254FA">
            <w:pPr>
              <w:pStyle w:val="COMTabletext"/>
              <w:keepNext w:val="0"/>
              <w:jc w:val="center"/>
            </w:pPr>
            <w:r w:rsidRPr="00DF0226">
              <w:t>3.3334</w:t>
            </w:r>
          </w:p>
        </w:tc>
        <w:tc>
          <w:tcPr>
            <w:tcW w:w="598" w:type="pct"/>
          </w:tcPr>
          <w:p w14:paraId="5714EDB8" w14:textId="3E602794" w:rsidR="00670F7F" w:rsidRPr="00327E8F" w:rsidRDefault="00AF1BA2" w:rsidP="00B254FA">
            <w:pPr>
              <w:pStyle w:val="COMTabletext"/>
              <w:keepNext w:val="0"/>
              <w:jc w:val="center"/>
              <w:rPr>
                <w:highlight w:val="lightGray"/>
              </w:rPr>
            </w:pPr>
            <w:r w:rsidRPr="00C64633">
              <w:rPr>
                <w:rFonts w:hint="eastAsia"/>
                <w:color w:val="000000"/>
                <w:w w:val="15"/>
                <w:shd w:val="solid" w:color="000000" w:fill="000000"/>
                <w:fitText w:val="70" w:id="-894171648"/>
                <w14:textFill>
                  <w14:solidFill>
                    <w14:srgbClr w14:val="000000">
                      <w14:alpha w14:val="100000"/>
                    </w14:srgbClr>
                  </w14:solidFill>
                </w14:textFill>
              </w:rPr>
              <w:t xml:space="preserve">　</w:t>
            </w:r>
            <w:r w:rsidRPr="00C64633">
              <w:rPr>
                <w:color w:val="000000"/>
                <w:w w:val="15"/>
                <w:shd w:val="solid" w:color="000000" w:fill="000000"/>
                <w:fitText w:val="70" w:id="-894171648"/>
                <w14:textFill>
                  <w14:solidFill>
                    <w14:srgbClr w14:val="000000">
                      <w14:alpha w14:val="100000"/>
                    </w14:srgbClr>
                  </w14:solidFill>
                </w14:textFill>
              </w:rPr>
              <w:t>|</w:t>
            </w:r>
            <w:r w:rsidRPr="00C64633">
              <w:rPr>
                <w:rFonts w:hint="eastAsia"/>
                <w:color w:val="000000"/>
                <w:w w:val="15"/>
                <w:shd w:val="solid" w:color="000000" w:fill="000000"/>
                <w:fitText w:val="70" w:id="-894171648"/>
                <w14:textFill>
                  <w14:solidFill>
                    <w14:srgbClr w14:val="000000">
                      <w14:alpha w14:val="100000"/>
                    </w14:srgbClr>
                  </w14:solidFill>
                </w14:textFill>
              </w:rPr>
              <w:t xml:space="preserve">　</w:t>
            </w:r>
            <w:r w:rsidR="0099676C" w:rsidRPr="005C269B">
              <w:rPr>
                <w:vertAlign w:val="superscript"/>
              </w:rPr>
              <w:t>1</w:t>
            </w:r>
          </w:p>
        </w:tc>
        <w:tc>
          <w:tcPr>
            <w:tcW w:w="507" w:type="pct"/>
          </w:tcPr>
          <w:p w14:paraId="58F08A2D" w14:textId="06C816C3" w:rsidR="00670F7F" w:rsidRPr="00DF0226" w:rsidRDefault="00353D9C" w:rsidP="00B254FA">
            <w:pPr>
              <w:pStyle w:val="COMTabletext"/>
              <w:keepNext w:val="0"/>
              <w:jc w:val="center"/>
            </w:pPr>
            <w:r w:rsidRPr="00DF0226">
              <w:t>+</w:t>
            </w:r>
            <w:r w:rsidR="00AF1BA2" w:rsidRPr="00C64633">
              <w:rPr>
                <w:color w:val="000000"/>
                <w:spacing w:val="154"/>
                <w:shd w:val="solid" w:color="000000" w:fill="000000"/>
                <w:fitText w:val="240" w:id="-894171647"/>
                <w14:textFill>
                  <w14:solidFill>
                    <w14:srgbClr w14:val="000000">
                      <w14:alpha w14:val="100000"/>
                    </w14:srgbClr>
                  </w14:solidFill>
                </w14:textFill>
              </w:rPr>
              <w:t>|</w:t>
            </w:r>
            <w:r w:rsidR="00AF1BA2" w:rsidRPr="00C64633">
              <w:rPr>
                <w:color w:val="000000"/>
                <w:shd w:val="solid" w:color="000000" w:fill="000000"/>
                <w:fitText w:val="240" w:id="-894171647"/>
                <w14:textFill>
                  <w14:solidFill>
                    <w14:srgbClr w14:val="000000">
                      <w14:alpha w14:val="100000"/>
                    </w14:srgbClr>
                  </w14:solidFill>
                </w14:textFill>
              </w:rPr>
              <w:t>|</w:t>
            </w:r>
            <w:r w:rsidR="00670F7F" w:rsidRPr="00DF0226">
              <w:t>%</w:t>
            </w:r>
          </w:p>
        </w:tc>
      </w:tr>
      <w:tr w:rsidR="00670F7F" w:rsidRPr="00DF0226" w14:paraId="5518AD26" w14:textId="77777777" w:rsidTr="1797D1E5">
        <w:trPr>
          <w:cantSplit/>
        </w:trPr>
        <w:tc>
          <w:tcPr>
            <w:tcW w:w="2644" w:type="pct"/>
          </w:tcPr>
          <w:p w14:paraId="3E7187B7" w14:textId="77777777" w:rsidR="00670F7F" w:rsidRPr="00DF0226" w:rsidRDefault="00670F7F" w:rsidP="00B254FA">
            <w:pPr>
              <w:pStyle w:val="COMTabletext"/>
              <w:keepNext w:val="0"/>
            </w:pPr>
            <w:r w:rsidRPr="00DF0226">
              <w:t>Relapsed disease 0.80</w:t>
            </w:r>
          </w:p>
        </w:tc>
        <w:tc>
          <w:tcPr>
            <w:tcW w:w="614" w:type="pct"/>
            <w:tcBorders>
              <w:bottom w:val="single" w:sz="4" w:space="0" w:color="auto"/>
            </w:tcBorders>
            <w:shd w:val="clear" w:color="auto" w:fill="000000" w:themeFill="text1"/>
          </w:tcPr>
          <w:p w14:paraId="24705C30" w14:textId="687CADBE" w:rsidR="00670F7F" w:rsidRPr="00327E8F" w:rsidRDefault="00AF1BA2" w:rsidP="00B254FA">
            <w:pPr>
              <w:pStyle w:val="COMTabletext"/>
              <w:keepNext w:val="0"/>
              <w:jc w:val="center"/>
              <w:rPr>
                <w:highlight w:val="lightGray"/>
              </w:rPr>
            </w:pPr>
            <w:r>
              <w:rPr>
                <w:color w:val="000000"/>
                <w:w w:val="15"/>
                <w:fitText w:val="10" w:id="-894171646"/>
                <w14:textFill>
                  <w14:solidFill>
                    <w14:srgbClr w14:val="000000">
                      <w14:alpha w14:val="100000"/>
                    </w14:srgbClr>
                  </w14:solidFill>
                </w14:textFill>
              </w:rPr>
              <w:t xml:space="preserve">　</w:t>
            </w:r>
            <w:r>
              <w:rPr>
                <w:color w:val="000000"/>
                <w:w w:val="15"/>
                <w:fitText w:val="10" w:id="-894171646"/>
                <w14:textFill>
                  <w14:solidFill>
                    <w14:srgbClr w14:val="000000">
                      <w14:alpha w14:val="100000"/>
                    </w14:srgbClr>
                  </w14:solidFill>
                </w14:textFill>
              </w:rPr>
              <w:t>|</w:t>
            </w:r>
            <w:r>
              <w:rPr>
                <w:color w:val="000000"/>
                <w:spacing w:val="-56"/>
                <w:w w:val="15"/>
                <w:fitText w:val="10" w:id="-894171646"/>
                <w14:textFill>
                  <w14:solidFill>
                    <w14:srgbClr w14:val="000000">
                      <w14:alpha w14:val="100000"/>
                    </w14:srgbClr>
                  </w14:solidFill>
                </w14:textFill>
              </w:rPr>
              <w:t xml:space="preserve">　</w:t>
            </w:r>
          </w:p>
        </w:tc>
        <w:tc>
          <w:tcPr>
            <w:tcW w:w="637" w:type="pct"/>
          </w:tcPr>
          <w:p w14:paraId="058D55B6" w14:textId="77777777" w:rsidR="00670F7F" w:rsidRPr="00DF0226" w:rsidRDefault="00670F7F" w:rsidP="00B254FA">
            <w:pPr>
              <w:pStyle w:val="COMTabletext"/>
              <w:keepNext w:val="0"/>
              <w:jc w:val="center"/>
            </w:pPr>
            <w:r w:rsidRPr="00DF0226">
              <w:t>3.3902</w:t>
            </w:r>
          </w:p>
        </w:tc>
        <w:tc>
          <w:tcPr>
            <w:tcW w:w="598" w:type="pct"/>
          </w:tcPr>
          <w:p w14:paraId="1A1DEA68" w14:textId="2DF8B8E2" w:rsidR="00670F7F" w:rsidRPr="00327E8F" w:rsidRDefault="00AF1BA2" w:rsidP="00B254FA">
            <w:pPr>
              <w:pStyle w:val="COMTabletext"/>
              <w:keepNext w:val="0"/>
              <w:jc w:val="center"/>
              <w:rPr>
                <w:highlight w:val="lightGray"/>
              </w:rPr>
            </w:pPr>
            <w:r w:rsidRPr="00C64633">
              <w:rPr>
                <w:rFonts w:hint="eastAsia"/>
                <w:color w:val="000000"/>
                <w:w w:val="15"/>
                <w:shd w:val="solid" w:color="000000" w:fill="000000"/>
                <w:fitText w:val="70" w:id="-894171645"/>
                <w14:textFill>
                  <w14:solidFill>
                    <w14:srgbClr w14:val="000000">
                      <w14:alpha w14:val="100000"/>
                    </w14:srgbClr>
                  </w14:solidFill>
                </w14:textFill>
              </w:rPr>
              <w:t xml:space="preserve">　</w:t>
            </w:r>
            <w:r w:rsidRPr="00C64633">
              <w:rPr>
                <w:color w:val="000000"/>
                <w:w w:val="15"/>
                <w:shd w:val="solid" w:color="000000" w:fill="000000"/>
                <w:fitText w:val="70" w:id="-894171645"/>
                <w14:textFill>
                  <w14:solidFill>
                    <w14:srgbClr w14:val="000000">
                      <w14:alpha w14:val="100000"/>
                    </w14:srgbClr>
                  </w14:solidFill>
                </w14:textFill>
              </w:rPr>
              <w:t>|</w:t>
            </w:r>
            <w:r w:rsidRPr="00C64633">
              <w:rPr>
                <w:rFonts w:hint="eastAsia"/>
                <w:color w:val="000000"/>
                <w:w w:val="15"/>
                <w:shd w:val="solid" w:color="000000" w:fill="000000"/>
                <w:fitText w:val="70" w:id="-894171645"/>
                <w14:textFill>
                  <w14:solidFill>
                    <w14:srgbClr w14:val="000000">
                      <w14:alpha w14:val="100000"/>
                    </w14:srgbClr>
                  </w14:solidFill>
                </w14:textFill>
              </w:rPr>
              <w:t xml:space="preserve">　</w:t>
            </w:r>
            <w:r w:rsidR="0099676C" w:rsidRPr="005C269B">
              <w:rPr>
                <w:vertAlign w:val="superscript"/>
              </w:rPr>
              <w:t>1</w:t>
            </w:r>
          </w:p>
        </w:tc>
        <w:tc>
          <w:tcPr>
            <w:tcW w:w="507" w:type="pct"/>
          </w:tcPr>
          <w:p w14:paraId="08B64F9B" w14:textId="5E18853B" w:rsidR="00670F7F" w:rsidRPr="00DF0226" w:rsidRDefault="00670F7F" w:rsidP="00B254FA">
            <w:pPr>
              <w:pStyle w:val="COMTabletext"/>
              <w:keepNext w:val="0"/>
              <w:jc w:val="center"/>
            </w:pPr>
            <w:r w:rsidRPr="00DF0226">
              <w:t>-</w:t>
            </w:r>
            <w:r w:rsidR="00AF1BA2" w:rsidRPr="00C64633">
              <w:rPr>
                <w:color w:val="000000"/>
                <w:spacing w:val="46"/>
                <w:shd w:val="solid" w:color="000000" w:fill="000000"/>
                <w:fitText w:val="220" w:id="-894171644"/>
                <w14:textFill>
                  <w14:solidFill>
                    <w14:srgbClr w14:val="000000">
                      <w14:alpha w14:val="100000"/>
                    </w14:srgbClr>
                  </w14:solidFill>
                </w14:textFill>
              </w:rPr>
              <w:t>||</w:t>
            </w:r>
            <w:r w:rsidR="00AF1BA2" w:rsidRPr="00C64633">
              <w:rPr>
                <w:color w:val="000000"/>
                <w:spacing w:val="1"/>
                <w:shd w:val="solid" w:color="000000" w:fill="000000"/>
                <w:fitText w:val="220" w:id="-894171644"/>
                <w14:textFill>
                  <w14:solidFill>
                    <w14:srgbClr w14:val="000000">
                      <w14:alpha w14:val="100000"/>
                    </w14:srgbClr>
                  </w14:solidFill>
                </w14:textFill>
              </w:rPr>
              <w:t>|</w:t>
            </w:r>
            <w:r w:rsidRPr="00DF0226">
              <w:t>%</w:t>
            </w:r>
          </w:p>
        </w:tc>
      </w:tr>
      <w:tr w:rsidR="00670F7F" w:rsidRPr="00DF0226" w14:paraId="06AAE55D" w14:textId="77777777" w:rsidTr="1797D1E5">
        <w:trPr>
          <w:cantSplit/>
        </w:trPr>
        <w:tc>
          <w:tcPr>
            <w:tcW w:w="2644" w:type="pct"/>
          </w:tcPr>
          <w:p w14:paraId="2EB75B5B" w14:textId="77777777" w:rsidR="00670F7F" w:rsidRPr="00DF0226" w:rsidRDefault="00670F7F" w:rsidP="00B254FA">
            <w:pPr>
              <w:pStyle w:val="COMTabletext"/>
              <w:keepNext w:val="0"/>
            </w:pPr>
            <w:r w:rsidRPr="00DF0226">
              <w:t>First year post ASCT 0.40</w:t>
            </w:r>
          </w:p>
        </w:tc>
        <w:tc>
          <w:tcPr>
            <w:tcW w:w="614" w:type="pct"/>
            <w:tcBorders>
              <w:bottom w:val="single" w:sz="4" w:space="0" w:color="auto"/>
            </w:tcBorders>
            <w:shd w:val="clear" w:color="auto" w:fill="000000" w:themeFill="text1"/>
          </w:tcPr>
          <w:p w14:paraId="4B386FA6" w14:textId="034F81E4" w:rsidR="00670F7F" w:rsidRPr="00327E8F" w:rsidRDefault="00AF1BA2" w:rsidP="00B254FA">
            <w:pPr>
              <w:pStyle w:val="COMTabletext"/>
              <w:keepNext w:val="0"/>
              <w:jc w:val="center"/>
              <w:rPr>
                <w:highlight w:val="lightGray"/>
              </w:rPr>
            </w:pPr>
            <w:r>
              <w:rPr>
                <w:color w:val="000000"/>
                <w:w w:val="15"/>
                <w:fitText w:val="10" w:id="-894171643"/>
                <w14:textFill>
                  <w14:solidFill>
                    <w14:srgbClr w14:val="000000">
                      <w14:alpha w14:val="100000"/>
                    </w14:srgbClr>
                  </w14:solidFill>
                </w14:textFill>
              </w:rPr>
              <w:t xml:space="preserve">　</w:t>
            </w:r>
            <w:r>
              <w:rPr>
                <w:color w:val="000000"/>
                <w:w w:val="15"/>
                <w:fitText w:val="10" w:id="-894171643"/>
                <w14:textFill>
                  <w14:solidFill>
                    <w14:srgbClr w14:val="000000">
                      <w14:alpha w14:val="100000"/>
                    </w14:srgbClr>
                  </w14:solidFill>
                </w14:textFill>
              </w:rPr>
              <w:t>|</w:t>
            </w:r>
            <w:r>
              <w:rPr>
                <w:color w:val="000000"/>
                <w:spacing w:val="-56"/>
                <w:w w:val="15"/>
                <w:fitText w:val="10" w:id="-894171643"/>
                <w14:textFill>
                  <w14:solidFill>
                    <w14:srgbClr w14:val="000000">
                      <w14:alpha w14:val="100000"/>
                    </w14:srgbClr>
                  </w14:solidFill>
                </w14:textFill>
              </w:rPr>
              <w:t xml:space="preserve">　</w:t>
            </w:r>
          </w:p>
        </w:tc>
        <w:tc>
          <w:tcPr>
            <w:tcW w:w="637" w:type="pct"/>
          </w:tcPr>
          <w:p w14:paraId="4F2018FB" w14:textId="77777777" w:rsidR="00670F7F" w:rsidRPr="00DF0226" w:rsidRDefault="00670F7F" w:rsidP="00B254FA">
            <w:pPr>
              <w:pStyle w:val="COMTabletext"/>
              <w:keepNext w:val="0"/>
              <w:jc w:val="center"/>
            </w:pPr>
            <w:r w:rsidRPr="00DF0226">
              <w:t>3.3606</w:t>
            </w:r>
          </w:p>
        </w:tc>
        <w:tc>
          <w:tcPr>
            <w:tcW w:w="598" w:type="pct"/>
          </w:tcPr>
          <w:p w14:paraId="1D6B41AF" w14:textId="7B8692E3" w:rsidR="00670F7F" w:rsidRPr="00327E8F" w:rsidRDefault="00AF1BA2" w:rsidP="00B254FA">
            <w:pPr>
              <w:pStyle w:val="COMTabletext"/>
              <w:keepNext w:val="0"/>
              <w:jc w:val="center"/>
              <w:rPr>
                <w:highlight w:val="lightGray"/>
              </w:rPr>
            </w:pPr>
            <w:r w:rsidRPr="00C64633">
              <w:rPr>
                <w:rFonts w:hint="eastAsia"/>
                <w:color w:val="000000"/>
                <w:w w:val="15"/>
                <w:shd w:val="solid" w:color="000000" w:fill="000000"/>
                <w:fitText w:val="70" w:id="-894171642"/>
                <w14:textFill>
                  <w14:solidFill>
                    <w14:srgbClr w14:val="000000">
                      <w14:alpha w14:val="100000"/>
                    </w14:srgbClr>
                  </w14:solidFill>
                </w14:textFill>
              </w:rPr>
              <w:t xml:space="preserve">　</w:t>
            </w:r>
            <w:r w:rsidRPr="00C64633">
              <w:rPr>
                <w:color w:val="000000"/>
                <w:w w:val="15"/>
                <w:shd w:val="solid" w:color="000000" w:fill="000000"/>
                <w:fitText w:val="70" w:id="-894171642"/>
                <w14:textFill>
                  <w14:solidFill>
                    <w14:srgbClr w14:val="000000">
                      <w14:alpha w14:val="100000"/>
                    </w14:srgbClr>
                  </w14:solidFill>
                </w14:textFill>
              </w:rPr>
              <w:t>|</w:t>
            </w:r>
            <w:r w:rsidRPr="00C64633">
              <w:rPr>
                <w:rFonts w:hint="eastAsia"/>
                <w:color w:val="000000"/>
                <w:w w:val="15"/>
                <w:shd w:val="solid" w:color="000000" w:fill="000000"/>
                <w:fitText w:val="70" w:id="-894171642"/>
                <w14:textFill>
                  <w14:solidFill>
                    <w14:srgbClr w14:val="000000">
                      <w14:alpha w14:val="100000"/>
                    </w14:srgbClr>
                  </w14:solidFill>
                </w14:textFill>
              </w:rPr>
              <w:t xml:space="preserve">　</w:t>
            </w:r>
            <w:r w:rsidR="001A19A3" w:rsidRPr="00327E8F">
              <w:rPr>
                <w:vertAlign w:val="superscript"/>
              </w:rPr>
              <w:t>1</w:t>
            </w:r>
          </w:p>
        </w:tc>
        <w:tc>
          <w:tcPr>
            <w:tcW w:w="507" w:type="pct"/>
          </w:tcPr>
          <w:p w14:paraId="36C38AA6" w14:textId="2F76D959" w:rsidR="00670F7F" w:rsidRPr="00DF0226" w:rsidRDefault="00AF1BA2" w:rsidP="00B254FA">
            <w:pPr>
              <w:pStyle w:val="COMTabletext"/>
              <w:keepNext w:val="0"/>
              <w:jc w:val="center"/>
            </w:pPr>
            <w:r w:rsidRPr="00C64633">
              <w:rPr>
                <w:color w:val="000000"/>
                <w:spacing w:val="94"/>
                <w:shd w:val="solid" w:color="000000" w:fill="000000"/>
                <w:fitText w:val="180" w:id="-894171641"/>
                <w14:textFill>
                  <w14:solidFill>
                    <w14:srgbClr w14:val="000000">
                      <w14:alpha w14:val="100000"/>
                    </w14:srgbClr>
                  </w14:solidFill>
                </w14:textFill>
              </w:rPr>
              <w:t>|</w:t>
            </w:r>
            <w:r w:rsidRPr="00C64633">
              <w:rPr>
                <w:color w:val="000000"/>
                <w:shd w:val="solid" w:color="000000" w:fill="000000"/>
                <w:fitText w:val="180" w:id="-894171641"/>
                <w14:textFill>
                  <w14:solidFill>
                    <w14:srgbClr w14:val="000000">
                      <w14:alpha w14:val="100000"/>
                    </w14:srgbClr>
                  </w14:solidFill>
                </w14:textFill>
              </w:rPr>
              <w:t>|</w:t>
            </w:r>
            <w:r w:rsidR="00670F7F" w:rsidRPr="00DF0226">
              <w:t>%</w:t>
            </w:r>
          </w:p>
        </w:tc>
      </w:tr>
      <w:tr w:rsidR="00670F7F" w:rsidRPr="00DF0226" w14:paraId="2391EADC" w14:textId="77777777" w:rsidTr="1797D1E5">
        <w:trPr>
          <w:cantSplit/>
        </w:trPr>
        <w:tc>
          <w:tcPr>
            <w:tcW w:w="2644" w:type="pct"/>
          </w:tcPr>
          <w:p w14:paraId="652DD934" w14:textId="77777777" w:rsidR="00670F7F" w:rsidRPr="00DF0226" w:rsidRDefault="00670F7F" w:rsidP="00B254FA">
            <w:pPr>
              <w:pStyle w:val="COMTabletext"/>
              <w:keepNext w:val="0"/>
            </w:pPr>
            <w:r w:rsidRPr="00DF0226">
              <w:t>First year post ASCT 0.20</w:t>
            </w:r>
          </w:p>
        </w:tc>
        <w:tc>
          <w:tcPr>
            <w:tcW w:w="614" w:type="pct"/>
            <w:shd w:val="clear" w:color="auto" w:fill="000000" w:themeFill="text1"/>
          </w:tcPr>
          <w:p w14:paraId="2AF2977A" w14:textId="42348577" w:rsidR="00670F7F" w:rsidRPr="00327E8F" w:rsidRDefault="00AF1BA2" w:rsidP="00B254FA">
            <w:pPr>
              <w:pStyle w:val="COMTabletext"/>
              <w:keepNext w:val="0"/>
              <w:jc w:val="center"/>
              <w:rPr>
                <w:highlight w:val="lightGray"/>
              </w:rPr>
            </w:pPr>
            <w:r>
              <w:rPr>
                <w:color w:val="000000"/>
                <w:w w:val="15"/>
                <w:fitText w:val="10" w:id="-894171640"/>
                <w14:textFill>
                  <w14:solidFill>
                    <w14:srgbClr w14:val="000000">
                      <w14:alpha w14:val="100000"/>
                    </w14:srgbClr>
                  </w14:solidFill>
                </w14:textFill>
              </w:rPr>
              <w:t xml:space="preserve">　</w:t>
            </w:r>
            <w:r>
              <w:rPr>
                <w:color w:val="000000"/>
                <w:w w:val="15"/>
                <w:fitText w:val="10" w:id="-894171640"/>
                <w14:textFill>
                  <w14:solidFill>
                    <w14:srgbClr w14:val="000000">
                      <w14:alpha w14:val="100000"/>
                    </w14:srgbClr>
                  </w14:solidFill>
                </w14:textFill>
              </w:rPr>
              <w:t>|</w:t>
            </w:r>
            <w:r>
              <w:rPr>
                <w:color w:val="000000"/>
                <w:spacing w:val="-56"/>
                <w:w w:val="15"/>
                <w:fitText w:val="10" w:id="-894171640"/>
                <w14:textFill>
                  <w14:solidFill>
                    <w14:srgbClr w14:val="000000">
                      <w14:alpha w14:val="100000"/>
                    </w14:srgbClr>
                  </w14:solidFill>
                </w14:textFill>
              </w:rPr>
              <w:t xml:space="preserve">　</w:t>
            </w:r>
          </w:p>
        </w:tc>
        <w:tc>
          <w:tcPr>
            <w:tcW w:w="637" w:type="pct"/>
          </w:tcPr>
          <w:p w14:paraId="37A9F944" w14:textId="77777777" w:rsidR="00670F7F" w:rsidRPr="00DF0226" w:rsidRDefault="00670F7F" w:rsidP="00B254FA">
            <w:pPr>
              <w:pStyle w:val="COMTabletext"/>
              <w:keepNext w:val="0"/>
              <w:jc w:val="center"/>
            </w:pPr>
            <w:r w:rsidRPr="00DF0226">
              <w:t>3.3587</w:t>
            </w:r>
          </w:p>
        </w:tc>
        <w:tc>
          <w:tcPr>
            <w:tcW w:w="598" w:type="pct"/>
          </w:tcPr>
          <w:p w14:paraId="0ECC664B" w14:textId="3B0DBEFC" w:rsidR="00670F7F" w:rsidRPr="00327E8F" w:rsidRDefault="00AF1BA2" w:rsidP="00B254FA">
            <w:pPr>
              <w:pStyle w:val="COMTabletext"/>
              <w:keepNext w:val="0"/>
              <w:jc w:val="center"/>
              <w:rPr>
                <w:highlight w:val="lightGray"/>
              </w:rPr>
            </w:pPr>
            <w:r w:rsidRPr="00C64633">
              <w:rPr>
                <w:rFonts w:hint="eastAsia"/>
                <w:color w:val="000000"/>
                <w:w w:val="15"/>
                <w:shd w:val="solid" w:color="000000" w:fill="000000"/>
                <w:fitText w:val="70" w:id="-894171639"/>
                <w14:textFill>
                  <w14:solidFill>
                    <w14:srgbClr w14:val="000000">
                      <w14:alpha w14:val="100000"/>
                    </w14:srgbClr>
                  </w14:solidFill>
                </w14:textFill>
              </w:rPr>
              <w:t xml:space="preserve">　</w:t>
            </w:r>
            <w:r w:rsidRPr="00C64633">
              <w:rPr>
                <w:color w:val="000000"/>
                <w:w w:val="15"/>
                <w:shd w:val="solid" w:color="000000" w:fill="000000"/>
                <w:fitText w:val="70" w:id="-894171639"/>
                <w14:textFill>
                  <w14:solidFill>
                    <w14:srgbClr w14:val="000000">
                      <w14:alpha w14:val="100000"/>
                    </w14:srgbClr>
                  </w14:solidFill>
                </w14:textFill>
              </w:rPr>
              <w:t>|</w:t>
            </w:r>
            <w:r w:rsidRPr="00C64633">
              <w:rPr>
                <w:rFonts w:hint="eastAsia"/>
                <w:color w:val="000000"/>
                <w:w w:val="15"/>
                <w:shd w:val="solid" w:color="000000" w:fill="000000"/>
                <w:fitText w:val="70" w:id="-894171639"/>
                <w14:textFill>
                  <w14:solidFill>
                    <w14:srgbClr w14:val="000000">
                      <w14:alpha w14:val="100000"/>
                    </w14:srgbClr>
                  </w14:solidFill>
                </w14:textFill>
              </w:rPr>
              <w:t xml:space="preserve">　</w:t>
            </w:r>
            <w:r w:rsidR="001A19A3" w:rsidRPr="005C269B">
              <w:rPr>
                <w:vertAlign w:val="superscript"/>
              </w:rPr>
              <w:t>1</w:t>
            </w:r>
          </w:p>
        </w:tc>
        <w:tc>
          <w:tcPr>
            <w:tcW w:w="507" w:type="pct"/>
          </w:tcPr>
          <w:p w14:paraId="527D14C0" w14:textId="1302C8C8" w:rsidR="00670F7F" w:rsidRPr="00DF0226" w:rsidRDefault="00AF1BA2" w:rsidP="00B254FA">
            <w:pPr>
              <w:pStyle w:val="COMTabletext"/>
              <w:keepNext w:val="0"/>
              <w:jc w:val="center"/>
            </w:pPr>
            <w:r w:rsidRPr="00C64633">
              <w:rPr>
                <w:color w:val="000000"/>
                <w:spacing w:val="94"/>
                <w:shd w:val="solid" w:color="000000" w:fill="000000"/>
                <w:fitText w:val="180" w:id="-894171638"/>
                <w14:textFill>
                  <w14:solidFill>
                    <w14:srgbClr w14:val="000000">
                      <w14:alpha w14:val="100000"/>
                    </w14:srgbClr>
                  </w14:solidFill>
                </w14:textFill>
              </w:rPr>
              <w:t>|</w:t>
            </w:r>
            <w:r w:rsidRPr="00C64633">
              <w:rPr>
                <w:color w:val="000000"/>
                <w:shd w:val="solid" w:color="000000" w:fill="000000"/>
                <w:fitText w:val="180" w:id="-894171638"/>
                <w14:textFill>
                  <w14:solidFill>
                    <w14:srgbClr w14:val="000000">
                      <w14:alpha w14:val="100000"/>
                    </w14:srgbClr>
                  </w14:solidFill>
                </w14:textFill>
              </w:rPr>
              <w:t>|</w:t>
            </w:r>
            <w:r w:rsidR="00670F7F" w:rsidRPr="00DF0226">
              <w:t>%</w:t>
            </w:r>
          </w:p>
        </w:tc>
      </w:tr>
      <w:tr w:rsidR="00670F7F" w:rsidRPr="00DF0226" w14:paraId="01BDD8D5" w14:textId="77777777" w:rsidTr="1797D1E5">
        <w:trPr>
          <w:cantSplit/>
        </w:trPr>
        <w:tc>
          <w:tcPr>
            <w:tcW w:w="5000" w:type="pct"/>
            <w:gridSpan w:val="5"/>
          </w:tcPr>
          <w:p w14:paraId="2FEBBCFC" w14:textId="1373987F" w:rsidR="00670F7F" w:rsidRPr="00DF0226" w:rsidRDefault="00670F7F" w:rsidP="0020672F">
            <w:pPr>
              <w:pStyle w:val="COMTableheadingrow"/>
            </w:pPr>
            <w:r w:rsidRPr="00DF0226">
              <w:t>Blinatumomab consolidation treatment costs (base case $</w:t>
            </w:r>
            <w:r w:rsidR="00AF1BA2" w:rsidRPr="00C64633">
              <w:rPr>
                <w:color w:val="000000"/>
                <w:spacing w:val="55"/>
                <w:shd w:val="solid" w:color="000000" w:fill="000000"/>
                <w:fitText w:val="350" w:id="-894171637"/>
                <w14:textFill>
                  <w14:solidFill>
                    <w14:srgbClr w14:val="000000">
                      <w14:alpha w14:val="100000"/>
                    </w14:srgbClr>
                  </w14:solidFill>
                </w14:textFill>
              </w:rPr>
              <w:t>|||</w:t>
            </w:r>
            <w:r w:rsidR="00AF1BA2" w:rsidRPr="00C64633">
              <w:rPr>
                <w:color w:val="000000"/>
                <w:spacing w:val="2"/>
                <w:shd w:val="solid" w:color="000000" w:fill="000000"/>
                <w:fitText w:val="350" w:id="-894171637"/>
                <w14:textFill>
                  <w14:solidFill>
                    <w14:srgbClr w14:val="000000">
                      <w14:alpha w14:val="100000"/>
                    </w14:srgbClr>
                  </w14:solidFill>
                </w14:textFill>
              </w:rPr>
              <w:t>|</w:t>
            </w:r>
            <w:r w:rsidR="00862762">
              <w:t xml:space="preserve"> b</w:t>
            </w:r>
            <w:r w:rsidRPr="00DF0226">
              <w:t>ased on 82.6 treatment days including drug costs, hospitalisation, bag changes and infusion pump costs)</w:t>
            </w:r>
          </w:p>
        </w:tc>
      </w:tr>
      <w:tr w:rsidR="00670F7F" w:rsidRPr="00DF0226" w14:paraId="0054DF3C" w14:textId="77777777" w:rsidTr="1797D1E5">
        <w:trPr>
          <w:cantSplit/>
        </w:trPr>
        <w:tc>
          <w:tcPr>
            <w:tcW w:w="2644" w:type="pct"/>
          </w:tcPr>
          <w:p w14:paraId="6B340937" w14:textId="77777777" w:rsidR="00670F7F" w:rsidRPr="00DF0226" w:rsidRDefault="00670F7F" w:rsidP="00B254FA">
            <w:pPr>
              <w:pStyle w:val="COMTabletext"/>
              <w:keepNext w:val="0"/>
              <w:rPr>
                <w:vertAlign w:val="superscript"/>
              </w:rPr>
            </w:pPr>
            <w:r w:rsidRPr="00DF0226">
              <w:t xml:space="preserve">101 treatment days (assumed based on treatment protocol) </w:t>
            </w:r>
            <w:r w:rsidRPr="00DF0226">
              <w:rPr>
                <w:vertAlign w:val="superscript"/>
              </w:rPr>
              <w:t>a</w:t>
            </w:r>
          </w:p>
        </w:tc>
        <w:tc>
          <w:tcPr>
            <w:tcW w:w="614" w:type="pct"/>
            <w:tcBorders>
              <w:bottom w:val="single" w:sz="4" w:space="0" w:color="auto"/>
            </w:tcBorders>
            <w:shd w:val="clear" w:color="auto" w:fill="000000" w:themeFill="text1"/>
            <w:vAlign w:val="center"/>
          </w:tcPr>
          <w:p w14:paraId="465278C5" w14:textId="56C1EA31" w:rsidR="00670F7F" w:rsidRPr="00327E8F" w:rsidRDefault="00AF1BA2" w:rsidP="00B254FA">
            <w:pPr>
              <w:pStyle w:val="COMTabletext"/>
              <w:keepNext w:val="0"/>
              <w:jc w:val="center"/>
              <w:rPr>
                <w:highlight w:val="lightGray"/>
              </w:rPr>
            </w:pPr>
            <w:r>
              <w:rPr>
                <w:color w:val="000000"/>
                <w:w w:val="15"/>
                <w:fitText w:val="10" w:id="-894171636"/>
                <w14:textFill>
                  <w14:solidFill>
                    <w14:srgbClr w14:val="000000">
                      <w14:alpha w14:val="100000"/>
                    </w14:srgbClr>
                  </w14:solidFill>
                </w14:textFill>
              </w:rPr>
              <w:t xml:space="preserve">　</w:t>
            </w:r>
            <w:r>
              <w:rPr>
                <w:color w:val="000000"/>
                <w:w w:val="15"/>
                <w:fitText w:val="10" w:id="-894171636"/>
                <w14:textFill>
                  <w14:solidFill>
                    <w14:srgbClr w14:val="000000">
                      <w14:alpha w14:val="100000"/>
                    </w14:srgbClr>
                  </w14:solidFill>
                </w14:textFill>
              </w:rPr>
              <w:t>|</w:t>
            </w:r>
            <w:r>
              <w:rPr>
                <w:color w:val="000000"/>
                <w:spacing w:val="-56"/>
                <w:w w:val="15"/>
                <w:fitText w:val="10" w:id="-894171636"/>
                <w14:textFill>
                  <w14:solidFill>
                    <w14:srgbClr w14:val="000000">
                      <w14:alpha w14:val="100000"/>
                    </w14:srgbClr>
                  </w14:solidFill>
                </w14:textFill>
              </w:rPr>
              <w:t xml:space="preserve">　</w:t>
            </w:r>
          </w:p>
        </w:tc>
        <w:tc>
          <w:tcPr>
            <w:tcW w:w="637" w:type="pct"/>
            <w:vAlign w:val="center"/>
          </w:tcPr>
          <w:p w14:paraId="64EFFCCC" w14:textId="77777777" w:rsidR="00670F7F" w:rsidRPr="00DF0226" w:rsidRDefault="00670F7F" w:rsidP="00B254FA">
            <w:pPr>
              <w:pStyle w:val="COMTabletext"/>
              <w:keepNext w:val="0"/>
              <w:jc w:val="center"/>
            </w:pPr>
            <w:r w:rsidRPr="00DF0226">
              <w:t>3.3595</w:t>
            </w:r>
          </w:p>
        </w:tc>
        <w:tc>
          <w:tcPr>
            <w:tcW w:w="598" w:type="pct"/>
            <w:vAlign w:val="center"/>
          </w:tcPr>
          <w:p w14:paraId="65C21924" w14:textId="6273418F" w:rsidR="00670F7F" w:rsidRPr="00327E8F" w:rsidRDefault="00AF1BA2" w:rsidP="00B254FA">
            <w:pPr>
              <w:pStyle w:val="COMTabletext"/>
              <w:keepNext w:val="0"/>
              <w:jc w:val="center"/>
              <w:rPr>
                <w:highlight w:val="lightGray"/>
              </w:rPr>
            </w:pPr>
            <w:r w:rsidRPr="00C64633">
              <w:rPr>
                <w:rFonts w:hint="eastAsia"/>
                <w:color w:val="000000"/>
                <w:w w:val="15"/>
                <w:shd w:val="solid" w:color="000000" w:fill="000000"/>
                <w:fitText w:val="70" w:id="-894171635"/>
                <w14:textFill>
                  <w14:solidFill>
                    <w14:srgbClr w14:val="000000">
                      <w14:alpha w14:val="100000"/>
                    </w14:srgbClr>
                  </w14:solidFill>
                </w14:textFill>
              </w:rPr>
              <w:t xml:space="preserve">　</w:t>
            </w:r>
            <w:r w:rsidRPr="00C64633">
              <w:rPr>
                <w:color w:val="000000"/>
                <w:w w:val="15"/>
                <w:shd w:val="solid" w:color="000000" w:fill="000000"/>
                <w:fitText w:val="70" w:id="-894171635"/>
                <w14:textFill>
                  <w14:solidFill>
                    <w14:srgbClr w14:val="000000">
                      <w14:alpha w14:val="100000"/>
                    </w14:srgbClr>
                  </w14:solidFill>
                </w14:textFill>
              </w:rPr>
              <w:t>|</w:t>
            </w:r>
            <w:r w:rsidRPr="00C64633">
              <w:rPr>
                <w:rFonts w:hint="eastAsia"/>
                <w:color w:val="000000"/>
                <w:w w:val="15"/>
                <w:shd w:val="solid" w:color="000000" w:fill="000000"/>
                <w:fitText w:val="70" w:id="-894171635"/>
                <w14:textFill>
                  <w14:solidFill>
                    <w14:srgbClr w14:val="000000">
                      <w14:alpha w14:val="100000"/>
                    </w14:srgbClr>
                  </w14:solidFill>
                </w14:textFill>
              </w:rPr>
              <w:t xml:space="preserve">　</w:t>
            </w:r>
            <w:r w:rsidR="00307527" w:rsidRPr="005C269B">
              <w:rPr>
                <w:vertAlign w:val="superscript"/>
              </w:rPr>
              <w:t>6</w:t>
            </w:r>
          </w:p>
        </w:tc>
        <w:tc>
          <w:tcPr>
            <w:tcW w:w="507" w:type="pct"/>
            <w:vAlign w:val="center"/>
          </w:tcPr>
          <w:p w14:paraId="624B5DA8" w14:textId="457518B2" w:rsidR="00670F7F" w:rsidRPr="00DF0226" w:rsidRDefault="00353D9C" w:rsidP="00B254FA">
            <w:pPr>
              <w:pStyle w:val="COMTabletext"/>
              <w:keepNext w:val="0"/>
              <w:jc w:val="center"/>
            </w:pPr>
            <w:r w:rsidRPr="00DF0226">
              <w:t>+</w:t>
            </w:r>
            <w:r w:rsidR="00AF1BA2" w:rsidRPr="00C64633">
              <w:rPr>
                <w:color w:val="000000"/>
                <w:spacing w:val="154"/>
                <w:shd w:val="solid" w:color="000000" w:fill="000000"/>
                <w:fitText w:val="240" w:id="-894171634"/>
                <w14:textFill>
                  <w14:solidFill>
                    <w14:srgbClr w14:val="000000">
                      <w14:alpha w14:val="100000"/>
                    </w14:srgbClr>
                  </w14:solidFill>
                </w14:textFill>
              </w:rPr>
              <w:t>|</w:t>
            </w:r>
            <w:r w:rsidR="00AF1BA2" w:rsidRPr="00C64633">
              <w:rPr>
                <w:color w:val="000000"/>
                <w:shd w:val="solid" w:color="000000" w:fill="000000"/>
                <w:fitText w:val="240" w:id="-894171634"/>
                <w14:textFill>
                  <w14:solidFill>
                    <w14:srgbClr w14:val="000000">
                      <w14:alpha w14:val="100000"/>
                    </w14:srgbClr>
                  </w14:solidFill>
                </w14:textFill>
              </w:rPr>
              <w:t>|</w:t>
            </w:r>
            <w:r w:rsidR="00670F7F" w:rsidRPr="00DF0226">
              <w:t>%</w:t>
            </w:r>
          </w:p>
        </w:tc>
      </w:tr>
      <w:tr w:rsidR="00670F7F" w:rsidRPr="00DF0226" w14:paraId="46FBF582" w14:textId="77777777" w:rsidTr="1797D1E5">
        <w:trPr>
          <w:cantSplit/>
        </w:trPr>
        <w:tc>
          <w:tcPr>
            <w:tcW w:w="2644" w:type="pct"/>
          </w:tcPr>
          <w:p w14:paraId="5304B52C" w14:textId="77777777" w:rsidR="00670F7F" w:rsidRPr="00DF0226" w:rsidRDefault="00670F7F" w:rsidP="00B254FA">
            <w:pPr>
              <w:pStyle w:val="COMTabletext"/>
              <w:keepNext w:val="0"/>
            </w:pPr>
            <w:r w:rsidRPr="00DF0226">
              <w:t>75.03 treatment days (excluding wastage, based on mean volume of blinatumomab received)</w:t>
            </w:r>
          </w:p>
        </w:tc>
        <w:tc>
          <w:tcPr>
            <w:tcW w:w="614" w:type="pct"/>
            <w:tcBorders>
              <w:bottom w:val="single" w:sz="4" w:space="0" w:color="auto"/>
            </w:tcBorders>
            <w:shd w:val="clear" w:color="auto" w:fill="000000" w:themeFill="text1"/>
            <w:vAlign w:val="center"/>
          </w:tcPr>
          <w:p w14:paraId="76A7318C" w14:textId="237243C3" w:rsidR="00670F7F" w:rsidRPr="00327E8F" w:rsidRDefault="00AF1BA2" w:rsidP="00B254FA">
            <w:pPr>
              <w:pStyle w:val="COMTabletext"/>
              <w:keepNext w:val="0"/>
              <w:jc w:val="center"/>
              <w:rPr>
                <w:highlight w:val="lightGray"/>
              </w:rPr>
            </w:pPr>
            <w:r>
              <w:rPr>
                <w:color w:val="000000"/>
                <w:w w:val="15"/>
                <w:fitText w:val="10" w:id="-894171633"/>
                <w14:textFill>
                  <w14:solidFill>
                    <w14:srgbClr w14:val="000000">
                      <w14:alpha w14:val="100000"/>
                    </w14:srgbClr>
                  </w14:solidFill>
                </w14:textFill>
              </w:rPr>
              <w:t xml:space="preserve">　</w:t>
            </w:r>
            <w:r>
              <w:rPr>
                <w:color w:val="000000"/>
                <w:w w:val="15"/>
                <w:fitText w:val="10" w:id="-894171633"/>
                <w14:textFill>
                  <w14:solidFill>
                    <w14:srgbClr w14:val="000000">
                      <w14:alpha w14:val="100000"/>
                    </w14:srgbClr>
                  </w14:solidFill>
                </w14:textFill>
              </w:rPr>
              <w:t>|</w:t>
            </w:r>
            <w:r>
              <w:rPr>
                <w:color w:val="000000"/>
                <w:spacing w:val="-56"/>
                <w:w w:val="15"/>
                <w:fitText w:val="10" w:id="-894171633"/>
                <w14:textFill>
                  <w14:solidFill>
                    <w14:srgbClr w14:val="000000">
                      <w14:alpha w14:val="100000"/>
                    </w14:srgbClr>
                  </w14:solidFill>
                </w14:textFill>
              </w:rPr>
              <w:t xml:space="preserve">　</w:t>
            </w:r>
          </w:p>
        </w:tc>
        <w:tc>
          <w:tcPr>
            <w:tcW w:w="637" w:type="pct"/>
            <w:vAlign w:val="center"/>
          </w:tcPr>
          <w:p w14:paraId="0724CAEA" w14:textId="77777777" w:rsidR="00670F7F" w:rsidRPr="00DF0226" w:rsidRDefault="00670F7F" w:rsidP="00B254FA">
            <w:pPr>
              <w:pStyle w:val="COMTabletext"/>
              <w:keepNext w:val="0"/>
              <w:jc w:val="center"/>
            </w:pPr>
            <w:r w:rsidRPr="00DF0226">
              <w:t>3.3595</w:t>
            </w:r>
          </w:p>
        </w:tc>
        <w:tc>
          <w:tcPr>
            <w:tcW w:w="598" w:type="pct"/>
            <w:vAlign w:val="center"/>
          </w:tcPr>
          <w:p w14:paraId="29891AA6" w14:textId="476920BA" w:rsidR="00670F7F" w:rsidRPr="00327E8F" w:rsidRDefault="00AF1BA2" w:rsidP="00B254FA">
            <w:pPr>
              <w:pStyle w:val="COMTabletext"/>
              <w:keepNext w:val="0"/>
              <w:jc w:val="center"/>
              <w:rPr>
                <w:highlight w:val="lightGray"/>
              </w:rPr>
            </w:pPr>
            <w:r w:rsidRPr="00C64633">
              <w:rPr>
                <w:rFonts w:hint="eastAsia"/>
                <w:color w:val="000000"/>
                <w:w w:val="15"/>
                <w:shd w:val="solid" w:color="000000" w:fill="000000"/>
                <w:fitText w:val="70" w:id="-894171632"/>
                <w14:textFill>
                  <w14:solidFill>
                    <w14:srgbClr w14:val="000000">
                      <w14:alpha w14:val="100000"/>
                    </w14:srgbClr>
                  </w14:solidFill>
                </w14:textFill>
              </w:rPr>
              <w:t xml:space="preserve">　</w:t>
            </w:r>
            <w:r w:rsidRPr="00C64633">
              <w:rPr>
                <w:color w:val="000000"/>
                <w:w w:val="15"/>
                <w:shd w:val="solid" w:color="000000" w:fill="000000"/>
                <w:fitText w:val="70" w:id="-894171632"/>
                <w14:textFill>
                  <w14:solidFill>
                    <w14:srgbClr w14:val="000000">
                      <w14:alpha w14:val="100000"/>
                    </w14:srgbClr>
                  </w14:solidFill>
                </w14:textFill>
              </w:rPr>
              <w:t>|</w:t>
            </w:r>
            <w:r w:rsidRPr="00C64633">
              <w:rPr>
                <w:rFonts w:hint="eastAsia"/>
                <w:color w:val="000000"/>
                <w:w w:val="15"/>
                <w:shd w:val="solid" w:color="000000" w:fill="000000"/>
                <w:fitText w:val="70" w:id="-894171632"/>
                <w14:textFill>
                  <w14:solidFill>
                    <w14:srgbClr w14:val="000000">
                      <w14:alpha w14:val="100000"/>
                    </w14:srgbClr>
                  </w14:solidFill>
                </w14:textFill>
              </w:rPr>
              <w:t xml:space="preserve">　</w:t>
            </w:r>
            <w:r w:rsidR="005A0C9E" w:rsidRPr="005C269B">
              <w:rPr>
                <w:vertAlign w:val="superscript"/>
              </w:rPr>
              <w:t>3</w:t>
            </w:r>
          </w:p>
        </w:tc>
        <w:tc>
          <w:tcPr>
            <w:tcW w:w="507" w:type="pct"/>
            <w:vAlign w:val="center"/>
          </w:tcPr>
          <w:p w14:paraId="0BD00928" w14:textId="42A80E7E" w:rsidR="00670F7F" w:rsidRPr="00DF0226" w:rsidRDefault="00670F7F" w:rsidP="00B254FA">
            <w:pPr>
              <w:pStyle w:val="COMTabletext"/>
              <w:keepNext w:val="0"/>
              <w:jc w:val="center"/>
            </w:pPr>
            <w:r w:rsidRPr="00DF0226">
              <w:t>-</w:t>
            </w:r>
            <w:r w:rsidR="00AF1BA2" w:rsidRPr="00C64633">
              <w:rPr>
                <w:color w:val="000000"/>
                <w:spacing w:val="46"/>
                <w:shd w:val="solid" w:color="000000" w:fill="000000"/>
                <w:fitText w:val="220" w:id="-894171648"/>
                <w14:textFill>
                  <w14:solidFill>
                    <w14:srgbClr w14:val="000000">
                      <w14:alpha w14:val="100000"/>
                    </w14:srgbClr>
                  </w14:solidFill>
                </w14:textFill>
              </w:rPr>
              <w:t>||</w:t>
            </w:r>
            <w:r w:rsidR="00AF1BA2" w:rsidRPr="00C64633">
              <w:rPr>
                <w:color w:val="000000"/>
                <w:spacing w:val="1"/>
                <w:shd w:val="solid" w:color="000000" w:fill="000000"/>
                <w:fitText w:val="220" w:id="-894171648"/>
                <w14:textFill>
                  <w14:solidFill>
                    <w14:srgbClr w14:val="000000">
                      <w14:alpha w14:val="100000"/>
                    </w14:srgbClr>
                  </w14:solidFill>
                </w14:textFill>
              </w:rPr>
              <w:t>|</w:t>
            </w:r>
            <w:r w:rsidRPr="00DF0226">
              <w:t>%</w:t>
            </w:r>
          </w:p>
        </w:tc>
      </w:tr>
      <w:tr w:rsidR="00670F7F" w:rsidRPr="00DF0226" w14:paraId="218DA43A" w14:textId="77777777" w:rsidTr="1797D1E5">
        <w:trPr>
          <w:cantSplit/>
        </w:trPr>
        <w:tc>
          <w:tcPr>
            <w:tcW w:w="2644" w:type="pct"/>
          </w:tcPr>
          <w:p w14:paraId="4B065BFC" w14:textId="77777777" w:rsidR="00670F7F" w:rsidRPr="00DF0226" w:rsidRDefault="00670F7F" w:rsidP="00B254FA">
            <w:pPr>
              <w:pStyle w:val="COMTabletext"/>
              <w:keepNext w:val="0"/>
            </w:pPr>
            <w:r w:rsidRPr="00DF0226">
              <w:t xml:space="preserve">Hospitalisation cost $6,676 per treatment cycle </w:t>
            </w:r>
            <w:r w:rsidRPr="00DF0226">
              <w:rPr>
                <w:vertAlign w:val="superscript"/>
              </w:rPr>
              <w:t>b</w:t>
            </w:r>
          </w:p>
        </w:tc>
        <w:tc>
          <w:tcPr>
            <w:tcW w:w="614" w:type="pct"/>
            <w:shd w:val="clear" w:color="auto" w:fill="000000" w:themeFill="text1"/>
          </w:tcPr>
          <w:p w14:paraId="4E03B1A1" w14:textId="7CE6F806" w:rsidR="00670F7F" w:rsidRPr="00327E8F" w:rsidRDefault="00AF1BA2" w:rsidP="00B254FA">
            <w:pPr>
              <w:pStyle w:val="COMTabletext"/>
              <w:keepNext w:val="0"/>
              <w:jc w:val="center"/>
              <w:rPr>
                <w:highlight w:val="lightGray"/>
              </w:rPr>
            </w:pPr>
            <w:r>
              <w:rPr>
                <w:color w:val="000000"/>
                <w:w w:val="15"/>
                <w:fitText w:val="10" w:id="-894171647"/>
                <w14:textFill>
                  <w14:solidFill>
                    <w14:srgbClr w14:val="000000">
                      <w14:alpha w14:val="100000"/>
                    </w14:srgbClr>
                  </w14:solidFill>
                </w14:textFill>
              </w:rPr>
              <w:t xml:space="preserve">　</w:t>
            </w:r>
            <w:r>
              <w:rPr>
                <w:color w:val="000000"/>
                <w:w w:val="15"/>
                <w:fitText w:val="10" w:id="-894171647"/>
                <w14:textFill>
                  <w14:solidFill>
                    <w14:srgbClr w14:val="000000">
                      <w14:alpha w14:val="100000"/>
                    </w14:srgbClr>
                  </w14:solidFill>
                </w14:textFill>
              </w:rPr>
              <w:t>|</w:t>
            </w:r>
            <w:r>
              <w:rPr>
                <w:color w:val="000000"/>
                <w:spacing w:val="-56"/>
                <w:w w:val="15"/>
                <w:fitText w:val="10" w:id="-894171647"/>
                <w14:textFill>
                  <w14:solidFill>
                    <w14:srgbClr w14:val="000000">
                      <w14:alpha w14:val="100000"/>
                    </w14:srgbClr>
                  </w14:solidFill>
                </w14:textFill>
              </w:rPr>
              <w:t xml:space="preserve">　</w:t>
            </w:r>
          </w:p>
        </w:tc>
        <w:tc>
          <w:tcPr>
            <w:tcW w:w="637" w:type="pct"/>
          </w:tcPr>
          <w:p w14:paraId="7EC25A95" w14:textId="77777777" w:rsidR="00670F7F" w:rsidRPr="00DF0226" w:rsidRDefault="00670F7F" w:rsidP="00B254FA">
            <w:pPr>
              <w:pStyle w:val="COMTabletext"/>
              <w:keepNext w:val="0"/>
              <w:jc w:val="center"/>
            </w:pPr>
            <w:r w:rsidRPr="00DF0226">
              <w:t>3.3595</w:t>
            </w:r>
          </w:p>
        </w:tc>
        <w:tc>
          <w:tcPr>
            <w:tcW w:w="598" w:type="pct"/>
          </w:tcPr>
          <w:p w14:paraId="0119F1F4" w14:textId="60F4FEB8" w:rsidR="00670F7F" w:rsidRPr="00327E8F" w:rsidRDefault="00AF1BA2" w:rsidP="00B254FA">
            <w:pPr>
              <w:pStyle w:val="COMTabletext"/>
              <w:keepNext w:val="0"/>
              <w:jc w:val="center"/>
              <w:rPr>
                <w:highlight w:val="lightGray"/>
              </w:rPr>
            </w:pPr>
            <w:r w:rsidRPr="00C64633">
              <w:rPr>
                <w:rFonts w:hint="eastAsia"/>
                <w:color w:val="000000"/>
                <w:w w:val="15"/>
                <w:shd w:val="solid" w:color="000000" w:fill="000000"/>
                <w:fitText w:val="70" w:id="-894171646"/>
                <w14:textFill>
                  <w14:solidFill>
                    <w14:srgbClr w14:val="000000">
                      <w14:alpha w14:val="100000"/>
                    </w14:srgbClr>
                  </w14:solidFill>
                </w14:textFill>
              </w:rPr>
              <w:t xml:space="preserve">　</w:t>
            </w:r>
            <w:r w:rsidRPr="00C64633">
              <w:rPr>
                <w:color w:val="000000"/>
                <w:w w:val="15"/>
                <w:shd w:val="solid" w:color="000000" w:fill="000000"/>
                <w:fitText w:val="70" w:id="-894171646"/>
                <w14:textFill>
                  <w14:solidFill>
                    <w14:srgbClr w14:val="000000">
                      <w14:alpha w14:val="100000"/>
                    </w14:srgbClr>
                  </w14:solidFill>
                </w14:textFill>
              </w:rPr>
              <w:t>|</w:t>
            </w:r>
            <w:r w:rsidRPr="00C64633">
              <w:rPr>
                <w:rFonts w:hint="eastAsia"/>
                <w:color w:val="000000"/>
                <w:w w:val="15"/>
                <w:shd w:val="solid" w:color="000000" w:fill="000000"/>
                <w:fitText w:val="70" w:id="-894171646"/>
                <w14:textFill>
                  <w14:solidFill>
                    <w14:srgbClr w14:val="000000">
                      <w14:alpha w14:val="100000"/>
                    </w14:srgbClr>
                  </w14:solidFill>
                </w14:textFill>
              </w:rPr>
              <w:t xml:space="preserve">　</w:t>
            </w:r>
            <w:r w:rsidR="001A19A3" w:rsidRPr="005C269B">
              <w:rPr>
                <w:vertAlign w:val="superscript"/>
              </w:rPr>
              <w:t>1</w:t>
            </w:r>
          </w:p>
        </w:tc>
        <w:tc>
          <w:tcPr>
            <w:tcW w:w="507" w:type="pct"/>
          </w:tcPr>
          <w:p w14:paraId="5B63DFCD" w14:textId="6AADD38D" w:rsidR="00670F7F" w:rsidRPr="00DF0226" w:rsidRDefault="00353D9C" w:rsidP="00B254FA">
            <w:pPr>
              <w:pStyle w:val="COMTabletext"/>
              <w:keepNext w:val="0"/>
              <w:jc w:val="center"/>
            </w:pPr>
            <w:r w:rsidRPr="00DF0226">
              <w:t>+</w:t>
            </w:r>
            <w:r w:rsidR="00AF1BA2" w:rsidRPr="00C64633">
              <w:rPr>
                <w:color w:val="000000"/>
                <w:spacing w:val="154"/>
                <w:shd w:val="solid" w:color="000000" w:fill="000000"/>
                <w:fitText w:val="240" w:id="-894171645"/>
                <w14:textFill>
                  <w14:solidFill>
                    <w14:srgbClr w14:val="000000">
                      <w14:alpha w14:val="100000"/>
                    </w14:srgbClr>
                  </w14:solidFill>
                </w14:textFill>
              </w:rPr>
              <w:t>|</w:t>
            </w:r>
            <w:r w:rsidR="00AF1BA2" w:rsidRPr="00C64633">
              <w:rPr>
                <w:color w:val="000000"/>
                <w:shd w:val="solid" w:color="000000" w:fill="000000"/>
                <w:fitText w:val="240" w:id="-894171645"/>
                <w14:textFill>
                  <w14:solidFill>
                    <w14:srgbClr w14:val="000000">
                      <w14:alpha w14:val="100000"/>
                    </w14:srgbClr>
                  </w14:solidFill>
                </w14:textFill>
              </w:rPr>
              <w:t>|</w:t>
            </w:r>
            <w:r w:rsidR="00670F7F" w:rsidRPr="00DF0226">
              <w:t>%</w:t>
            </w:r>
          </w:p>
        </w:tc>
      </w:tr>
      <w:tr w:rsidR="00670F7F" w:rsidRPr="00DF0226" w14:paraId="6A1FEB7F" w14:textId="77777777" w:rsidTr="1797D1E5">
        <w:trPr>
          <w:cantSplit/>
        </w:trPr>
        <w:tc>
          <w:tcPr>
            <w:tcW w:w="5000" w:type="pct"/>
            <w:gridSpan w:val="5"/>
          </w:tcPr>
          <w:p w14:paraId="5C2A9EEE" w14:textId="2317D8FF" w:rsidR="00670F7F" w:rsidRPr="00DF0226" w:rsidRDefault="00670F7F" w:rsidP="0020672F">
            <w:pPr>
              <w:pStyle w:val="COMTableheadingrow"/>
            </w:pPr>
            <w:r w:rsidRPr="00DF0226">
              <w:lastRenderedPageBreak/>
              <w:t xml:space="preserve">Relapsed/refractory treatment costs (base case weighted cost of </w:t>
            </w:r>
            <w:r w:rsidR="00862762" w:rsidRPr="00DF0226">
              <w:t xml:space="preserve"> $</w:t>
            </w:r>
            <w:r w:rsidR="00862762" w:rsidRPr="00C64633">
              <w:rPr>
                <w:color w:val="000000"/>
                <w:spacing w:val="55"/>
                <w:shd w:val="solid" w:color="000000" w:fill="000000"/>
                <w:fitText w:val="350" w:id="-894171637"/>
                <w14:textFill>
                  <w14:solidFill>
                    <w14:srgbClr w14:val="000000">
                      <w14:alpha w14:val="100000"/>
                    </w14:srgbClr>
                  </w14:solidFill>
                </w14:textFill>
              </w:rPr>
              <w:t>|||</w:t>
            </w:r>
            <w:r w:rsidR="00862762" w:rsidRPr="00C64633">
              <w:rPr>
                <w:color w:val="000000"/>
                <w:spacing w:val="2"/>
                <w:shd w:val="solid" w:color="000000" w:fill="000000"/>
                <w:fitText w:val="350" w:id="-894171637"/>
                <w14:textFill>
                  <w14:solidFill>
                    <w14:srgbClr w14:val="000000">
                      <w14:alpha w14:val="100000"/>
                    </w14:srgbClr>
                  </w14:solidFill>
                </w14:textFill>
              </w:rPr>
              <w:t>|</w:t>
            </w:r>
            <w:r w:rsidR="00862762">
              <w:t xml:space="preserve"> </w:t>
            </w:r>
            <w:r w:rsidRPr="00DF0226">
              <w:t xml:space="preserve">based on costs of blinatumomab, ASCT and chemotherapy, applied to 60% of relapsed events for blinatumomab and 74.4% of relapsed events for SOC during the first 4.5 years of the model) </w:t>
            </w:r>
          </w:p>
        </w:tc>
      </w:tr>
      <w:tr w:rsidR="00670F7F" w:rsidRPr="00DF0226" w14:paraId="3E9C7C3D" w14:textId="77777777" w:rsidTr="1797D1E5">
        <w:trPr>
          <w:cantSplit/>
        </w:trPr>
        <w:tc>
          <w:tcPr>
            <w:tcW w:w="2644" w:type="pct"/>
          </w:tcPr>
          <w:p w14:paraId="659A5B93" w14:textId="31107FAD" w:rsidR="00670F7F" w:rsidRPr="00DF0226" w:rsidRDefault="00670F7F" w:rsidP="00B254FA">
            <w:pPr>
              <w:pStyle w:val="COMTabletext"/>
              <w:keepNext w:val="0"/>
            </w:pPr>
            <w:r w:rsidRPr="00DF0226">
              <w:t>Reduced blinatumomab treatment costs based on 42 treatment days (total drug, hospitalisation, bag change, infusion pump costs of $</w:t>
            </w:r>
            <w:r w:rsidR="00AF1BA2" w:rsidRPr="00C64633">
              <w:rPr>
                <w:color w:val="000000"/>
                <w:spacing w:val="53"/>
                <w:shd w:val="solid" w:color="000000" w:fill="000000"/>
                <w:fitText w:val="330" w:id="-894171644"/>
                <w14:textFill>
                  <w14:solidFill>
                    <w14:srgbClr w14:val="000000">
                      <w14:alpha w14:val="100000"/>
                    </w14:srgbClr>
                  </w14:solidFill>
                </w14:textFill>
              </w:rPr>
              <w:t>|||</w:t>
            </w:r>
            <w:r w:rsidR="00AF1BA2" w:rsidRPr="00C64633">
              <w:rPr>
                <w:color w:val="000000"/>
                <w:spacing w:val="1"/>
                <w:shd w:val="solid" w:color="000000" w:fill="000000"/>
                <w:fitText w:val="330" w:id="-894171644"/>
                <w14:textFill>
                  <w14:solidFill>
                    <w14:srgbClr w14:val="000000">
                      <w14:alpha w14:val="100000"/>
                    </w14:srgbClr>
                  </w14:solidFill>
                </w14:textFill>
              </w:rPr>
              <w:t>|</w:t>
            </w:r>
            <w:r w:rsidRPr="00DF0226">
              <w:t>)</w:t>
            </w:r>
          </w:p>
        </w:tc>
        <w:tc>
          <w:tcPr>
            <w:tcW w:w="614" w:type="pct"/>
            <w:tcBorders>
              <w:bottom w:val="single" w:sz="4" w:space="0" w:color="auto"/>
            </w:tcBorders>
            <w:shd w:val="clear" w:color="auto" w:fill="000000" w:themeFill="text1"/>
            <w:vAlign w:val="center"/>
          </w:tcPr>
          <w:p w14:paraId="6DB7FA94" w14:textId="7F7E0DC2" w:rsidR="00670F7F" w:rsidRPr="00327E8F" w:rsidRDefault="00AF1BA2" w:rsidP="00B254FA">
            <w:pPr>
              <w:pStyle w:val="COMTabletext"/>
              <w:keepNext w:val="0"/>
              <w:jc w:val="center"/>
              <w:rPr>
                <w:highlight w:val="lightGray"/>
              </w:rPr>
            </w:pPr>
            <w:r>
              <w:rPr>
                <w:color w:val="000000"/>
                <w:w w:val="15"/>
                <w:fitText w:val="10" w:id="-894171643"/>
                <w14:textFill>
                  <w14:solidFill>
                    <w14:srgbClr w14:val="000000">
                      <w14:alpha w14:val="100000"/>
                    </w14:srgbClr>
                  </w14:solidFill>
                </w14:textFill>
              </w:rPr>
              <w:t xml:space="preserve">　</w:t>
            </w:r>
            <w:r>
              <w:rPr>
                <w:color w:val="000000"/>
                <w:spacing w:val="-26"/>
                <w:w w:val="15"/>
                <w:fitText w:val="10" w:id="-894171643"/>
                <w14:textFill>
                  <w14:solidFill>
                    <w14:srgbClr w14:val="000000">
                      <w14:alpha w14:val="100000"/>
                    </w14:srgbClr>
                  </w14:solidFill>
                </w14:textFill>
              </w:rPr>
              <w:t>|</w:t>
            </w:r>
            <w:r w:rsidRPr="1797D1E5">
              <w:rPr>
                <w:color w:val="000000"/>
                <w:w w:val="15"/>
                <w14:textFill>
                  <w14:solidFill>
                    <w14:srgbClr w14:val="000000">
                      <w14:alpha w14:val="100000"/>
                    </w14:srgbClr>
                  </w14:solidFill>
                </w14:textFill>
              </w:rPr>
              <w:t xml:space="preserve">　</w:t>
            </w:r>
          </w:p>
        </w:tc>
        <w:tc>
          <w:tcPr>
            <w:tcW w:w="637" w:type="pct"/>
            <w:vAlign w:val="center"/>
          </w:tcPr>
          <w:p w14:paraId="4614FA59" w14:textId="77777777" w:rsidR="00670F7F" w:rsidRPr="00DF0226" w:rsidRDefault="00670F7F" w:rsidP="00B254FA">
            <w:pPr>
              <w:pStyle w:val="COMTabletext"/>
              <w:keepNext w:val="0"/>
              <w:jc w:val="center"/>
            </w:pPr>
            <w:r w:rsidRPr="00DF0226">
              <w:t>3.3595</w:t>
            </w:r>
          </w:p>
        </w:tc>
        <w:tc>
          <w:tcPr>
            <w:tcW w:w="598" w:type="pct"/>
            <w:vAlign w:val="center"/>
          </w:tcPr>
          <w:p w14:paraId="2DD50877" w14:textId="6CB6AC6A" w:rsidR="00670F7F" w:rsidRPr="00327E8F" w:rsidRDefault="00AF1BA2" w:rsidP="00B254FA">
            <w:pPr>
              <w:pStyle w:val="COMTabletext"/>
              <w:keepNext w:val="0"/>
              <w:jc w:val="center"/>
              <w:rPr>
                <w:highlight w:val="lightGray"/>
              </w:rPr>
            </w:pPr>
            <w:r w:rsidRPr="00C64633">
              <w:rPr>
                <w:rFonts w:hint="eastAsia"/>
                <w:color w:val="000000"/>
                <w:w w:val="15"/>
                <w:shd w:val="solid" w:color="000000" w:fill="000000"/>
                <w:fitText w:val="70" w:id="-894171642"/>
                <w14:textFill>
                  <w14:solidFill>
                    <w14:srgbClr w14:val="000000">
                      <w14:alpha w14:val="100000"/>
                    </w14:srgbClr>
                  </w14:solidFill>
                </w14:textFill>
              </w:rPr>
              <w:t xml:space="preserve">　</w:t>
            </w:r>
            <w:r w:rsidRPr="00C64633">
              <w:rPr>
                <w:color w:val="000000"/>
                <w:w w:val="15"/>
                <w:shd w:val="solid" w:color="000000" w:fill="000000"/>
                <w:fitText w:val="70" w:id="-894171642"/>
                <w14:textFill>
                  <w14:solidFill>
                    <w14:srgbClr w14:val="000000">
                      <w14:alpha w14:val="100000"/>
                    </w14:srgbClr>
                  </w14:solidFill>
                </w14:textFill>
              </w:rPr>
              <w:t>|</w:t>
            </w:r>
            <w:r w:rsidRPr="00C64633">
              <w:rPr>
                <w:rFonts w:hint="eastAsia"/>
                <w:color w:val="000000"/>
                <w:w w:val="15"/>
                <w:shd w:val="solid" w:color="000000" w:fill="000000"/>
                <w:fitText w:val="70" w:id="-894171642"/>
                <w14:textFill>
                  <w14:solidFill>
                    <w14:srgbClr w14:val="000000">
                      <w14:alpha w14:val="100000"/>
                    </w14:srgbClr>
                  </w14:solidFill>
                </w14:textFill>
              </w:rPr>
              <w:t xml:space="preserve">　</w:t>
            </w:r>
            <w:r w:rsidR="001A19A3" w:rsidRPr="005C269B">
              <w:rPr>
                <w:vertAlign w:val="superscript"/>
              </w:rPr>
              <w:t>1</w:t>
            </w:r>
          </w:p>
        </w:tc>
        <w:tc>
          <w:tcPr>
            <w:tcW w:w="507" w:type="pct"/>
            <w:vAlign w:val="center"/>
          </w:tcPr>
          <w:p w14:paraId="60B298CB" w14:textId="0EC47A6A" w:rsidR="00670F7F" w:rsidRPr="00DF0226" w:rsidRDefault="00353D9C" w:rsidP="00B254FA">
            <w:pPr>
              <w:pStyle w:val="COMTabletext"/>
              <w:keepNext w:val="0"/>
              <w:jc w:val="center"/>
            </w:pPr>
            <w:r w:rsidRPr="00DF0226">
              <w:t>+</w:t>
            </w:r>
            <w:r w:rsidR="00AF1BA2" w:rsidRPr="00C64633">
              <w:rPr>
                <w:color w:val="000000"/>
                <w:spacing w:val="154"/>
                <w:shd w:val="solid" w:color="000000" w:fill="000000"/>
                <w:fitText w:val="240" w:id="-894171641"/>
                <w14:textFill>
                  <w14:solidFill>
                    <w14:srgbClr w14:val="000000">
                      <w14:alpha w14:val="100000"/>
                    </w14:srgbClr>
                  </w14:solidFill>
                </w14:textFill>
              </w:rPr>
              <w:t>|</w:t>
            </w:r>
            <w:r w:rsidR="00AF1BA2" w:rsidRPr="00C64633">
              <w:rPr>
                <w:color w:val="000000"/>
                <w:shd w:val="solid" w:color="000000" w:fill="000000"/>
                <w:fitText w:val="240" w:id="-894171641"/>
                <w14:textFill>
                  <w14:solidFill>
                    <w14:srgbClr w14:val="000000">
                      <w14:alpha w14:val="100000"/>
                    </w14:srgbClr>
                  </w14:solidFill>
                </w14:textFill>
              </w:rPr>
              <w:t>|</w:t>
            </w:r>
            <w:r w:rsidR="00670F7F" w:rsidRPr="00DF0226">
              <w:t>%</w:t>
            </w:r>
          </w:p>
        </w:tc>
      </w:tr>
      <w:tr w:rsidR="00670F7F" w:rsidRPr="00DF0226" w14:paraId="0E9DA91E" w14:textId="77777777" w:rsidTr="1797D1E5">
        <w:trPr>
          <w:cantSplit/>
        </w:trPr>
        <w:tc>
          <w:tcPr>
            <w:tcW w:w="2644" w:type="pct"/>
          </w:tcPr>
          <w:p w14:paraId="1456F77F" w14:textId="77777777" w:rsidR="00670F7F" w:rsidRPr="00DF0226" w:rsidRDefault="00670F7F" w:rsidP="00B254FA">
            <w:pPr>
              <w:pStyle w:val="COMTabletext"/>
              <w:keepNext w:val="0"/>
            </w:pPr>
            <w:r w:rsidRPr="00DF0226">
              <w:t>Reduce ASCT costs to $127,930</w:t>
            </w:r>
          </w:p>
        </w:tc>
        <w:tc>
          <w:tcPr>
            <w:tcW w:w="614" w:type="pct"/>
            <w:tcBorders>
              <w:bottom w:val="single" w:sz="4" w:space="0" w:color="auto"/>
            </w:tcBorders>
            <w:shd w:val="clear" w:color="auto" w:fill="000000" w:themeFill="text1"/>
          </w:tcPr>
          <w:p w14:paraId="6761739D" w14:textId="16997761" w:rsidR="00670F7F" w:rsidRPr="00327E8F" w:rsidRDefault="00AF1BA2" w:rsidP="00B254FA">
            <w:pPr>
              <w:pStyle w:val="COMTabletext"/>
              <w:keepNext w:val="0"/>
              <w:jc w:val="center"/>
              <w:rPr>
                <w:highlight w:val="lightGray"/>
              </w:rPr>
            </w:pPr>
            <w:r>
              <w:rPr>
                <w:color w:val="000000"/>
                <w:w w:val="15"/>
                <w:fitText w:val="10" w:id="-894171640"/>
                <w14:textFill>
                  <w14:solidFill>
                    <w14:srgbClr w14:val="000000">
                      <w14:alpha w14:val="100000"/>
                    </w14:srgbClr>
                  </w14:solidFill>
                </w14:textFill>
              </w:rPr>
              <w:t xml:space="preserve">　</w:t>
            </w:r>
            <w:r>
              <w:rPr>
                <w:color w:val="000000"/>
                <w:spacing w:val="-26"/>
                <w:w w:val="15"/>
                <w:fitText w:val="10" w:id="-894171640"/>
                <w14:textFill>
                  <w14:solidFill>
                    <w14:srgbClr w14:val="000000">
                      <w14:alpha w14:val="100000"/>
                    </w14:srgbClr>
                  </w14:solidFill>
                </w14:textFill>
              </w:rPr>
              <w:t>|</w:t>
            </w:r>
            <w:r w:rsidRPr="1797D1E5">
              <w:rPr>
                <w:color w:val="000000"/>
                <w:w w:val="15"/>
                <w14:textFill>
                  <w14:solidFill>
                    <w14:srgbClr w14:val="000000">
                      <w14:alpha w14:val="100000"/>
                    </w14:srgbClr>
                  </w14:solidFill>
                </w14:textFill>
              </w:rPr>
              <w:t xml:space="preserve">　</w:t>
            </w:r>
          </w:p>
        </w:tc>
        <w:tc>
          <w:tcPr>
            <w:tcW w:w="637" w:type="pct"/>
          </w:tcPr>
          <w:p w14:paraId="209D3BE2" w14:textId="77777777" w:rsidR="00670F7F" w:rsidRPr="00DF0226" w:rsidRDefault="00670F7F" w:rsidP="00B254FA">
            <w:pPr>
              <w:pStyle w:val="COMTabletext"/>
              <w:keepNext w:val="0"/>
              <w:jc w:val="center"/>
            </w:pPr>
            <w:r w:rsidRPr="00DF0226">
              <w:t>3.3595</w:t>
            </w:r>
          </w:p>
        </w:tc>
        <w:tc>
          <w:tcPr>
            <w:tcW w:w="598" w:type="pct"/>
          </w:tcPr>
          <w:p w14:paraId="4B0F0B84" w14:textId="2374506D" w:rsidR="00670F7F" w:rsidRPr="00327E8F" w:rsidRDefault="00AF1BA2" w:rsidP="00B254FA">
            <w:pPr>
              <w:pStyle w:val="COMTabletext"/>
              <w:keepNext w:val="0"/>
              <w:jc w:val="center"/>
              <w:rPr>
                <w:highlight w:val="lightGray"/>
              </w:rPr>
            </w:pPr>
            <w:r w:rsidRPr="00C64633">
              <w:rPr>
                <w:rFonts w:hint="eastAsia"/>
                <w:color w:val="000000"/>
                <w:w w:val="15"/>
                <w:shd w:val="solid" w:color="000000" w:fill="000000"/>
                <w:fitText w:val="70" w:id="-894171639"/>
                <w14:textFill>
                  <w14:solidFill>
                    <w14:srgbClr w14:val="000000">
                      <w14:alpha w14:val="100000"/>
                    </w14:srgbClr>
                  </w14:solidFill>
                </w14:textFill>
              </w:rPr>
              <w:t xml:space="preserve">　</w:t>
            </w:r>
            <w:r w:rsidRPr="00C64633">
              <w:rPr>
                <w:color w:val="000000"/>
                <w:w w:val="15"/>
                <w:shd w:val="solid" w:color="000000" w:fill="000000"/>
                <w:fitText w:val="70" w:id="-894171639"/>
                <w14:textFill>
                  <w14:solidFill>
                    <w14:srgbClr w14:val="000000">
                      <w14:alpha w14:val="100000"/>
                    </w14:srgbClr>
                  </w14:solidFill>
                </w14:textFill>
              </w:rPr>
              <w:t>|</w:t>
            </w:r>
            <w:r w:rsidRPr="00C64633">
              <w:rPr>
                <w:rFonts w:hint="eastAsia"/>
                <w:color w:val="000000"/>
                <w:w w:val="15"/>
                <w:shd w:val="solid" w:color="000000" w:fill="000000"/>
                <w:fitText w:val="70" w:id="-894171639"/>
                <w14:textFill>
                  <w14:solidFill>
                    <w14:srgbClr w14:val="000000">
                      <w14:alpha w14:val="100000"/>
                    </w14:srgbClr>
                  </w14:solidFill>
                </w14:textFill>
              </w:rPr>
              <w:t xml:space="preserve">　</w:t>
            </w:r>
            <w:r w:rsidR="00C07EFC" w:rsidRPr="00327E8F">
              <w:rPr>
                <w:vertAlign w:val="superscript"/>
              </w:rPr>
              <w:t>1</w:t>
            </w:r>
          </w:p>
        </w:tc>
        <w:tc>
          <w:tcPr>
            <w:tcW w:w="507" w:type="pct"/>
            <w:vAlign w:val="center"/>
          </w:tcPr>
          <w:p w14:paraId="1B39AC8F" w14:textId="79D221BD" w:rsidR="00670F7F" w:rsidRPr="00DF0226" w:rsidRDefault="00353D9C" w:rsidP="00B254FA">
            <w:pPr>
              <w:pStyle w:val="COMTabletext"/>
              <w:keepNext w:val="0"/>
              <w:jc w:val="center"/>
            </w:pPr>
            <w:r w:rsidRPr="00DF0226">
              <w:t>+</w:t>
            </w:r>
            <w:r w:rsidR="00AF1BA2" w:rsidRPr="00C64633">
              <w:rPr>
                <w:color w:val="000000"/>
                <w:spacing w:val="154"/>
                <w:shd w:val="solid" w:color="000000" w:fill="000000"/>
                <w:fitText w:val="240" w:id="-894171638"/>
                <w14:textFill>
                  <w14:solidFill>
                    <w14:srgbClr w14:val="000000">
                      <w14:alpha w14:val="100000"/>
                    </w14:srgbClr>
                  </w14:solidFill>
                </w14:textFill>
              </w:rPr>
              <w:t>|</w:t>
            </w:r>
            <w:r w:rsidR="00AF1BA2" w:rsidRPr="00C64633">
              <w:rPr>
                <w:color w:val="000000"/>
                <w:shd w:val="solid" w:color="000000" w:fill="000000"/>
                <w:fitText w:val="240" w:id="-894171638"/>
                <w14:textFill>
                  <w14:solidFill>
                    <w14:srgbClr w14:val="000000">
                      <w14:alpha w14:val="100000"/>
                    </w14:srgbClr>
                  </w14:solidFill>
                </w14:textFill>
              </w:rPr>
              <w:t>|</w:t>
            </w:r>
            <w:r w:rsidR="00670F7F" w:rsidRPr="00DF0226">
              <w:t>%</w:t>
            </w:r>
          </w:p>
        </w:tc>
      </w:tr>
      <w:tr w:rsidR="00670F7F" w:rsidRPr="00DF0226" w14:paraId="4F660FFC" w14:textId="77777777" w:rsidTr="1797D1E5">
        <w:trPr>
          <w:cantSplit/>
        </w:trPr>
        <w:tc>
          <w:tcPr>
            <w:tcW w:w="2644" w:type="pct"/>
          </w:tcPr>
          <w:p w14:paraId="516D9C18" w14:textId="4D849F71" w:rsidR="00670F7F" w:rsidRPr="00DF0226" w:rsidRDefault="00670F7F" w:rsidP="00B254FA">
            <w:pPr>
              <w:pStyle w:val="COMTabletext"/>
              <w:keepNext w:val="0"/>
            </w:pPr>
            <w:r w:rsidRPr="00DF0226">
              <w:t>Weighted cost of $</w:t>
            </w:r>
            <w:r w:rsidR="00AF1BA2" w:rsidRPr="00C64633">
              <w:rPr>
                <w:color w:val="000000"/>
                <w:spacing w:val="53"/>
                <w:shd w:val="solid" w:color="000000" w:fill="000000"/>
                <w:fitText w:val="330" w:id="-894171637"/>
                <w14:textFill>
                  <w14:solidFill>
                    <w14:srgbClr w14:val="000000">
                      <w14:alpha w14:val="100000"/>
                    </w14:srgbClr>
                  </w14:solidFill>
                </w14:textFill>
              </w:rPr>
              <w:t>|||</w:t>
            </w:r>
            <w:r w:rsidR="00AF1BA2" w:rsidRPr="00C64633">
              <w:rPr>
                <w:color w:val="000000"/>
                <w:spacing w:val="1"/>
                <w:shd w:val="solid" w:color="000000" w:fill="000000"/>
                <w:fitText w:val="330" w:id="-894171637"/>
                <w14:textFill>
                  <w14:solidFill>
                    <w14:srgbClr w14:val="000000">
                      <w14:alpha w14:val="100000"/>
                    </w14:srgbClr>
                  </w14:solidFill>
                </w14:textFill>
              </w:rPr>
              <w:t>|</w:t>
            </w:r>
            <w:r w:rsidR="00862762">
              <w:t xml:space="preserve"> i</w:t>
            </w:r>
            <w:r w:rsidR="00166E8F" w:rsidRPr="00DF0226">
              <w:t>n the</w:t>
            </w:r>
            <w:r w:rsidRPr="00DF0226">
              <w:t xml:space="preserve"> blinatumomab arm based on off-protocol use of ASCT (40%), chemotherapy (6.7%) and no blinatumomab (0%) in the trial</w:t>
            </w:r>
          </w:p>
        </w:tc>
        <w:tc>
          <w:tcPr>
            <w:tcW w:w="614" w:type="pct"/>
            <w:tcBorders>
              <w:bottom w:val="single" w:sz="4" w:space="0" w:color="auto"/>
            </w:tcBorders>
            <w:shd w:val="clear" w:color="auto" w:fill="000000" w:themeFill="text1"/>
            <w:vAlign w:val="center"/>
          </w:tcPr>
          <w:p w14:paraId="750A2765" w14:textId="7F942AD5" w:rsidR="00670F7F" w:rsidRPr="00327E8F" w:rsidRDefault="00AF1BA2" w:rsidP="00B254FA">
            <w:pPr>
              <w:pStyle w:val="COMTabletext"/>
              <w:keepNext w:val="0"/>
              <w:jc w:val="center"/>
              <w:rPr>
                <w:highlight w:val="lightGray"/>
              </w:rPr>
            </w:pPr>
            <w:r>
              <w:rPr>
                <w:color w:val="000000"/>
                <w:w w:val="15"/>
                <w:fitText w:val="10" w:id="-894171636"/>
                <w14:textFill>
                  <w14:solidFill>
                    <w14:srgbClr w14:val="000000">
                      <w14:alpha w14:val="100000"/>
                    </w14:srgbClr>
                  </w14:solidFill>
                </w14:textFill>
              </w:rPr>
              <w:t xml:space="preserve">　</w:t>
            </w:r>
            <w:r>
              <w:rPr>
                <w:color w:val="000000"/>
                <w:spacing w:val="-26"/>
                <w:w w:val="15"/>
                <w:fitText w:val="10" w:id="-894171636"/>
                <w14:textFill>
                  <w14:solidFill>
                    <w14:srgbClr w14:val="000000">
                      <w14:alpha w14:val="100000"/>
                    </w14:srgbClr>
                  </w14:solidFill>
                </w14:textFill>
              </w:rPr>
              <w:t>|</w:t>
            </w:r>
            <w:r w:rsidRPr="1797D1E5">
              <w:rPr>
                <w:color w:val="000000"/>
                <w:w w:val="15"/>
                <w14:textFill>
                  <w14:solidFill>
                    <w14:srgbClr w14:val="000000">
                      <w14:alpha w14:val="100000"/>
                    </w14:srgbClr>
                  </w14:solidFill>
                </w14:textFill>
              </w:rPr>
              <w:t xml:space="preserve">　</w:t>
            </w:r>
          </w:p>
        </w:tc>
        <w:tc>
          <w:tcPr>
            <w:tcW w:w="637" w:type="pct"/>
            <w:vAlign w:val="center"/>
          </w:tcPr>
          <w:p w14:paraId="2196565D" w14:textId="77777777" w:rsidR="00670F7F" w:rsidRPr="00DF0226" w:rsidRDefault="00670F7F" w:rsidP="00B254FA">
            <w:pPr>
              <w:pStyle w:val="COMTabletext"/>
              <w:keepNext w:val="0"/>
              <w:jc w:val="center"/>
            </w:pPr>
            <w:r w:rsidRPr="00DF0226">
              <w:t>3.3595</w:t>
            </w:r>
          </w:p>
        </w:tc>
        <w:tc>
          <w:tcPr>
            <w:tcW w:w="598" w:type="pct"/>
            <w:vAlign w:val="center"/>
          </w:tcPr>
          <w:p w14:paraId="1F7BED40" w14:textId="5EFBAED8" w:rsidR="00670F7F" w:rsidRPr="00327E8F" w:rsidRDefault="00AF1BA2" w:rsidP="00B254FA">
            <w:pPr>
              <w:pStyle w:val="COMTabletext"/>
              <w:keepNext w:val="0"/>
              <w:jc w:val="center"/>
              <w:rPr>
                <w:highlight w:val="lightGray"/>
              </w:rPr>
            </w:pPr>
            <w:r w:rsidRPr="00C64633">
              <w:rPr>
                <w:rFonts w:hint="eastAsia"/>
                <w:color w:val="000000"/>
                <w:w w:val="15"/>
                <w:shd w:val="solid" w:color="000000" w:fill="000000"/>
                <w:fitText w:val="70" w:id="-894171635"/>
                <w14:textFill>
                  <w14:solidFill>
                    <w14:srgbClr w14:val="000000">
                      <w14:alpha w14:val="100000"/>
                    </w14:srgbClr>
                  </w14:solidFill>
                </w14:textFill>
              </w:rPr>
              <w:t xml:space="preserve">　</w:t>
            </w:r>
            <w:r w:rsidRPr="00C64633">
              <w:rPr>
                <w:color w:val="000000"/>
                <w:w w:val="15"/>
                <w:shd w:val="solid" w:color="000000" w:fill="000000"/>
                <w:fitText w:val="70" w:id="-894171635"/>
                <w14:textFill>
                  <w14:solidFill>
                    <w14:srgbClr w14:val="000000">
                      <w14:alpha w14:val="100000"/>
                    </w14:srgbClr>
                  </w14:solidFill>
                </w14:textFill>
              </w:rPr>
              <w:t>|</w:t>
            </w:r>
            <w:r w:rsidRPr="00C64633">
              <w:rPr>
                <w:rFonts w:hint="eastAsia"/>
                <w:color w:val="000000"/>
                <w:w w:val="15"/>
                <w:shd w:val="solid" w:color="000000" w:fill="000000"/>
                <w:fitText w:val="70" w:id="-894171635"/>
                <w14:textFill>
                  <w14:solidFill>
                    <w14:srgbClr w14:val="000000">
                      <w14:alpha w14:val="100000"/>
                    </w14:srgbClr>
                  </w14:solidFill>
                </w14:textFill>
              </w:rPr>
              <w:t xml:space="preserve">　</w:t>
            </w:r>
            <w:r w:rsidR="001A19A3" w:rsidRPr="005C269B">
              <w:rPr>
                <w:vertAlign w:val="superscript"/>
              </w:rPr>
              <w:t>1</w:t>
            </w:r>
          </w:p>
        </w:tc>
        <w:tc>
          <w:tcPr>
            <w:tcW w:w="507" w:type="pct"/>
            <w:vAlign w:val="center"/>
          </w:tcPr>
          <w:p w14:paraId="70498451" w14:textId="2A5CE6D2" w:rsidR="00670F7F" w:rsidRPr="00DF0226" w:rsidRDefault="00670F7F" w:rsidP="00B254FA">
            <w:pPr>
              <w:pStyle w:val="COMTabletext"/>
              <w:keepNext w:val="0"/>
              <w:jc w:val="center"/>
            </w:pPr>
            <w:r w:rsidRPr="00DF0226">
              <w:t>-</w:t>
            </w:r>
            <w:r w:rsidR="00AF1BA2" w:rsidRPr="00C64633">
              <w:rPr>
                <w:color w:val="000000"/>
                <w:spacing w:val="46"/>
                <w:shd w:val="solid" w:color="000000" w:fill="000000"/>
                <w:fitText w:val="220" w:id="-894171634"/>
                <w14:textFill>
                  <w14:solidFill>
                    <w14:srgbClr w14:val="000000">
                      <w14:alpha w14:val="100000"/>
                    </w14:srgbClr>
                  </w14:solidFill>
                </w14:textFill>
              </w:rPr>
              <w:t>||</w:t>
            </w:r>
            <w:r w:rsidR="00AF1BA2" w:rsidRPr="00C64633">
              <w:rPr>
                <w:color w:val="000000"/>
                <w:spacing w:val="1"/>
                <w:shd w:val="solid" w:color="000000" w:fill="000000"/>
                <w:fitText w:val="220" w:id="-894171634"/>
                <w14:textFill>
                  <w14:solidFill>
                    <w14:srgbClr w14:val="000000">
                      <w14:alpha w14:val="100000"/>
                    </w14:srgbClr>
                  </w14:solidFill>
                </w14:textFill>
              </w:rPr>
              <w:t>|</w:t>
            </w:r>
            <w:r w:rsidRPr="00DF0226">
              <w:t>%</w:t>
            </w:r>
          </w:p>
        </w:tc>
      </w:tr>
      <w:tr w:rsidR="00670F7F" w:rsidRPr="00DF0226" w14:paraId="30C4DA1F" w14:textId="77777777" w:rsidTr="1797D1E5">
        <w:trPr>
          <w:cantSplit/>
        </w:trPr>
        <w:tc>
          <w:tcPr>
            <w:tcW w:w="2644" w:type="pct"/>
          </w:tcPr>
          <w:p w14:paraId="19801A6E" w14:textId="77777777" w:rsidR="00670F7F" w:rsidRPr="00DF0226" w:rsidRDefault="00670F7F" w:rsidP="00B254FA">
            <w:pPr>
              <w:pStyle w:val="COMTabletext"/>
              <w:keepNext w:val="0"/>
            </w:pPr>
            <w:r w:rsidRPr="00DF0226">
              <w:t>No relapsed/refractory treatment costs</w:t>
            </w:r>
          </w:p>
        </w:tc>
        <w:tc>
          <w:tcPr>
            <w:tcW w:w="614" w:type="pct"/>
            <w:tcBorders>
              <w:bottom w:val="single" w:sz="4" w:space="0" w:color="auto"/>
            </w:tcBorders>
            <w:shd w:val="clear" w:color="auto" w:fill="000000" w:themeFill="text1"/>
          </w:tcPr>
          <w:p w14:paraId="6282A64E" w14:textId="3CEE12FB" w:rsidR="00670F7F" w:rsidRPr="00327E8F" w:rsidRDefault="00AF1BA2" w:rsidP="00B254FA">
            <w:pPr>
              <w:pStyle w:val="COMTabletext"/>
              <w:keepNext w:val="0"/>
              <w:jc w:val="center"/>
              <w:rPr>
                <w:highlight w:val="lightGray"/>
              </w:rPr>
            </w:pPr>
            <w:r>
              <w:rPr>
                <w:color w:val="000000"/>
                <w:w w:val="15"/>
                <w:fitText w:val="10" w:id="-894171633"/>
                <w14:textFill>
                  <w14:solidFill>
                    <w14:srgbClr w14:val="000000">
                      <w14:alpha w14:val="100000"/>
                    </w14:srgbClr>
                  </w14:solidFill>
                </w14:textFill>
              </w:rPr>
              <w:t xml:space="preserve">　</w:t>
            </w:r>
            <w:r>
              <w:rPr>
                <w:color w:val="000000"/>
                <w:w w:val="15"/>
                <w:fitText w:val="10" w:id="-894171633"/>
                <w14:textFill>
                  <w14:solidFill>
                    <w14:srgbClr w14:val="000000">
                      <w14:alpha w14:val="100000"/>
                    </w14:srgbClr>
                  </w14:solidFill>
                </w14:textFill>
              </w:rPr>
              <w:t>|</w:t>
            </w:r>
            <w:r>
              <w:rPr>
                <w:color w:val="000000"/>
                <w:spacing w:val="-56"/>
                <w:w w:val="15"/>
                <w:fitText w:val="10" w:id="-894171633"/>
                <w14:textFill>
                  <w14:solidFill>
                    <w14:srgbClr w14:val="000000">
                      <w14:alpha w14:val="100000"/>
                    </w14:srgbClr>
                  </w14:solidFill>
                </w14:textFill>
              </w:rPr>
              <w:t xml:space="preserve">　</w:t>
            </w:r>
          </w:p>
        </w:tc>
        <w:tc>
          <w:tcPr>
            <w:tcW w:w="637" w:type="pct"/>
          </w:tcPr>
          <w:p w14:paraId="4932EEF4" w14:textId="77777777" w:rsidR="00670F7F" w:rsidRPr="00DF0226" w:rsidRDefault="00670F7F" w:rsidP="00B254FA">
            <w:pPr>
              <w:pStyle w:val="COMTabletext"/>
              <w:keepNext w:val="0"/>
              <w:jc w:val="center"/>
            </w:pPr>
            <w:r w:rsidRPr="00DF0226">
              <w:t>3.3595</w:t>
            </w:r>
          </w:p>
        </w:tc>
        <w:tc>
          <w:tcPr>
            <w:tcW w:w="598" w:type="pct"/>
          </w:tcPr>
          <w:p w14:paraId="4205E0B4" w14:textId="09039C0A" w:rsidR="00670F7F" w:rsidRPr="00327E8F" w:rsidRDefault="00AF1BA2" w:rsidP="00B254FA">
            <w:pPr>
              <w:pStyle w:val="COMTabletext"/>
              <w:keepNext w:val="0"/>
              <w:jc w:val="center"/>
              <w:rPr>
                <w:highlight w:val="lightGray"/>
              </w:rPr>
            </w:pPr>
            <w:r w:rsidRPr="00C64633">
              <w:rPr>
                <w:rFonts w:hint="eastAsia"/>
                <w:color w:val="000000"/>
                <w:w w:val="15"/>
                <w:shd w:val="solid" w:color="000000" w:fill="000000"/>
                <w:fitText w:val="70" w:id="-894171632"/>
                <w14:textFill>
                  <w14:solidFill>
                    <w14:srgbClr w14:val="000000">
                      <w14:alpha w14:val="100000"/>
                    </w14:srgbClr>
                  </w14:solidFill>
                </w14:textFill>
              </w:rPr>
              <w:t xml:space="preserve">　</w:t>
            </w:r>
            <w:r w:rsidRPr="00C64633">
              <w:rPr>
                <w:color w:val="000000"/>
                <w:w w:val="15"/>
                <w:shd w:val="solid" w:color="000000" w:fill="000000"/>
                <w:fitText w:val="70" w:id="-894171632"/>
                <w14:textFill>
                  <w14:solidFill>
                    <w14:srgbClr w14:val="000000">
                      <w14:alpha w14:val="100000"/>
                    </w14:srgbClr>
                  </w14:solidFill>
                </w14:textFill>
              </w:rPr>
              <w:t>|</w:t>
            </w:r>
            <w:r w:rsidRPr="00C64633">
              <w:rPr>
                <w:rFonts w:hint="eastAsia"/>
                <w:color w:val="000000"/>
                <w:w w:val="15"/>
                <w:shd w:val="solid" w:color="000000" w:fill="000000"/>
                <w:fitText w:val="70" w:id="-894171632"/>
                <w14:textFill>
                  <w14:solidFill>
                    <w14:srgbClr w14:val="000000">
                      <w14:alpha w14:val="100000"/>
                    </w14:srgbClr>
                  </w14:solidFill>
                </w14:textFill>
              </w:rPr>
              <w:t xml:space="preserve">　</w:t>
            </w:r>
            <w:r w:rsidR="00307527" w:rsidRPr="005C269B">
              <w:rPr>
                <w:vertAlign w:val="superscript"/>
              </w:rPr>
              <w:t>6</w:t>
            </w:r>
          </w:p>
        </w:tc>
        <w:tc>
          <w:tcPr>
            <w:tcW w:w="507" w:type="pct"/>
            <w:vAlign w:val="center"/>
          </w:tcPr>
          <w:p w14:paraId="768A3FF7" w14:textId="726EF9F9" w:rsidR="00670F7F" w:rsidRPr="00DF0226" w:rsidRDefault="00353D9C" w:rsidP="00B254FA">
            <w:pPr>
              <w:pStyle w:val="COMTabletext"/>
              <w:keepNext w:val="0"/>
              <w:jc w:val="center"/>
            </w:pPr>
            <w:r w:rsidRPr="00DF0226">
              <w:t>+</w:t>
            </w:r>
            <w:r w:rsidR="00AF1BA2" w:rsidRPr="00C64633">
              <w:rPr>
                <w:color w:val="000000"/>
                <w:spacing w:val="154"/>
                <w:shd w:val="solid" w:color="000000" w:fill="000000"/>
                <w:fitText w:val="240" w:id="-894171648"/>
                <w14:textFill>
                  <w14:solidFill>
                    <w14:srgbClr w14:val="000000">
                      <w14:alpha w14:val="100000"/>
                    </w14:srgbClr>
                  </w14:solidFill>
                </w14:textFill>
              </w:rPr>
              <w:t>|</w:t>
            </w:r>
            <w:r w:rsidR="00AF1BA2" w:rsidRPr="00C64633">
              <w:rPr>
                <w:color w:val="000000"/>
                <w:shd w:val="solid" w:color="000000" w:fill="000000"/>
                <w:fitText w:val="240" w:id="-894171648"/>
                <w14:textFill>
                  <w14:solidFill>
                    <w14:srgbClr w14:val="000000">
                      <w14:alpha w14:val="100000"/>
                    </w14:srgbClr>
                  </w14:solidFill>
                </w14:textFill>
              </w:rPr>
              <w:t>|</w:t>
            </w:r>
            <w:r w:rsidR="00670F7F" w:rsidRPr="00DF0226">
              <w:t>%</w:t>
            </w:r>
          </w:p>
        </w:tc>
      </w:tr>
      <w:tr w:rsidR="00670F7F" w:rsidRPr="00DF0226" w14:paraId="21FE6B40" w14:textId="77777777" w:rsidTr="1797D1E5">
        <w:trPr>
          <w:cantSplit/>
        </w:trPr>
        <w:tc>
          <w:tcPr>
            <w:tcW w:w="2644" w:type="pct"/>
          </w:tcPr>
          <w:p w14:paraId="0AF0A69D" w14:textId="77777777" w:rsidR="00670F7F" w:rsidRPr="00DF0226" w:rsidRDefault="00670F7F" w:rsidP="00B254FA">
            <w:pPr>
              <w:pStyle w:val="COMTabletext"/>
              <w:keepNext w:val="0"/>
            </w:pPr>
            <w:r w:rsidRPr="00DF0226">
              <w:t>Weighted cost applied to equal proportions of relapsed events in both arms (74.4%)</w:t>
            </w:r>
          </w:p>
        </w:tc>
        <w:tc>
          <w:tcPr>
            <w:tcW w:w="614" w:type="pct"/>
            <w:tcBorders>
              <w:bottom w:val="single" w:sz="4" w:space="0" w:color="auto"/>
            </w:tcBorders>
            <w:shd w:val="clear" w:color="auto" w:fill="000000" w:themeFill="text1"/>
            <w:vAlign w:val="center"/>
          </w:tcPr>
          <w:p w14:paraId="4D349639" w14:textId="1B759BE8" w:rsidR="00670F7F" w:rsidRPr="00327E8F" w:rsidRDefault="00AF1BA2" w:rsidP="00B254FA">
            <w:pPr>
              <w:pStyle w:val="COMTabletext"/>
              <w:keepNext w:val="0"/>
              <w:jc w:val="center"/>
              <w:rPr>
                <w:highlight w:val="lightGray"/>
              </w:rPr>
            </w:pPr>
            <w:r>
              <w:rPr>
                <w:color w:val="000000"/>
                <w:w w:val="15"/>
                <w:fitText w:val="10" w:id="-894171647"/>
                <w14:textFill>
                  <w14:solidFill>
                    <w14:srgbClr w14:val="000000">
                      <w14:alpha w14:val="100000"/>
                    </w14:srgbClr>
                  </w14:solidFill>
                </w14:textFill>
              </w:rPr>
              <w:t xml:space="preserve">　</w:t>
            </w:r>
            <w:r>
              <w:rPr>
                <w:color w:val="000000"/>
                <w:w w:val="15"/>
                <w:fitText w:val="10" w:id="-894171647"/>
                <w14:textFill>
                  <w14:solidFill>
                    <w14:srgbClr w14:val="000000">
                      <w14:alpha w14:val="100000"/>
                    </w14:srgbClr>
                  </w14:solidFill>
                </w14:textFill>
              </w:rPr>
              <w:t>|</w:t>
            </w:r>
            <w:r>
              <w:rPr>
                <w:color w:val="000000"/>
                <w:spacing w:val="-56"/>
                <w:w w:val="15"/>
                <w:fitText w:val="10" w:id="-894171647"/>
                <w14:textFill>
                  <w14:solidFill>
                    <w14:srgbClr w14:val="000000">
                      <w14:alpha w14:val="100000"/>
                    </w14:srgbClr>
                  </w14:solidFill>
                </w14:textFill>
              </w:rPr>
              <w:t xml:space="preserve">　</w:t>
            </w:r>
          </w:p>
        </w:tc>
        <w:tc>
          <w:tcPr>
            <w:tcW w:w="637" w:type="pct"/>
            <w:vAlign w:val="center"/>
          </w:tcPr>
          <w:p w14:paraId="7573E398" w14:textId="77777777" w:rsidR="00670F7F" w:rsidRPr="00DF0226" w:rsidRDefault="00670F7F" w:rsidP="00B254FA">
            <w:pPr>
              <w:pStyle w:val="COMTabletext"/>
              <w:keepNext w:val="0"/>
              <w:jc w:val="center"/>
            </w:pPr>
            <w:r w:rsidRPr="00DF0226">
              <w:t>3.3595</w:t>
            </w:r>
          </w:p>
        </w:tc>
        <w:tc>
          <w:tcPr>
            <w:tcW w:w="598" w:type="pct"/>
            <w:vAlign w:val="center"/>
          </w:tcPr>
          <w:p w14:paraId="79EF24B8" w14:textId="578DEF7A" w:rsidR="00670F7F" w:rsidRPr="00327E8F" w:rsidRDefault="00AF1BA2" w:rsidP="00B254FA">
            <w:pPr>
              <w:pStyle w:val="COMTabletext"/>
              <w:keepNext w:val="0"/>
              <w:jc w:val="center"/>
              <w:rPr>
                <w:highlight w:val="lightGray"/>
              </w:rPr>
            </w:pPr>
            <w:r w:rsidRPr="00C64633">
              <w:rPr>
                <w:rFonts w:hint="eastAsia"/>
                <w:color w:val="000000"/>
                <w:w w:val="15"/>
                <w:shd w:val="solid" w:color="000000" w:fill="000000"/>
                <w:fitText w:val="70" w:id="-894171646"/>
                <w14:textFill>
                  <w14:solidFill>
                    <w14:srgbClr w14:val="000000">
                      <w14:alpha w14:val="100000"/>
                    </w14:srgbClr>
                  </w14:solidFill>
                </w14:textFill>
              </w:rPr>
              <w:t xml:space="preserve">　</w:t>
            </w:r>
            <w:r w:rsidRPr="00C64633">
              <w:rPr>
                <w:color w:val="000000"/>
                <w:w w:val="15"/>
                <w:shd w:val="solid" w:color="000000" w:fill="000000"/>
                <w:fitText w:val="70" w:id="-894171646"/>
                <w14:textFill>
                  <w14:solidFill>
                    <w14:srgbClr w14:val="000000">
                      <w14:alpha w14:val="100000"/>
                    </w14:srgbClr>
                  </w14:solidFill>
                </w14:textFill>
              </w:rPr>
              <w:t>|</w:t>
            </w:r>
            <w:r w:rsidRPr="00C64633">
              <w:rPr>
                <w:rFonts w:hint="eastAsia"/>
                <w:color w:val="000000"/>
                <w:w w:val="15"/>
                <w:shd w:val="solid" w:color="000000" w:fill="000000"/>
                <w:fitText w:val="70" w:id="-894171646"/>
                <w14:textFill>
                  <w14:solidFill>
                    <w14:srgbClr w14:val="000000">
                      <w14:alpha w14:val="100000"/>
                    </w14:srgbClr>
                  </w14:solidFill>
                </w14:textFill>
              </w:rPr>
              <w:t xml:space="preserve">　</w:t>
            </w:r>
            <w:r w:rsidR="001A19A3" w:rsidRPr="005C269B">
              <w:rPr>
                <w:vertAlign w:val="superscript"/>
              </w:rPr>
              <w:t>1</w:t>
            </w:r>
          </w:p>
        </w:tc>
        <w:tc>
          <w:tcPr>
            <w:tcW w:w="507" w:type="pct"/>
            <w:vAlign w:val="center"/>
          </w:tcPr>
          <w:p w14:paraId="66609343" w14:textId="3AB7EED5" w:rsidR="00670F7F" w:rsidRPr="00DF0226" w:rsidRDefault="00353D9C" w:rsidP="00B254FA">
            <w:pPr>
              <w:pStyle w:val="COMTabletext"/>
              <w:keepNext w:val="0"/>
              <w:jc w:val="center"/>
            </w:pPr>
            <w:r w:rsidRPr="00DF0226">
              <w:t>+</w:t>
            </w:r>
            <w:r w:rsidR="00AF1BA2" w:rsidRPr="00C64633">
              <w:rPr>
                <w:color w:val="000000"/>
                <w:spacing w:val="154"/>
                <w:shd w:val="solid" w:color="000000" w:fill="000000"/>
                <w:fitText w:val="240" w:id="-894171645"/>
                <w14:textFill>
                  <w14:solidFill>
                    <w14:srgbClr w14:val="000000">
                      <w14:alpha w14:val="100000"/>
                    </w14:srgbClr>
                  </w14:solidFill>
                </w14:textFill>
              </w:rPr>
              <w:t>|</w:t>
            </w:r>
            <w:r w:rsidR="00AF1BA2" w:rsidRPr="00C64633">
              <w:rPr>
                <w:color w:val="000000"/>
                <w:shd w:val="solid" w:color="000000" w:fill="000000"/>
                <w:fitText w:val="240" w:id="-894171645"/>
                <w14:textFill>
                  <w14:solidFill>
                    <w14:srgbClr w14:val="000000">
                      <w14:alpha w14:val="100000"/>
                    </w14:srgbClr>
                  </w14:solidFill>
                </w14:textFill>
              </w:rPr>
              <w:t>|</w:t>
            </w:r>
            <w:r w:rsidR="00670F7F" w:rsidRPr="00DF0226">
              <w:t>%</w:t>
            </w:r>
          </w:p>
        </w:tc>
      </w:tr>
      <w:tr w:rsidR="00670F7F" w:rsidRPr="00DF0226" w14:paraId="185501D9" w14:textId="77777777" w:rsidTr="1797D1E5">
        <w:trPr>
          <w:cantSplit/>
        </w:trPr>
        <w:tc>
          <w:tcPr>
            <w:tcW w:w="2644" w:type="pct"/>
          </w:tcPr>
          <w:p w14:paraId="38653E08" w14:textId="77777777" w:rsidR="00670F7F" w:rsidRPr="00DF0226" w:rsidRDefault="00670F7F" w:rsidP="00B254FA">
            <w:pPr>
              <w:pStyle w:val="COMTabletext"/>
              <w:keepNext w:val="0"/>
            </w:pPr>
            <w:r w:rsidRPr="00DF0226">
              <w:t>Weighted cost applied to relapsed events (60% blinatumomab, 74.4% SOC) throughout the model</w:t>
            </w:r>
          </w:p>
        </w:tc>
        <w:tc>
          <w:tcPr>
            <w:tcW w:w="614" w:type="pct"/>
            <w:tcBorders>
              <w:bottom w:val="single" w:sz="4" w:space="0" w:color="auto"/>
            </w:tcBorders>
            <w:shd w:val="clear" w:color="auto" w:fill="000000" w:themeFill="text1"/>
            <w:vAlign w:val="center"/>
          </w:tcPr>
          <w:p w14:paraId="1F099332" w14:textId="74DADCAF" w:rsidR="00670F7F" w:rsidRPr="00327E8F" w:rsidRDefault="00AF1BA2" w:rsidP="00B254FA">
            <w:pPr>
              <w:pStyle w:val="COMTabletext"/>
              <w:keepNext w:val="0"/>
              <w:jc w:val="center"/>
              <w:rPr>
                <w:highlight w:val="lightGray"/>
              </w:rPr>
            </w:pPr>
            <w:r>
              <w:rPr>
                <w:color w:val="000000"/>
                <w:w w:val="15"/>
                <w:fitText w:val="10" w:id="-894171644"/>
                <w14:textFill>
                  <w14:solidFill>
                    <w14:srgbClr w14:val="000000">
                      <w14:alpha w14:val="100000"/>
                    </w14:srgbClr>
                  </w14:solidFill>
                </w14:textFill>
              </w:rPr>
              <w:t xml:space="preserve">　</w:t>
            </w:r>
            <w:r>
              <w:rPr>
                <w:color w:val="000000"/>
                <w:w w:val="15"/>
                <w:fitText w:val="10" w:id="-894171644"/>
                <w14:textFill>
                  <w14:solidFill>
                    <w14:srgbClr w14:val="000000">
                      <w14:alpha w14:val="100000"/>
                    </w14:srgbClr>
                  </w14:solidFill>
                </w14:textFill>
              </w:rPr>
              <w:t>|</w:t>
            </w:r>
            <w:r>
              <w:rPr>
                <w:color w:val="000000"/>
                <w:spacing w:val="-56"/>
                <w:w w:val="15"/>
                <w:fitText w:val="10" w:id="-894171644"/>
                <w14:textFill>
                  <w14:solidFill>
                    <w14:srgbClr w14:val="000000">
                      <w14:alpha w14:val="100000"/>
                    </w14:srgbClr>
                  </w14:solidFill>
                </w14:textFill>
              </w:rPr>
              <w:t xml:space="preserve">　</w:t>
            </w:r>
          </w:p>
        </w:tc>
        <w:tc>
          <w:tcPr>
            <w:tcW w:w="637" w:type="pct"/>
            <w:vAlign w:val="center"/>
          </w:tcPr>
          <w:p w14:paraId="4D60BA48" w14:textId="77777777" w:rsidR="00670F7F" w:rsidRPr="00DF0226" w:rsidRDefault="00670F7F" w:rsidP="00B254FA">
            <w:pPr>
              <w:pStyle w:val="COMTabletext"/>
              <w:keepNext w:val="0"/>
              <w:jc w:val="center"/>
            </w:pPr>
            <w:r w:rsidRPr="00DF0226">
              <w:t>3.3595</w:t>
            </w:r>
          </w:p>
        </w:tc>
        <w:tc>
          <w:tcPr>
            <w:tcW w:w="598" w:type="pct"/>
            <w:vAlign w:val="center"/>
          </w:tcPr>
          <w:p w14:paraId="12D74330" w14:textId="6F658702" w:rsidR="00670F7F" w:rsidRPr="00327E8F" w:rsidRDefault="00AF1BA2" w:rsidP="00B254FA">
            <w:pPr>
              <w:pStyle w:val="COMTabletext"/>
              <w:keepNext w:val="0"/>
              <w:jc w:val="center"/>
              <w:rPr>
                <w:highlight w:val="lightGray"/>
              </w:rPr>
            </w:pPr>
            <w:r w:rsidRPr="00C64633">
              <w:rPr>
                <w:rFonts w:hint="eastAsia"/>
                <w:color w:val="000000"/>
                <w:w w:val="15"/>
                <w:shd w:val="solid" w:color="000000" w:fill="000000"/>
                <w:fitText w:val="70" w:id="-894171643"/>
                <w14:textFill>
                  <w14:solidFill>
                    <w14:srgbClr w14:val="000000">
                      <w14:alpha w14:val="100000"/>
                    </w14:srgbClr>
                  </w14:solidFill>
                </w14:textFill>
              </w:rPr>
              <w:t xml:space="preserve">　</w:t>
            </w:r>
            <w:r w:rsidRPr="00C64633">
              <w:rPr>
                <w:color w:val="000000"/>
                <w:w w:val="15"/>
                <w:shd w:val="solid" w:color="000000" w:fill="000000"/>
                <w:fitText w:val="70" w:id="-894171643"/>
                <w14:textFill>
                  <w14:solidFill>
                    <w14:srgbClr w14:val="000000">
                      <w14:alpha w14:val="100000"/>
                    </w14:srgbClr>
                  </w14:solidFill>
                </w14:textFill>
              </w:rPr>
              <w:t>|</w:t>
            </w:r>
            <w:r w:rsidRPr="00C64633">
              <w:rPr>
                <w:rFonts w:hint="eastAsia"/>
                <w:color w:val="000000"/>
                <w:w w:val="15"/>
                <w:shd w:val="solid" w:color="000000" w:fill="000000"/>
                <w:fitText w:val="70" w:id="-894171643"/>
                <w14:textFill>
                  <w14:solidFill>
                    <w14:srgbClr w14:val="000000">
                      <w14:alpha w14:val="100000"/>
                    </w14:srgbClr>
                  </w14:solidFill>
                </w14:textFill>
              </w:rPr>
              <w:t xml:space="preserve">　</w:t>
            </w:r>
            <w:r w:rsidR="001A19A3" w:rsidRPr="005C269B">
              <w:rPr>
                <w:vertAlign w:val="superscript"/>
              </w:rPr>
              <w:t>1</w:t>
            </w:r>
          </w:p>
        </w:tc>
        <w:tc>
          <w:tcPr>
            <w:tcW w:w="507" w:type="pct"/>
            <w:vAlign w:val="center"/>
          </w:tcPr>
          <w:p w14:paraId="6739328C" w14:textId="793955FF" w:rsidR="00670F7F" w:rsidRPr="00DF0226" w:rsidRDefault="00670F7F" w:rsidP="00B254FA">
            <w:pPr>
              <w:pStyle w:val="COMTabletext"/>
              <w:keepNext w:val="0"/>
              <w:jc w:val="center"/>
            </w:pPr>
            <w:r w:rsidRPr="00DF0226">
              <w:t>-</w:t>
            </w:r>
            <w:r w:rsidR="00AF1BA2" w:rsidRPr="00C64633">
              <w:rPr>
                <w:color w:val="000000"/>
                <w:spacing w:val="46"/>
                <w:shd w:val="solid" w:color="000000" w:fill="000000"/>
                <w:fitText w:val="220" w:id="-894171642"/>
                <w14:textFill>
                  <w14:solidFill>
                    <w14:srgbClr w14:val="000000">
                      <w14:alpha w14:val="100000"/>
                    </w14:srgbClr>
                  </w14:solidFill>
                </w14:textFill>
              </w:rPr>
              <w:t>||</w:t>
            </w:r>
            <w:r w:rsidR="00AF1BA2" w:rsidRPr="00C64633">
              <w:rPr>
                <w:color w:val="000000"/>
                <w:spacing w:val="1"/>
                <w:shd w:val="solid" w:color="000000" w:fill="000000"/>
                <w:fitText w:val="220" w:id="-894171642"/>
                <w14:textFill>
                  <w14:solidFill>
                    <w14:srgbClr w14:val="000000">
                      <w14:alpha w14:val="100000"/>
                    </w14:srgbClr>
                  </w14:solidFill>
                </w14:textFill>
              </w:rPr>
              <w:t>|</w:t>
            </w:r>
            <w:r w:rsidRPr="00DF0226">
              <w:t>%</w:t>
            </w:r>
          </w:p>
        </w:tc>
      </w:tr>
      <w:tr w:rsidR="00670F7F" w:rsidRPr="00DF0226" w14:paraId="4377DE37" w14:textId="77777777" w:rsidTr="1797D1E5">
        <w:trPr>
          <w:cantSplit/>
        </w:trPr>
        <w:tc>
          <w:tcPr>
            <w:tcW w:w="2644" w:type="pct"/>
          </w:tcPr>
          <w:p w14:paraId="1034A545" w14:textId="77777777" w:rsidR="00670F7F" w:rsidRPr="00DF0226" w:rsidRDefault="00670F7F" w:rsidP="00B254FA">
            <w:pPr>
              <w:pStyle w:val="COMTabletext"/>
              <w:keepNext w:val="0"/>
            </w:pPr>
            <w:r w:rsidRPr="00DF0226">
              <w:t>Weighted cost applied to relapsed events from 4.5 years onwards (25% blinatumomab, 25% SOC)</w:t>
            </w:r>
          </w:p>
        </w:tc>
        <w:tc>
          <w:tcPr>
            <w:tcW w:w="614" w:type="pct"/>
            <w:shd w:val="clear" w:color="auto" w:fill="000000" w:themeFill="text1"/>
            <w:vAlign w:val="center"/>
          </w:tcPr>
          <w:p w14:paraId="4EB50DD3" w14:textId="14F33782" w:rsidR="00670F7F" w:rsidRPr="00327E8F" w:rsidRDefault="00AF1BA2" w:rsidP="00B254FA">
            <w:pPr>
              <w:pStyle w:val="COMTabletext"/>
              <w:keepNext w:val="0"/>
              <w:jc w:val="center"/>
              <w:rPr>
                <w:highlight w:val="lightGray"/>
              </w:rPr>
            </w:pPr>
            <w:r>
              <w:rPr>
                <w:color w:val="000000"/>
                <w:w w:val="15"/>
                <w:fitText w:val="10" w:id="-894171641"/>
                <w14:textFill>
                  <w14:solidFill>
                    <w14:srgbClr w14:val="000000">
                      <w14:alpha w14:val="100000"/>
                    </w14:srgbClr>
                  </w14:solidFill>
                </w14:textFill>
              </w:rPr>
              <w:t xml:space="preserve">　</w:t>
            </w:r>
            <w:r>
              <w:rPr>
                <w:color w:val="000000"/>
                <w:w w:val="15"/>
                <w:fitText w:val="10" w:id="-894171641"/>
                <w14:textFill>
                  <w14:solidFill>
                    <w14:srgbClr w14:val="000000">
                      <w14:alpha w14:val="100000"/>
                    </w14:srgbClr>
                  </w14:solidFill>
                </w14:textFill>
              </w:rPr>
              <w:t>|</w:t>
            </w:r>
            <w:r>
              <w:rPr>
                <w:color w:val="000000"/>
                <w:spacing w:val="-56"/>
                <w:w w:val="15"/>
                <w:fitText w:val="10" w:id="-894171641"/>
                <w14:textFill>
                  <w14:solidFill>
                    <w14:srgbClr w14:val="000000">
                      <w14:alpha w14:val="100000"/>
                    </w14:srgbClr>
                  </w14:solidFill>
                </w14:textFill>
              </w:rPr>
              <w:t xml:space="preserve">　</w:t>
            </w:r>
          </w:p>
        </w:tc>
        <w:tc>
          <w:tcPr>
            <w:tcW w:w="637" w:type="pct"/>
            <w:vAlign w:val="center"/>
          </w:tcPr>
          <w:p w14:paraId="12E0359E" w14:textId="77777777" w:rsidR="00670F7F" w:rsidRPr="00DF0226" w:rsidRDefault="00670F7F" w:rsidP="00B254FA">
            <w:pPr>
              <w:pStyle w:val="COMTabletext"/>
              <w:keepNext w:val="0"/>
              <w:jc w:val="center"/>
            </w:pPr>
            <w:r w:rsidRPr="00DF0226">
              <w:t>3.3595</w:t>
            </w:r>
          </w:p>
        </w:tc>
        <w:tc>
          <w:tcPr>
            <w:tcW w:w="598" w:type="pct"/>
            <w:vAlign w:val="center"/>
          </w:tcPr>
          <w:p w14:paraId="3E759955" w14:textId="7559846F" w:rsidR="00670F7F" w:rsidRPr="00327E8F" w:rsidRDefault="00AF1BA2" w:rsidP="00B254FA">
            <w:pPr>
              <w:pStyle w:val="COMTabletext"/>
              <w:keepNext w:val="0"/>
              <w:jc w:val="center"/>
              <w:rPr>
                <w:highlight w:val="lightGray"/>
              </w:rPr>
            </w:pPr>
            <w:r w:rsidRPr="00C64633">
              <w:rPr>
                <w:rFonts w:hint="eastAsia"/>
                <w:color w:val="000000"/>
                <w:w w:val="15"/>
                <w:shd w:val="solid" w:color="000000" w:fill="000000"/>
                <w:fitText w:val="70" w:id="-894171640"/>
                <w14:textFill>
                  <w14:solidFill>
                    <w14:srgbClr w14:val="000000">
                      <w14:alpha w14:val="100000"/>
                    </w14:srgbClr>
                  </w14:solidFill>
                </w14:textFill>
              </w:rPr>
              <w:t xml:space="preserve">　</w:t>
            </w:r>
            <w:r w:rsidRPr="00C64633">
              <w:rPr>
                <w:color w:val="000000"/>
                <w:w w:val="15"/>
                <w:shd w:val="solid" w:color="000000" w:fill="000000"/>
                <w:fitText w:val="70" w:id="-894171640"/>
                <w14:textFill>
                  <w14:solidFill>
                    <w14:srgbClr w14:val="000000">
                      <w14:alpha w14:val="100000"/>
                    </w14:srgbClr>
                  </w14:solidFill>
                </w14:textFill>
              </w:rPr>
              <w:t>|</w:t>
            </w:r>
            <w:r w:rsidRPr="00C64633">
              <w:rPr>
                <w:rFonts w:hint="eastAsia"/>
                <w:color w:val="000000"/>
                <w:w w:val="15"/>
                <w:shd w:val="solid" w:color="000000" w:fill="000000"/>
                <w:fitText w:val="70" w:id="-894171640"/>
                <w14:textFill>
                  <w14:solidFill>
                    <w14:srgbClr w14:val="000000">
                      <w14:alpha w14:val="100000"/>
                    </w14:srgbClr>
                  </w14:solidFill>
                </w14:textFill>
              </w:rPr>
              <w:t xml:space="preserve">　</w:t>
            </w:r>
            <w:r w:rsidR="001A19A3" w:rsidRPr="005C269B">
              <w:rPr>
                <w:vertAlign w:val="superscript"/>
              </w:rPr>
              <w:t>1</w:t>
            </w:r>
          </w:p>
        </w:tc>
        <w:tc>
          <w:tcPr>
            <w:tcW w:w="507" w:type="pct"/>
            <w:vAlign w:val="center"/>
          </w:tcPr>
          <w:p w14:paraId="40882ECA" w14:textId="426B6312" w:rsidR="00670F7F" w:rsidRPr="00DF0226" w:rsidRDefault="00670F7F" w:rsidP="00B254FA">
            <w:pPr>
              <w:pStyle w:val="COMTabletext"/>
              <w:keepNext w:val="0"/>
              <w:jc w:val="center"/>
            </w:pPr>
            <w:r w:rsidRPr="00DF0226">
              <w:t>-</w:t>
            </w:r>
            <w:r w:rsidR="00AF1BA2" w:rsidRPr="00C64633">
              <w:rPr>
                <w:color w:val="000000"/>
                <w:spacing w:val="46"/>
                <w:shd w:val="solid" w:color="000000" w:fill="000000"/>
                <w:fitText w:val="220" w:id="-894171639"/>
                <w14:textFill>
                  <w14:solidFill>
                    <w14:srgbClr w14:val="000000">
                      <w14:alpha w14:val="100000"/>
                    </w14:srgbClr>
                  </w14:solidFill>
                </w14:textFill>
              </w:rPr>
              <w:t>||</w:t>
            </w:r>
            <w:r w:rsidR="00AF1BA2" w:rsidRPr="00C64633">
              <w:rPr>
                <w:color w:val="000000"/>
                <w:spacing w:val="1"/>
                <w:shd w:val="solid" w:color="000000" w:fill="000000"/>
                <w:fitText w:val="220" w:id="-894171639"/>
                <w14:textFill>
                  <w14:solidFill>
                    <w14:srgbClr w14:val="000000">
                      <w14:alpha w14:val="100000"/>
                    </w14:srgbClr>
                  </w14:solidFill>
                </w14:textFill>
              </w:rPr>
              <w:t>|</w:t>
            </w:r>
            <w:r w:rsidRPr="00DF0226">
              <w:t>%</w:t>
            </w:r>
          </w:p>
        </w:tc>
      </w:tr>
      <w:tr w:rsidR="00052939" w:rsidRPr="008C335E" w14:paraId="376E84D5" w14:textId="77777777" w:rsidTr="1797D1E5">
        <w:trPr>
          <w:cantSplit/>
        </w:trPr>
        <w:tc>
          <w:tcPr>
            <w:tcW w:w="5000" w:type="pct"/>
            <w:gridSpan w:val="5"/>
          </w:tcPr>
          <w:p w14:paraId="7EC4020B" w14:textId="3F6025B8" w:rsidR="00A329B2" w:rsidRPr="008C335E" w:rsidRDefault="0041711E" w:rsidP="0041711E">
            <w:pPr>
              <w:pStyle w:val="COMTabletext"/>
              <w:keepNext w:val="0"/>
              <w:rPr>
                <w:b/>
                <w:bCs w:val="0"/>
              </w:rPr>
            </w:pPr>
            <w:r w:rsidRPr="008C335E">
              <w:rPr>
                <w:b/>
                <w:bCs w:val="0"/>
              </w:rPr>
              <w:t>Effective AEMP per vial (base case: $</w:t>
            </w:r>
            <w:r w:rsidR="00AF1BA2" w:rsidRPr="00C64633">
              <w:rPr>
                <w:b/>
                <w:bCs w:val="0"/>
                <w:color w:val="000000"/>
                <w:spacing w:val="55"/>
                <w:shd w:val="solid" w:color="000000" w:fill="000000"/>
                <w:fitText w:val="350" w:id="-894171638"/>
                <w14:textFill>
                  <w14:solidFill>
                    <w14:srgbClr w14:val="000000">
                      <w14:alpha w14:val="100000"/>
                    </w14:srgbClr>
                  </w14:solidFill>
                </w14:textFill>
              </w:rPr>
              <w:t>|||</w:t>
            </w:r>
            <w:r w:rsidR="00AF1BA2" w:rsidRPr="00C64633">
              <w:rPr>
                <w:b/>
                <w:bCs w:val="0"/>
                <w:color w:val="000000"/>
                <w:spacing w:val="2"/>
                <w:shd w:val="solid" w:color="000000" w:fill="000000"/>
                <w:fitText w:val="350" w:id="-894171638"/>
                <w14:textFill>
                  <w14:solidFill>
                    <w14:srgbClr w14:val="000000">
                      <w14:alpha w14:val="100000"/>
                    </w14:srgbClr>
                  </w14:solidFill>
                </w14:textFill>
              </w:rPr>
              <w:t>|</w:t>
            </w:r>
            <w:r w:rsidRPr="008C335E">
              <w:rPr>
                <w:b/>
                <w:bCs w:val="0"/>
              </w:rPr>
              <w:t>)</w:t>
            </w:r>
          </w:p>
        </w:tc>
      </w:tr>
      <w:tr w:rsidR="00052939" w:rsidRPr="008C335E" w14:paraId="0C1F4504" w14:textId="77777777" w:rsidTr="1797D1E5">
        <w:trPr>
          <w:cantSplit/>
        </w:trPr>
        <w:tc>
          <w:tcPr>
            <w:tcW w:w="2644" w:type="pct"/>
            <w:tcBorders>
              <w:top w:val="single" w:sz="4" w:space="0" w:color="auto"/>
              <w:left w:val="single" w:sz="4" w:space="0" w:color="auto"/>
              <w:bottom w:val="single" w:sz="4" w:space="0" w:color="auto"/>
              <w:right w:val="single" w:sz="4" w:space="0" w:color="auto"/>
            </w:tcBorders>
          </w:tcPr>
          <w:p w14:paraId="0DB4B1AD" w14:textId="13822E93" w:rsidR="00A329B2" w:rsidRPr="008C335E" w:rsidRDefault="00A329B2" w:rsidP="006D00C6">
            <w:pPr>
              <w:pStyle w:val="COMTabletext"/>
              <w:keepNext w:val="0"/>
            </w:pPr>
            <w:r w:rsidRPr="008C335E">
              <w:t>Effective AEMP per vial $</w:t>
            </w:r>
            <w:r w:rsidR="00AF1BA2" w:rsidRPr="00C64633">
              <w:rPr>
                <w:color w:val="000000"/>
                <w:spacing w:val="53"/>
                <w:shd w:val="solid" w:color="000000" w:fill="000000"/>
                <w:fitText w:val="330" w:id="-894171637"/>
                <w14:textFill>
                  <w14:solidFill>
                    <w14:srgbClr w14:val="000000">
                      <w14:alpha w14:val="100000"/>
                    </w14:srgbClr>
                  </w14:solidFill>
                </w14:textFill>
              </w:rPr>
              <w:t>|||</w:t>
            </w:r>
            <w:r w:rsidR="00AF1BA2" w:rsidRPr="00C64633">
              <w:rPr>
                <w:color w:val="000000"/>
                <w:spacing w:val="1"/>
                <w:shd w:val="solid" w:color="000000" w:fill="000000"/>
                <w:fitText w:val="330" w:id="-894171637"/>
                <w14:textFill>
                  <w14:solidFill>
                    <w14:srgbClr w14:val="000000">
                      <w14:alpha w14:val="100000"/>
                    </w14:srgbClr>
                  </w14:solidFill>
                </w14:textFill>
              </w:rPr>
              <w:t>|</w:t>
            </w:r>
            <w:r w:rsidRPr="008C335E">
              <w:t>, based on price for MRD-positive B-ALL</w:t>
            </w:r>
          </w:p>
        </w:tc>
        <w:tc>
          <w:tcPr>
            <w:tcW w:w="614"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810F6FD" w14:textId="15FC88B6" w:rsidR="00A329B2" w:rsidRPr="00327E8F" w:rsidRDefault="00AF1BA2" w:rsidP="006D00C6">
            <w:pPr>
              <w:pStyle w:val="COMTabletext"/>
              <w:keepNext w:val="0"/>
              <w:jc w:val="center"/>
              <w:rPr>
                <w:highlight w:val="lightGray"/>
              </w:rPr>
            </w:pPr>
            <w:r>
              <w:rPr>
                <w:color w:val="000000"/>
                <w:w w:val="15"/>
                <w:fitText w:val="10" w:id="-894171636"/>
                <w14:textFill>
                  <w14:solidFill>
                    <w14:srgbClr w14:val="000000">
                      <w14:alpha w14:val="100000"/>
                    </w14:srgbClr>
                  </w14:solidFill>
                </w14:textFill>
              </w:rPr>
              <w:t xml:space="preserve">　</w:t>
            </w:r>
            <w:r>
              <w:rPr>
                <w:color w:val="000000"/>
                <w:w w:val="15"/>
                <w:fitText w:val="10" w:id="-894171636"/>
                <w14:textFill>
                  <w14:solidFill>
                    <w14:srgbClr w14:val="000000">
                      <w14:alpha w14:val="100000"/>
                    </w14:srgbClr>
                  </w14:solidFill>
                </w14:textFill>
              </w:rPr>
              <w:t>|</w:t>
            </w:r>
            <w:r>
              <w:rPr>
                <w:color w:val="000000"/>
                <w:spacing w:val="-56"/>
                <w:w w:val="15"/>
                <w:fitText w:val="10" w:id="-894171636"/>
                <w14:textFill>
                  <w14:solidFill>
                    <w14:srgbClr w14:val="000000">
                      <w14:alpha w14:val="100000"/>
                    </w14:srgbClr>
                  </w14:solidFill>
                </w14:textFill>
              </w:rPr>
              <w:t xml:space="preserve">　</w:t>
            </w:r>
          </w:p>
        </w:tc>
        <w:tc>
          <w:tcPr>
            <w:tcW w:w="637" w:type="pct"/>
            <w:tcBorders>
              <w:top w:val="single" w:sz="4" w:space="0" w:color="auto"/>
              <w:left w:val="single" w:sz="4" w:space="0" w:color="auto"/>
              <w:bottom w:val="single" w:sz="4" w:space="0" w:color="auto"/>
              <w:right w:val="single" w:sz="4" w:space="0" w:color="auto"/>
            </w:tcBorders>
            <w:vAlign w:val="center"/>
          </w:tcPr>
          <w:p w14:paraId="6DE02A23" w14:textId="77777777" w:rsidR="00A329B2" w:rsidRPr="008C335E" w:rsidRDefault="00A329B2" w:rsidP="006D00C6">
            <w:pPr>
              <w:pStyle w:val="COMTabletext"/>
              <w:keepNext w:val="0"/>
              <w:jc w:val="center"/>
            </w:pPr>
            <w:r w:rsidRPr="008C335E">
              <w:t>3.3595</w:t>
            </w:r>
          </w:p>
        </w:tc>
        <w:tc>
          <w:tcPr>
            <w:tcW w:w="598" w:type="pct"/>
            <w:tcBorders>
              <w:top w:val="single" w:sz="4" w:space="0" w:color="auto"/>
              <w:left w:val="single" w:sz="4" w:space="0" w:color="auto"/>
              <w:bottom w:val="single" w:sz="4" w:space="0" w:color="auto"/>
              <w:right w:val="single" w:sz="4" w:space="0" w:color="auto"/>
            </w:tcBorders>
            <w:vAlign w:val="center"/>
          </w:tcPr>
          <w:p w14:paraId="4BBD85F0" w14:textId="7ED6CD38" w:rsidR="00A329B2" w:rsidRPr="00327E8F" w:rsidRDefault="00AF1BA2" w:rsidP="006D00C6">
            <w:pPr>
              <w:pStyle w:val="COMTabletext"/>
              <w:keepNext w:val="0"/>
              <w:jc w:val="center"/>
              <w:rPr>
                <w:highlight w:val="lightGray"/>
              </w:rPr>
            </w:pPr>
            <w:r w:rsidRPr="00C64633">
              <w:rPr>
                <w:rFonts w:hint="eastAsia"/>
                <w:color w:val="000000"/>
                <w:w w:val="15"/>
                <w:shd w:val="solid" w:color="000000" w:fill="000000"/>
                <w:fitText w:val="70" w:id="-894171635"/>
                <w14:textFill>
                  <w14:solidFill>
                    <w14:srgbClr w14:val="000000">
                      <w14:alpha w14:val="100000"/>
                    </w14:srgbClr>
                  </w14:solidFill>
                </w14:textFill>
              </w:rPr>
              <w:t xml:space="preserve">　</w:t>
            </w:r>
            <w:r w:rsidRPr="00C64633">
              <w:rPr>
                <w:color w:val="000000"/>
                <w:w w:val="15"/>
                <w:shd w:val="solid" w:color="000000" w:fill="000000"/>
                <w:fitText w:val="70" w:id="-894171635"/>
                <w14:textFill>
                  <w14:solidFill>
                    <w14:srgbClr w14:val="000000">
                      <w14:alpha w14:val="100000"/>
                    </w14:srgbClr>
                  </w14:solidFill>
                </w14:textFill>
              </w:rPr>
              <w:t>|</w:t>
            </w:r>
            <w:r w:rsidRPr="00C64633">
              <w:rPr>
                <w:rFonts w:hint="eastAsia"/>
                <w:color w:val="000000"/>
                <w:w w:val="15"/>
                <w:shd w:val="solid" w:color="000000" w:fill="000000"/>
                <w:fitText w:val="70" w:id="-894171635"/>
                <w14:textFill>
                  <w14:solidFill>
                    <w14:srgbClr w14:val="000000">
                      <w14:alpha w14:val="100000"/>
                    </w14:srgbClr>
                  </w14:solidFill>
                </w14:textFill>
              </w:rPr>
              <w:t xml:space="preserve">　</w:t>
            </w:r>
            <w:r w:rsidR="001A19A3" w:rsidRPr="005C269B">
              <w:rPr>
                <w:vertAlign w:val="superscript"/>
              </w:rPr>
              <w:t>1</w:t>
            </w:r>
          </w:p>
        </w:tc>
        <w:tc>
          <w:tcPr>
            <w:tcW w:w="507" w:type="pct"/>
            <w:tcBorders>
              <w:top w:val="single" w:sz="4" w:space="0" w:color="auto"/>
              <w:left w:val="single" w:sz="4" w:space="0" w:color="auto"/>
              <w:bottom w:val="single" w:sz="4" w:space="0" w:color="auto"/>
              <w:right w:val="single" w:sz="4" w:space="0" w:color="auto"/>
            </w:tcBorders>
            <w:vAlign w:val="center"/>
          </w:tcPr>
          <w:p w14:paraId="40C82087" w14:textId="5A275712" w:rsidR="00A329B2" w:rsidRPr="008C335E" w:rsidRDefault="00A329B2" w:rsidP="006D00C6">
            <w:pPr>
              <w:pStyle w:val="COMTabletext"/>
              <w:keepNext w:val="0"/>
              <w:jc w:val="center"/>
            </w:pPr>
            <w:r w:rsidRPr="008C335E">
              <w:t>-</w:t>
            </w:r>
            <w:r w:rsidR="00AF1BA2" w:rsidRPr="00C64633">
              <w:rPr>
                <w:color w:val="000000"/>
                <w:spacing w:val="46"/>
                <w:shd w:val="solid" w:color="000000" w:fill="000000"/>
                <w:fitText w:val="220" w:id="-894171634"/>
                <w14:textFill>
                  <w14:solidFill>
                    <w14:srgbClr w14:val="000000">
                      <w14:alpha w14:val="100000"/>
                    </w14:srgbClr>
                  </w14:solidFill>
                </w14:textFill>
              </w:rPr>
              <w:t>||</w:t>
            </w:r>
            <w:r w:rsidR="00AF1BA2" w:rsidRPr="00C64633">
              <w:rPr>
                <w:color w:val="000000"/>
                <w:spacing w:val="1"/>
                <w:shd w:val="solid" w:color="000000" w:fill="000000"/>
                <w:fitText w:val="220" w:id="-894171634"/>
                <w14:textFill>
                  <w14:solidFill>
                    <w14:srgbClr w14:val="000000">
                      <w14:alpha w14:val="100000"/>
                    </w14:srgbClr>
                  </w14:solidFill>
                </w14:textFill>
              </w:rPr>
              <w:t>|</w:t>
            </w:r>
            <w:r w:rsidRPr="008C335E">
              <w:t>%</w:t>
            </w:r>
          </w:p>
        </w:tc>
      </w:tr>
      <w:tr w:rsidR="00052939" w:rsidRPr="008C335E" w14:paraId="32FF8674" w14:textId="77777777" w:rsidTr="1797D1E5">
        <w:trPr>
          <w:cantSplit/>
        </w:trPr>
        <w:tc>
          <w:tcPr>
            <w:tcW w:w="2644" w:type="pct"/>
            <w:tcBorders>
              <w:top w:val="single" w:sz="4" w:space="0" w:color="auto"/>
              <w:left w:val="single" w:sz="4" w:space="0" w:color="auto"/>
              <w:bottom w:val="single" w:sz="4" w:space="0" w:color="auto"/>
              <w:right w:val="single" w:sz="4" w:space="0" w:color="auto"/>
            </w:tcBorders>
          </w:tcPr>
          <w:p w14:paraId="032D2BAD" w14:textId="58CB5755" w:rsidR="0041711E" w:rsidRPr="008C335E" w:rsidRDefault="0041711E" w:rsidP="006D00C6">
            <w:pPr>
              <w:pStyle w:val="COMTabletext"/>
              <w:keepNext w:val="0"/>
              <w:rPr>
                <w:b/>
                <w:bCs w:val="0"/>
              </w:rPr>
            </w:pPr>
            <w:r w:rsidRPr="008C335E">
              <w:rPr>
                <w:b/>
                <w:bCs w:val="0"/>
              </w:rPr>
              <w:t xml:space="preserve">Multivariate analyses </w:t>
            </w:r>
          </w:p>
        </w:tc>
        <w:tc>
          <w:tcPr>
            <w:tcW w:w="614" w:type="pct"/>
            <w:tcBorders>
              <w:top w:val="single" w:sz="4" w:space="0" w:color="auto"/>
              <w:left w:val="single" w:sz="4" w:space="0" w:color="auto"/>
              <w:bottom w:val="single" w:sz="4" w:space="0" w:color="auto"/>
              <w:right w:val="single" w:sz="4" w:space="0" w:color="auto"/>
            </w:tcBorders>
            <w:vAlign w:val="center"/>
          </w:tcPr>
          <w:p w14:paraId="76F14ADC" w14:textId="77777777" w:rsidR="0041711E" w:rsidRPr="00327E8F" w:rsidRDefault="0041711E" w:rsidP="006D00C6">
            <w:pPr>
              <w:pStyle w:val="COMTabletext"/>
              <w:keepNext w:val="0"/>
              <w:jc w:val="center"/>
              <w:rPr>
                <w:highlight w:val="lightGray"/>
              </w:rPr>
            </w:pPr>
          </w:p>
        </w:tc>
        <w:tc>
          <w:tcPr>
            <w:tcW w:w="637" w:type="pct"/>
            <w:tcBorders>
              <w:top w:val="single" w:sz="4" w:space="0" w:color="auto"/>
              <w:left w:val="single" w:sz="4" w:space="0" w:color="auto"/>
              <w:bottom w:val="single" w:sz="4" w:space="0" w:color="auto"/>
              <w:right w:val="single" w:sz="4" w:space="0" w:color="auto"/>
            </w:tcBorders>
            <w:vAlign w:val="center"/>
          </w:tcPr>
          <w:p w14:paraId="21D1D0EA" w14:textId="77777777" w:rsidR="0041711E" w:rsidRPr="008C335E" w:rsidRDefault="0041711E" w:rsidP="006D00C6">
            <w:pPr>
              <w:pStyle w:val="COMTabletext"/>
              <w:keepNext w:val="0"/>
              <w:jc w:val="center"/>
            </w:pPr>
          </w:p>
        </w:tc>
        <w:tc>
          <w:tcPr>
            <w:tcW w:w="598" w:type="pct"/>
            <w:tcBorders>
              <w:top w:val="single" w:sz="4" w:space="0" w:color="auto"/>
              <w:left w:val="single" w:sz="4" w:space="0" w:color="auto"/>
              <w:bottom w:val="single" w:sz="4" w:space="0" w:color="auto"/>
              <w:right w:val="single" w:sz="4" w:space="0" w:color="auto"/>
            </w:tcBorders>
            <w:vAlign w:val="center"/>
          </w:tcPr>
          <w:p w14:paraId="09485649" w14:textId="77777777" w:rsidR="0041711E" w:rsidRPr="00327E8F" w:rsidRDefault="0041711E" w:rsidP="006D00C6">
            <w:pPr>
              <w:pStyle w:val="COMTabletext"/>
              <w:keepNext w:val="0"/>
              <w:jc w:val="center"/>
              <w:rPr>
                <w:highlight w:val="lightGray"/>
              </w:rPr>
            </w:pPr>
          </w:p>
        </w:tc>
        <w:tc>
          <w:tcPr>
            <w:tcW w:w="507" w:type="pct"/>
            <w:tcBorders>
              <w:top w:val="single" w:sz="4" w:space="0" w:color="auto"/>
              <w:left w:val="single" w:sz="4" w:space="0" w:color="auto"/>
              <w:bottom w:val="single" w:sz="4" w:space="0" w:color="auto"/>
              <w:right w:val="single" w:sz="4" w:space="0" w:color="auto"/>
            </w:tcBorders>
            <w:vAlign w:val="center"/>
          </w:tcPr>
          <w:p w14:paraId="3722E79E" w14:textId="77777777" w:rsidR="0041711E" w:rsidRPr="008C335E" w:rsidRDefault="0041711E" w:rsidP="006D00C6">
            <w:pPr>
              <w:pStyle w:val="COMTabletext"/>
              <w:keepNext w:val="0"/>
              <w:jc w:val="center"/>
            </w:pPr>
          </w:p>
        </w:tc>
      </w:tr>
      <w:tr w:rsidR="00052939" w:rsidRPr="008C335E" w14:paraId="5C69E3D5" w14:textId="77777777" w:rsidTr="1797D1E5">
        <w:trPr>
          <w:cantSplit/>
        </w:trPr>
        <w:tc>
          <w:tcPr>
            <w:tcW w:w="2644" w:type="pct"/>
            <w:tcBorders>
              <w:top w:val="single" w:sz="4" w:space="0" w:color="auto"/>
              <w:left w:val="single" w:sz="4" w:space="0" w:color="auto"/>
              <w:bottom w:val="single" w:sz="4" w:space="0" w:color="auto"/>
              <w:right w:val="single" w:sz="4" w:space="0" w:color="auto"/>
            </w:tcBorders>
          </w:tcPr>
          <w:p w14:paraId="52060FD6" w14:textId="4B43394D" w:rsidR="00A329B2" w:rsidRPr="008C335E" w:rsidRDefault="00A329B2" w:rsidP="006D00C6">
            <w:pPr>
              <w:pStyle w:val="COMTabletext"/>
              <w:keepNext w:val="0"/>
            </w:pPr>
            <w:r w:rsidRPr="008C335E">
              <w:t>$</w:t>
            </w:r>
            <w:r w:rsidR="00AF1BA2" w:rsidRPr="00C64633">
              <w:rPr>
                <w:color w:val="000000"/>
                <w:spacing w:val="53"/>
                <w:shd w:val="solid" w:color="000000" w:fill="000000"/>
                <w:fitText w:val="330" w:id="-894171633"/>
                <w14:textFill>
                  <w14:solidFill>
                    <w14:srgbClr w14:val="000000">
                      <w14:alpha w14:val="100000"/>
                    </w14:srgbClr>
                  </w14:solidFill>
                </w14:textFill>
              </w:rPr>
              <w:t>|||</w:t>
            </w:r>
            <w:r w:rsidR="00AF1BA2" w:rsidRPr="00C64633">
              <w:rPr>
                <w:color w:val="000000"/>
                <w:spacing w:val="1"/>
                <w:shd w:val="solid" w:color="000000" w:fill="000000"/>
                <w:fitText w:val="330" w:id="-894171633"/>
                <w14:textFill>
                  <w14:solidFill>
                    <w14:srgbClr w14:val="000000">
                      <w14:alpha w14:val="100000"/>
                    </w14:srgbClr>
                  </w14:solidFill>
                </w14:textFill>
              </w:rPr>
              <w:t>|</w:t>
            </w:r>
            <w:r w:rsidR="00862762">
              <w:t xml:space="preserve"> p</w:t>
            </w:r>
            <w:r w:rsidRPr="008C335E">
              <w:t>er vial; relapse-free utility 0.806; OS linear convergence from 4.5 to 30 years</w:t>
            </w:r>
          </w:p>
        </w:tc>
        <w:tc>
          <w:tcPr>
            <w:tcW w:w="614"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D9A749C" w14:textId="143C8107" w:rsidR="00A329B2" w:rsidRPr="00327E8F" w:rsidRDefault="00AF1BA2" w:rsidP="006D00C6">
            <w:pPr>
              <w:pStyle w:val="COMTabletext"/>
              <w:keepNext w:val="0"/>
              <w:jc w:val="center"/>
              <w:rPr>
                <w:highlight w:val="lightGray"/>
              </w:rPr>
            </w:pPr>
            <w:r>
              <w:rPr>
                <w:color w:val="000000"/>
                <w:w w:val="15"/>
                <w:fitText w:val="10" w:id="-894171632"/>
                <w14:textFill>
                  <w14:solidFill>
                    <w14:srgbClr w14:val="000000">
                      <w14:alpha w14:val="100000"/>
                    </w14:srgbClr>
                  </w14:solidFill>
                </w14:textFill>
              </w:rPr>
              <w:t xml:space="preserve">　</w:t>
            </w:r>
            <w:r>
              <w:rPr>
                <w:color w:val="000000"/>
                <w:w w:val="15"/>
                <w:fitText w:val="10" w:id="-894171632"/>
                <w14:textFill>
                  <w14:solidFill>
                    <w14:srgbClr w14:val="000000">
                      <w14:alpha w14:val="100000"/>
                    </w14:srgbClr>
                  </w14:solidFill>
                </w14:textFill>
              </w:rPr>
              <w:t>|</w:t>
            </w:r>
            <w:r>
              <w:rPr>
                <w:color w:val="000000"/>
                <w:spacing w:val="-56"/>
                <w:w w:val="15"/>
                <w:fitText w:val="10" w:id="-894171632"/>
                <w14:textFill>
                  <w14:solidFill>
                    <w14:srgbClr w14:val="000000">
                      <w14:alpha w14:val="100000"/>
                    </w14:srgbClr>
                  </w14:solidFill>
                </w14:textFill>
              </w:rPr>
              <w:t xml:space="preserve">　</w:t>
            </w:r>
          </w:p>
        </w:tc>
        <w:tc>
          <w:tcPr>
            <w:tcW w:w="637" w:type="pct"/>
            <w:tcBorders>
              <w:top w:val="single" w:sz="4" w:space="0" w:color="auto"/>
              <w:left w:val="single" w:sz="4" w:space="0" w:color="auto"/>
              <w:bottom w:val="single" w:sz="4" w:space="0" w:color="auto"/>
              <w:right w:val="single" w:sz="4" w:space="0" w:color="auto"/>
            </w:tcBorders>
            <w:vAlign w:val="center"/>
          </w:tcPr>
          <w:p w14:paraId="397865C8" w14:textId="76672565" w:rsidR="00A329B2" w:rsidRPr="008C335E" w:rsidRDefault="00A329B2" w:rsidP="006D00C6">
            <w:pPr>
              <w:pStyle w:val="COMTabletext"/>
              <w:keepNext w:val="0"/>
              <w:jc w:val="center"/>
            </w:pPr>
            <w:r w:rsidRPr="008C335E">
              <w:t>1.9</w:t>
            </w:r>
            <w:r w:rsidR="00632204" w:rsidRPr="008C335E">
              <w:t>817</w:t>
            </w:r>
          </w:p>
        </w:tc>
        <w:tc>
          <w:tcPr>
            <w:tcW w:w="598" w:type="pct"/>
            <w:tcBorders>
              <w:top w:val="single" w:sz="4" w:space="0" w:color="auto"/>
              <w:left w:val="single" w:sz="4" w:space="0" w:color="auto"/>
              <w:bottom w:val="single" w:sz="4" w:space="0" w:color="auto"/>
              <w:right w:val="single" w:sz="4" w:space="0" w:color="auto"/>
            </w:tcBorders>
            <w:vAlign w:val="center"/>
          </w:tcPr>
          <w:p w14:paraId="5AE56CB7" w14:textId="79726382" w:rsidR="00A329B2" w:rsidRPr="00327E8F" w:rsidRDefault="00AF1BA2" w:rsidP="006D00C6">
            <w:pPr>
              <w:pStyle w:val="COMTabletext"/>
              <w:keepNext w:val="0"/>
              <w:jc w:val="center"/>
              <w:rPr>
                <w:highlight w:val="lightGray"/>
              </w:rPr>
            </w:pPr>
            <w:r w:rsidRPr="00C64633">
              <w:rPr>
                <w:rFonts w:hint="eastAsia"/>
                <w:color w:val="000000"/>
                <w:w w:val="15"/>
                <w:shd w:val="solid" w:color="000000" w:fill="000000"/>
                <w:fitText w:val="70" w:id="-894171648"/>
                <w14:textFill>
                  <w14:solidFill>
                    <w14:srgbClr w14:val="000000">
                      <w14:alpha w14:val="100000"/>
                    </w14:srgbClr>
                  </w14:solidFill>
                </w14:textFill>
              </w:rPr>
              <w:t xml:space="preserve">　</w:t>
            </w:r>
            <w:r w:rsidRPr="00C64633">
              <w:rPr>
                <w:color w:val="000000"/>
                <w:w w:val="15"/>
                <w:shd w:val="solid" w:color="000000" w:fill="000000"/>
                <w:fitText w:val="70" w:id="-894171648"/>
                <w14:textFill>
                  <w14:solidFill>
                    <w14:srgbClr w14:val="000000">
                      <w14:alpha w14:val="100000"/>
                    </w14:srgbClr>
                  </w14:solidFill>
                </w14:textFill>
              </w:rPr>
              <w:t>|</w:t>
            </w:r>
            <w:r w:rsidRPr="00C64633">
              <w:rPr>
                <w:rFonts w:hint="eastAsia"/>
                <w:color w:val="000000"/>
                <w:w w:val="15"/>
                <w:shd w:val="solid" w:color="000000" w:fill="000000"/>
                <w:fitText w:val="70" w:id="-894171648"/>
                <w14:textFill>
                  <w14:solidFill>
                    <w14:srgbClr w14:val="000000">
                      <w14:alpha w14:val="100000"/>
                    </w14:srgbClr>
                  </w14:solidFill>
                </w14:textFill>
              </w:rPr>
              <w:t xml:space="preserve">　</w:t>
            </w:r>
            <w:r w:rsidR="00D52D14" w:rsidRPr="005C269B">
              <w:rPr>
                <w:vertAlign w:val="superscript"/>
              </w:rPr>
              <w:t>7</w:t>
            </w:r>
          </w:p>
        </w:tc>
        <w:tc>
          <w:tcPr>
            <w:tcW w:w="507" w:type="pct"/>
            <w:tcBorders>
              <w:top w:val="single" w:sz="4" w:space="0" w:color="auto"/>
              <w:left w:val="single" w:sz="4" w:space="0" w:color="auto"/>
              <w:bottom w:val="single" w:sz="4" w:space="0" w:color="auto"/>
              <w:right w:val="single" w:sz="4" w:space="0" w:color="auto"/>
            </w:tcBorders>
            <w:vAlign w:val="center"/>
          </w:tcPr>
          <w:p w14:paraId="2E889820" w14:textId="333C553C" w:rsidR="00A329B2" w:rsidRPr="008C335E" w:rsidRDefault="00A329B2" w:rsidP="006D00C6">
            <w:pPr>
              <w:pStyle w:val="COMTabletext"/>
              <w:keepNext w:val="0"/>
              <w:jc w:val="center"/>
            </w:pPr>
            <w:r w:rsidRPr="008C335E">
              <w:t>+</w:t>
            </w:r>
            <w:r w:rsidR="00AF1BA2" w:rsidRPr="00C64633">
              <w:rPr>
                <w:color w:val="000000"/>
                <w:spacing w:val="154"/>
                <w:shd w:val="solid" w:color="000000" w:fill="000000"/>
                <w:fitText w:val="240" w:id="-894171647"/>
                <w14:textFill>
                  <w14:solidFill>
                    <w14:srgbClr w14:val="000000">
                      <w14:alpha w14:val="100000"/>
                    </w14:srgbClr>
                  </w14:solidFill>
                </w14:textFill>
              </w:rPr>
              <w:t>|</w:t>
            </w:r>
            <w:r w:rsidR="00AF1BA2" w:rsidRPr="00C64633">
              <w:rPr>
                <w:color w:val="000000"/>
                <w:shd w:val="solid" w:color="000000" w:fill="000000"/>
                <w:fitText w:val="240" w:id="-894171647"/>
                <w14:textFill>
                  <w14:solidFill>
                    <w14:srgbClr w14:val="000000">
                      <w14:alpha w14:val="100000"/>
                    </w14:srgbClr>
                  </w14:solidFill>
                </w14:textFill>
              </w:rPr>
              <w:t>|</w:t>
            </w:r>
            <w:r w:rsidRPr="008C335E">
              <w:t>%</w:t>
            </w:r>
          </w:p>
        </w:tc>
      </w:tr>
      <w:tr w:rsidR="00052939" w:rsidRPr="008C335E" w14:paraId="00097A9C" w14:textId="77777777" w:rsidTr="1797D1E5">
        <w:trPr>
          <w:cantSplit/>
        </w:trPr>
        <w:tc>
          <w:tcPr>
            <w:tcW w:w="2644" w:type="pct"/>
            <w:tcBorders>
              <w:top w:val="single" w:sz="4" w:space="0" w:color="auto"/>
              <w:left w:val="single" w:sz="4" w:space="0" w:color="auto"/>
              <w:bottom w:val="single" w:sz="4" w:space="0" w:color="auto"/>
              <w:right w:val="single" w:sz="4" w:space="0" w:color="auto"/>
            </w:tcBorders>
          </w:tcPr>
          <w:p w14:paraId="5671C770" w14:textId="27D19E1E" w:rsidR="00A329B2" w:rsidRPr="008C335E" w:rsidRDefault="00A329B2" w:rsidP="006D00C6">
            <w:pPr>
              <w:pStyle w:val="COMTabletext"/>
              <w:keepNext w:val="0"/>
            </w:pPr>
            <w:r w:rsidRPr="008C335E">
              <w:t>$</w:t>
            </w:r>
            <w:r w:rsidR="00AF1BA2" w:rsidRPr="00C64633">
              <w:rPr>
                <w:color w:val="000000"/>
                <w:spacing w:val="53"/>
                <w:shd w:val="solid" w:color="000000" w:fill="000000"/>
                <w:fitText w:val="330" w:id="-894171646"/>
                <w14:textFill>
                  <w14:solidFill>
                    <w14:srgbClr w14:val="000000">
                      <w14:alpha w14:val="100000"/>
                    </w14:srgbClr>
                  </w14:solidFill>
                </w14:textFill>
              </w:rPr>
              <w:t>|||</w:t>
            </w:r>
            <w:r w:rsidR="00AF1BA2" w:rsidRPr="00C64633">
              <w:rPr>
                <w:color w:val="000000"/>
                <w:spacing w:val="1"/>
                <w:shd w:val="solid" w:color="000000" w:fill="000000"/>
                <w:fitText w:val="330" w:id="-894171646"/>
                <w14:textFill>
                  <w14:solidFill>
                    <w14:srgbClr w14:val="000000">
                      <w14:alpha w14:val="100000"/>
                    </w14:srgbClr>
                  </w14:solidFill>
                </w14:textFill>
              </w:rPr>
              <w:t>|</w:t>
            </w:r>
            <w:r w:rsidR="00862762">
              <w:t xml:space="preserve"> p</w:t>
            </w:r>
            <w:r w:rsidRPr="008C335E">
              <w:t>er vial; relapse-free utility 0.806; OS linear convergence from 10 to 30 years</w:t>
            </w:r>
          </w:p>
        </w:tc>
        <w:tc>
          <w:tcPr>
            <w:tcW w:w="614"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5FD0234" w14:textId="3F62ECEE" w:rsidR="00A329B2" w:rsidRPr="00327E8F" w:rsidRDefault="00AF1BA2" w:rsidP="006D00C6">
            <w:pPr>
              <w:pStyle w:val="COMTabletext"/>
              <w:keepNext w:val="0"/>
              <w:jc w:val="center"/>
              <w:rPr>
                <w:highlight w:val="lightGray"/>
              </w:rPr>
            </w:pPr>
            <w:r>
              <w:rPr>
                <w:color w:val="000000"/>
                <w:w w:val="15"/>
                <w:fitText w:val="10" w:id="-894171645"/>
                <w14:textFill>
                  <w14:solidFill>
                    <w14:srgbClr w14:val="000000">
                      <w14:alpha w14:val="100000"/>
                    </w14:srgbClr>
                  </w14:solidFill>
                </w14:textFill>
              </w:rPr>
              <w:t xml:space="preserve">　</w:t>
            </w:r>
            <w:r>
              <w:rPr>
                <w:color w:val="000000"/>
                <w:w w:val="15"/>
                <w:fitText w:val="10" w:id="-894171645"/>
                <w14:textFill>
                  <w14:solidFill>
                    <w14:srgbClr w14:val="000000">
                      <w14:alpha w14:val="100000"/>
                    </w14:srgbClr>
                  </w14:solidFill>
                </w14:textFill>
              </w:rPr>
              <w:t>|</w:t>
            </w:r>
            <w:r>
              <w:rPr>
                <w:color w:val="000000"/>
                <w:spacing w:val="-56"/>
                <w:w w:val="15"/>
                <w:fitText w:val="10" w:id="-894171645"/>
                <w14:textFill>
                  <w14:solidFill>
                    <w14:srgbClr w14:val="000000">
                      <w14:alpha w14:val="100000"/>
                    </w14:srgbClr>
                  </w14:solidFill>
                </w14:textFill>
              </w:rPr>
              <w:t xml:space="preserve">　</w:t>
            </w:r>
          </w:p>
        </w:tc>
        <w:tc>
          <w:tcPr>
            <w:tcW w:w="637" w:type="pct"/>
            <w:tcBorders>
              <w:top w:val="single" w:sz="4" w:space="0" w:color="auto"/>
              <w:left w:val="single" w:sz="4" w:space="0" w:color="auto"/>
              <w:bottom w:val="single" w:sz="4" w:space="0" w:color="auto"/>
              <w:right w:val="single" w:sz="4" w:space="0" w:color="auto"/>
            </w:tcBorders>
            <w:vAlign w:val="center"/>
          </w:tcPr>
          <w:p w14:paraId="364A8206" w14:textId="0406F3DD" w:rsidR="00A329B2" w:rsidRPr="008C335E" w:rsidRDefault="00A329B2" w:rsidP="006D00C6">
            <w:pPr>
              <w:pStyle w:val="COMTabletext"/>
              <w:keepNext w:val="0"/>
              <w:jc w:val="center"/>
            </w:pPr>
            <w:r w:rsidRPr="008C335E">
              <w:t>2.2</w:t>
            </w:r>
            <w:r w:rsidR="00632204" w:rsidRPr="008C335E">
              <w:t>950</w:t>
            </w:r>
          </w:p>
        </w:tc>
        <w:tc>
          <w:tcPr>
            <w:tcW w:w="598" w:type="pct"/>
            <w:tcBorders>
              <w:top w:val="single" w:sz="4" w:space="0" w:color="auto"/>
              <w:left w:val="single" w:sz="4" w:space="0" w:color="auto"/>
              <w:bottom w:val="single" w:sz="4" w:space="0" w:color="auto"/>
              <w:right w:val="single" w:sz="4" w:space="0" w:color="auto"/>
            </w:tcBorders>
            <w:vAlign w:val="center"/>
          </w:tcPr>
          <w:p w14:paraId="636AE0B1" w14:textId="7F111C34" w:rsidR="00A329B2" w:rsidRPr="00327E8F" w:rsidRDefault="00AF1BA2" w:rsidP="006D00C6">
            <w:pPr>
              <w:pStyle w:val="COMTabletext"/>
              <w:keepNext w:val="0"/>
              <w:jc w:val="center"/>
              <w:rPr>
                <w:highlight w:val="lightGray"/>
              </w:rPr>
            </w:pPr>
            <w:r w:rsidRPr="00C64633">
              <w:rPr>
                <w:rFonts w:hint="eastAsia"/>
                <w:color w:val="000000"/>
                <w:w w:val="15"/>
                <w:shd w:val="solid" w:color="000000" w:fill="000000"/>
                <w:fitText w:val="70" w:id="-894171644"/>
                <w14:textFill>
                  <w14:solidFill>
                    <w14:srgbClr w14:val="000000">
                      <w14:alpha w14:val="100000"/>
                    </w14:srgbClr>
                  </w14:solidFill>
                </w14:textFill>
              </w:rPr>
              <w:t xml:space="preserve">　</w:t>
            </w:r>
            <w:r w:rsidRPr="00C64633">
              <w:rPr>
                <w:color w:val="000000"/>
                <w:w w:val="15"/>
                <w:shd w:val="solid" w:color="000000" w:fill="000000"/>
                <w:fitText w:val="70" w:id="-894171644"/>
                <w14:textFill>
                  <w14:solidFill>
                    <w14:srgbClr w14:val="000000">
                      <w14:alpha w14:val="100000"/>
                    </w14:srgbClr>
                  </w14:solidFill>
                </w14:textFill>
              </w:rPr>
              <w:t>|</w:t>
            </w:r>
            <w:r w:rsidRPr="00C64633">
              <w:rPr>
                <w:rFonts w:hint="eastAsia"/>
                <w:color w:val="000000"/>
                <w:w w:val="15"/>
                <w:shd w:val="solid" w:color="000000" w:fill="000000"/>
                <w:fitText w:val="70" w:id="-894171644"/>
                <w14:textFill>
                  <w14:solidFill>
                    <w14:srgbClr w14:val="000000">
                      <w14:alpha w14:val="100000"/>
                    </w14:srgbClr>
                  </w14:solidFill>
                </w14:textFill>
              </w:rPr>
              <w:t xml:space="preserve">　</w:t>
            </w:r>
            <w:r w:rsidR="00B42770" w:rsidRPr="005C269B">
              <w:rPr>
                <w:vertAlign w:val="superscript"/>
              </w:rPr>
              <w:t>6</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14:paraId="163ACF34" w14:textId="4ED71CBC" w:rsidR="00A329B2" w:rsidRPr="008C335E" w:rsidRDefault="00A329B2" w:rsidP="006D00C6">
            <w:pPr>
              <w:pStyle w:val="COMTabletext"/>
              <w:keepNext w:val="0"/>
              <w:jc w:val="center"/>
            </w:pPr>
            <w:r w:rsidRPr="008C335E">
              <w:t>+</w:t>
            </w:r>
            <w:r w:rsidR="00AF1BA2" w:rsidRPr="00C64633">
              <w:rPr>
                <w:color w:val="000000"/>
                <w:spacing w:val="154"/>
                <w:shd w:val="solid" w:color="000000" w:fill="000000"/>
                <w:fitText w:val="240" w:id="-894171643"/>
                <w14:textFill>
                  <w14:solidFill>
                    <w14:srgbClr w14:val="000000">
                      <w14:alpha w14:val="100000"/>
                    </w14:srgbClr>
                  </w14:solidFill>
                </w14:textFill>
              </w:rPr>
              <w:t>|</w:t>
            </w:r>
            <w:r w:rsidR="00AF1BA2" w:rsidRPr="00C64633">
              <w:rPr>
                <w:color w:val="000000"/>
                <w:shd w:val="solid" w:color="000000" w:fill="000000"/>
                <w:fitText w:val="240" w:id="-894171643"/>
                <w14:textFill>
                  <w14:solidFill>
                    <w14:srgbClr w14:val="000000">
                      <w14:alpha w14:val="100000"/>
                    </w14:srgbClr>
                  </w14:solidFill>
                </w14:textFill>
              </w:rPr>
              <w:t>|</w:t>
            </w:r>
            <w:r w:rsidRPr="008C335E">
              <w:t>%</w:t>
            </w:r>
          </w:p>
        </w:tc>
      </w:tr>
    </w:tbl>
    <w:p w14:paraId="1E92AE95" w14:textId="4A8208A7" w:rsidR="00150A4E" w:rsidRDefault="00D23D11" w:rsidP="00150A4E">
      <w:pPr>
        <w:pStyle w:val="COMTablefooter"/>
      </w:pPr>
      <w:r w:rsidRPr="00225248">
        <w:t xml:space="preserve">Source: </w:t>
      </w:r>
      <w:r w:rsidR="00150A4E">
        <w:t xml:space="preserve">Section 3.9, </w:t>
      </w:r>
      <w:r w:rsidR="00443FAC">
        <w:t xml:space="preserve">and the blinatumomab economic model </w:t>
      </w:r>
      <w:r w:rsidR="00150A4E">
        <w:t>of the submission</w:t>
      </w:r>
    </w:p>
    <w:p w14:paraId="7C40404C" w14:textId="77777777" w:rsidR="00150A4E" w:rsidRDefault="00150A4E" w:rsidP="00150A4E">
      <w:pPr>
        <w:pStyle w:val="COMTablefooter"/>
      </w:pPr>
      <w:r>
        <w:t>Abbreviations: ASCT, allogeneic stem cell transplant; ICER, incremental cost-effectiveness ratio; MCM, mixture cure model; NHCDC, National Hospital Cost Data Collection; OS, overall survival; QALY, quality adjusted life year; RR, relative risk; SOC, standard of care</w:t>
      </w:r>
    </w:p>
    <w:p w14:paraId="5CF8B7E6" w14:textId="77777777" w:rsidR="00B274A7" w:rsidRDefault="00150A4E" w:rsidP="00150A4E">
      <w:pPr>
        <w:pStyle w:val="COMTablefooter"/>
      </w:pPr>
      <w:r w:rsidRPr="00150A4E">
        <w:rPr>
          <w:vertAlign w:val="superscript"/>
        </w:rPr>
        <w:t>a</w:t>
      </w:r>
      <w:r>
        <w:t xml:space="preserve"> Assuming all patients who do not receive on-protocol ASCT receive 4 cycles of blinatumomab and all patients who receive on-protocol </w:t>
      </w:r>
    </w:p>
    <w:p w14:paraId="47EFB053" w14:textId="4CB3CECA" w:rsidR="00150A4E" w:rsidRDefault="00150A4E" w:rsidP="00445FC3">
      <w:pPr>
        <w:pStyle w:val="COMTablefooter"/>
        <w:widowControl w:val="0"/>
      </w:pPr>
      <w:r>
        <w:t>ASCT receive 2 cycles of blinatumomab</w:t>
      </w:r>
    </w:p>
    <w:p w14:paraId="0F4C280D" w14:textId="514C3EC9" w:rsidR="00D23D11" w:rsidRDefault="00150A4E" w:rsidP="00862762">
      <w:pPr>
        <w:pStyle w:val="COMTablefooter"/>
        <w:widowControl w:val="0"/>
        <w:spacing w:after="0"/>
      </w:pPr>
      <w:r w:rsidRPr="00150A4E">
        <w:rPr>
          <w:vertAlign w:val="superscript"/>
        </w:rPr>
        <w:t>b</w:t>
      </w:r>
      <w:r>
        <w:t xml:space="preserve"> Based on a cost per admission of $8,006 for 3.1 days minus $1,330 in pharmacy costs (AR-DRG 60B; NHCDC 2020-21 Public Sector report, acute cost weights AR-DRG v10.0)</w:t>
      </w:r>
    </w:p>
    <w:p w14:paraId="4EB3C123" w14:textId="77777777" w:rsidR="00F25A3B" w:rsidRPr="00862762" w:rsidRDefault="00F25A3B" w:rsidP="00445FC3">
      <w:pPr>
        <w:widowControl w:val="0"/>
        <w:spacing w:after="120"/>
        <w:contextualSpacing/>
        <w:rPr>
          <w:rFonts w:ascii="Arial Narrow" w:hAnsi="Arial Narrow"/>
          <w:i/>
          <w:iCs/>
          <w:snapToGrid w:val="0"/>
          <w:sz w:val="18"/>
          <w:szCs w:val="18"/>
        </w:rPr>
      </w:pPr>
      <w:bookmarkStart w:id="63" w:name="_Hlk176508078"/>
      <w:r w:rsidRPr="00862762">
        <w:rPr>
          <w:rFonts w:ascii="Arial Narrow" w:hAnsi="Arial Narrow"/>
          <w:i/>
          <w:iCs/>
          <w:snapToGrid w:val="0"/>
          <w:sz w:val="18"/>
          <w:szCs w:val="18"/>
        </w:rPr>
        <w:t>The redacted values correspond to the following ranges</w:t>
      </w:r>
    </w:p>
    <w:p w14:paraId="4D0CEFF5" w14:textId="77777777" w:rsidR="001A19A3" w:rsidRPr="00862762" w:rsidRDefault="001A19A3" w:rsidP="00445FC3">
      <w:pPr>
        <w:widowControl w:val="0"/>
        <w:spacing w:after="120"/>
        <w:contextualSpacing/>
        <w:rPr>
          <w:rFonts w:ascii="Arial Narrow" w:hAnsi="Arial Narrow"/>
          <w:i/>
          <w:iCs/>
          <w:snapToGrid w:val="0"/>
          <w:sz w:val="18"/>
          <w:szCs w:val="18"/>
        </w:rPr>
      </w:pPr>
      <w:r w:rsidRPr="00862762">
        <w:rPr>
          <w:rFonts w:ascii="Arial Narrow" w:hAnsi="Arial Narrow"/>
          <w:i/>
          <w:iCs/>
          <w:snapToGrid w:val="0"/>
          <w:sz w:val="18"/>
          <w:szCs w:val="18"/>
        </w:rPr>
        <w:t>1 $45,000 to &lt; $55,000</w:t>
      </w:r>
    </w:p>
    <w:p w14:paraId="39505681" w14:textId="77777777" w:rsidR="008A0B3A" w:rsidRPr="00862762" w:rsidRDefault="008A0B3A" w:rsidP="00445FC3">
      <w:pPr>
        <w:widowControl w:val="0"/>
        <w:spacing w:after="120"/>
        <w:contextualSpacing/>
        <w:rPr>
          <w:rFonts w:ascii="Arial Narrow" w:hAnsi="Arial Narrow"/>
          <w:i/>
          <w:iCs/>
          <w:snapToGrid w:val="0"/>
          <w:sz w:val="18"/>
          <w:szCs w:val="18"/>
        </w:rPr>
      </w:pPr>
      <w:r w:rsidRPr="00862762">
        <w:rPr>
          <w:rFonts w:ascii="Arial Narrow" w:hAnsi="Arial Narrow"/>
          <w:i/>
          <w:iCs/>
          <w:snapToGrid w:val="0"/>
          <w:sz w:val="18"/>
          <w:szCs w:val="18"/>
        </w:rPr>
        <w:t>2 $15,000 to &lt; $25,000</w:t>
      </w:r>
    </w:p>
    <w:p w14:paraId="78B7EF90" w14:textId="77777777" w:rsidR="00697328" w:rsidRPr="00862762" w:rsidRDefault="00697328" w:rsidP="00445FC3">
      <w:pPr>
        <w:widowControl w:val="0"/>
        <w:spacing w:after="120"/>
        <w:contextualSpacing/>
        <w:rPr>
          <w:rFonts w:ascii="Arial Narrow" w:hAnsi="Arial Narrow"/>
          <w:i/>
          <w:iCs/>
          <w:snapToGrid w:val="0"/>
          <w:sz w:val="18"/>
          <w:szCs w:val="18"/>
        </w:rPr>
      </w:pPr>
      <w:r w:rsidRPr="00862762">
        <w:rPr>
          <w:rFonts w:ascii="Arial Narrow" w:hAnsi="Arial Narrow"/>
          <w:i/>
          <w:iCs/>
          <w:snapToGrid w:val="0"/>
          <w:sz w:val="18"/>
          <w:szCs w:val="18"/>
        </w:rPr>
        <w:t>3 $35,000 to &lt; $45,000</w:t>
      </w:r>
    </w:p>
    <w:p w14:paraId="5E946E9C" w14:textId="77777777" w:rsidR="00DC1854" w:rsidRPr="00862762" w:rsidRDefault="00DC1854" w:rsidP="00445FC3">
      <w:pPr>
        <w:widowControl w:val="0"/>
        <w:spacing w:after="120"/>
        <w:contextualSpacing/>
        <w:rPr>
          <w:rFonts w:ascii="Arial Narrow" w:hAnsi="Arial Narrow"/>
          <w:i/>
          <w:iCs/>
          <w:snapToGrid w:val="0"/>
          <w:sz w:val="18"/>
          <w:szCs w:val="18"/>
        </w:rPr>
      </w:pPr>
      <w:r w:rsidRPr="00862762">
        <w:rPr>
          <w:rFonts w:ascii="Arial Narrow" w:hAnsi="Arial Narrow"/>
          <w:i/>
          <w:iCs/>
          <w:snapToGrid w:val="0"/>
          <w:sz w:val="18"/>
          <w:szCs w:val="18"/>
        </w:rPr>
        <w:t>4 $355,000 to &lt; $455,000</w:t>
      </w:r>
    </w:p>
    <w:p w14:paraId="4A2A99E9" w14:textId="77777777" w:rsidR="008419DD" w:rsidRPr="00862762" w:rsidRDefault="008419DD" w:rsidP="00445FC3">
      <w:pPr>
        <w:widowControl w:val="0"/>
        <w:spacing w:after="120"/>
        <w:contextualSpacing/>
        <w:rPr>
          <w:rFonts w:ascii="Arial Narrow" w:hAnsi="Arial Narrow"/>
          <w:i/>
          <w:iCs/>
          <w:snapToGrid w:val="0"/>
          <w:sz w:val="18"/>
          <w:szCs w:val="18"/>
        </w:rPr>
      </w:pPr>
      <w:r w:rsidRPr="00862762">
        <w:rPr>
          <w:rFonts w:ascii="Arial Narrow" w:hAnsi="Arial Narrow"/>
          <w:i/>
          <w:iCs/>
          <w:snapToGrid w:val="0"/>
          <w:sz w:val="18"/>
          <w:szCs w:val="18"/>
        </w:rPr>
        <w:t>5 $135,000 to &lt; $155,000</w:t>
      </w:r>
    </w:p>
    <w:p w14:paraId="7154C433" w14:textId="77777777" w:rsidR="00307527" w:rsidRPr="00862762" w:rsidRDefault="00307527" w:rsidP="00445FC3">
      <w:pPr>
        <w:widowControl w:val="0"/>
        <w:spacing w:after="120"/>
        <w:contextualSpacing/>
        <w:rPr>
          <w:rFonts w:ascii="Arial Narrow" w:hAnsi="Arial Narrow"/>
          <w:i/>
          <w:iCs/>
          <w:snapToGrid w:val="0"/>
          <w:sz w:val="18"/>
          <w:szCs w:val="18"/>
        </w:rPr>
      </w:pPr>
      <w:r w:rsidRPr="00862762">
        <w:rPr>
          <w:rFonts w:ascii="Arial Narrow" w:hAnsi="Arial Narrow"/>
          <w:i/>
          <w:iCs/>
          <w:snapToGrid w:val="0"/>
          <w:sz w:val="18"/>
          <w:szCs w:val="18"/>
        </w:rPr>
        <w:t xml:space="preserve">6 $55,000 to &lt; $75,000 </w:t>
      </w:r>
    </w:p>
    <w:p w14:paraId="72C02109" w14:textId="77777777" w:rsidR="0070283E" w:rsidRPr="00862762" w:rsidRDefault="0070283E" w:rsidP="0070283E">
      <w:pPr>
        <w:spacing w:after="120"/>
        <w:contextualSpacing/>
        <w:rPr>
          <w:rFonts w:ascii="Arial Narrow" w:hAnsi="Arial Narrow"/>
          <w:i/>
          <w:iCs/>
          <w:snapToGrid w:val="0"/>
          <w:sz w:val="18"/>
          <w:szCs w:val="18"/>
        </w:rPr>
      </w:pPr>
      <w:r w:rsidRPr="00862762">
        <w:rPr>
          <w:rFonts w:ascii="Arial Narrow" w:hAnsi="Arial Narrow"/>
          <w:i/>
          <w:iCs/>
          <w:snapToGrid w:val="0"/>
          <w:sz w:val="18"/>
          <w:szCs w:val="18"/>
        </w:rPr>
        <w:t>7 $75,000 to &lt; $95,000</w:t>
      </w:r>
    </w:p>
    <w:bookmarkEnd w:id="63"/>
    <w:p w14:paraId="08F9914A" w14:textId="2CAE6C9D" w:rsidR="001D4D79" w:rsidRPr="008C335E" w:rsidRDefault="005F345C" w:rsidP="001E7C76">
      <w:pPr>
        <w:pStyle w:val="COMexecsumnumberedpara"/>
      </w:pPr>
      <w:r w:rsidRPr="008C335E">
        <w:t>The model was most sensitive to</w:t>
      </w:r>
      <w:r w:rsidR="00413788" w:rsidRPr="008C335E">
        <w:t xml:space="preserve"> the</w:t>
      </w:r>
      <w:r w:rsidRPr="008C335E">
        <w:t xml:space="preserve"> time horizon, extrapolated survival benefit, the discount rate and the cost of consolidation treatment with blinatumomab. Alternative health state utilities and relapsed/refractory treatment costs had moderate impacts on the ICER per QALY gained. </w:t>
      </w:r>
    </w:p>
    <w:p w14:paraId="38D13688" w14:textId="01105808" w:rsidR="005F345C" w:rsidRPr="008C335E" w:rsidRDefault="00CA11AA" w:rsidP="001E7C76">
      <w:pPr>
        <w:pStyle w:val="COMexecsumnumberedpara"/>
      </w:pPr>
      <w:r w:rsidRPr="008C335E">
        <w:t xml:space="preserve">The magnitude of extrapolated survival benefit appeared </w:t>
      </w:r>
      <w:r w:rsidR="005A6EA6" w:rsidRPr="008C335E">
        <w:t xml:space="preserve">most </w:t>
      </w:r>
      <w:r w:rsidRPr="008C335E">
        <w:t xml:space="preserve">sensitive to the use of alternative mixture cure models for overall survival censored at on-protocol ASCT in the standard of care arm. </w:t>
      </w:r>
      <w:r w:rsidR="00CD4CC4" w:rsidRPr="008C335E">
        <w:t>The ESC considered t</w:t>
      </w:r>
      <w:r w:rsidRPr="008C335E">
        <w:t xml:space="preserve">his is likely due to sparseness of data informing the tail end of Kaplan-Meier estimates in the standard of care arm, with fewer patients remaining at risk at later timepoints in the trial compared to the blinatumomab arm. </w:t>
      </w:r>
    </w:p>
    <w:p w14:paraId="426447BE" w14:textId="67AAADE5" w:rsidR="00B2632C" w:rsidRPr="008C335E" w:rsidRDefault="00B2632C" w:rsidP="001E7C76">
      <w:pPr>
        <w:pStyle w:val="COMexecsumnumberedpara"/>
      </w:pPr>
      <w:r w:rsidRPr="008C335E">
        <w:lastRenderedPageBreak/>
        <w:t xml:space="preserve">The model includes curve convergence functionality to test the impact of overall survival convergence over time. While the model is sensitive to assumptions of linear convergence, the submission argued that the assumptions are inappropriate given the potential for cure with frontline treatment of B-ALL. </w:t>
      </w:r>
      <w:r w:rsidR="00EC34C5" w:rsidRPr="008C335E">
        <w:t>The ESC considered the long-term survival benefits of blinatumomab in the MRD-negative setting are uncertain given the median follow-up duration of 4.5 years, the high degree of censoring of survival outcomes (as most patients had yet to experience an event), and the limited data on the use of subsequent therapies that could affect disease trajectories (</w:t>
      </w:r>
      <w:r w:rsidR="00C42EEC" w:rsidRPr="008C335E">
        <w:t xml:space="preserve">see paragraph </w:t>
      </w:r>
      <w:r w:rsidR="00C42EEC" w:rsidRPr="008C335E">
        <w:fldChar w:fldCharType="begin" w:fldLock="1"/>
      </w:r>
      <w:r w:rsidR="00C42EEC" w:rsidRPr="008C335E">
        <w:instrText xml:space="preserve"> REF _Ref169864344 \r \h </w:instrText>
      </w:r>
      <w:r w:rsidR="008C335E" w:rsidRPr="008C335E">
        <w:instrText xml:space="preserve"> \* MERGEFORMAT </w:instrText>
      </w:r>
      <w:r w:rsidR="00C42EEC" w:rsidRPr="008C335E">
        <w:fldChar w:fldCharType="separate"/>
      </w:r>
      <w:r w:rsidR="0021273F">
        <w:t>6.60</w:t>
      </w:r>
      <w:r w:rsidR="00C42EEC" w:rsidRPr="008C335E">
        <w:fldChar w:fldCharType="end"/>
      </w:r>
      <w:r w:rsidR="00EC34C5" w:rsidRPr="008C335E">
        <w:t xml:space="preserve">). As such, ESC considered that it would be more appropriate for the </w:t>
      </w:r>
      <w:r w:rsidR="009D6350">
        <w:t>overall survival</w:t>
      </w:r>
      <w:r w:rsidR="00EC34C5" w:rsidRPr="008C335E">
        <w:t xml:space="preserve"> curves to converge linearly between 10 and 30 years. </w:t>
      </w:r>
      <w:r w:rsidR="00472D2F">
        <w:t xml:space="preserve">The pre-PBAC response </w:t>
      </w:r>
      <w:r w:rsidR="00FE0B39">
        <w:t>agreed</w:t>
      </w:r>
      <w:r w:rsidR="00472D2F">
        <w:t xml:space="preserve"> to the application of curve convergence between 10 and 30 years.</w:t>
      </w:r>
    </w:p>
    <w:p w14:paraId="10870D07" w14:textId="0CCB3312" w:rsidR="00B2632C" w:rsidRPr="008C335E" w:rsidRDefault="00B2632C" w:rsidP="001E7C76">
      <w:pPr>
        <w:pStyle w:val="COMexecsumnumberedpara"/>
      </w:pPr>
      <w:r w:rsidRPr="008C335E">
        <w:t xml:space="preserve">The impact of blinatumomab on ASCT rates is uncertain due to limitations with the trial design (planned ASCT was a randomisation factor). </w:t>
      </w:r>
      <w:r w:rsidR="00FF6A16" w:rsidRPr="008C335E">
        <w:t>However, t</w:t>
      </w:r>
      <w:r w:rsidRPr="008C335E">
        <w:t>he ability to adequately test alternative assumptions regarding ASCT rates in the model was also limited by the partitioned survival design.</w:t>
      </w:r>
    </w:p>
    <w:p w14:paraId="4AD385FB" w14:textId="724F983F" w:rsidR="004D572C" w:rsidRPr="008C335E" w:rsidRDefault="00FA3978" w:rsidP="00101B30">
      <w:pPr>
        <w:pStyle w:val="COMexecsumnumberedpara"/>
      </w:pPr>
      <w:r w:rsidRPr="008C335E">
        <w:t xml:space="preserve">Due to structural limitations, changes to the utilisation of relapsed/refractory treatments only affected modelled costs without affecting survival endpoints or quality of life. There were additional uncertainties associated with the implementation of these costs as the model structure is unable to track the occurrence of events and/or patient status </w:t>
      </w:r>
      <w:r w:rsidR="00353D9C" w:rsidRPr="008C335E">
        <w:t xml:space="preserve">at </w:t>
      </w:r>
      <w:r w:rsidRPr="008C335E">
        <w:t>any given time</w:t>
      </w:r>
      <w:bookmarkStart w:id="64" w:name="_Ref169711765"/>
      <w:r w:rsidR="007B4B14" w:rsidRPr="008C335E">
        <w:t>.</w:t>
      </w:r>
      <w:bookmarkEnd w:id="64"/>
      <w:r w:rsidR="007B4B14" w:rsidRPr="008C335E">
        <w:t xml:space="preserve"> </w:t>
      </w:r>
    </w:p>
    <w:p w14:paraId="0FA3E4F1" w14:textId="25AC3E62" w:rsidR="001C50B1" w:rsidRPr="008C335E" w:rsidRDefault="001C50B1" w:rsidP="001E7C76">
      <w:pPr>
        <w:pStyle w:val="COMexecsumnumberedpara"/>
      </w:pPr>
      <w:r w:rsidRPr="008C335E">
        <w:t>The ESC noted the effective AEMP per vial for blinatumomab used in the base case of the economic model was higher than the current AEMP in the MRD-positive setting (see paragraph</w:t>
      </w:r>
      <w:r w:rsidR="00FE0B39">
        <w:t xml:space="preserve"> </w:t>
      </w:r>
      <w:r w:rsidR="00FE0B39">
        <w:fldChar w:fldCharType="begin" w:fldLock="1"/>
      </w:r>
      <w:r w:rsidR="00FE0B39">
        <w:instrText xml:space="preserve"> REF _Ref173841998 \r \h </w:instrText>
      </w:r>
      <w:r w:rsidR="00FE0B39">
        <w:fldChar w:fldCharType="separate"/>
      </w:r>
      <w:r w:rsidR="0021273F">
        <w:t>3.2</w:t>
      </w:r>
      <w:r w:rsidR="00FE0B39">
        <w:fldChar w:fldCharType="end"/>
      </w:r>
      <w:r w:rsidRPr="008C335E">
        <w:rPr>
          <w:color w:val="000000"/>
        </w:rPr>
        <w:t xml:space="preserve">). The ESC further noted that </w:t>
      </w:r>
      <w:r w:rsidR="00B56F4F" w:rsidRPr="008C335E">
        <w:rPr>
          <w:color w:val="000000"/>
        </w:rPr>
        <w:t>the treatment duration is longer in MRD-negative versus MRD-positive patients (average of 83 vials versus 53 vials), and that the cost offsets are higher in MRD-positive due to reduced use of blinatumomab in the relapse/refractory setting. The ESC considered</w:t>
      </w:r>
      <w:r w:rsidR="00115EF6" w:rsidRPr="008C335E">
        <w:rPr>
          <w:color w:val="000000"/>
        </w:rPr>
        <w:t>, in the context of the clinical trial results, that</w:t>
      </w:r>
      <w:r w:rsidR="00B56F4F" w:rsidRPr="008C335E">
        <w:rPr>
          <w:color w:val="000000"/>
        </w:rPr>
        <w:t xml:space="preserve"> the additional modelled incremental QALYs</w:t>
      </w:r>
      <w:r w:rsidR="00115EF6" w:rsidRPr="008C335E">
        <w:rPr>
          <w:color w:val="000000"/>
        </w:rPr>
        <w:t xml:space="preserve"> in the MRD negative setting versus the MRD positive setting (</w:t>
      </w:r>
      <w:r w:rsidR="0090177D" w:rsidRPr="008C335E">
        <w:rPr>
          <w:color w:val="000000"/>
        </w:rPr>
        <w:t>3.36</w:t>
      </w:r>
      <w:r w:rsidR="00115EF6" w:rsidRPr="008C335E">
        <w:rPr>
          <w:color w:val="000000"/>
        </w:rPr>
        <w:t xml:space="preserve"> vs </w:t>
      </w:r>
      <w:r w:rsidR="0090177D" w:rsidRPr="008C335E">
        <w:rPr>
          <w:color w:val="000000"/>
        </w:rPr>
        <w:t>1.19</w:t>
      </w:r>
      <w:r w:rsidR="00115EF6" w:rsidRPr="008C335E">
        <w:rPr>
          <w:color w:val="000000"/>
        </w:rPr>
        <w:t>)</w:t>
      </w:r>
      <w:r w:rsidR="00B56F4F" w:rsidRPr="008C335E">
        <w:rPr>
          <w:color w:val="000000"/>
        </w:rPr>
        <w:t xml:space="preserve"> </w:t>
      </w:r>
      <w:r w:rsidR="00115EF6" w:rsidRPr="008C335E">
        <w:rPr>
          <w:color w:val="000000"/>
        </w:rPr>
        <w:t>used to</w:t>
      </w:r>
      <w:r w:rsidR="00B56F4F" w:rsidRPr="008C335E">
        <w:rPr>
          <w:color w:val="000000"/>
        </w:rPr>
        <w:t xml:space="preserve"> justify th</w:t>
      </w:r>
      <w:r w:rsidR="00115EF6" w:rsidRPr="008C335E">
        <w:rPr>
          <w:color w:val="000000"/>
        </w:rPr>
        <w:t xml:space="preserve">e increased </w:t>
      </w:r>
      <w:r w:rsidR="00B56F4F" w:rsidRPr="008C335E">
        <w:rPr>
          <w:color w:val="000000"/>
        </w:rPr>
        <w:t>cost</w:t>
      </w:r>
      <w:r w:rsidR="00115EF6" w:rsidRPr="008C335E">
        <w:rPr>
          <w:color w:val="000000"/>
        </w:rPr>
        <w:t xml:space="preserve"> for blinatumomab in the MRD negative setting</w:t>
      </w:r>
      <w:r w:rsidR="00B56F4F" w:rsidRPr="008C335E">
        <w:rPr>
          <w:color w:val="000000"/>
        </w:rPr>
        <w:t xml:space="preserve"> to be</w:t>
      </w:r>
      <w:r w:rsidR="00115EF6" w:rsidRPr="008C335E">
        <w:rPr>
          <w:color w:val="000000"/>
        </w:rPr>
        <w:t xml:space="preserve"> uncertain.</w:t>
      </w:r>
      <w:r w:rsidR="00B56F4F" w:rsidRPr="008C335E">
        <w:rPr>
          <w:color w:val="000000"/>
        </w:rPr>
        <w:t xml:space="preserve"> </w:t>
      </w:r>
      <w:r w:rsidR="00FE0B39">
        <w:t xml:space="preserve">The pre-PBAC response offered a blinatumomab ex-manufacturer price consistent with the current AEMP in the MRD-positive setting </w:t>
      </w:r>
      <w:r w:rsidR="00FE0B39" w:rsidRPr="008C335E">
        <w:t>(see paragraph</w:t>
      </w:r>
      <w:r w:rsidR="00FE0B39">
        <w:t xml:space="preserve"> </w:t>
      </w:r>
      <w:r w:rsidR="00FE0B39">
        <w:fldChar w:fldCharType="begin" w:fldLock="1"/>
      </w:r>
      <w:r w:rsidR="00FE0B39">
        <w:instrText xml:space="preserve"> REF _Ref173841998 \r \h </w:instrText>
      </w:r>
      <w:r w:rsidR="00FE0B39">
        <w:fldChar w:fldCharType="separate"/>
      </w:r>
      <w:r w:rsidR="0021273F">
        <w:t>3.2</w:t>
      </w:r>
      <w:r w:rsidR="00FE0B39">
        <w:fldChar w:fldCharType="end"/>
      </w:r>
      <w:r w:rsidR="00FE0B39" w:rsidRPr="008C335E">
        <w:rPr>
          <w:color w:val="000000"/>
        </w:rPr>
        <w:t>)</w:t>
      </w:r>
      <w:r w:rsidR="00FE0B39">
        <w:t xml:space="preserve">. </w:t>
      </w:r>
    </w:p>
    <w:p w14:paraId="61D4ABBC" w14:textId="1F8FB4BE" w:rsidR="00010B3B" w:rsidRPr="008C335E" w:rsidRDefault="00313B88" w:rsidP="001E7C76">
      <w:pPr>
        <w:pStyle w:val="COMexecsumnumberedpara"/>
      </w:pPr>
      <w:r w:rsidRPr="008C335E">
        <w:t xml:space="preserve">The submission presented a simplified </w:t>
      </w:r>
      <w:r w:rsidR="007B4B14" w:rsidRPr="008C335E">
        <w:t>3-</w:t>
      </w:r>
      <w:r w:rsidRPr="008C335E">
        <w:t xml:space="preserve">state partitioned survival analysis (including relapse-free, relapsed disease and dead states) in sensitivity analyses based on </w:t>
      </w:r>
      <w:r w:rsidR="00010B3B" w:rsidRPr="008C335E">
        <w:t xml:space="preserve">key endpoints of overall survival and relapse-free survival in the trial (without censoring for on-protocol ASCT), extrapolated over time using mixture cure models. The results were sensitive to alternative mixture cure models used to extrapolate overall survival, with the ICER per QALY gained ranging from </w:t>
      </w:r>
      <w:r w:rsidR="00B40DEE" w:rsidRPr="00B40DEE">
        <w:t>$35,000</w:t>
      </w:r>
      <w:r w:rsidR="00862762">
        <w:t> </w:t>
      </w:r>
      <w:r w:rsidR="00B40DEE" w:rsidRPr="00B40DEE">
        <w:t>to</w:t>
      </w:r>
      <w:r w:rsidR="00862762">
        <w:t> </w:t>
      </w:r>
      <w:r w:rsidR="00B40DEE" w:rsidRPr="00B40DEE">
        <w:t>&lt;</w:t>
      </w:r>
      <w:r w:rsidR="00862762">
        <w:t> </w:t>
      </w:r>
      <w:r w:rsidR="00B40DEE" w:rsidRPr="00B40DEE">
        <w:t>$45,000</w:t>
      </w:r>
      <w:r w:rsidR="00054958">
        <w:t xml:space="preserve"> </w:t>
      </w:r>
      <w:r w:rsidR="00010B3B" w:rsidRPr="008C335E">
        <w:t xml:space="preserve">to </w:t>
      </w:r>
      <w:r w:rsidR="004C1910" w:rsidRPr="004C1910">
        <w:t>$55,000</w:t>
      </w:r>
      <w:r w:rsidR="00862762">
        <w:t> t</w:t>
      </w:r>
      <w:r w:rsidR="004C1910" w:rsidRPr="004C1910">
        <w:t>o</w:t>
      </w:r>
      <w:r w:rsidR="00862762">
        <w:t> </w:t>
      </w:r>
      <w:r w:rsidR="004C1910" w:rsidRPr="004C1910">
        <w:t>&lt;</w:t>
      </w:r>
      <w:r w:rsidR="00862762">
        <w:t> </w:t>
      </w:r>
      <w:r w:rsidR="004C1910" w:rsidRPr="004C1910">
        <w:t>$75,000</w:t>
      </w:r>
      <w:r w:rsidR="00010B3B" w:rsidRPr="008C335E">
        <w:t xml:space="preserve">. </w:t>
      </w:r>
    </w:p>
    <w:p w14:paraId="6107A2AA" w14:textId="7E30D18F" w:rsidR="00402812" w:rsidRPr="008C335E" w:rsidRDefault="00313B88" w:rsidP="001E7C76">
      <w:pPr>
        <w:pStyle w:val="COMexecsumnumberedpara"/>
      </w:pPr>
      <w:r w:rsidRPr="008C335E">
        <w:t xml:space="preserve">The submission also provided a validation exercise comparing modelled outcomes between the 6-state and 3-state models. </w:t>
      </w:r>
      <w:r w:rsidR="0088296F" w:rsidRPr="008C335E">
        <w:t>Overall, t</w:t>
      </w:r>
      <w:r w:rsidRPr="008C335E">
        <w:t>he</w:t>
      </w:r>
      <w:r w:rsidR="0088296F" w:rsidRPr="008C335E">
        <w:t xml:space="preserve"> base case</w:t>
      </w:r>
      <w:r w:rsidRPr="008C335E">
        <w:t xml:space="preserve"> 6-state model appeared to generate similar outcomes compared to the 3-state sensitivity analysis </w:t>
      </w:r>
      <w:r w:rsidRPr="008C335E">
        <w:lastRenderedPageBreak/>
        <w:t>but did not provide improved functionality in terms of quantifying any residual uncertainties regarding the use of subsequent therapies or validity of extrapolated long-term survival benefits.</w:t>
      </w:r>
    </w:p>
    <w:p w14:paraId="1CF6C010" w14:textId="566C9873" w:rsidR="0065138B" w:rsidRPr="008C335E" w:rsidRDefault="00AD6E32" w:rsidP="005F2DC5">
      <w:pPr>
        <w:pStyle w:val="COMexecsumnumberedpara"/>
      </w:pPr>
      <w:r w:rsidRPr="008C335E">
        <w:t xml:space="preserve">The ESC considered the 6-state model structure introduced unnecessary complexity without improving its usefulness for decision making relative to the simplified 3-state model. The </w:t>
      </w:r>
      <w:r w:rsidR="00673C74" w:rsidRPr="008C335E">
        <w:t xml:space="preserve">ESC noted the </w:t>
      </w:r>
      <w:r w:rsidRPr="008C335E">
        <w:t xml:space="preserve">3-state model produced slightly more conservative estimates of OS gain, increasing the base case ICER by approximately </w:t>
      </w:r>
      <w:r w:rsidR="00673C74" w:rsidRPr="008C335E">
        <w:t>10</w:t>
      </w:r>
      <w:r w:rsidRPr="008C335E">
        <w:t xml:space="preserve">% </w:t>
      </w:r>
      <w:r w:rsidR="00673C74" w:rsidRPr="008C335E">
        <w:t xml:space="preserve">from </w:t>
      </w:r>
      <w:r w:rsidR="00AE0B0E" w:rsidRPr="00AE0B0E">
        <w:t>$45,000 to &lt; $55,000</w:t>
      </w:r>
      <w:r w:rsidR="00054958">
        <w:t xml:space="preserve"> </w:t>
      </w:r>
      <w:r w:rsidR="00673C74" w:rsidRPr="008C335E">
        <w:t xml:space="preserve">per QALY gained to </w:t>
      </w:r>
      <w:r w:rsidR="004C1910" w:rsidRPr="004C1910">
        <w:t xml:space="preserve">$55,000 to &lt; $75,000 </w:t>
      </w:r>
      <w:r w:rsidR="00673C74" w:rsidRPr="008C335E">
        <w:t xml:space="preserve">per QALY gained (see </w:t>
      </w:r>
      <w:r w:rsidR="00673C74" w:rsidRPr="008C335E">
        <w:fldChar w:fldCharType="begin" w:fldLock="1"/>
      </w:r>
      <w:r w:rsidR="00673C74" w:rsidRPr="008C335E">
        <w:instrText xml:space="preserve"> REF _Ref169702957 \h  \* MERGEFORMAT </w:instrText>
      </w:r>
      <w:r w:rsidR="00673C74" w:rsidRPr="008C335E">
        <w:fldChar w:fldCharType="separate"/>
      </w:r>
      <w:r w:rsidR="00FE0B39" w:rsidRPr="008C335E">
        <w:t xml:space="preserve">Table </w:t>
      </w:r>
      <w:r w:rsidR="00FE0B39" w:rsidRPr="008C335E">
        <w:rPr>
          <w:noProof/>
        </w:rPr>
        <w:t>16</w:t>
      </w:r>
      <w:r w:rsidR="00673C74" w:rsidRPr="008C335E">
        <w:fldChar w:fldCharType="end"/>
      </w:r>
      <w:r w:rsidR="00673C74" w:rsidRPr="008C335E">
        <w:t>)</w:t>
      </w:r>
      <w:r w:rsidRPr="008C335E">
        <w:t xml:space="preserve">. </w:t>
      </w:r>
      <w:r w:rsidR="00C42EEC" w:rsidRPr="008C335E">
        <w:t>The ESC acknowledged the PSCR’s comments that the 6-state model was chosen to explicitly include ASCT health states given the PBAC’s previous advice that the absence of ASCT health states in the blinatumomab model for MRD-positive B-ALL did not adequately reflect the treatment pathways. However, the ESC considered these additional health states added substantial uncertainty as they only included on-protocol ASCT (which occurred at a similar frequency between arms).</w:t>
      </w:r>
      <w:r w:rsidR="00E63435">
        <w:t xml:space="preserve"> </w:t>
      </w:r>
    </w:p>
    <w:p w14:paraId="08EC325C" w14:textId="661A7E5B" w:rsidR="00C42EEC" w:rsidRDefault="0065138B" w:rsidP="00E801E7">
      <w:pPr>
        <w:pStyle w:val="COMexecsumnumberedpara"/>
      </w:pPr>
      <w:bookmarkStart w:id="65" w:name="_Ref169713761"/>
      <w:r w:rsidRPr="008C335E">
        <w:t>The ESC considered that a 3-state model that incorporated a relapse-free utility estimate based on that used in the MRD-positive B-ALL submission</w:t>
      </w:r>
      <w:r w:rsidR="002F4481" w:rsidRPr="008C335E">
        <w:t xml:space="preserve"> along with OS convergence would likely be </w:t>
      </w:r>
      <w:r w:rsidR="00A9767A" w:rsidRPr="008C335E">
        <w:t xml:space="preserve">more </w:t>
      </w:r>
      <w:r w:rsidR="002F4481" w:rsidRPr="008C335E">
        <w:t>appropriate for decision making.</w:t>
      </w:r>
      <w:bookmarkEnd w:id="65"/>
      <w:r w:rsidR="00A9767A" w:rsidRPr="008C335E">
        <w:t xml:space="preserve"> </w:t>
      </w:r>
      <w:r w:rsidR="00C42EEC" w:rsidRPr="008C335E">
        <w:t>The ESC noted that without convergence, after 30 years, at age 80, 57.7% of patients in the blinatumomab plus standard of care arm and 33.8% of patients in the standard of care arm are alive.</w:t>
      </w:r>
    </w:p>
    <w:p w14:paraId="0DEFD6E0" w14:textId="21FF7C62" w:rsidR="00BD06C1" w:rsidRDefault="00E63435" w:rsidP="00E801E7">
      <w:pPr>
        <w:pStyle w:val="COMexecsumnumberedpara"/>
      </w:pPr>
      <w:r>
        <w:t xml:space="preserve">The pre-PBAC response provided a revised base case </w:t>
      </w:r>
      <w:r w:rsidR="00BD06C1">
        <w:t>that</w:t>
      </w:r>
      <w:r w:rsidR="0067744B">
        <w:t xml:space="preserve"> incorporated</w:t>
      </w:r>
      <w:r w:rsidR="00BD06C1">
        <w:t>:</w:t>
      </w:r>
    </w:p>
    <w:p w14:paraId="6F17CC5E" w14:textId="60157C27" w:rsidR="00BD06C1" w:rsidRDefault="009D6350" w:rsidP="00862762">
      <w:pPr>
        <w:pStyle w:val="COMexecsummbulletlist"/>
        <w:ind w:left="1077" w:hanging="357"/>
      </w:pPr>
      <w:r>
        <w:t>the</w:t>
      </w:r>
      <w:r w:rsidR="00E63435">
        <w:t xml:space="preserve"> 3-state model structure</w:t>
      </w:r>
    </w:p>
    <w:p w14:paraId="082F8658" w14:textId="31F23A30" w:rsidR="00BD06C1" w:rsidRDefault="00E63435" w:rsidP="00862762">
      <w:pPr>
        <w:pStyle w:val="COMexecsummbulletlist"/>
        <w:ind w:left="1077" w:hanging="357"/>
      </w:pPr>
      <w:r w:rsidRPr="008C335E">
        <w:t>a relapse-free utility estimate based on that used in the MRD-positive B-ALL submission</w:t>
      </w:r>
      <w:r>
        <w:t xml:space="preserve"> (0.806)</w:t>
      </w:r>
      <w:r w:rsidRPr="008C335E">
        <w:t xml:space="preserve"> </w:t>
      </w:r>
      <w:r w:rsidR="0067744B">
        <w:t xml:space="preserve">and applied </w:t>
      </w:r>
      <w:r w:rsidR="00BD06C1">
        <w:t xml:space="preserve">to </w:t>
      </w:r>
      <w:r w:rsidR="00BD06C1" w:rsidRPr="00733142">
        <w:t>MRD-negative patients in the relapse-free disease health state</w:t>
      </w:r>
    </w:p>
    <w:p w14:paraId="752F77C2" w14:textId="30E695CB" w:rsidR="00BD06C1" w:rsidRDefault="009D6350" w:rsidP="00862762">
      <w:pPr>
        <w:pStyle w:val="COMexecsummbulletlist"/>
        <w:ind w:left="1077" w:hanging="357"/>
      </w:pPr>
      <w:r>
        <w:t xml:space="preserve">overall survival linear </w:t>
      </w:r>
      <w:r w:rsidR="00E63435" w:rsidRPr="008C335E">
        <w:t>convergence</w:t>
      </w:r>
      <w:r w:rsidR="00E63435">
        <w:t xml:space="preserve"> </w:t>
      </w:r>
      <w:r>
        <w:t>from</w:t>
      </w:r>
      <w:r w:rsidR="00E63435">
        <w:t xml:space="preserve"> 10 </w:t>
      </w:r>
      <w:r>
        <w:t>to</w:t>
      </w:r>
      <w:r w:rsidR="00E63435">
        <w:t xml:space="preserve"> 30 years</w:t>
      </w:r>
    </w:p>
    <w:p w14:paraId="1FB735FF" w14:textId="5B075FBE" w:rsidR="00E63435" w:rsidRDefault="00BD06C1" w:rsidP="00C64633">
      <w:pPr>
        <w:pStyle w:val="COMexecsummbulletlist"/>
        <w:ind w:left="1077" w:hanging="357"/>
      </w:pPr>
      <w:r>
        <w:t>a blinatumomab ex-manufacturer price of $</w:t>
      </w:r>
      <w:r w:rsidR="00AF1BA2" w:rsidRPr="00C64633">
        <w:t>|</w:t>
      </w:r>
      <w:r>
        <w:t xml:space="preserve"> per vial. </w:t>
      </w:r>
    </w:p>
    <w:p w14:paraId="4C21BAAF" w14:textId="1B50A31A" w:rsidR="00BD06C1" w:rsidRDefault="0067744B" w:rsidP="00445FC3">
      <w:pPr>
        <w:pStyle w:val="COMexecsummbulletlist"/>
        <w:numPr>
          <w:ilvl w:val="0"/>
          <w:numId w:val="0"/>
        </w:numPr>
        <w:ind w:left="720"/>
      </w:pPr>
      <w:r>
        <w:t xml:space="preserve">The pre-PBAC response noted that, as per the multivariate analyses in </w:t>
      </w:r>
      <w:r>
        <w:fldChar w:fldCharType="begin" w:fldLock="1"/>
      </w:r>
      <w:r>
        <w:instrText xml:space="preserve"> REF _Ref169702957 \h </w:instrText>
      </w:r>
      <w:r>
        <w:fldChar w:fldCharType="separate"/>
      </w:r>
      <w:r w:rsidRPr="008C335E">
        <w:t xml:space="preserve">Table </w:t>
      </w:r>
      <w:r w:rsidRPr="008C335E">
        <w:rPr>
          <w:noProof/>
        </w:rPr>
        <w:t>16</w:t>
      </w:r>
      <w:r>
        <w:fldChar w:fldCharType="end"/>
      </w:r>
      <w:r>
        <w:t>, the revised base case result</w:t>
      </w:r>
      <w:r w:rsidR="0033011F">
        <w:t>ed</w:t>
      </w:r>
      <w:r>
        <w:t xml:space="preserve"> in an ICER of </w:t>
      </w:r>
      <w:r w:rsidR="00B27C19" w:rsidRPr="00B27C19">
        <w:t xml:space="preserve">$55,000 to &lt; $75,000 </w:t>
      </w:r>
      <w:r>
        <w:t xml:space="preserve">per QALY gained. </w:t>
      </w:r>
    </w:p>
    <w:p w14:paraId="0638CFDF" w14:textId="103210EF" w:rsidR="0061712F" w:rsidRPr="008C335E" w:rsidRDefault="00C42EEC" w:rsidP="00445FC3">
      <w:pPr>
        <w:pStyle w:val="Caption"/>
      </w:pPr>
      <w:r w:rsidRPr="008C335E">
        <w:lastRenderedPageBreak/>
        <w:t xml:space="preserve"> </w:t>
      </w:r>
      <w:bookmarkStart w:id="66" w:name="_Ref169702957"/>
      <w:r w:rsidR="0061712F" w:rsidRPr="008C335E">
        <w:t xml:space="preserve">Table </w:t>
      </w:r>
      <w:r w:rsidR="006F0D54">
        <w:fldChar w:fldCharType="begin" w:fldLock="1"/>
      </w:r>
      <w:r w:rsidR="006F0D54">
        <w:instrText xml:space="preserve"> SEQ Table \* ARABIC </w:instrText>
      </w:r>
      <w:r w:rsidR="006F0D54">
        <w:fldChar w:fldCharType="separate"/>
      </w:r>
      <w:r w:rsidR="00356F14" w:rsidRPr="008C335E">
        <w:rPr>
          <w:noProof/>
        </w:rPr>
        <w:t>16</w:t>
      </w:r>
      <w:r w:rsidR="006F0D54">
        <w:rPr>
          <w:noProof/>
        </w:rPr>
        <w:fldChar w:fldCharType="end"/>
      </w:r>
      <w:bookmarkEnd w:id="66"/>
      <w:r w:rsidR="0061712F" w:rsidRPr="008C335E">
        <w:t xml:space="preserve">. Sensitivity analyses for the 3-state model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 Table 16. Sensitivity analyses for the 3-state model "/>
      </w:tblPr>
      <w:tblGrid>
        <w:gridCol w:w="4769"/>
        <w:gridCol w:w="1107"/>
        <w:gridCol w:w="1149"/>
        <w:gridCol w:w="1078"/>
        <w:gridCol w:w="914"/>
      </w:tblGrid>
      <w:tr w:rsidR="00C42EEC" w:rsidRPr="008C335E" w14:paraId="2D71EA93" w14:textId="77777777" w:rsidTr="1797D1E5">
        <w:trPr>
          <w:cantSplit/>
          <w:tblHeader/>
        </w:trPr>
        <w:tc>
          <w:tcPr>
            <w:tcW w:w="2644" w:type="pct"/>
            <w:vAlign w:val="center"/>
          </w:tcPr>
          <w:p w14:paraId="4C8B517D" w14:textId="77777777" w:rsidR="0061712F" w:rsidRPr="008C335E" w:rsidRDefault="0061712F" w:rsidP="00445FC3">
            <w:pPr>
              <w:pStyle w:val="COMTableheadingrow"/>
            </w:pPr>
            <w:r w:rsidRPr="008C335E">
              <w:t>Analysis</w:t>
            </w:r>
          </w:p>
        </w:tc>
        <w:tc>
          <w:tcPr>
            <w:tcW w:w="614" w:type="pct"/>
            <w:tcBorders>
              <w:bottom w:val="single" w:sz="4" w:space="0" w:color="auto"/>
            </w:tcBorders>
            <w:vAlign w:val="center"/>
          </w:tcPr>
          <w:p w14:paraId="17C1FA16" w14:textId="44B9EEB6" w:rsidR="0061712F" w:rsidRPr="008C335E" w:rsidRDefault="0061712F" w:rsidP="00445FC3">
            <w:pPr>
              <w:pStyle w:val="COMTableheadingrow"/>
              <w:jc w:val="center"/>
            </w:pPr>
            <w:r w:rsidRPr="008C335E">
              <w:t>Incremental cost</w:t>
            </w:r>
            <w:r w:rsidR="00CD758F">
              <w:t xml:space="preserve"> ($)</w:t>
            </w:r>
          </w:p>
        </w:tc>
        <w:tc>
          <w:tcPr>
            <w:tcW w:w="637" w:type="pct"/>
            <w:vAlign w:val="center"/>
          </w:tcPr>
          <w:p w14:paraId="07A3D106" w14:textId="77777777" w:rsidR="0061712F" w:rsidRPr="008C335E" w:rsidRDefault="0061712F" w:rsidP="00445FC3">
            <w:pPr>
              <w:pStyle w:val="COMTableheadingrow"/>
              <w:jc w:val="center"/>
            </w:pPr>
            <w:r w:rsidRPr="008C335E">
              <w:t>Incremental QALY</w:t>
            </w:r>
          </w:p>
        </w:tc>
        <w:tc>
          <w:tcPr>
            <w:tcW w:w="598" w:type="pct"/>
            <w:vAlign w:val="center"/>
          </w:tcPr>
          <w:p w14:paraId="32967B0B" w14:textId="77777777" w:rsidR="0061712F" w:rsidRPr="008C335E" w:rsidRDefault="0061712F" w:rsidP="00445FC3">
            <w:pPr>
              <w:pStyle w:val="COMTableheadingrow"/>
              <w:jc w:val="center"/>
            </w:pPr>
            <w:r w:rsidRPr="008C335E">
              <w:t>ICER</w:t>
            </w:r>
          </w:p>
        </w:tc>
        <w:tc>
          <w:tcPr>
            <w:tcW w:w="507" w:type="pct"/>
            <w:vAlign w:val="center"/>
          </w:tcPr>
          <w:p w14:paraId="51FB20BF" w14:textId="77777777" w:rsidR="0061712F" w:rsidRPr="008C335E" w:rsidRDefault="0061712F" w:rsidP="00445FC3">
            <w:pPr>
              <w:pStyle w:val="COMTableheadingrow"/>
              <w:jc w:val="center"/>
            </w:pPr>
            <w:r w:rsidRPr="008C335E">
              <w:t>% change</w:t>
            </w:r>
          </w:p>
        </w:tc>
      </w:tr>
      <w:tr w:rsidR="00C42EEC" w:rsidRPr="008C335E" w14:paraId="6C9F1869" w14:textId="77777777" w:rsidTr="1797D1E5">
        <w:trPr>
          <w:cantSplit/>
        </w:trPr>
        <w:tc>
          <w:tcPr>
            <w:tcW w:w="2644" w:type="pct"/>
            <w:vAlign w:val="center"/>
          </w:tcPr>
          <w:p w14:paraId="49948D74" w14:textId="77777777" w:rsidR="0061712F" w:rsidRPr="008C335E" w:rsidRDefault="0061712F" w:rsidP="00445FC3">
            <w:pPr>
              <w:pStyle w:val="COMTabletext"/>
              <w:rPr>
                <w:b/>
                <w:bCs w:val="0"/>
              </w:rPr>
            </w:pPr>
            <w:r w:rsidRPr="008C335E">
              <w:rPr>
                <w:b/>
                <w:bCs w:val="0"/>
              </w:rPr>
              <w:t>Base case</w:t>
            </w:r>
          </w:p>
        </w:tc>
        <w:tc>
          <w:tcPr>
            <w:tcW w:w="614" w:type="pct"/>
            <w:shd w:val="clear" w:color="auto" w:fill="000000" w:themeFill="text1"/>
            <w:vAlign w:val="center"/>
          </w:tcPr>
          <w:p w14:paraId="63036FA8" w14:textId="7353BE19" w:rsidR="0061712F" w:rsidRPr="008C335E" w:rsidRDefault="00AF1BA2" w:rsidP="00445FC3">
            <w:pPr>
              <w:pStyle w:val="COMTabletext"/>
              <w:jc w:val="center"/>
              <w:rPr>
                <w:b/>
                <w:bCs w:val="0"/>
              </w:rPr>
            </w:pPr>
            <w:r w:rsidRPr="00AF1BA2">
              <w:rPr>
                <w:rFonts w:cs="Calibri" w:hint="eastAsia"/>
                <w:b/>
                <w:bCs w:val="0"/>
                <w:color w:val="000000"/>
                <w:w w:val="15"/>
                <w:szCs w:val="20"/>
                <w:fitText w:val="60" w:id="-894171641"/>
                <w14:textFill>
                  <w14:solidFill>
                    <w14:srgbClr w14:val="000000">
                      <w14:alpha w14:val="100000"/>
                    </w14:srgbClr>
                  </w14:solidFill>
                </w14:textFill>
              </w:rPr>
              <w:t xml:space="preserve">　</w:t>
            </w:r>
            <w:r w:rsidRPr="00AF1BA2">
              <w:rPr>
                <w:rFonts w:cs="Calibri"/>
                <w:b/>
                <w:bCs w:val="0"/>
                <w:color w:val="000000"/>
                <w:w w:val="15"/>
                <w:szCs w:val="20"/>
                <w:fitText w:val="60" w:id="-894171641"/>
                <w14:textFill>
                  <w14:solidFill>
                    <w14:srgbClr w14:val="000000">
                      <w14:alpha w14:val="100000"/>
                    </w14:srgbClr>
                  </w14:solidFill>
                </w14:textFill>
              </w:rPr>
              <w:t>|</w:t>
            </w:r>
            <w:r w:rsidRPr="00AF1BA2">
              <w:rPr>
                <w:rFonts w:cs="Calibri" w:hint="eastAsia"/>
                <w:b/>
                <w:bCs w:val="0"/>
                <w:color w:val="000000"/>
                <w:w w:val="15"/>
                <w:szCs w:val="20"/>
                <w:fitText w:val="60" w:id="-894171641"/>
                <w14:textFill>
                  <w14:solidFill>
                    <w14:srgbClr w14:val="000000">
                      <w14:alpha w14:val="100000"/>
                    </w14:srgbClr>
                  </w14:solidFill>
                </w14:textFill>
              </w:rPr>
              <w:t xml:space="preserve">　</w:t>
            </w:r>
          </w:p>
        </w:tc>
        <w:tc>
          <w:tcPr>
            <w:tcW w:w="637" w:type="pct"/>
            <w:vAlign w:val="center"/>
          </w:tcPr>
          <w:p w14:paraId="15DF7C0A" w14:textId="77777777" w:rsidR="0061712F" w:rsidRPr="008C335E" w:rsidRDefault="0061712F" w:rsidP="00445FC3">
            <w:pPr>
              <w:pStyle w:val="COMTabletext"/>
              <w:jc w:val="center"/>
              <w:rPr>
                <w:b/>
                <w:bCs w:val="0"/>
              </w:rPr>
            </w:pPr>
            <w:r w:rsidRPr="008C335E">
              <w:rPr>
                <w:rFonts w:cs="Calibri"/>
                <w:b/>
                <w:bCs w:val="0"/>
                <w:color w:val="000000"/>
                <w:szCs w:val="20"/>
              </w:rPr>
              <w:t>3.0209</w:t>
            </w:r>
          </w:p>
        </w:tc>
        <w:tc>
          <w:tcPr>
            <w:tcW w:w="598" w:type="pct"/>
            <w:vAlign w:val="center"/>
          </w:tcPr>
          <w:p w14:paraId="39A656B6" w14:textId="4BA5904C" w:rsidR="0061712F" w:rsidRPr="008C335E" w:rsidRDefault="00AF1BA2" w:rsidP="00445FC3">
            <w:pPr>
              <w:pStyle w:val="COMTabletext"/>
              <w:jc w:val="center"/>
              <w:rPr>
                <w:b/>
                <w:bCs w:val="0"/>
              </w:rPr>
            </w:pPr>
            <w:r w:rsidRPr="00AF1BA2">
              <w:rPr>
                <w:rFonts w:cs="Calibri" w:hint="eastAsia"/>
                <w:b/>
                <w:bCs w:val="0"/>
                <w:color w:val="000000"/>
                <w:w w:val="26"/>
                <w:szCs w:val="20"/>
                <w:shd w:val="solid" w:color="000000" w:fill="000000"/>
                <w:fitText w:val="120" w:id="-894171640"/>
                <w14:textFill>
                  <w14:solidFill>
                    <w14:srgbClr w14:val="000000">
                      <w14:alpha w14:val="100000"/>
                    </w14:srgbClr>
                  </w14:solidFill>
                </w14:textFill>
              </w:rPr>
              <w:t xml:space="preserve">　</w:t>
            </w:r>
            <w:r w:rsidRPr="00AF1BA2">
              <w:rPr>
                <w:rFonts w:cs="Calibri"/>
                <w:b/>
                <w:bCs w:val="0"/>
                <w:color w:val="000000"/>
                <w:w w:val="26"/>
                <w:szCs w:val="20"/>
                <w:shd w:val="solid" w:color="000000" w:fill="000000"/>
                <w:fitText w:val="120" w:id="-894171640"/>
                <w14:textFill>
                  <w14:solidFill>
                    <w14:srgbClr w14:val="000000">
                      <w14:alpha w14:val="100000"/>
                    </w14:srgbClr>
                  </w14:solidFill>
                </w14:textFill>
              </w:rPr>
              <w:t>|</w:t>
            </w:r>
            <w:r w:rsidRPr="00AF1BA2">
              <w:rPr>
                <w:rFonts w:cs="Calibri" w:hint="eastAsia"/>
                <w:b/>
                <w:bCs w:val="0"/>
                <w:color w:val="000000"/>
                <w:spacing w:val="4"/>
                <w:w w:val="26"/>
                <w:szCs w:val="20"/>
                <w:shd w:val="solid" w:color="000000" w:fill="000000"/>
                <w:fitText w:val="120" w:id="-894171640"/>
                <w14:textFill>
                  <w14:solidFill>
                    <w14:srgbClr w14:val="000000">
                      <w14:alpha w14:val="100000"/>
                    </w14:srgbClr>
                  </w14:solidFill>
                </w14:textFill>
              </w:rPr>
              <w:t xml:space="preserve">　</w:t>
            </w:r>
            <w:r w:rsidR="001F462E" w:rsidRPr="00327E8F">
              <w:rPr>
                <w:rFonts w:cs="Calibri"/>
                <w:b/>
                <w:bCs w:val="0"/>
                <w:color w:val="000000"/>
                <w:szCs w:val="20"/>
                <w:vertAlign w:val="superscript"/>
              </w:rPr>
              <w:t>1</w:t>
            </w:r>
          </w:p>
        </w:tc>
        <w:tc>
          <w:tcPr>
            <w:tcW w:w="507" w:type="pct"/>
          </w:tcPr>
          <w:p w14:paraId="3D595E1B" w14:textId="77777777" w:rsidR="0061712F" w:rsidRPr="008C335E" w:rsidRDefault="0061712F" w:rsidP="00445FC3">
            <w:pPr>
              <w:pStyle w:val="COMTabletext"/>
              <w:jc w:val="center"/>
              <w:rPr>
                <w:b/>
                <w:bCs w:val="0"/>
              </w:rPr>
            </w:pPr>
            <w:r w:rsidRPr="008C335E">
              <w:rPr>
                <w:b/>
                <w:bCs w:val="0"/>
              </w:rPr>
              <w:t>-</w:t>
            </w:r>
          </w:p>
        </w:tc>
      </w:tr>
      <w:tr w:rsidR="00673C74" w:rsidRPr="008C335E" w14:paraId="6BB73001" w14:textId="77777777" w:rsidTr="1797D1E5">
        <w:trPr>
          <w:cantSplit/>
        </w:trPr>
        <w:tc>
          <w:tcPr>
            <w:tcW w:w="5000" w:type="pct"/>
            <w:gridSpan w:val="5"/>
            <w:vAlign w:val="center"/>
          </w:tcPr>
          <w:p w14:paraId="139C3C04" w14:textId="0EA4626D" w:rsidR="00673C74" w:rsidRPr="008C335E" w:rsidRDefault="00673C74" w:rsidP="00445FC3">
            <w:pPr>
              <w:pStyle w:val="COMTabletext"/>
              <w:rPr>
                <w:b/>
                <w:bCs w:val="0"/>
              </w:rPr>
            </w:pPr>
            <w:r w:rsidRPr="008C335E">
              <w:rPr>
                <w:b/>
                <w:bCs w:val="0"/>
              </w:rPr>
              <w:t>Overall survival curve convergence (base case no convergence)</w:t>
            </w:r>
          </w:p>
        </w:tc>
      </w:tr>
      <w:tr w:rsidR="00673C74" w:rsidRPr="008C335E" w14:paraId="67E34A92" w14:textId="77777777" w:rsidTr="1797D1E5">
        <w:trPr>
          <w:cantSplit/>
        </w:trPr>
        <w:tc>
          <w:tcPr>
            <w:tcW w:w="2644" w:type="pct"/>
          </w:tcPr>
          <w:p w14:paraId="227788AF" w14:textId="7CC08DDE" w:rsidR="00673C74" w:rsidRPr="008C335E" w:rsidRDefault="00673C74" w:rsidP="00445FC3">
            <w:pPr>
              <w:pStyle w:val="COMTabletext"/>
              <w:rPr>
                <w:b/>
                <w:bCs w:val="0"/>
              </w:rPr>
            </w:pPr>
            <w:r w:rsidRPr="008C335E">
              <w:t>Overall survival linear convergence from 4.5 to 30 years (base case: no convergence)</w:t>
            </w:r>
          </w:p>
        </w:tc>
        <w:tc>
          <w:tcPr>
            <w:tcW w:w="614" w:type="pct"/>
            <w:tcBorders>
              <w:bottom w:val="single" w:sz="4" w:space="0" w:color="auto"/>
            </w:tcBorders>
            <w:shd w:val="clear" w:color="auto" w:fill="000000" w:themeFill="text1"/>
          </w:tcPr>
          <w:p w14:paraId="5EC354E6" w14:textId="6DDB3054" w:rsidR="00673C74" w:rsidRPr="00327E8F" w:rsidRDefault="00AF1BA2" w:rsidP="1797D1E5">
            <w:pPr>
              <w:pStyle w:val="COMTabletext"/>
              <w:jc w:val="center"/>
              <w:rPr>
                <w:rFonts w:cs="Calibri"/>
                <w:b/>
                <w:color w:val="000000"/>
                <w:highlight w:val="lightGray"/>
              </w:rPr>
            </w:pPr>
            <w:r>
              <w:rPr>
                <w:color w:val="000000"/>
                <w:w w:val="15"/>
                <w:fitText w:val="10" w:id="-894171639"/>
                <w14:textFill>
                  <w14:solidFill>
                    <w14:srgbClr w14:val="000000">
                      <w14:alpha w14:val="100000"/>
                    </w14:srgbClr>
                  </w14:solidFill>
                </w14:textFill>
              </w:rPr>
              <w:t xml:space="preserve">　</w:t>
            </w:r>
            <w:r>
              <w:rPr>
                <w:color w:val="000000"/>
                <w:spacing w:val="-26"/>
                <w:w w:val="15"/>
                <w:fitText w:val="10" w:id="-894171639"/>
                <w14:textFill>
                  <w14:solidFill>
                    <w14:srgbClr w14:val="000000">
                      <w14:alpha w14:val="100000"/>
                    </w14:srgbClr>
                  </w14:solidFill>
                </w14:textFill>
              </w:rPr>
              <w:t>|</w:t>
            </w:r>
            <w:r w:rsidRPr="1797D1E5">
              <w:rPr>
                <w:color w:val="000000"/>
                <w:w w:val="15"/>
                <w14:textFill>
                  <w14:solidFill>
                    <w14:srgbClr w14:val="000000">
                      <w14:alpha w14:val="100000"/>
                    </w14:srgbClr>
                  </w14:solidFill>
                </w14:textFill>
              </w:rPr>
              <w:t xml:space="preserve">　</w:t>
            </w:r>
          </w:p>
        </w:tc>
        <w:tc>
          <w:tcPr>
            <w:tcW w:w="637" w:type="pct"/>
          </w:tcPr>
          <w:p w14:paraId="069CE5A8" w14:textId="25E636C2" w:rsidR="00673C74" w:rsidRPr="008C335E" w:rsidRDefault="00673C74" w:rsidP="00445FC3">
            <w:pPr>
              <w:pStyle w:val="COMTabletext"/>
              <w:jc w:val="center"/>
              <w:rPr>
                <w:rFonts w:cs="Calibri"/>
                <w:b/>
                <w:bCs w:val="0"/>
                <w:color w:val="000000"/>
                <w:szCs w:val="20"/>
              </w:rPr>
            </w:pPr>
            <w:r w:rsidRPr="008C335E">
              <w:t>1.9154</w:t>
            </w:r>
          </w:p>
        </w:tc>
        <w:tc>
          <w:tcPr>
            <w:tcW w:w="598" w:type="pct"/>
          </w:tcPr>
          <w:p w14:paraId="4C23194D" w14:textId="03F900A5" w:rsidR="00673C74" w:rsidRPr="00327E8F" w:rsidRDefault="00AF1BA2" w:rsidP="00445FC3">
            <w:pPr>
              <w:pStyle w:val="COMTabletext"/>
              <w:jc w:val="center"/>
              <w:rPr>
                <w:rFonts w:cs="Calibri"/>
                <w:b/>
                <w:bCs w:val="0"/>
                <w:color w:val="000000"/>
                <w:szCs w:val="20"/>
                <w:highlight w:val="lightGray"/>
              </w:rPr>
            </w:pPr>
            <w:r w:rsidRPr="00AF1BA2">
              <w:rPr>
                <w:rFonts w:hint="eastAsia"/>
                <w:color w:val="000000"/>
                <w:w w:val="15"/>
                <w:shd w:val="solid" w:color="000000" w:fill="000000"/>
                <w:fitText w:val="70" w:id="-894171638"/>
                <w14:textFill>
                  <w14:solidFill>
                    <w14:srgbClr w14:val="000000">
                      <w14:alpha w14:val="100000"/>
                    </w14:srgbClr>
                  </w14:solidFill>
                </w14:textFill>
              </w:rPr>
              <w:t xml:space="preserve">　</w:t>
            </w:r>
            <w:r w:rsidRPr="00AF1BA2">
              <w:rPr>
                <w:color w:val="000000"/>
                <w:w w:val="15"/>
                <w:shd w:val="solid" w:color="000000" w:fill="000000"/>
                <w:fitText w:val="70" w:id="-894171638"/>
                <w14:textFill>
                  <w14:solidFill>
                    <w14:srgbClr w14:val="000000">
                      <w14:alpha w14:val="100000"/>
                    </w14:srgbClr>
                  </w14:solidFill>
                </w14:textFill>
              </w:rPr>
              <w:t>|</w:t>
            </w:r>
            <w:r w:rsidRPr="00AF1BA2">
              <w:rPr>
                <w:rFonts w:hint="eastAsia"/>
                <w:color w:val="000000"/>
                <w:spacing w:val="4"/>
                <w:w w:val="15"/>
                <w:shd w:val="solid" w:color="000000" w:fill="000000"/>
                <w:fitText w:val="70" w:id="-894171638"/>
                <w14:textFill>
                  <w14:solidFill>
                    <w14:srgbClr w14:val="000000">
                      <w14:alpha w14:val="100000"/>
                    </w14:srgbClr>
                  </w14:solidFill>
                </w14:textFill>
              </w:rPr>
              <w:t xml:space="preserve">　</w:t>
            </w:r>
            <w:r w:rsidR="00946E31" w:rsidRPr="00327E8F">
              <w:rPr>
                <w:vertAlign w:val="superscript"/>
              </w:rPr>
              <w:t>2</w:t>
            </w:r>
          </w:p>
        </w:tc>
        <w:tc>
          <w:tcPr>
            <w:tcW w:w="507" w:type="pct"/>
          </w:tcPr>
          <w:p w14:paraId="798E6C72" w14:textId="0C91C0A5" w:rsidR="00673C74" w:rsidRPr="008C335E" w:rsidRDefault="00673C74" w:rsidP="00445FC3">
            <w:pPr>
              <w:pStyle w:val="COMTabletext"/>
              <w:jc w:val="center"/>
              <w:rPr>
                <w:b/>
                <w:bCs w:val="0"/>
              </w:rPr>
            </w:pPr>
            <w:r w:rsidRPr="008C335E">
              <w:t>+</w:t>
            </w:r>
            <w:r w:rsidR="00AF1BA2" w:rsidRPr="00AF1BA2">
              <w:rPr>
                <w:color w:val="000000"/>
                <w:spacing w:val="154"/>
                <w:shd w:val="solid" w:color="000000" w:fill="000000"/>
                <w:fitText w:val="240" w:id="-894171637"/>
                <w14:textFill>
                  <w14:solidFill>
                    <w14:srgbClr w14:val="000000">
                      <w14:alpha w14:val="100000"/>
                    </w14:srgbClr>
                  </w14:solidFill>
                </w14:textFill>
              </w:rPr>
              <w:t>|</w:t>
            </w:r>
            <w:r w:rsidR="00AF1BA2" w:rsidRPr="00AF1BA2">
              <w:rPr>
                <w:color w:val="000000"/>
                <w:spacing w:val="1"/>
                <w:shd w:val="solid" w:color="000000" w:fill="000000"/>
                <w:fitText w:val="240" w:id="-894171637"/>
                <w14:textFill>
                  <w14:solidFill>
                    <w14:srgbClr w14:val="000000">
                      <w14:alpha w14:val="100000"/>
                    </w14:srgbClr>
                  </w14:solidFill>
                </w14:textFill>
              </w:rPr>
              <w:t>|</w:t>
            </w:r>
            <w:r w:rsidRPr="008C335E">
              <w:t>%</w:t>
            </w:r>
          </w:p>
        </w:tc>
      </w:tr>
      <w:tr w:rsidR="00673C74" w:rsidRPr="008C335E" w14:paraId="1FA5F48B" w14:textId="77777777" w:rsidTr="1797D1E5">
        <w:trPr>
          <w:cantSplit/>
        </w:trPr>
        <w:tc>
          <w:tcPr>
            <w:tcW w:w="2644" w:type="pct"/>
          </w:tcPr>
          <w:p w14:paraId="29BBFA57" w14:textId="4BEE2E34" w:rsidR="00673C74" w:rsidRPr="008C335E" w:rsidRDefault="00673C74" w:rsidP="00445FC3">
            <w:pPr>
              <w:pStyle w:val="COMTabletext"/>
              <w:rPr>
                <w:b/>
                <w:bCs w:val="0"/>
              </w:rPr>
            </w:pPr>
            <w:r w:rsidRPr="008C335E">
              <w:t>Overall survival linear convergence from 10 to 30 years (base case: no convergence)</w:t>
            </w:r>
          </w:p>
        </w:tc>
        <w:tc>
          <w:tcPr>
            <w:tcW w:w="614" w:type="pct"/>
            <w:shd w:val="clear" w:color="auto" w:fill="000000" w:themeFill="text1"/>
          </w:tcPr>
          <w:p w14:paraId="2B7FA590" w14:textId="63974256" w:rsidR="00673C74" w:rsidRPr="00327E8F" w:rsidRDefault="00AF1BA2" w:rsidP="1797D1E5">
            <w:pPr>
              <w:pStyle w:val="COMTabletext"/>
              <w:jc w:val="center"/>
              <w:rPr>
                <w:rFonts w:cs="Calibri"/>
                <w:b/>
                <w:color w:val="000000"/>
                <w:highlight w:val="lightGray"/>
              </w:rPr>
            </w:pPr>
            <w:r>
              <w:rPr>
                <w:color w:val="000000"/>
                <w:w w:val="15"/>
                <w:fitText w:val="10" w:id="-894171636"/>
                <w14:textFill>
                  <w14:solidFill>
                    <w14:srgbClr w14:val="000000">
                      <w14:alpha w14:val="100000"/>
                    </w14:srgbClr>
                  </w14:solidFill>
                </w14:textFill>
              </w:rPr>
              <w:t xml:space="preserve">　</w:t>
            </w:r>
            <w:r>
              <w:rPr>
                <w:color w:val="000000"/>
                <w:spacing w:val="-26"/>
                <w:w w:val="15"/>
                <w:fitText w:val="10" w:id="-894171636"/>
                <w14:textFill>
                  <w14:solidFill>
                    <w14:srgbClr w14:val="000000">
                      <w14:alpha w14:val="100000"/>
                    </w14:srgbClr>
                  </w14:solidFill>
                </w14:textFill>
              </w:rPr>
              <w:t>|</w:t>
            </w:r>
            <w:r w:rsidRPr="1797D1E5">
              <w:rPr>
                <w:color w:val="000000"/>
                <w:w w:val="15"/>
                <w14:textFill>
                  <w14:solidFill>
                    <w14:srgbClr w14:val="000000">
                      <w14:alpha w14:val="100000"/>
                    </w14:srgbClr>
                  </w14:solidFill>
                </w14:textFill>
              </w:rPr>
              <w:t xml:space="preserve">　</w:t>
            </w:r>
          </w:p>
        </w:tc>
        <w:tc>
          <w:tcPr>
            <w:tcW w:w="637" w:type="pct"/>
          </w:tcPr>
          <w:p w14:paraId="5AFF4380" w14:textId="4C3A4F9C" w:rsidR="00673C74" w:rsidRPr="008C335E" w:rsidRDefault="00673C74" w:rsidP="00445FC3">
            <w:pPr>
              <w:pStyle w:val="COMTabletext"/>
              <w:jc w:val="center"/>
              <w:rPr>
                <w:rFonts w:cs="Calibri"/>
                <w:b/>
                <w:bCs w:val="0"/>
                <w:color w:val="000000"/>
                <w:szCs w:val="20"/>
              </w:rPr>
            </w:pPr>
            <w:r w:rsidRPr="008C335E">
              <w:t>2.1906</w:t>
            </w:r>
          </w:p>
        </w:tc>
        <w:tc>
          <w:tcPr>
            <w:tcW w:w="598" w:type="pct"/>
          </w:tcPr>
          <w:p w14:paraId="0DCD7C90" w14:textId="02B9FBF5" w:rsidR="00673C74" w:rsidRPr="00327E8F" w:rsidRDefault="00AF1BA2" w:rsidP="00445FC3">
            <w:pPr>
              <w:pStyle w:val="COMTabletext"/>
              <w:jc w:val="center"/>
              <w:rPr>
                <w:rFonts w:cs="Calibri"/>
                <w:b/>
                <w:bCs w:val="0"/>
                <w:color w:val="000000"/>
                <w:szCs w:val="20"/>
                <w:highlight w:val="lightGray"/>
              </w:rPr>
            </w:pPr>
            <w:r w:rsidRPr="00AF1BA2">
              <w:rPr>
                <w:rFonts w:hint="eastAsia"/>
                <w:color w:val="000000"/>
                <w:w w:val="15"/>
                <w:shd w:val="solid" w:color="000000" w:fill="000000"/>
                <w:fitText w:val="70" w:id="-894171635"/>
                <w14:textFill>
                  <w14:solidFill>
                    <w14:srgbClr w14:val="000000">
                      <w14:alpha w14:val="100000"/>
                    </w14:srgbClr>
                  </w14:solidFill>
                </w14:textFill>
              </w:rPr>
              <w:t xml:space="preserve">　</w:t>
            </w:r>
            <w:r w:rsidRPr="00AF1BA2">
              <w:rPr>
                <w:color w:val="000000"/>
                <w:w w:val="15"/>
                <w:shd w:val="solid" w:color="000000" w:fill="000000"/>
                <w:fitText w:val="70" w:id="-894171635"/>
                <w14:textFill>
                  <w14:solidFill>
                    <w14:srgbClr w14:val="000000">
                      <w14:alpha w14:val="100000"/>
                    </w14:srgbClr>
                  </w14:solidFill>
                </w14:textFill>
              </w:rPr>
              <w:t>|</w:t>
            </w:r>
            <w:r w:rsidRPr="00AF1BA2">
              <w:rPr>
                <w:rFonts w:hint="eastAsia"/>
                <w:color w:val="000000"/>
                <w:spacing w:val="4"/>
                <w:w w:val="15"/>
                <w:shd w:val="solid" w:color="000000" w:fill="000000"/>
                <w:fitText w:val="70" w:id="-894171635"/>
                <w14:textFill>
                  <w14:solidFill>
                    <w14:srgbClr w14:val="000000">
                      <w14:alpha w14:val="100000"/>
                    </w14:srgbClr>
                  </w14:solidFill>
                </w14:textFill>
              </w:rPr>
              <w:t xml:space="preserve">　</w:t>
            </w:r>
            <w:r w:rsidR="0038290E" w:rsidRPr="005C269B">
              <w:rPr>
                <w:vertAlign w:val="superscript"/>
              </w:rPr>
              <w:t>2</w:t>
            </w:r>
          </w:p>
        </w:tc>
        <w:tc>
          <w:tcPr>
            <w:tcW w:w="507" w:type="pct"/>
          </w:tcPr>
          <w:p w14:paraId="1F306BD8" w14:textId="66237406" w:rsidR="00673C74" w:rsidRPr="008C335E" w:rsidRDefault="00673C74" w:rsidP="00445FC3">
            <w:pPr>
              <w:pStyle w:val="COMTabletext"/>
              <w:jc w:val="center"/>
              <w:rPr>
                <w:b/>
                <w:bCs w:val="0"/>
              </w:rPr>
            </w:pPr>
            <w:r w:rsidRPr="008C335E">
              <w:t>+</w:t>
            </w:r>
            <w:r w:rsidR="00AF1BA2" w:rsidRPr="00AF1BA2">
              <w:rPr>
                <w:color w:val="000000"/>
                <w:spacing w:val="154"/>
                <w:shd w:val="solid" w:color="000000" w:fill="000000"/>
                <w:fitText w:val="240" w:id="-894171634"/>
                <w14:textFill>
                  <w14:solidFill>
                    <w14:srgbClr w14:val="000000">
                      <w14:alpha w14:val="100000"/>
                    </w14:srgbClr>
                  </w14:solidFill>
                </w14:textFill>
              </w:rPr>
              <w:t>|</w:t>
            </w:r>
            <w:r w:rsidR="00AF1BA2" w:rsidRPr="00AF1BA2">
              <w:rPr>
                <w:color w:val="000000"/>
                <w:spacing w:val="1"/>
                <w:shd w:val="solid" w:color="000000" w:fill="000000"/>
                <w:fitText w:val="240" w:id="-894171634"/>
                <w14:textFill>
                  <w14:solidFill>
                    <w14:srgbClr w14:val="000000">
                      <w14:alpha w14:val="100000"/>
                    </w14:srgbClr>
                  </w14:solidFill>
                </w14:textFill>
              </w:rPr>
              <w:t>|</w:t>
            </w:r>
            <w:r w:rsidRPr="008C335E">
              <w:t>%</w:t>
            </w:r>
          </w:p>
        </w:tc>
      </w:tr>
      <w:tr w:rsidR="00673C74" w:rsidRPr="008C335E" w14:paraId="4B01B1FC" w14:textId="77777777" w:rsidTr="1797D1E5">
        <w:trPr>
          <w:cantSplit/>
        </w:trPr>
        <w:tc>
          <w:tcPr>
            <w:tcW w:w="5000" w:type="pct"/>
            <w:gridSpan w:val="5"/>
            <w:vAlign w:val="center"/>
          </w:tcPr>
          <w:p w14:paraId="303A6356" w14:textId="6B1B70AC" w:rsidR="00673C74" w:rsidRPr="008C335E" w:rsidRDefault="00673C74" w:rsidP="00445FC3">
            <w:pPr>
              <w:pStyle w:val="COMTabletext"/>
              <w:rPr>
                <w:b/>
                <w:bCs w:val="0"/>
              </w:rPr>
            </w:pPr>
            <w:r w:rsidRPr="008C335E">
              <w:rPr>
                <w:b/>
                <w:bCs w:val="0"/>
              </w:rPr>
              <w:t>Health state utilities (base case relapse-free 0.8534, relapsed disease 0.6920; first year post ASCT: 0.2834)</w:t>
            </w:r>
          </w:p>
        </w:tc>
      </w:tr>
      <w:tr w:rsidR="00052939" w:rsidRPr="008C335E" w14:paraId="6CA1D714" w14:textId="77777777" w:rsidTr="1797D1E5">
        <w:trPr>
          <w:cantSplit/>
        </w:trPr>
        <w:tc>
          <w:tcPr>
            <w:tcW w:w="2644" w:type="pct"/>
          </w:tcPr>
          <w:p w14:paraId="35F71F61" w14:textId="6B4F8077" w:rsidR="00673C74" w:rsidRPr="008C335E" w:rsidRDefault="00673C74" w:rsidP="00445FC3">
            <w:pPr>
              <w:pStyle w:val="COMTabletext"/>
              <w:rPr>
                <w:b/>
                <w:bCs w:val="0"/>
              </w:rPr>
            </w:pPr>
            <w:r w:rsidRPr="008C335E">
              <w:t>Relapse-free 0.806 (based on MRD-positive B-ALL submission)</w:t>
            </w:r>
          </w:p>
        </w:tc>
        <w:tc>
          <w:tcPr>
            <w:tcW w:w="614" w:type="pct"/>
            <w:shd w:val="clear" w:color="auto" w:fill="000000" w:themeFill="text1"/>
          </w:tcPr>
          <w:p w14:paraId="647BA22E" w14:textId="168B07CF" w:rsidR="00673C74" w:rsidRPr="008C335E" w:rsidRDefault="00AF1BA2" w:rsidP="1797D1E5">
            <w:pPr>
              <w:pStyle w:val="COMTabletext"/>
              <w:jc w:val="center"/>
              <w:rPr>
                <w:rFonts w:cs="Calibri"/>
                <w:b/>
                <w:color w:val="000000"/>
              </w:rPr>
            </w:pPr>
            <w:r>
              <w:rPr>
                <w:color w:val="000000"/>
                <w:w w:val="15"/>
                <w:fitText w:val="10" w:id="-894171633"/>
                <w14:textFill>
                  <w14:solidFill>
                    <w14:srgbClr w14:val="000000">
                      <w14:alpha w14:val="100000"/>
                    </w14:srgbClr>
                  </w14:solidFill>
                </w14:textFill>
              </w:rPr>
              <w:t xml:space="preserve">　</w:t>
            </w:r>
            <w:r>
              <w:rPr>
                <w:color w:val="000000"/>
                <w:spacing w:val="-26"/>
                <w:w w:val="15"/>
                <w:fitText w:val="10" w:id="-894171633"/>
                <w14:textFill>
                  <w14:solidFill>
                    <w14:srgbClr w14:val="000000">
                      <w14:alpha w14:val="100000"/>
                    </w14:srgbClr>
                  </w14:solidFill>
                </w14:textFill>
              </w:rPr>
              <w:t>|</w:t>
            </w:r>
            <w:r w:rsidRPr="1797D1E5">
              <w:rPr>
                <w:color w:val="000000"/>
                <w:w w:val="15"/>
                <w14:textFill>
                  <w14:solidFill>
                    <w14:srgbClr w14:val="000000">
                      <w14:alpha w14:val="100000"/>
                    </w14:srgbClr>
                  </w14:solidFill>
                </w14:textFill>
              </w:rPr>
              <w:t xml:space="preserve">　</w:t>
            </w:r>
          </w:p>
        </w:tc>
        <w:tc>
          <w:tcPr>
            <w:tcW w:w="637" w:type="pct"/>
          </w:tcPr>
          <w:p w14:paraId="7609A5A9" w14:textId="4C9120EA" w:rsidR="00673C74" w:rsidRPr="008C335E" w:rsidRDefault="00673C74" w:rsidP="00445FC3">
            <w:pPr>
              <w:pStyle w:val="COMTabletext"/>
              <w:jc w:val="center"/>
              <w:rPr>
                <w:rFonts w:cs="Calibri"/>
                <w:b/>
                <w:bCs w:val="0"/>
                <w:color w:val="000000"/>
                <w:szCs w:val="20"/>
              </w:rPr>
            </w:pPr>
            <w:r w:rsidRPr="008C335E">
              <w:t>2.8641</w:t>
            </w:r>
          </w:p>
        </w:tc>
        <w:tc>
          <w:tcPr>
            <w:tcW w:w="598" w:type="pct"/>
          </w:tcPr>
          <w:p w14:paraId="6B253443" w14:textId="12DCAC5C" w:rsidR="00673C74" w:rsidRPr="008C335E" w:rsidRDefault="00AF1BA2" w:rsidP="00445FC3">
            <w:pPr>
              <w:pStyle w:val="COMTabletext"/>
              <w:jc w:val="center"/>
              <w:rPr>
                <w:rFonts w:cs="Calibri"/>
                <w:b/>
                <w:bCs w:val="0"/>
                <w:color w:val="000000"/>
                <w:szCs w:val="20"/>
              </w:rPr>
            </w:pPr>
            <w:r w:rsidRPr="00AF1BA2">
              <w:rPr>
                <w:rFonts w:hint="eastAsia"/>
                <w:color w:val="000000"/>
                <w:w w:val="15"/>
                <w:shd w:val="solid" w:color="000000" w:fill="000000"/>
                <w:fitText w:val="70" w:id="-894171632"/>
                <w14:textFill>
                  <w14:solidFill>
                    <w14:srgbClr w14:val="000000">
                      <w14:alpha w14:val="100000"/>
                    </w14:srgbClr>
                  </w14:solidFill>
                </w14:textFill>
              </w:rPr>
              <w:t xml:space="preserve">　</w:t>
            </w:r>
            <w:r w:rsidRPr="00AF1BA2">
              <w:rPr>
                <w:color w:val="000000"/>
                <w:w w:val="15"/>
                <w:shd w:val="solid" w:color="000000" w:fill="000000"/>
                <w:fitText w:val="70" w:id="-894171632"/>
                <w14:textFill>
                  <w14:solidFill>
                    <w14:srgbClr w14:val="000000">
                      <w14:alpha w14:val="100000"/>
                    </w14:srgbClr>
                  </w14:solidFill>
                </w14:textFill>
              </w:rPr>
              <w:t>|</w:t>
            </w:r>
            <w:r w:rsidRPr="00AF1BA2">
              <w:rPr>
                <w:rFonts w:hint="eastAsia"/>
                <w:color w:val="000000"/>
                <w:spacing w:val="4"/>
                <w:w w:val="15"/>
                <w:shd w:val="solid" w:color="000000" w:fill="000000"/>
                <w:fitText w:val="70" w:id="-894171632"/>
                <w14:textFill>
                  <w14:solidFill>
                    <w14:srgbClr w14:val="000000">
                      <w14:alpha w14:val="100000"/>
                    </w14:srgbClr>
                  </w14:solidFill>
                </w14:textFill>
              </w:rPr>
              <w:t xml:space="preserve">　</w:t>
            </w:r>
            <w:r w:rsidR="00946E31" w:rsidRPr="005C269B">
              <w:rPr>
                <w:rFonts w:cs="Calibri"/>
                <w:b/>
                <w:bCs w:val="0"/>
                <w:color w:val="000000"/>
                <w:szCs w:val="20"/>
                <w:vertAlign w:val="superscript"/>
              </w:rPr>
              <w:t>1</w:t>
            </w:r>
          </w:p>
        </w:tc>
        <w:tc>
          <w:tcPr>
            <w:tcW w:w="507" w:type="pct"/>
          </w:tcPr>
          <w:p w14:paraId="0D52CF86" w14:textId="36873537" w:rsidR="00673C74" w:rsidRPr="008C335E" w:rsidRDefault="00673C74" w:rsidP="00445FC3">
            <w:pPr>
              <w:pStyle w:val="COMTabletext"/>
              <w:jc w:val="center"/>
              <w:rPr>
                <w:b/>
                <w:bCs w:val="0"/>
              </w:rPr>
            </w:pPr>
            <w:r w:rsidRPr="008C335E">
              <w:t>+</w:t>
            </w:r>
            <w:r w:rsidR="00AF1BA2" w:rsidRPr="00AF1BA2">
              <w:rPr>
                <w:color w:val="000000"/>
                <w:spacing w:val="154"/>
                <w:shd w:val="solid" w:color="000000" w:fill="000000"/>
                <w:fitText w:val="240" w:id="-894171648"/>
                <w14:textFill>
                  <w14:solidFill>
                    <w14:srgbClr w14:val="000000">
                      <w14:alpha w14:val="100000"/>
                    </w14:srgbClr>
                  </w14:solidFill>
                </w14:textFill>
              </w:rPr>
              <w:t>|</w:t>
            </w:r>
            <w:r w:rsidR="00AF1BA2" w:rsidRPr="00AF1BA2">
              <w:rPr>
                <w:color w:val="000000"/>
                <w:spacing w:val="1"/>
                <w:shd w:val="solid" w:color="000000" w:fill="000000"/>
                <w:fitText w:val="240" w:id="-894171648"/>
                <w14:textFill>
                  <w14:solidFill>
                    <w14:srgbClr w14:val="000000">
                      <w14:alpha w14:val="100000"/>
                    </w14:srgbClr>
                  </w14:solidFill>
                </w14:textFill>
              </w:rPr>
              <w:t>|</w:t>
            </w:r>
            <w:r w:rsidRPr="008C335E">
              <w:t>%</w:t>
            </w:r>
          </w:p>
        </w:tc>
      </w:tr>
      <w:tr w:rsidR="00052939" w:rsidRPr="008C335E" w14:paraId="7AF7D46A" w14:textId="77777777" w:rsidTr="1797D1E5">
        <w:trPr>
          <w:cantSplit/>
        </w:trPr>
        <w:tc>
          <w:tcPr>
            <w:tcW w:w="5000" w:type="pct"/>
            <w:gridSpan w:val="5"/>
            <w:vAlign w:val="center"/>
          </w:tcPr>
          <w:p w14:paraId="6FF1BEA9" w14:textId="48B6BAB4" w:rsidR="00673C74" w:rsidRPr="008C335E" w:rsidRDefault="00673C74" w:rsidP="00445FC3">
            <w:pPr>
              <w:pStyle w:val="COMTabletext"/>
              <w:rPr>
                <w:b/>
                <w:bCs w:val="0"/>
              </w:rPr>
            </w:pPr>
            <w:r w:rsidRPr="008C335E">
              <w:rPr>
                <w:b/>
                <w:bCs w:val="0"/>
              </w:rPr>
              <w:t>Effective AEMP per vial (base case: $</w:t>
            </w:r>
            <w:r w:rsidR="00AF1BA2" w:rsidRPr="00AF1BA2">
              <w:rPr>
                <w:b/>
                <w:bCs w:val="0"/>
                <w:color w:val="000000"/>
                <w:spacing w:val="55"/>
                <w:shd w:val="solid" w:color="000000" w:fill="000000"/>
                <w:fitText w:val="350" w:id="-894171647"/>
                <w14:textFill>
                  <w14:solidFill>
                    <w14:srgbClr w14:val="000000">
                      <w14:alpha w14:val="100000"/>
                    </w14:srgbClr>
                  </w14:solidFill>
                </w14:textFill>
              </w:rPr>
              <w:t>|||</w:t>
            </w:r>
            <w:r w:rsidR="00AF1BA2" w:rsidRPr="00AF1BA2">
              <w:rPr>
                <w:b/>
                <w:bCs w:val="0"/>
                <w:color w:val="000000"/>
                <w:spacing w:val="2"/>
                <w:shd w:val="solid" w:color="000000" w:fill="000000"/>
                <w:fitText w:val="350" w:id="-894171647"/>
                <w14:textFill>
                  <w14:solidFill>
                    <w14:srgbClr w14:val="000000">
                      <w14:alpha w14:val="100000"/>
                    </w14:srgbClr>
                  </w14:solidFill>
                </w14:textFill>
              </w:rPr>
              <w:t>|</w:t>
            </w:r>
            <w:r w:rsidRPr="008C335E">
              <w:rPr>
                <w:b/>
                <w:bCs w:val="0"/>
              </w:rPr>
              <w:t>)</w:t>
            </w:r>
          </w:p>
        </w:tc>
      </w:tr>
      <w:tr w:rsidR="00052939" w:rsidRPr="008C335E" w14:paraId="7BED243E" w14:textId="77777777" w:rsidTr="1797D1E5">
        <w:trPr>
          <w:cantSplit/>
          <w:trHeight w:val="70"/>
        </w:trPr>
        <w:tc>
          <w:tcPr>
            <w:tcW w:w="2644" w:type="pct"/>
          </w:tcPr>
          <w:p w14:paraId="3AB50705" w14:textId="1FA506A2" w:rsidR="0061712F" w:rsidRPr="008C335E" w:rsidRDefault="0061712F" w:rsidP="00445FC3">
            <w:pPr>
              <w:pStyle w:val="COMTabletext"/>
            </w:pPr>
            <w:r w:rsidRPr="008C335E">
              <w:t>Effective AEMP per vial $</w:t>
            </w:r>
            <w:r w:rsidR="00AF1BA2" w:rsidRPr="00AF1BA2">
              <w:rPr>
                <w:color w:val="000000"/>
                <w:spacing w:val="53"/>
                <w:shd w:val="solid" w:color="000000" w:fill="000000"/>
                <w:fitText w:val="330" w:id="-894171646"/>
                <w14:textFill>
                  <w14:solidFill>
                    <w14:srgbClr w14:val="000000">
                      <w14:alpha w14:val="100000"/>
                    </w14:srgbClr>
                  </w14:solidFill>
                </w14:textFill>
              </w:rPr>
              <w:t>|||</w:t>
            </w:r>
            <w:r w:rsidR="00AF1BA2" w:rsidRPr="00AF1BA2">
              <w:rPr>
                <w:color w:val="000000"/>
                <w:spacing w:val="1"/>
                <w:shd w:val="solid" w:color="000000" w:fill="000000"/>
                <w:fitText w:val="330" w:id="-894171646"/>
                <w14:textFill>
                  <w14:solidFill>
                    <w14:srgbClr w14:val="000000">
                      <w14:alpha w14:val="100000"/>
                    </w14:srgbClr>
                  </w14:solidFill>
                </w14:textFill>
              </w:rPr>
              <w:t>|</w:t>
            </w:r>
            <w:r w:rsidRPr="008C335E">
              <w:t>, based on price for MRD-positive B-ALL</w:t>
            </w:r>
          </w:p>
        </w:tc>
        <w:tc>
          <w:tcPr>
            <w:tcW w:w="614" w:type="pct"/>
            <w:shd w:val="clear" w:color="auto" w:fill="000000" w:themeFill="text1"/>
            <w:vAlign w:val="center"/>
          </w:tcPr>
          <w:p w14:paraId="4DDB19CA" w14:textId="09ED2912" w:rsidR="0061712F" w:rsidRPr="008C335E" w:rsidRDefault="00AF1BA2" w:rsidP="00445FC3">
            <w:pPr>
              <w:pStyle w:val="COMTabletext"/>
              <w:jc w:val="center"/>
            </w:pPr>
            <w:r>
              <w:rPr>
                <w:rFonts w:cs="Calibri"/>
                <w:color w:val="000000"/>
                <w:w w:val="15"/>
                <w:fitText w:val="10" w:id="-894171645"/>
                <w14:textFill>
                  <w14:solidFill>
                    <w14:srgbClr w14:val="000000">
                      <w14:alpha w14:val="100000"/>
                    </w14:srgbClr>
                  </w14:solidFill>
                </w14:textFill>
              </w:rPr>
              <w:t xml:space="preserve">　</w:t>
            </w:r>
            <w:r>
              <w:rPr>
                <w:rFonts w:cs="Calibri"/>
                <w:color w:val="000000"/>
                <w:spacing w:val="-26"/>
                <w:w w:val="15"/>
                <w:fitText w:val="10" w:id="-894171645"/>
                <w14:textFill>
                  <w14:solidFill>
                    <w14:srgbClr w14:val="000000">
                      <w14:alpha w14:val="100000"/>
                    </w14:srgbClr>
                  </w14:solidFill>
                </w14:textFill>
              </w:rPr>
              <w:t>|</w:t>
            </w:r>
            <w:r w:rsidRPr="1797D1E5">
              <w:rPr>
                <w:rFonts w:cs="Calibri"/>
                <w:color w:val="000000"/>
                <w:w w:val="15"/>
                <w14:textFill>
                  <w14:solidFill>
                    <w14:srgbClr w14:val="000000">
                      <w14:alpha w14:val="100000"/>
                    </w14:srgbClr>
                  </w14:solidFill>
                </w14:textFill>
              </w:rPr>
              <w:t xml:space="preserve">　</w:t>
            </w:r>
          </w:p>
        </w:tc>
        <w:tc>
          <w:tcPr>
            <w:tcW w:w="637" w:type="pct"/>
            <w:vAlign w:val="center"/>
          </w:tcPr>
          <w:p w14:paraId="69794574" w14:textId="77777777" w:rsidR="0061712F" w:rsidRPr="008C335E" w:rsidRDefault="0061712F" w:rsidP="00445FC3">
            <w:pPr>
              <w:pStyle w:val="COMTabletext"/>
              <w:jc w:val="center"/>
            </w:pPr>
            <w:r w:rsidRPr="008C335E">
              <w:rPr>
                <w:rFonts w:cs="Calibri"/>
                <w:color w:val="000000"/>
                <w:szCs w:val="20"/>
              </w:rPr>
              <w:t>3.0209</w:t>
            </w:r>
          </w:p>
        </w:tc>
        <w:tc>
          <w:tcPr>
            <w:tcW w:w="598" w:type="pct"/>
            <w:vAlign w:val="center"/>
          </w:tcPr>
          <w:p w14:paraId="6C6A62A2" w14:textId="2FB15C6D" w:rsidR="0061712F" w:rsidRPr="008C335E" w:rsidRDefault="00AF1BA2" w:rsidP="00445FC3">
            <w:pPr>
              <w:pStyle w:val="COMTabletext"/>
              <w:jc w:val="center"/>
            </w:pPr>
            <w:r w:rsidRPr="00AF1BA2">
              <w:rPr>
                <w:rFonts w:cs="Calibri" w:hint="eastAsia"/>
                <w:color w:val="000000"/>
                <w:w w:val="15"/>
                <w:szCs w:val="20"/>
                <w:shd w:val="solid" w:color="000000" w:fill="000000"/>
                <w:fitText w:val="70" w:id="-894171644"/>
                <w14:textFill>
                  <w14:solidFill>
                    <w14:srgbClr w14:val="000000">
                      <w14:alpha w14:val="100000"/>
                    </w14:srgbClr>
                  </w14:solidFill>
                </w14:textFill>
              </w:rPr>
              <w:t xml:space="preserve">　</w:t>
            </w:r>
            <w:r w:rsidRPr="00AF1BA2">
              <w:rPr>
                <w:rFonts w:cs="Calibri"/>
                <w:color w:val="000000"/>
                <w:w w:val="15"/>
                <w:szCs w:val="20"/>
                <w:shd w:val="solid" w:color="000000" w:fill="000000"/>
                <w:fitText w:val="70" w:id="-894171644"/>
                <w14:textFill>
                  <w14:solidFill>
                    <w14:srgbClr w14:val="000000">
                      <w14:alpha w14:val="100000"/>
                    </w14:srgbClr>
                  </w14:solidFill>
                </w14:textFill>
              </w:rPr>
              <w:t>|</w:t>
            </w:r>
            <w:r w:rsidRPr="00AF1BA2">
              <w:rPr>
                <w:rFonts w:cs="Calibri" w:hint="eastAsia"/>
                <w:color w:val="000000"/>
                <w:spacing w:val="4"/>
                <w:w w:val="15"/>
                <w:szCs w:val="20"/>
                <w:shd w:val="solid" w:color="000000" w:fill="000000"/>
                <w:fitText w:val="70" w:id="-894171644"/>
                <w14:textFill>
                  <w14:solidFill>
                    <w14:srgbClr w14:val="000000">
                      <w14:alpha w14:val="100000"/>
                    </w14:srgbClr>
                  </w14:solidFill>
                </w14:textFill>
              </w:rPr>
              <w:t xml:space="preserve">　</w:t>
            </w:r>
            <w:r w:rsidR="0038290E" w:rsidRPr="00327E8F">
              <w:rPr>
                <w:rFonts w:cs="Calibri"/>
                <w:color w:val="000000"/>
                <w:szCs w:val="20"/>
                <w:vertAlign w:val="superscript"/>
              </w:rPr>
              <w:t xml:space="preserve">3 </w:t>
            </w:r>
          </w:p>
        </w:tc>
        <w:tc>
          <w:tcPr>
            <w:tcW w:w="507" w:type="pct"/>
            <w:vAlign w:val="center"/>
          </w:tcPr>
          <w:p w14:paraId="4856C57B" w14:textId="7FE42AA1" w:rsidR="0061712F" w:rsidRPr="008C335E" w:rsidRDefault="0061712F" w:rsidP="00445FC3">
            <w:pPr>
              <w:pStyle w:val="COMTabletext"/>
              <w:jc w:val="center"/>
            </w:pPr>
            <w:r w:rsidRPr="008C335E">
              <w:rPr>
                <w:rFonts w:cs="Calibri"/>
                <w:color w:val="000000"/>
                <w:szCs w:val="20"/>
              </w:rPr>
              <w:t>-</w:t>
            </w:r>
            <w:r w:rsidR="00AF1BA2" w:rsidRPr="00AF1BA2">
              <w:rPr>
                <w:rFonts w:cs="Calibri"/>
                <w:color w:val="000000"/>
                <w:spacing w:val="46"/>
                <w:szCs w:val="20"/>
                <w:shd w:val="solid" w:color="000000" w:fill="000000"/>
                <w:fitText w:val="220" w:id="-894171643"/>
                <w14:textFill>
                  <w14:solidFill>
                    <w14:srgbClr w14:val="000000">
                      <w14:alpha w14:val="100000"/>
                    </w14:srgbClr>
                  </w14:solidFill>
                </w14:textFill>
              </w:rPr>
              <w:t>||</w:t>
            </w:r>
            <w:r w:rsidR="00AF1BA2" w:rsidRPr="00AF1BA2">
              <w:rPr>
                <w:rFonts w:cs="Calibri"/>
                <w:color w:val="000000"/>
                <w:spacing w:val="1"/>
                <w:szCs w:val="20"/>
                <w:shd w:val="solid" w:color="000000" w:fill="000000"/>
                <w:fitText w:val="220" w:id="-894171643"/>
                <w14:textFill>
                  <w14:solidFill>
                    <w14:srgbClr w14:val="000000">
                      <w14:alpha w14:val="100000"/>
                    </w14:srgbClr>
                  </w14:solidFill>
                </w14:textFill>
              </w:rPr>
              <w:t>|</w:t>
            </w:r>
            <w:r w:rsidRPr="008C335E">
              <w:rPr>
                <w:rFonts w:cs="Calibri"/>
                <w:color w:val="000000"/>
                <w:szCs w:val="20"/>
              </w:rPr>
              <w:t>%</w:t>
            </w:r>
          </w:p>
        </w:tc>
      </w:tr>
      <w:tr w:rsidR="00052939" w:rsidRPr="008C335E" w14:paraId="7B1778F0" w14:textId="77777777" w:rsidTr="1797D1E5">
        <w:trPr>
          <w:cantSplit/>
          <w:trHeight w:val="70"/>
        </w:trPr>
        <w:tc>
          <w:tcPr>
            <w:tcW w:w="5000" w:type="pct"/>
            <w:gridSpan w:val="5"/>
          </w:tcPr>
          <w:p w14:paraId="304BB671" w14:textId="6419D502" w:rsidR="00673C74" w:rsidRPr="008C335E" w:rsidRDefault="00673C74" w:rsidP="00445FC3">
            <w:pPr>
              <w:pStyle w:val="COMTabletext"/>
            </w:pPr>
            <w:r w:rsidRPr="008C335E">
              <w:rPr>
                <w:b/>
                <w:bCs w:val="0"/>
              </w:rPr>
              <w:t>Multivariate analyses</w:t>
            </w:r>
          </w:p>
        </w:tc>
      </w:tr>
      <w:tr w:rsidR="00052939" w:rsidRPr="008C335E" w14:paraId="22FE44A4" w14:textId="77777777" w:rsidTr="1797D1E5">
        <w:trPr>
          <w:cantSplit/>
        </w:trPr>
        <w:tc>
          <w:tcPr>
            <w:tcW w:w="2644" w:type="pct"/>
          </w:tcPr>
          <w:p w14:paraId="20051747" w14:textId="1440DEE4" w:rsidR="0061712F" w:rsidRPr="008C335E" w:rsidRDefault="0061712F" w:rsidP="00445FC3">
            <w:pPr>
              <w:pStyle w:val="COMTabletext"/>
            </w:pPr>
            <w:r w:rsidRPr="008C335E">
              <w:t>$</w:t>
            </w:r>
            <w:r w:rsidR="00AF1BA2" w:rsidRPr="00AF1BA2">
              <w:rPr>
                <w:color w:val="000000"/>
                <w:spacing w:val="53"/>
                <w:shd w:val="solid" w:color="000000" w:fill="000000"/>
                <w:fitText w:val="330" w:id="-894171642"/>
                <w14:textFill>
                  <w14:solidFill>
                    <w14:srgbClr w14:val="000000">
                      <w14:alpha w14:val="100000"/>
                    </w14:srgbClr>
                  </w14:solidFill>
                </w14:textFill>
              </w:rPr>
              <w:t>|||</w:t>
            </w:r>
            <w:r w:rsidR="00AF1BA2" w:rsidRPr="00AF1BA2">
              <w:rPr>
                <w:color w:val="000000"/>
                <w:spacing w:val="1"/>
                <w:shd w:val="solid" w:color="000000" w:fill="000000"/>
                <w:fitText w:val="330" w:id="-894171642"/>
                <w14:textFill>
                  <w14:solidFill>
                    <w14:srgbClr w14:val="000000">
                      <w14:alpha w14:val="100000"/>
                    </w14:srgbClr>
                  </w14:solidFill>
                </w14:textFill>
              </w:rPr>
              <w:t>|</w:t>
            </w:r>
            <w:r w:rsidR="00862762">
              <w:t xml:space="preserve"> p</w:t>
            </w:r>
            <w:r w:rsidRPr="008C335E">
              <w:t xml:space="preserve">er vial; relapse-free utility 0.806; </w:t>
            </w:r>
            <w:r w:rsidR="0080089E">
              <w:t>overall survival</w:t>
            </w:r>
            <w:r w:rsidRPr="008C335E">
              <w:t xml:space="preserve"> linear convergence from 4.5 to 30 years</w:t>
            </w:r>
          </w:p>
        </w:tc>
        <w:tc>
          <w:tcPr>
            <w:tcW w:w="614" w:type="pct"/>
            <w:tcBorders>
              <w:bottom w:val="single" w:sz="4" w:space="0" w:color="auto"/>
            </w:tcBorders>
            <w:shd w:val="clear" w:color="auto" w:fill="000000" w:themeFill="text1"/>
            <w:vAlign w:val="center"/>
          </w:tcPr>
          <w:p w14:paraId="7E5AAF58" w14:textId="5342593B" w:rsidR="0061712F" w:rsidRPr="00327E8F" w:rsidRDefault="00AF1BA2" w:rsidP="00445FC3">
            <w:pPr>
              <w:pStyle w:val="COMTabletext"/>
              <w:jc w:val="center"/>
              <w:rPr>
                <w:highlight w:val="lightGray"/>
              </w:rPr>
            </w:pPr>
            <w:r>
              <w:rPr>
                <w:rFonts w:cs="Calibri"/>
                <w:color w:val="000000"/>
                <w:w w:val="15"/>
                <w:fitText w:val="10" w:id="-894171641"/>
                <w14:textFill>
                  <w14:solidFill>
                    <w14:srgbClr w14:val="000000">
                      <w14:alpha w14:val="100000"/>
                    </w14:srgbClr>
                  </w14:solidFill>
                </w14:textFill>
              </w:rPr>
              <w:t xml:space="preserve">　</w:t>
            </w:r>
            <w:r>
              <w:rPr>
                <w:rFonts w:cs="Calibri"/>
                <w:color w:val="000000"/>
                <w:w w:val="15"/>
                <w:fitText w:val="10" w:id="-894171641"/>
                <w14:textFill>
                  <w14:solidFill>
                    <w14:srgbClr w14:val="000000">
                      <w14:alpha w14:val="100000"/>
                    </w14:srgbClr>
                  </w14:solidFill>
                </w14:textFill>
              </w:rPr>
              <w:t>|</w:t>
            </w:r>
            <w:r>
              <w:rPr>
                <w:rFonts w:cs="Calibri"/>
                <w:color w:val="000000"/>
                <w:spacing w:val="-56"/>
                <w:w w:val="15"/>
                <w:fitText w:val="10" w:id="-894171641"/>
                <w14:textFill>
                  <w14:solidFill>
                    <w14:srgbClr w14:val="000000">
                      <w14:alpha w14:val="100000"/>
                    </w14:srgbClr>
                  </w14:solidFill>
                </w14:textFill>
              </w:rPr>
              <w:t xml:space="preserve">　</w:t>
            </w:r>
          </w:p>
        </w:tc>
        <w:tc>
          <w:tcPr>
            <w:tcW w:w="637" w:type="pct"/>
            <w:vAlign w:val="center"/>
          </w:tcPr>
          <w:p w14:paraId="7805B7C7" w14:textId="77777777" w:rsidR="0061712F" w:rsidRPr="008C335E" w:rsidRDefault="0061712F" w:rsidP="00445FC3">
            <w:pPr>
              <w:pStyle w:val="COMTabletext"/>
              <w:jc w:val="center"/>
            </w:pPr>
            <w:r w:rsidRPr="008C335E">
              <w:rPr>
                <w:rFonts w:cs="Calibri"/>
                <w:color w:val="000000"/>
                <w:szCs w:val="20"/>
              </w:rPr>
              <w:t>1.8227</w:t>
            </w:r>
          </w:p>
        </w:tc>
        <w:tc>
          <w:tcPr>
            <w:tcW w:w="598" w:type="pct"/>
            <w:vAlign w:val="center"/>
          </w:tcPr>
          <w:p w14:paraId="0E685464" w14:textId="5E67D4FD" w:rsidR="0061712F" w:rsidRPr="008C335E" w:rsidRDefault="00AF1BA2" w:rsidP="00445FC3">
            <w:pPr>
              <w:pStyle w:val="COMTabletext"/>
              <w:jc w:val="center"/>
            </w:pPr>
            <w:r w:rsidRPr="00AF1BA2">
              <w:rPr>
                <w:rFonts w:cs="Calibri" w:hint="eastAsia"/>
                <w:color w:val="000000"/>
                <w:w w:val="15"/>
                <w:szCs w:val="20"/>
                <w:shd w:val="solid" w:color="000000" w:fill="000000"/>
                <w:fitText w:val="70" w:id="-894171640"/>
                <w14:textFill>
                  <w14:solidFill>
                    <w14:srgbClr w14:val="000000">
                      <w14:alpha w14:val="100000"/>
                    </w14:srgbClr>
                  </w14:solidFill>
                </w14:textFill>
              </w:rPr>
              <w:t xml:space="preserve">　</w:t>
            </w:r>
            <w:r w:rsidRPr="00AF1BA2">
              <w:rPr>
                <w:rFonts w:cs="Calibri"/>
                <w:color w:val="000000"/>
                <w:w w:val="15"/>
                <w:szCs w:val="20"/>
                <w:shd w:val="solid" w:color="000000" w:fill="000000"/>
                <w:fitText w:val="70" w:id="-894171640"/>
                <w14:textFill>
                  <w14:solidFill>
                    <w14:srgbClr w14:val="000000">
                      <w14:alpha w14:val="100000"/>
                    </w14:srgbClr>
                  </w14:solidFill>
                </w14:textFill>
              </w:rPr>
              <w:t>|</w:t>
            </w:r>
            <w:r w:rsidRPr="00AF1BA2">
              <w:rPr>
                <w:rFonts w:cs="Calibri" w:hint="eastAsia"/>
                <w:color w:val="000000"/>
                <w:spacing w:val="4"/>
                <w:w w:val="15"/>
                <w:szCs w:val="20"/>
                <w:shd w:val="solid" w:color="000000" w:fill="000000"/>
                <w:fitText w:val="70" w:id="-894171640"/>
                <w14:textFill>
                  <w14:solidFill>
                    <w14:srgbClr w14:val="000000">
                      <w14:alpha w14:val="100000"/>
                    </w14:srgbClr>
                  </w14:solidFill>
                </w14:textFill>
              </w:rPr>
              <w:t xml:space="preserve">　</w:t>
            </w:r>
            <w:r w:rsidR="00B76BDC" w:rsidRPr="005C269B">
              <w:rPr>
                <w:vertAlign w:val="superscript"/>
              </w:rPr>
              <w:t>2</w:t>
            </w:r>
          </w:p>
        </w:tc>
        <w:tc>
          <w:tcPr>
            <w:tcW w:w="507" w:type="pct"/>
            <w:vAlign w:val="center"/>
          </w:tcPr>
          <w:p w14:paraId="537A46FC" w14:textId="094EE4E8" w:rsidR="0061712F" w:rsidRPr="008C335E" w:rsidRDefault="0061712F" w:rsidP="00445FC3">
            <w:pPr>
              <w:pStyle w:val="COMTabletext"/>
              <w:jc w:val="center"/>
            </w:pPr>
            <w:r w:rsidRPr="008C335E">
              <w:rPr>
                <w:rFonts w:cs="Calibri"/>
                <w:color w:val="000000"/>
                <w:szCs w:val="20"/>
              </w:rPr>
              <w:t>+</w:t>
            </w:r>
            <w:r w:rsidR="00AF1BA2" w:rsidRPr="00AF1BA2">
              <w:rPr>
                <w:rFonts w:cs="Calibri"/>
                <w:color w:val="000000"/>
                <w:spacing w:val="154"/>
                <w:szCs w:val="20"/>
                <w:shd w:val="solid" w:color="000000" w:fill="000000"/>
                <w:fitText w:val="240" w:id="-894171639"/>
                <w14:textFill>
                  <w14:solidFill>
                    <w14:srgbClr w14:val="000000">
                      <w14:alpha w14:val="100000"/>
                    </w14:srgbClr>
                  </w14:solidFill>
                </w14:textFill>
              </w:rPr>
              <w:t>|</w:t>
            </w:r>
            <w:r w:rsidR="00AF1BA2" w:rsidRPr="00AF1BA2">
              <w:rPr>
                <w:rFonts w:cs="Calibri"/>
                <w:color w:val="000000"/>
                <w:spacing w:val="1"/>
                <w:szCs w:val="20"/>
                <w:shd w:val="solid" w:color="000000" w:fill="000000"/>
                <w:fitText w:val="240" w:id="-894171639"/>
                <w14:textFill>
                  <w14:solidFill>
                    <w14:srgbClr w14:val="000000">
                      <w14:alpha w14:val="100000"/>
                    </w14:srgbClr>
                  </w14:solidFill>
                </w14:textFill>
              </w:rPr>
              <w:t>|</w:t>
            </w:r>
            <w:r w:rsidRPr="008C335E">
              <w:rPr>
                <w:rFonts w:cs="Calibri"/>
                <w:color w:val="000000"/>
                <w:szCs w:val="20"/>
              </w:rPr>
              <w:t>%</w:t>
            </w:r>
          </w:p>
        </w:tc>
      </w:tr>
      <w:tr w:rsidR="00052939" w:rsidRPr="008C335E" w14:paraId="4682589C" w14:textId="77777777" w:rsidTr="1797D1E5">
        <w:trPr>
          <w:cantSplit/>
        </w:trPr>
        <w:tc>
          <w:tcPr>
            <w:tcW w:w="2644" w:type="pct"/>
          </w:tcPr>
          <w:p w14:paraId="0C2233A1" w14:textId="17B39996" w:rsidR="0061712F" w:rsidRPr="008C335E" w:rsidRDefault="0061712F" w:rsidP="00445FC3">
            <w:pPr>
              <w:pStyle w:val="COMTabletext"/>
            </w:pPr>
            <w:r w:rsidRPr="008C335E">
              <w:t>$</w:t>
            </w:r>
            <w:r w:rsidR="00AF1BA2" w:rsidRPr="00AF1BA2">
              <w:rPr>
                <w:color w:val="000000"/>
                <w:spacing w:val="53"/>
                <w:shd w:val="solid" w:color="000000" w:fill="000000"/>
                <w:fitText w:val="330" w:id="-894171638"/>
                <w14:textFill>
                  <w14:solidFill>
                    <w14:srgbClr w14:val="000000">
                      <w14:alpha w14:val="100000"/>
                    </w14:srgbClr>
                  </w14:solidFill>
                </w14:textFill>
              </w:rPr>
              <w:t>|||</w:t>
            </w:r>
            <w:r w:rsidR="00AF1BA2" w:rsidRPr="00AF1BA2">
              <w:rPr>
                <w:color w:val="000000"/>
                <w:spacing w:val="1"/>
                <w:shd w:val="solid" w:color="000000" w:fill="000000"/>
                <w:fitText w:val="330" w:id="-894171638"/>
                <w14:textFill>
                  <w14:solidFill>
                    <w14:srgbClr w14:val="000000">
                      <w14:alpha w14:val="100000"/>
                    </w14:srgbClr>
                  </w14:solidFill>
                </w14:textFill>
              </w:rPr>
              <w:t>|</w:t>
            </w:r>
            <w:r w:rsidR="00862762">
              <w:t xml:space="preserve"> p</w:t>
            </w:r>
            <w:r w:rsidRPr="008C335E">
              <w:t xml:space="preserve">er vial; relapse-free utility 0.806; </w:t>
            </w:r>
            <w:r w:rsidR="0080089E">
              <w:t>overall survival</w:t>
            </w:r>
            <w:r w:rsidRPr="008C335E">
              <w:t xml:space="preserve"> linear convergence from 10 to 30 years</w:t>
            </w:r>
          </w:p>
        </w:tc>
        <w:tc>
          <w:tcPr>
            <w:tcW w:w="614" w:type="pct"/>
            <w:shd w:val="clear" w:color="auto" w:fill="000000" w:themeFill="text1"/>
            <w:vAlign w:val="center"/>
          </w:tcPr>
          <w:p w14:paraId="17236289" w14:textId="63FBA0F3" w:rsidR="0061712F" w:rsidRPr="00327E8F" w:rsidRDefault="00AF1BA2" w:rsidP="00445FC3">
            <w:pPr>
              <w:pStyle w:val="COMTabletext"/>
              <w:jc w:val="center"/>
              <w:rPr>
                <w:highlight w:val="lightGray"/>
              </w:rPr>
            </w:pPr>
            <w:r>
              <w:rPr>
                <w:rFonts w:cs="Calibri"/>
                <w:color w:val="000000"/>
                <w:w w:val="15"/>
                <w:fitText w:val="10" w:id="-894171637"/>
                <w14:textFill>
                  <w14:solidFill>
                    <w14:srgbClr w14:val="000000">
                      <w14:alpha w14:val="100000"/>
                    </w14:srgbClr>
                  </w14:solidFill>
                </w14:textFill>
              </w:rPr>
              <w:t xml:space="preserve">　</w:t>
            </w:r>
            <w:r>
              <w:rPr>
                <w:rFonts w:cs="Calibri"/>
                <w:color w:val="000000"/>
                <w:w w:val="15"/>
                <w:fitText w:val="10" w:id="-894171637"/>
                <w14:textFill>
                  <w14:solidFill>
                    <w14:srgbClr w14:val="000000">
                      <w14:alpha w14:val="100000"/>
                    </w14:srgbClr>
                  </w14:solidFill>
                </w14:textFill>
              </w:rPr>
              <w:t>|</w:t>
            </w:r>
            <w:r>
              <w:rPr>
                <w:rFonts w:cs="Calibri"/>
                <w:color w:val="000000"/>
                <w:spacing w:val="-56"/>
                <w:w w:val="15"/>
                <w:fitText w:val="10" w:id="-894171637"/>
                <w14:textFill>
                  <w14:solidFill>
                    <w14:srgbClr w14:val="000000">
                      <w14:alpha w14:val="100000"/>
                    </w14:srgbClr>
                  </w14:solidFill>
                </w14:textFill>
              </w:rPr>
              <w:t xml:space="preserve">　</w:t>
            </w:r>
          </w:p>
        </w:tc>
        <w:tc>
          <w:tcPr>
            <w:tcW w:w="637" w:type="pct"/>
            <w:vAlign w:val="center"/>
          </w:tcPr>
          <w:p w14:paraId="4387DA57" w14:textId="77777777" w:rsidR="0061712F" w:rsidRPr="008C335E" w:rsidRDefault="0061712F" w:rsidP="00445FC3">
            <w:pPr>
              <w:pStyle w:val="COMTabletext"/>
              <w:jc w:val="center"/>
            </w:pPr>
            <w:r w:rsidRPr="008C335E">
              <w:rPr>
                <w:rFonts w:cs="Calibri"/>
                <w:color w:val="000000"/>
                <w:szCs w:val="20"/>
              </w:rPr>
              <w:t>2.0785</w:t>
            </w:r>
          </w:p>
        </w:tc>
        <w:tc>
          <w:tcPr>
            <w:tcW w:w="598" w:type="pct"/>
            <w:vAlign w:val="center"/>
          </w:tcPr>
          <w:p w14:paraId="4DD01AC4" w14:textId="45F6DB69" w:rsidR="0061712F" w:rsidRPr="008C335E" w:rsidRDefault="00AF1BA2" w:rsidP="00445FC3">
            <w:pPr>
              <w:pStyle w:val="COMTabletext"/>
              <w:jc w:val="center"/>
            </w:pPr>
            <w:r w:rsidRPr="00AF1BA2">
              <w:rPr>
                <w:rFonts w:cs="Calibri" w:hint="eastAsia"/>
                <w:color w:val="000000"/>
                <w:w w:val="15"/>
                <w:szCs w:val="20"/>
                <w:shd w:val="solid" w:color="000000" w:fill="000000"/>
                <w:fitText w:val="70" w:id="-894171636"/>
                <w14:textFill>
                  <w14:solidFill>
                    <w14:srgbClr w14:val="000000">
                      <w14:alpha w14:val="100000"/>
                    </w14:srgbClr>
                  </w14:solidFill>
                </w14:textFill>
              </w:rPr>
              <w:t xml:space="preserve">　</w:t>
            </w:r>
            <w:r w:rsidRPr="00AF1BA2">
              <w:rPr>
                <w:rFonts w:cs="Calibri"/>
                <w:color w:val="000000"/>
                <w:w w:val="15"/>
                <w:szCs w:val="20"/>
                <w:shd w:val="solid" w:color="000000" w:fill="000000"/>
                <w:fitText w:val="70" w:id="-894171636"/>
                <w14:textFill>
                  <w14:solidFill>
                    <w14:srgbClr w14:val="000000">
                      <w14:alpha w14:val="100000"/>
                    </w14:srgbClr>
                  </w14:solidFill>
                </w14:textFill>
              </w:rPr>
              <w:t>|</w:t>
            </w:r>
            <w:r w:rsidRPr="00AF1BA2">
              <w:rPr>
                <w:rFonts w:cs="Calibri" w:hint="eastAsia"/>
                <w:color w:val="000000"/>
                <w:spacing w:val="4"/>
                <w:w w:val="15"/>
                <w:szCs w:val="20"/>
                <w:shd w:val="solid" w:color="000000" w:fill="000000"/>
                <w:fitText w:val="70" w:id="-894171636"/>
                <w14:textFill>
                  <w14:solidFill>
                    <w14:srgbClr w14:val="000000">
                      <w14:alpha w14:val="100000"/>
                    </w14:srgbClr>
                  </w14:solidFill>
                </w14:textFill>
              </w:rPr>
              <w:t xml:space="preserve">　</w:t>
            </w:r>
            <w:r w:rsidR="00946E31" w:rsidRPr="005C269B">
              <w:rPr>
                <w:rFonts w:cs="Calibri"/>
                <w:b/>
                <w:bCs w:val="0"/>
                <w:color w:val="000000"/>
                <w:szCs w:val="20"/>
                <w:vertAlign w:val="superscript"/>
              </w:rPr>
              <w:t>1</w:t>
            </w:r>
          </w:p>
        </w:tc>
        <w:tc>
          <w:tcPr>
            <w:tcW w:w="507" w:type="pct"/>
            <w:vAlign w:val="center"/>
          </w:tcPr>
          <w:p w14:paraId="439F9EE7" w14:textId="77EA8B49" w:rsidR="0061712F" w:rsidRPr="008C335E" w:rsidRDefault="0061712F" w:rsidP="00445FC3">
            <w:pPr>
              <w:pStyle w:val="COMTabletext"/>
              <w:jc w:val="center"/>
            </w:pPr>
            <w:r w:rsidRPr="008C335E">
              <w:rPr>
                <w:rFonts w:cs="Calibri"/>
                <w:color w:val="000000"/>
                <w:szCs w:val="20"/>
              </w:rPr>
              <w:t>+</w:t>
            </w:r>
            <w:r w:rsidR="00AF1BA2" w:rsidRPr="00AF1BA2">
              <w:rPr>
                <w:rFonts w:cs="Calibri"/>
                <w:color w:val="000000"/>
                <w:spacing w:val="154"/>
                <w:szCs w:val="20"/>
                <w:shd w:val="solid" w:color="000000" w:fill="000000"/>
                <w:fitText w:val="240" w:id="-894171635"/>
                <w14:textFill>
                  <w14:solidFill>
                    <w14:srgbClr w14:val="000000">
                      <w14:alpha w14:val="100000"/>
                    </w14:srgbClr>
                  </w14:solidFill>
                </w14:textFill>
              </w:rPr>
              <w:t>|</w:t>
            </w:r>
            <w:r w:rsidR="00AF1BA2" w:rsidRPr="00AF1BA2">
              <w:rPr>
                <w:rFonts w:cs="Calibri"/>
                <w:color w:val="000000"/>
                <w:spacing w:val="1"/>
                <w:szCs w:val="20"/>
                <w:shd w:val="solid" w:color="000000" w:fill="000000"/>
                <w:fitText w:val="240" w:id="-894171635"/>
                <w14:textFill>
                  <w14:solidFill>
                    <w14:srgbClr w14:val="000000">
                      <w14:alpha w14:val="100000"/>
                    </w14:srgbClr>
                  </w14:solidFill>
                </w14:textFill>
              </w:rPr>
              <w:t>|</w:t>
            </w:r>
            <w:r w:rsidRPr="008C335E">
              <w:rPr>
                <w:rFonts w:cs="Calibri"/>
                <w:color w:val="000000"/>
                <w:szCs w:val="20"/>
              </w:rPr>
              <w:t>%</w:t>
            </w:r>
          </w:p>
        </w:tc>
      </w:tr>
    </w:tbl>
    <w:p w14:paraId="4AF0E6F9" w14:textId="77777777" w:rsidR="002F4481" w:rsidRPr="008C335E" w:rsidRDefault="002F4481" w:rsidP="00445FC3">
      <w:pPr>
        <w:pStyle w:val="COMTablefooter"/>
        <w:keepNext/>
      </w:pPr>
      <w:r w:rsidRPr="008C335E">
        <w:t>Source: The blinatumomab economic model of the submission</w:t>
      </w:r>
    </w:p>
    <w:p w14:paraId="230B498D" w14:textId="1ED9ACB1" w:rsidR="00E63435" w:rsidRDefault="0061712F" w:rsidP="00862762">
      <w:pPr>
        <w:pStyle w:val="COMTablefooter"/>
        <w:keepNext/>
        <w:spacing w:after="0"/>
      </w:pPr>
      <w:r w:rsidRPr="008C335E">
        <w:t>Abbreviations: ICER, incremental cost-effectiveness ratio; MRD, measurable residual disease; QALY, quality adjusted life year</w:t>
      </w:r>
    </w:p>
    <w:p w14:paraId="614A6AAA" w14:textId="77777777" w:rsidR="004947DB" w:rsidRPr="00862762" w:rsidRDefault="004947DB" w:rsidP="00445FC3">
      <w:pPr>
        <w:keepNext/>
        <w:spacing w:after="120"/>
        <w:contextualSpacing/>
        <w:rPr>
          <w:rFonts w:ascii="Arial Narrow" w:hAnsi="Arial Narrow"/>
          <w:i/>
          <w:iCs/>
          <w:snapToGrid w:val="0"/>
          <w:sz w:val="18"/>
          <w:szCs w:val="18"/>
        </w:rPr>
      </w:pPr>
      <w:bookmarkStart w:id="67" w:name="_Hlk176508654"/>
      <w:r w:rsidRPr="00862762">
        <w:rPr>
          <w:rFonts w:ascii="Arial Narrow" w:hAnsi="Arial Narrow"/>
          <w:i/>
          <w:iCs/>
          <w:snapToGrid w:val="0"/>
          <w:sz w:val="18"/>
          <w:szCs w:val="18"/>
        </w:rPr>
        <w:t>The redacted values correspond to the following ranges</w:t>
      </w:r>
    </w:p>
    <w:p w14:paraId="49272240" w14:textId="77777777" w:rsidR="0038290E" w:rsidRPr="00862762" w:rsidRDefault="0038290E" w:rsidP="00445FC3">
      <w:pPr>
        <w:keepNext/>
        <w:spacing w:after="120"/>
        <w:contextualSpacing/>
        <w:rPr>
          <w:rFonts w:ascii="Arial Narrow" w:hAnsi="Arial Narrow"/>
          <w:i/>
          <w:iCs/>
          <w:snapToGrid w:val="0"/>
          <w:sz w:val="18"/>
          <w:szCs w:val="18"/>
        </w:rPr>
      </w:pPr>
      <w:r w:rsidRPr="00862762">
        <w:rPr>
          <w:rFonts w:ascii="Arial Narrow" w:hAnsi="Arial Narrow"/>
          <w:i/>
          <w:iCs/>
          <w:snapToGrid w:val="0"/>
          <w:sz w:val="18"/>
          <w:szCs w:val="18"/>
        </w:rPr>
        <w:t xml:space="preserve">1 $55,000 to &lt; $75,000 </w:t>
      </w:r>
    </w:p>
    <w:bookmarkEnd w:id="67"/>
    <w:p w14:paraId="34922C7B" w14:textId="77777777" w:rsidR="00946E31" w:rsidRPr="00862762" w:rsidRDefault="00946E31" w:rsidP="00445FC3">
      <w:pPr>
        <w:keepNext/>
        <w:spacing w:after="120"/>
        <w:contextualSpacing/>
        <w:rPr>
          <w:rFonts w:ascii="Arial Narrow" w:hAnsi="Arial Narrow"/>
          <w:i/>
          <w:iCs/>
          <w:snapToGrid w:val="0"/>
          <w:sz w:val="18"/>
          <w:szCs w:val="18"/>
        </w:rPr>
      </w:pPr>
      <w:r w:rsidRPr="00862762">
        <w:rPr>
          <w:rFonts w:ascii="Arial Narrow" w:hAnsi="Arial Narrow"/>
          <w:i/>
          <w:iCs/>
          <w:snapToGrid w:val="0"/>
          <w:sz w:val="18"/>
          <w:szCs w:val="18"/>
        </w:rPr>
        <w:t>2 $75,000 to &lt; $95,000</w:t>
      </w:r>
    </w:p>
    <w:p w14:paraId="7EEAD691" w14:textId="43201E50" w:rsidR="004947DB" w:rsidRPr="00862762" w:rsidRDefault="007075C9" w:rsidP="004947DB">
      <w:pPr>
        <w:spacing w:after="120"/>
        <w:contextualSpacing/>
        <w:rPr>
          <w:rFonts w:ascii="Arial Narrow" w:hAnsi="Arial Narrow"/>
          <w:i/>
          <w:iCs/>
          <w:snapToGrid w:val="0"/>
          <w:sz w:val="18"/>
          <w:szCs w:val="18"/>
        </w:rPr>
      </w:pPr>
      <w:r w:rsidRPr="00862762">
        <w:rPr>
          <w:rFonts w:ascii="Arial Narrow" w:hAnsi="Arial Narrow"/>
          <w:i/>
          <w:iCs/>
          <w:snapToGrid w:val="0"/>
          <w:sz w:val="18"/>
          <w:szCs w:val="18"/>
        </w:rPr>
        <w:t xml:space="preserve">3 </w:t>
      </w:r>
      <w:r w:rsidR="004947DB" w:rsidRPr="00862762">
        <w:rPr>
          <w:rFonts w:ascii="Arial Narrow" w:hAnsi="Arial Narrow"/>
          <w:i/>
          <w:iCs/>
          <w:snapToGrid w:val="0"/>
          <w:sz w:val="18"/>
          <w:szCs w:val="18"/>
        </w:rPr>
        <w:t>$45,000 to &lt; $55,000</w:t>
      </w:r>
    </w:p>
    <w:p w14:paraId="472842D7" w14:textId="63A7B7FD" w:rsidR="00C25D9C" w:rsidRPr="00225248" w:rsidRDefault="00C25D9C" w:rsidP="0059709C">
      <w:pPr>
        <w:pStyle w:val="COMH2-non-numbered"/>
        <w:keepLines/>
      </w:pPr>
      <w:bookmarkStart w:id="68" w:name="_Toc22897646"/>
      <w:bookmarkStart w:id="69" w:name="_Toc167265612"/>
      <w:r w:rsidRPr="00225248">
        <w:t>Drug cost/patient/course</w:t>
      </w:r>
      <w:bookmarkEnd w:id="68"/>
      <w:bookmarkEnd w:id="69"/>
    </w:p>
    <w:p w14:paraId="51691BD3" w14:textId="4C43054A" w:rsidR="00494207" w:rsidRPr="00225248" w:rsidRDefault="00E16AD8" w:rsidP="0059709C">
      <w:pPr>
        <w:pStyle w:val="COMtablefigcaption"/>
        <w:keepLines/>
      </w:pPr>
      <w:bookmarkStart w:id="70" w:name="_Ref104805102"/>
      <w:r w:rsidRPr="00225248">
        <w:t xml:space="preserve">Table </w:t>
      </w:r>
      <w:r w:rsidR="006F0D54">
        <w:fldChar w:fldCharType="begin" w:fldLock="1"/>
      </w:r>
      <w:r w:rsidR="006F0D54">
        <w:instrText xml:space="preserve"> SEQ Table \* ARABIC </w:instrText>
      </w:r>
      <w:r w:rsidR="006F0D54">
        <w:fldChar w:fldCharType="separate"/>
      </w:r>
      <w:r w:rsidR="00356F14">
        <w:rPr>
          <w:noProof/>
        </w:rPr>
        <w:t>17</w:t>
      </w:r>
      <w:r w:rsidR="006F0D54">
        <w:rPr>
          <w:noProof/>
        </w:rPr>
        <w:fldChar w:fldCharType="end"/>
      </w:r>
      <w:bookmarkEnd w:id="70"/>
      <w:r w:rsidRPr="00225248">
        <w:t>:</w:t>
      </w:r>
      <w:r w:rsidR="00494207" w:rsidRPr="00225248">
        <w:t xml:space="preserve"> Drug cost per patient for </w:t>
      </w:r>
      <w:r w:rsidR="00A2790B">
        <w:t>blinatumomab</w:t>
      </w:r>
      <w:r w:rsidR="00EC3040">
        <w:t xml:space="preserve"> as an add-on to consolidation chemotherapy</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7: Drug cost per patient for blinatumomab as an add-on to consolidation chemotherapy"/>
      </w:tblPr>
      <w:tblGrid>
        <w:gridCol w:w="2082"/>
        <w:gridCol w:w="2298"/>
        <w:gridCol w:w="2298"/>
        <w:gridCol w:w="2298"/>
      </w:tblGrid>
      <w:tr w:rsidR="00A2790B" w:rsidRPr="00225248" w14:paraId="21AC90BD" w14:textId="77777777" w:rsidTr="00EC4AC1">
        <w:trPr>
          <w:cantSplit/>
          <w:tblHeader/>
          <w:jc w:val="center"/>
        </w:trPr>
        <w:tc>
          <w:tcPr>
            <w:tcW w:w="1160" w:type="pct"/>
            <w:shd w:val="clear" w:color="auto" w:fill="auto"/>
            <w:vAlign w:val="center"/>
          </w:tcPr>
          <w:p w14:paraId="485D48B1" w14:textId="77777777" w:rsidR="00A2790B" w:rsidRPr="00225248" w:rsidRDefault="00A2790B" w:rsidP="0059709C">
            <w:pPr>
              <w:pStyle w:val="COMTableheadingrow"/>
              <w:keepLines/>
            </w:pPr>
          </w:p>
        </w:tc>
        <w:tc>
          <w:tcPr>
            <w:tcW w:w="1280" w:type="pct"/>
            <w:shd w:val="clear" w:color="auto" w:fill="auto"/>
            <w:vAlign w:val="center"/>
          </w:tcPr>
          <w:p w14:paraId="3642530E" w14:textId="6318E7A1" w:rsidR="00A2790B" w:rsidRPr="00225248" w:rsidRDefault="00A2790B" w:rsidP="0059709C">
            <w:pPr>
              <w:pStyle w:val="COMTableheadingrow"/>
              <w:keepLines/>
              <w:jc w:val="center"/>
            </w:pPr>
            <w:r>
              <w:t>Trial</w:t>
            </w:r>
          </w:p>
        </w:tc>
        <w:tc>
          <w:tcPr>
            <w:tcW w:w="1280" w:type="pct"/>
            <w:shd w:val="clear" w:color="auto" w:fill="auto"/>
            <w:vAlign w:val="center"/>
          </w:tcPr>
          <w:p w14:paraId="250CD479" w14:textId="48A0B205" w:rsidR="00A2790B" w:rsidRPr="00225248" w:rsidRDefault="00A2790B" w:rsidP="0059709C">
            <w:pPr>
              <w:pStyle w:val="COMTableheadingrow"/>
              <w:keepLines/>
              <w:jc w:val="center"/>
            </w:pPr>
            <w:r>
              <w:t>Economic model</w:t>
            </w:r>
          </w:p>
        </w:tc>
        <w:tc>
          <w:tcPr>
            <w:tcW w:w="1280" w:type="pct"/>
            <w:shd w:val="clear" w:color="auto" w:fill="auto"/>
            <w:vAlign w:val="center"/>
          </w:tcPr>
          <w:p w14:paraId="44C76606" w14:textId="77777777" w:rsidR="00A2790B" w:rsidRPr="00225248" w:rsidRDefault="00A2790B" w:rsidP="0059709C">
            <w:pPr>
              <w:pStyle w:val="COMTableheadingrow"/>
              <w:keepLines/>
              <w:jc w:val="center"/>
            </w:pPr>
            <w:r w:rsidRPr="00225248">
              <w:t>Financial estimates</w:t>
            </w:r>
          </w:p>
        </w:tc>
      </w:tr>
      <w:tr w:rsidR="00A2790B" w:rsidRPr="00225248" w14:paraId="0B84FE33" w14:textId="77777777" w:rsidTr="00EC4AC1">
        <w:trPr>
          <w:cantSplit/>
          <w:jc w:val="center"/>
        </w:trPr>
        <w:tc>
          <w:tcPr>
            <w:tcW w:w="1160" w:type="pct"/>
            <w:shd w:val="clear" w:color="auto" w:fill="auto"/>
            <w:vAlign w:val="center"/>
          </w:tcPr>
          <w:p w14:paraId="49111F6C" w14:textId="164A2D92" w:rsidR="00A2790B" w:rsidRPr="00225248" w:rsidRDefault="00A2790B" w:rsidP="0059709C">
            <w:pPr>
              <w:pStyle w:val="COMTabletext"/>
              <w:keepLines/>
            </w:pPr>
            <w:r w:rsidRPr="00225248">
              <w:t>Mean</w:t>
            </w:r>
            <w:r w:rsidR="009A29B3">
              <w:t xml:space="preserve"> treatment duration</w:t>
            </w:r>
          </w:p>
        </w:tc>
        <w:tc>
          <w:tcPr>
            <w:tcW w:w="1280" w:type="pct"/>
            <w:shd w:val="clear" w:color="auto" w:fill="auto"/>
            <w:vAlign w:val="center"/>
          </w:tcPr>
          <w:p w14:paraId="30EF57C3" w14:textId="469005EC" w:rsidR="00A2790B" w:rsidRPr="00886446" w:rsidRDefault="00095B65" w:rsidP="0059709C">
            <w:pPr>
              <w:pStyle w:val="COMTabletext"/>
              <w:keepLines/>
              <w:jc w:val="center"/>
              <w:rPr>
                <w:b/>
                <w:vertAlign w:val="superscript"/>
              </w:rPr>
            </w:pPr>
            <w:r w:rsidRPr="00095B65">
              <w:t>82.6 days</w:t>
            </w:r>
            <w:r w:rsidR="00886446">
              <w:t xml:space="preserve"> </w:t>
            </w:r>
            <w:r w:rsidR="00886446" w:rsidRPr="00886446">
              <w:rPr>
                <w:vertAlign w:val="superscript"/>
              </w:rPr>
              <w:t>a</w:t>
            </w:r>
          </w:p>
        </w:tc>
        <w:tc>
          <w:tcPr>
            <w:tcW w:w="1280" w:type="pct"/>
            <w:shd w:val="clear" w:color="auto" w:fill="auto"/>
            <w:vAlign w:val="center"/>
          </w:tcPr>
          <w:p w14:paraId="6906B266" w14:textId="1B842AD5" w:rsidR="00A2790B" w:rsidRPr="00886446" w:rsidRDefault="009A29B3" w:rsidP="0059709C">
            <w:pPr>
              <w:pStyle w:val="COMTabletext"/>
              <w:keepLines/>
              <w:jc w:val="center"/>
              <w:rPr>
                <w:b/>
                <w:vertAlign w:val="superscript"/>
              </w:rPr>
            </w:pPr>
            <w:r w:rsidRPr="009A29B3">
              <w:t>82</w:t>
            </w:r>
            <w:r>
              <w:t>.6 days</w:t>
            </w:r>
            <w:r w:rsidR="00886446">
              <w:t xml:space="preserve"> </w:t>
            </w:r>
            <w:r w:rsidR="00886446">
              <w:rPr>
                <w:vertAlign w:val="superscript"/>
              </w:rPr>
              <w:t>a</w:t>
            </w:r>
          </w:p>
        </w:tc>
        <w:tc>
          <w:tcPr>
            <w:tcW w:w="1280" w:type="pct"/>
            <w:shd w:val="clear" w:color="auto" w:fill="auto"/>
            <w:vAlign w:val="center"/>
          </w:tcPr>
          <w:p w14:paraId="40F6D5BC" w14:textId="208F2159" w:rsidR="00A2790B" w:rsidRPr="00886446" w:rsidRDefault="004E2C56" w:rsidP="0059709C">
            <w:pPr>
              <w:pStyle w:val="COMTabletext"/>
              <w:keepLines/>
              <w:jc w:val="center"/>
              <w:rPr>
                <w:vertAlign w:val="superscript"/>
              </w:rPr>
            </w:pPr>
            <w:r w:rsidRPr="004E2C56">
              <w:t>82.6 days</w:t>
            </w:r>
            <w:r w:rsidR="00886446">
              <w:t xml:space="preserve"> </w:t>
            </w:r>
            <w:r w:rsidR="00886446">
              <w:rPr>
                <w:vertAlign w:val="superscript"/>
              </w:rPr>
              <w:t>a</w:t>
            </w:r>
          </w:p>
        </w:tc>
      </w:tr>
      <w:tr w:rsidR="00A2790B" w:rsidRPr="00225248" w14:paraId="455F2922" w14:textId="77777777" w:rsidTr="00EC4AC1">
        <w:trPr>
          <w:cantSplit/>
          <w:jc w:val="center"/>
        </w:trPr>
        <w:tc>
          <w:tcPr>
            <w:tcW w:w="1160" w:type="pct"/>
            <w:shd w:val="clear" w:color="auto" w:fill="auto"/>
            <w:vAlign w:val="center"/>
          </w:tcPr>
          <w:p w14:paraId="0818A7F9" w14:textId="74399C0A" w:rsidR="00A2790B" w:rsidRPr="00225248" w:rsidRDefault="00095B65" w:rsidP="0059709C">
            <w:pPr>
              <w:pStyle w:val="COMTabletext"/>
              <w:keepLines/>
            </w:pPr>
            <w:r>
              <w:t>Scripts per patient</w:t>
            </w:r>
          </w:p>
        </w:tc>
        <w:tc>
          <w:tcPr>
            <w:tcW w:w="1280" w:type="pct"/>
            <w:shd w:val="clear" w:color="auto" w:fill="auto"/>
            <w:vAlign w:val="center"/>
          </w:tcPr>
          <w:p w14:paraId="34F0ACD6" w14:textId="443D8CA6" w:rsidR="00A2790B" w:rsidRPr="0042493F" w:rsidRDefault="00BB7A6B" w:rsidP="0059709C">
            <w:pPr>
              <w:pStyle w:val="COMTabletext"/>
              <w:keepLines/>
              <w:jc w:val="center"/>
              <w:rPr>
                <w:vertAlign w:val="superscript"/>
              </w:rPr>
            </w:pPr>
            <w:r>
              <w:t>-</w:t>
            </w:r>
          </w:p>
        </w:tc>
        <w:tc>
          <w:tcPr>
            <w:tcW w:w="1280" w:type="pct"/>
            <w:shd w:val="clear" w:color="auto" w:fill="auto"/>
            <w:vAlign w:val="center"/>
          </w:tcPr>
          <w:p w14:paraId="10235C1F" w14:textId="792E9F9A" w:rsidR="00A2790B" w:rsidRPr="0042493F" w:rsidRDefault="00095B65" w:rsidP="0059709C">
            <w:pPr>
              <w:pStyle w:val="COMTabletext"/>
              <w:keepLines/>
              <w:jc w:val="center"/>
              <w:rPr>
                <w:vertAlign w:val="superscript"/>
              </w:rPr>
            </w:pPr>
            <w:r>
              <w:t>2.95</w:t>
            </w:r>
            <w:r w:rsidR="0042493F">
              <w:t xml:space="preserve"> </w:t>
            </w:r>
            <w:r w:rsidR="0042493F">
              <w:rPr>
                <w:vertAlign w:val="superscript"/>
              </w:rPr>
              <w:t>b</w:t>
            </w:r>
          </w:p>
        </w:tc>
        <w:tc>
          <w:tcPr>
            <w:tcW w:w="1280" w:type="pct"/>
            <w:shd w:val="clear" w:color="auto" w:fill="auto"/>
            <w:vAlign w:val="center"/>
          </w:tcPr>
          <w:p w14:paraId="23CB1A9C" w14:textId="01777D56" w:rsidR="00A2790B" w:rsidRPr="0042493F" w:rsidRDefault="00095B65" w:rsidP="0059709C">
            <w:pPr>
              <w:pStyle w:val="COMTabletext"/>
              <w:keepLines/>
              <w:jc w:val="center"/>
              <w:rPr>
                <w:vertAlign w:val="superscript"/>
              </w:rPr>
            </w:pPr>
            <w:r>
              <w:t>Adult: 2.95</w:t>
            </w:r>
            <w:r w:rsidR="0042493F">
              <w:t xml:space="preserve"> </w:t>
            </w:r>
            <w:r w:rsidR="0042493F">
              <w:rPr>
                <w:vertAlign w:val="superscript"/>
              </w:rPr>
              <w:t>b</w:t>
            </w:r>
          </w:p>
          <w:p w14:paraId="3791C497" w14:textId="5F4DF8F9" w:rsidR="00095B65" w:rsidRPr="0042493F" w:rsidRDefault="00095B65" w:rsidP="0059709C">
            <w:pPr>
              <w:pStyle w:val="COMTabletext"/>
              <w:keepLines/>
              <w:jc w:val="center"/>
              <w:rPr>
                <w:vertAlign w:val="superscript"/>
              </w:rPr>
            </w:pPr>
            <w:r>
              <w:t>Paediatric: 1.77</w:t>
            </w:r>
            <w:r w:rsidR="0042493F">
              <w:t xml:space="preserve"> </w:t>
            </w:r>
            <w:r w:rsidR="0042493F">
              <w:rPr>
                <w:vertAlign w:val="superscript"/>
              </w:rPr>
              <w:t>c</w:t>
            </w:r>
          </w:p>
        </w:tc>
      </w:tr>
      <w:tr w:rsidR="008F2A32" w:rsidRPr="00225248" w14:paraId="5D0509B3" w14:textId="77777777" w:rsidTr="00EC4AC1">
        <w:trPr>
          <w:cantSplit/>
          <w:jc w:val="center"/>
        </w:trPr>
        <w:tc>
          <w:tcPr>
            <w:tcW w:w="1160" w:type="pct"/>
            <w:shd w:val="clear" w:color="auto" w:fill="auto"/>
            <w:vAlign w:val="center"/>
          </w:tcPr>
          <w:p w14:paraId="44CE4F65" w14:textId="478D92AD" w:rsidR="008F2A32" w:rsidRDefault="008F2A32" w:rsidP="0059709C">
            <w:pPr>
              <w:pStyle w:val="COMTabletext"/>
              <w:keepLines/>
            </w:pPr>
            <w:r>
              <w:t>Cost per script</w:t>
            </w:r>
          </w:p>
        </w:tc>
        <w:tc>
          <w:tcPr>
            <w:tcW w:w="1280" w:type="pct"/>
            <w:shd w:val="clear" w:color="auto" w:fill="auto"/>
            <w:vAlign w:val="center"/>
          </w:tcPr>
          <w:p w14:paraId="39C8BB85" w14:textId="1D40BF15" w:rsidR="008F2A32" w:rsidRDefault="008F2A32" w:rsidP="0059709C">
            <w:pPr>
              <w:pStyle w:val="COMTabletext"/>
              <w:keepLines/>
              <w:jc w:val="center"/>
            </w:pPr>
            <w:r>
              <w:t>-</w:t>
            </w:r>
          </w:p>
        </w:tc>
        <w:tc>
          <w:tcPr>
            <w:tcW w:w="1280" w:type="pct"/>
            <w:shd w:val="clear" w:color="auto" w:fill="auto"/>
            <w:vAlign w:val="center"/>
          </w:tcPr>
          <w:p w14:paraId="64CEB162" w14:textId="0C963CDA" w:rsidR="008F2A32" w:rsidRPr="0042493F" w:rsidRDefault="008F2A32" w:rsidP="0059709C">
            <w:pPr>
              <w:pStyle w:val="COMTabletext"/>
              <w:keepLines/>
              <w:jc w:val="center"/>
              <w:rPr>
                <w:vertAlign w:val="superscript"/>
              </w:rPr>
            </w:pPr>
            <w:r>
              <w:t>$</w:t>
            </w:r>
            <w:r w:rsidR="00AF1BA2" w:rsidRPr="00AF1BA2">
              <w:rPr>
                <w:color w:val="000000"/>
                <w:shd w:val="solid" w:color="000000" w:fill="000000"/>
                <w14:textFill>
                  <w14:solidFill>
                    <w14:srgbClr w14:val="000000">
                      <w14:alpha w14:val="100000"/>
                    </w14:srgbClr>
                  </w14:solidFill>
                </w14:textFill>
              </w:rPr>
              <w:t>|</w:t>
            </w:r>
            <w:r w:rsidR="0042493F">
              <w:t xml:space="preserve"> </w:t>
            </w:r>
            <w:r w:rsidR="0042493F">
              <w:rPr>
                <w:vertAlign w:val="superscript"/>
              </w:rPr>
              <w:t>d</w:t>
            </w:r>
          </w:p>
        </w:tc>
        <w:tc>
          <w:tcPr>
            <w:tcW w:w="1280" w:type="pct"/>
            <w:shd w:val="clear" w:color="auto" w:fill="auto"/>
            <w:vAlign w:val="center"/>
          </w:tcPr>
          <w:p w14:paraId="6877F529" w14:textId="423E478F" w:rsidR="008F2A32" w:rsidRPr="0042493F" w:rsidRDefault="00736CC5" w:rsidP="0059709C">
            <w:pPr>
              <w:pStyle w:val="COMTabletext"/>
              <w:keepLines/>
              <w:jc w:val="center"/>
              <w:rPr>
                <w:vertAlign w:val="superscript"/>
              </w:rPr>
            </w:pPr>
            <w:r>
              <w:t>$</w:t>
            </w:r>
            <w:r w:rsidR="00AF1BA2" w:rsidRPr="00AF1BA2">
              <w:rPr>
                <w:color w:val="000000"/>
                <w:shd w:val="solid" w:color="000000" w:fill="000000"/>
                <w14:textFill>
                  <w14:solidFill>
                    <w14:srgbClr w14:val="000000">
                      <w14:alpha w14:val="100000"/>
                    </w14:srgbClr>
                  </w14:solidFill>
                </w14:textFill>
              </w:rPr>
              <w:t>|</w:t>
            </w:r>
            <w:r w:rsidR="0042493F">
              <w:t xml:space="preserve"> </w:t>
            </w:r>
            <w:r w:rsidR="0042493F">
              <w:rPr>
                <w:vertAlign w:val="superscript"/>
              </w:rPr>
              <w:t>d</w:t>
            </w:r>
          </w:p>
        </w:tc>
      </w:tr>
      <w:tr w:rsidR="00DF7568" w:rsidRPr="00225248" w14:paraId="50AB7EEC" w14:textId="77777777" w:rsidTr="00EC4AC1">
        <w:trPr>
          <w:cantSplit/>
          <w:jc w:val="center"/>
        </w:trPr>
        <w:tc>
          <w:tcPr>
            <w:tcW w:w="1160" w:type="pct"/>
            <w:shd w:val="clear" w:color="auto" w:fill="auto"/>
            <w:vAlign w:val="center"/>
          </w:tcPr>
          <w:p w14:paraId="0E136B6D" w14:textId="4D5275C3" w:rsidR="00DF7568" w:rsidRPr="00225248" w:rsidRDefault="00DF7568" w:rsidP="0059709C">
            <w:pPr>
              <w:pStyle w:val="COMTabletext"/>
              <w:keepLines/>
            </w:pPr>
            <w:r>
              <w:t>Cost</w:t>
            </w:r>
            <w:r w:rsidR="00095B65">
              <w:t>/patient/course</w:t>
            </w:r>
          </w:p>
        </w:tc>
        <w:tc>
          <w:tcPr>
            <w:tcW w:w="1280" w:type="pct"/>
            <w:shd w:val="clear" w:color="auto" w:fill="auto"/>
            <w:vAlign w:val="center"/>
          </w:tcPr>
          <w:p w14:paraId="1A0CF4F7" w14:textId="5C3DA4D0" w:rsidR="00DF7568" w:rsidRPr="00225248" w:rsidRDefault="00002761" w:rsidP="0059709C">
            <w:pPr>
              <w:pStyle w:val="COMTabletext"/>
              <w:keepLines/>
              <w:jc w:val="center"/>
            </w:pPr>
            <w:r>
              <w:t>-</w:t>
            </w:r>
          </w:p>
        </w:tc>
        <w:tc>
          <w:tcPr>
            <w:tcW w:w="1280" w:type="pct"/>
            <w:shd w:val="clear" w:color="auto" w:fill="auto"/>
            <w:vAlign w:val="center"/>
          </w:tcPr>
          <w:p w14:paraId="7E1E5C54" w14:textId="1ECCE5FB" w:rsidR="00DF7568" w:rsidRPr="0042493F" w:rsidRDefault="00095B65" w:rsidP="0059709C">
            <w:pPr>
              <w:pStyle w:val="COMTabletext"/>
              <w:keepLines/>
              <w:jc w:val="center"/>
              <w:rPr>
                <w:vertAlign w:val="superscript"/>
              </w:rPr>
            </w:pPr>
            <w:r>
              <w:t>$</w:t>
            </w:r>
            <w:r w:rsidR="00AF1BA2" w:rsidRPr="00AF1BA2">
              <w:rPr>
                <w:color w:val="000000"/>
                <w:shd w:val="solid" w:color="000000" w:fill="000000"/>
                <w14:textFill>
                  <w14:solidFill>
                    <w14:srgbClr w14:val="000000">
                      <w14:alpha w14:val="100000"/>
                    </w14:srgbClr>
                  </w14:solidFill>
                </w14:textFill>
              </w:rPr>
              <w:t>|</w:t>
            </w:r>
            <w:r w:rsidR="0042493F">
              <w:t xml:space="preserve"> </w:t>
            </w:r>
            <w:r w:rsidR="0042493F">
              <w:rPr>
                <w:vertAlign w:val="superscript"/>
              </w:rPr>
              <w:t>e</w:t>
            </w:r>
          </w:p>
        </w:tc>
        <w:tc>
          <w:tcPr>
            <w:tcW w:w="1280" w:type="pct"/>
            <w:shd w:val="clear" w:color="auto" w:fill="auto"/>
            <w:vAlign w:val="center"/>
          </w:tcPr>
          <w:p w14:paraId="73271059" w14:textId="36F90E23" w:rsidR="00DF7568" w:rsidRPr="0042493F" w:rsidRDefault="00095B65" w:rsidP="0059709C">
            <w:pPr>
              <w:pStyle w:val="COMTabletext"/>
              <w:keepLines/>
              <w:jc w:val="center"/>
              <w:rPr>
                <w:vertAlign w:val="superscript"/>
              </w:rPr>
            </w:pPr>
            <w:r>
              <w:t>Adult: $</w:t>
            </w:r>
            <w:r w:rsidR="00AF1BA2" w:rsidRPr="00AF1BA2">
              <w:rPr>
                <w:color w:val="000000"/>
                <w:shd w:val="solid" w:color="000000" w:fill="000000"/>
                <w14:textFill>
                  <w14:solidFill>
                    <w14:srgbClr w14:val="000000">
                      <w14:alpha w14:val="100000"/>
                    </w14:srgbClr>
                  </w14:solidFill>
                </w14:textFill>
              </w:rPr>
              <w:t>|</w:t>
            </w:r>
            <w:r w:rsidR="0042493F">
              <w:t xml:space="preserve"> </w:t>
            </w:r>
            <w:r w:rsidR="0042493F">
              <w:rPr>
                <w:vertAlign w:val="superscript"/>
              </w:rPr>
              <w:t>e</w:t>
            </w:r>
          </w:p>
          <w:p w14:paraId="6DC8EFFC" w14:textId="6C972257" w:rsidR="00343C34" w:rsidRPr="00072EF5" w:rsidRDefault="00343C34" w:rsidP="0059709C">
            <w:pPr>
              <w:pStyle w:val="COMTabletext"/>
              <w:keepLines/>
              <w:jc w:val="center"/>
              <w:rPr>
                <w:vertAlign w:val="superscript"/>
              </w:rPr>
            </w:pPr>
            <w:r>
              <w:t xml:space="preserve">Paediatric: </w:t>
            </w:r>
            <w:r w:rsidR="00E74573">
              <w:t>$</w:t>
            </w:r>
            <w:r w:rsidR="00AF1BA2" w:rsidRPr="00AF1BA2">
              <w:rPr>
                <w:color w:val="000000"/>
                <w:shd w:val="solid" w:color="000000" w:fill="000000"/>
                <w14:textFill>
                  <w14:solidFill>
                    <w14:srgbClr w14:val="000000">
                      <w14:alpha w14:val="100000"/>
                    </w14:srgbClr>
                  </w14:solidFill>
                </w14:textFill>
              </w:rPr>
              <w:t>|</w:t>
            </w:r>
            <w:r w:rsidR="0042493F">
              <w:t xml:space="preserve"> </w:t>
            </w:r>
            <w:r w:rsidR="00072EF5">
              <w:rPr>
                <w:vertAlign w:val="superscript"/>
              </w:rPr>
              <w:t>e</w:t>
            </w:r>
          </w:p>
        </w:tc>
      </w:tr>
    </w:tbl>
    <w:p w14:paraId="717CADAF" w14:textId="416CA79E" w:rsidR="00494207" w:rsidRDefault="00494207" w:rsidP="0059709C">
      <w:pPr>
        <w:pStyle w:val="COMTablefooter"/>
        <w:keepNext/>
        <w:keepLines/>
      </w:pPr>
      <w:r w:rsidRPr="00225248">
        <w:t xml:space="preserve">Source: </w:t>
      </w:r>
      <w:r w:rsidR="00EC4AC1">
        <w:t>constructed during the evaluation using the economic model and financial estimates of the submission</w:t>
      </w:r>
    </w:p>
    <w:p w14:paraId="0F923BC5" w14:textId="166F1327" w:rsidR="00EC4AC1" w:rsidRDefault="00886446" w:rsidP="0059709C">
      <w:pPr>
        <w:pStyle w:val="COMTablefooter"/>
        <w:keepNext/>
        <w:keepLines/>
      </w:pPr>
      <w:r>
        <w:rPr>
          <w:vertAlign w:val="superscript"/>
        </w:rPr>
        <w:t>a</w:t>
      </w:r>
      <w:r>
        <w:t xml:space="preserve"> Based on blinatumomab treatment exposure in the E1910 trial safety analysis set. </w:t>
      </w:r>
      <w:r w:rsidR="0031310E">
        <w:t xml:space="preserve">The mean treatment duration was estimated based on the proportion of patients receiving each 28-day treatment cycle and </w:t>
      </w:r>
      <w:r w:rsidR="00C141AD">
        <w:t xml:space="preserve">mean </w:t>
      </w:r>
      <w:r w:rsidR="0042493F">
        <w:t>days of treatment</w:t>
      </w:r>
      <w:r w:rsidR="00C141AD">
        <w:t xml:space="preserve"> within each cycle</w:t>
      </w:r>
    </w:p>
    <w:p w14:paraId="1B15A084" w14:textId="08288656" w:rsidR="0042493F" w:rsidRDefault="0042493F" w:rsidP="0059709C">
      <w:pPr>
        <w:pStyle w:val="COMTablefooter"/>
        <w:keepNext/>
        <w:keepLines/>
      </w:pPr>
      <w:r>
        <w:rPr>
          <w:vertAlign w:val="superscript"/>
        </w:rPr>
        <w:t>b</w:t>
      </w:r>
      <w:r>
        <w:t xml:space="preserve"> </w:t>
      </w:r>
      <w:r w:rsidR="00D33616">
        <w:t xml:space="preserve">Calculated </w:t>
      </w:r>
      <w:r w:rsidR="00EE28A7">
        <w:t>based on 82.</w:t>
      </w:r>
      <w:r w:rsidR="00460698">
        <w:t xml:space="preserve">6 vials required </w:t>
      </w:r>
      <w:r w:rsidR="00BB2A92">
        <w:t xml:space="preserve">for 82.6 treatment days </w:t>
      </w:r>
      <w:r w:rsidR="00460698">
        <w:t xml:space="preserve">and 28 vials </w:t>
      </w:r>
      <w:r w:rsidR="00067193">
        <w:t>per script</w:t>
      </w:r>
    </w:p>
    <w:p w14:paraId="09B72749" w14:textId="184F7E9D" w:rsidR="00067193" w:rsidRDefault="00067193" w:rsidP="0059709C">
      <w:pPr>
        <w:pStyle w:val="COMTablefooter"/>
        <w:keepNext/>
        <w:keepLines/>
      </w:pPr>
      <w:r>
        <w:rPr>
          <w:vertAlign w:val="superscript"/>
        </w:rPr>
        <w:t>c</w:t>
      </w:r>
      <w:r>
        <w:t xml:space="preserve"> </w:t>
      </w:r>
      <w:r w:rsidR="00D63E80">
        <w:t xml:space="preserve">Calculated based on </w:t>
      </w:r>
      <w:r w:rsidR="00634745">
        <w:t>49.6 vials per paediatric patient (based on an</w:t>
      </w:r>
      <w:r w:rsidR="00BB2A92">
        <w:t xml:space="preserve"> assumed</w:t>
      </w:r>
      <w:r w:rsidR="00236318">
        <w:t xml:space="preserve"> 0.6 adult dosing equivale</w:t>
      </w:r>
      <w:r w:rsidR="00146E77">
        <w:t>nt</w:t>
      </w:r>
      <w:r w:rsidR="00634745">
        <w:t>) and 28 vials per script</w:t>
      </w:r>
      <w:r w:rsidR="00AF6E0C">
        <w:t xml:space="preserve"> </w:t>
      </w:r>
    </w:p>
    <w:p w14:paraId="05EBD425" w14:textId="05138EDD" w:rsidR="00281AA8" w:rsidRDefault="00A433C5" w:rsidP="0059709C">
      <w:pPr>
        <w:pStyle w:val="COMTablefooter"/>
        <w:keepNext/>
        <w:keepLines/>
      </w:pPr>
      <w:r>
        <w:rPr>
          <w:vertAlign w:val="superscript"/>
        </w:rPr>
        <w:t xml:space="preserve">d </w:t>
      </w:r>
      <w:r w:rsidR="00B8268F">
        <w:t>Calculated using the proposed effective AEMP of $</w:t>
      </w:r>
      <w:r w:rsidR="00AF1BA2" w:rsidRPr="00054958">
        <w:rPr>
          <w:color w:val="000000"/>
          <w:spacing w:val="37"/>
          <w:shd w:val="solid" w:color="000000" w:fill="000000"/>
          <w:fitText w:val="270" w:id="-894171634"/>
          <w14:textFill>
            <w14:solidFill>
              <w14:srgbClr w14:val="000000">
                <w14:alpha w14:val="100000"/>
              </w14:srgbClr>
            </w14:solidFill>
          </w14:textFill>
        </w:rPr>
        <w:t xml:space="preserve">|  </w:t>
      </w:r>
      <w:r w:rsidR="00AF1BA2" w:rsidRPr="00054958">
        <w:rPr>
          <w:color w:val="000000"/>
          <w:spacing w:val="1"/>
          <w:shd w:val="solid" w:color="000000" w:fill="000000"/>
          <w:fitText w:val="270" w:id="-894171634"/>
          <w14:textFill>
            <w14:solidFill>
              <w14:srgbClr w14:val="000000">
                <w14:alpha w14:val="100000"/>
              </w14:srgbClr>
            </w14:solidFill>
          </w14:textFill>
        </w:rPr>
        <w:t>|</w:t>
      </w:r>
      <w:r w:rsidR="00B8268F">
        <w:t xml:space="preserve"> per </w:t>
      </w:r>
      <w:r w:rsidR="00E01608">
        <w:t>vial</w:t>
      </w:r>
      <w:r w:rsidR="00B734A3">
        <w:t xml:space="preserve"> for 28 vials</w:t>
      </w:r>
      <w:r w:rsidR="00D405C4">
        <w:t xml:space="preserve">, with </w:t>
      </w:r>
      <w:r w:rsidR="00E01608">
        <w:t>fees and mark-ups weighted by</w:t>
      </w:r>
      <w:r w:rsidR="00D405C4">
        <w:t xml:space="preserve"> a</w:t>
      </w:r>
      <w:r w:rsidR="00E01608">
        <w:t xml:space="preserve"> 57.3</w:t>
      </w:r>
      <w:r w:rsidR="00077B20">
        <w:t>%</w:t>
      </w:r>
      <w:r w:rsidR="007D6B74">
        <w:t>/</w:t>
      </w:r>
      <w:r w:rsidR="00E01608">
        <w:t>42.7</w:t>
      </w:r>
      <w:r w:rsidR="00077B20">
        <w:t>%</w:t>
      </w:r>
      <w:r w:rsidR="00E01608">
        <w:t xml:space="preserve"> public/private split</w:t>
      </w:r>
    </w:p>
    <w:p w14:paraId="6454C258" w14:textId="43B284B1" w:rsidR="000C6583" w:rsidRPr="000C6583" w:rsidRDefault="000C6583" w:rsidP="00862762">
      <w:pPr>
        <w:pStyle w:val="COMTablefooter"/>
        <w:keepLines/>
      </w:pPr>
      <w:r>
        <w:rPr>
          <w:vertAlign w:val="superscript"/>
        </w:rPr>
        <w:t>e</w:t>
      </w:r>
      <w:r>
        <w:t xml:space="preserve"> </w:t>
      </w:r>
      <w:r w:rsidR="00072EF5">
        <w:t>Calculated using the estimated cost per script and scripts per patient</w:t>
      </w:r>
    </w:p>
    <w:p w14:paraId="3DBFE151" w14:textId="48C46A95" w:rsidR="00494207" w:rsidRPr="000623DE" w:rsidRDefault="00C21EF1" w:rsidP="001E7C76">
      <w:pPr>
        <w:pStyle w:val="COMexecsumnumberedpara"/>
      </w:pPr>
      <w:bookmarkStart w:id="71" w:name="_Hlk107307804"/>
      <w:r w:rsidRPr="000623DE">
        <w:t>In the economic model, t</w:t>
      </w:r>
      <w:r w:rsidR="00F65FAC" w:rsidRPr="000623DE">
        <w:t>he estimated drug cost for consolidation chemotherapy per patient per course was $</w:t>
      </w:r>
      <w:r w:rsidR="00AF1BA2" w:rsidRPr="004D5C66">
        <w:rPr>
          <w:color w:val="000000"/>
          <w:w w:val="15"/>
          <w:shd w:val="solid" w:color="000000" w:fill="000000"/>
          <w:fitText w:val="-20" w:id="-894171633"/>
          <w14:textFill>
            <w14:solidFill>
              <w14:srgbClr w14:val="000000">
                <w14:alpha w14:val="100000"/>
              </w14:srgbClr>
            </w14:solidFill>
          </w14:textFill>
        </w:rPr>
        <w:t xml:space="preserve">|  </w:t>
      </w:r>
      <w:r w:rsidR="00AF1BA2" w:rsidRPr="004D5C66">
        <w:rPr>
          <w:color w:val="000000"/>
          <w:spacing w:val="-69"/>
          <w:w w:val="15"/>
          <w:shd w:val="solid" w:color="000000" w:fill="000000"/>
          <w:fitText w:val="-20" w:id="-894171633"/>
          <w14:textFill>
            <w14:solidFill>
              <w14:srgbClr w14:val="000000">
                <w14:alpha w14:val="100000"/>
              </w14:srgbClr>
            </w14:solidFill>
          </w14:textFill>
        </w:rPr>
        <w:t>|</w:t>
      </w:r>
      <w:r w:rsidR="00F65FAC" w:rsidRPr="000623DE">
        <w:t xml:space="preserve"> (based on the E1910 consolidation protocol</w:t>
      </w:r>
      <w:r w:rsidR="00286DE8" w:rsidRPr="000623DE">
        <w:t xml:space="preserve"> and</w:t>
      </w:r>
      <w:r w:rsidR="00F65FAC" w:rsidRPr="000623DE">
        <w:t xml:space="preserve"> assuming </w:t>
      </w:r>
      <w:r w:rsidR="00286DE8" w:rsidRPr="000623DE">
        <w:t xml:space="preserve">a mean of </w:t>
      </w:r>
      <w:r w:rsidR="00F65FAC" w:rsidRPr="000623DE">
        <w:t>87.5 treatment days</w:t>
      </w:r>
      <w:r w:rsidR="00905EEA" w:rsidRPr="000623DE">
        <w:t xml:space="preserve"> across both treatment arms</w:t>
      </w:r>
      <w:r w:rsidR="00F65FAC" w:rsidRPr="000623DE">
        <w:t xml:space="preserve">, using current DPMQ/DPMAs and assuming 100% public hospital use). The submission did not include costs associated with pegaspargase as it is not PBS-listed. </w:t>
      </w:r>
      <w:r w:rsidR="000623DE" w:rsidRPr="000623DE">
        <w:t xml:space="preserve">Consolidation chemotherapy costs were not included in the financial estimates. </w:t>
      </w:r>
    </w:p>
    <w:p w14:paraId="07009DE0" w14:textId="397616CD" w:rsidR="000623DE" w:rsidRDefault="000A4005" w:rsidP="001E7C76">
      <w:pPr>
        <w:pStyle w:val="COMexecsumnumberedpara"/>
      </w:pPr>
      <w:r w:rsidRPr="000A4005">
        <w:t>The estimated total drug cost for blinatumomab in combination with consolidation chemotherapy was $</w:t>
      </w:r>
      <w:r w:rsidR="00AF1BA2" w:rsidRPr="004D5C66">
        <w:rPr>
          <w:color w:val="000000"/>
          <w:w w:val="15"/>
          <w:shd w:val="solid" w:color="000000" w:fill="000000"/>
          <w:fitText w:val="-20" w:id="-894171632"/>
          <w14:textFill>
            <w14:solidFill>
              <w14:srgbClr w14:val="000000">
                <w14:alpha w14:val="100000"/>
              </w14:srgbClr>
            </w14:solidFill>
          </w14:textFill>
        </w:rPr>
        <w:t xml:space="preserve">|  </w:t>
      </w:r>
      <w:r w:rsidR="00AF1BA2" w:rsidRPr="004D5C66">
        <w:rPr>
          <w:color w:val="000000"/>
          <w:spacing w:val="-69"/>
          <w:w w:val="15"/>
          <w:shd w:val="solid" w:color="000000" w:fill="000000"/>
          <w:fitText w:val="-20" w:id="-894171632"/>
          <w14:textFill>
            <w14:solidFill>
              <w14:srgbClr w14:val="000000">
                <w14:alpha w14:val="100000"/>
              </w14:srgbClr>
            </w14:solidFill>
          </w14:textFill>
        </w:rPr>
        <w:t>|</w:t>
      </w:r>
      <w:r w:rsidR="00E73327">
        <w:t xml:space="preserve"> in the economic model</w:t>
      </w:r>
      <w:r w:rsidRPr="000A4005">
        <w:t xml:space="preserve"> (based on 82.6 treatment days of </w:t>
      </w:r>
      <w:r w:rsidRPr="000A4005">
        <w:lastRenderedPageBreak/>
        <w:t>blinatumomab and 87.5 treatment days of consolidation chemotherapy, a total of 170.1 treatment days).</w:t>
      </w:r>
    </w:p>
    <w:p w14:paraId="53A21DB8" w14:textId="76F5F430" w:rsidR="0067744B" w:rsidRPr="000A4005" w:rsidRDefault="0067744B" w:rsidP="0067744B">
      <w:pPr>
        <w:pStyle w:val="COMexecsumnumberedpara"/>
      </w:pPr>
      <w:r w:rsidRPr="0067744B">
        <w:t xml:space="preserve">The pre-PBAC response offered a </w:t>
      </w:r>
      <w:r>
        <w:t xml:space="preserve">reduced </w:t>
      </w:r>
      <w:r w:rsidRPr="0067744B">
        <w:t>blinatumomab ex-manufacturer price of $</w:t>
      </w:r>
      <w:r w:rsidR="00AF1BA2" w:rsidRPr="004D5C66">
        <w:rPr>
          <w:color w:val="000000"/>
          <w:w w:val="15"/>
          <w:shd w:val="solid" w:color="000000" w:fill="000000"/>
          <w:fitText w:val="-20" w:id="-894171648"/>
          <w14:textFill>
            <w14:solidFill>
              <w14:srgbClr w14:val="000000">
                <w14:alpha w14:val="100000"/>
              </w14:srgbClr>
            </w14:solidFill>
          </w14:textFill>
        </w:rPr>
        <w:t xml:space="preserve">|  </w:t>
      </w:r>
      <w:r w:rsidR="00AF1BA2" w:rsidRPr="004D5C66">
        <w:rPr>
          <w:color w:val="000000"/>
          <w:spacing w:val="-69"/>
          <w:w w:val="15"/>
          <w:shd w:val="solid" w:color="000000" w:fill="000000"/>
          <w:fitText w:val="-20" w:id="-894171648"/>
          <w14:textFill>
            <w14:solidFill>
              <w14:srgbClr w14:val="000000">
                <w14:alpha w14:val="100000"/>
              </w14:srgbClr>
            </w14:solidFill>
          </w14:textFill>
        </w:rPr>
        <w:t>|</w:t>
      </w:r>
      <w:r w:rsidRPr="0067744B">
        <w:t xml:space="preserve"> per vial. </w:t>
      </w:r>
    </w:p>
    <w:p w14:paraId="268768EF" w14:textId="223D5E48" w:rsidR="00B60939" w:rsidRPr="00225248" w:rsidRDefault="00B60939" w:rsidP="002B05A1">
      <w:pPr>
        <w:pStyle w:val="COMH2-non-numbered"/>
      </w:pPr>
      <w:bookmarkStart w:id="72" w:name="_Toc22897647"/>
      <w:bookmarkStart w:id="73" w:name="_Toc167265613"/>
      <w:bookmarkEnd w:id="71"/>
      <w:r w:rsidRPr="00225248">
        <w:t>Estimated PBS usage &amp; financial implications</w:t>
      </w:r>
      <w:bookmarkEnd w:id="72"/>
      <w:bookmarkEnd w:id="73"/>
    </w:p>
    <w:p w14:paraId="25BA2464" w14:textId="23497041" w:rsidR="00894CD6" w:rsidRPr="00225248" w:rsidRDefault="0066189F" w:rsidP="001E7C76">
      <w:pPr>
        <w:pStyle w:val="COMexecsumnumberedpara"/>
      </w:pPr>
      <w:r>
        <w:t>The submission w</w:t>
      </w:r>
      <w:r w:rsidR="003E4A3E">
        <w:t>as</w:t>
      </w:r>
      <w:r w:rsidR="00334D6A">
        <w:t xml:space="preserve"> </w:t>
      </w:r>
      <w:r w:rsidR="00334D6A" w:rsidRPr="00394B4D">
        <w:t>not</w:t>
      </w:r>
      <w:r>
        <w:t xml:space="preserve"> considered by DUSC</w:t>
      </w:r>
      <w:r w:rsidR="00576972" w:rsidRPr="00225248">
        <w:t>.</w:t>
      </w:r>
      <w:r w:rsidR="00F61C18" w:rsidRPr="00225248">
        <w:t xml:space="preserve"> </w:t>
      </w:r>
    </w:p>
    <w:p w14:paraId="5B364B42" w14:textId="77777777" w:rsidR="00000EC7" w:rsidRDefault="00F432E8" w:rsidP="001E7C76">
      <w:pPr>
        <w:pStyle w:val="COMexecsumnumberedpara"/>
      </w:pPr>
      <w:r w:rsidRPr="00350BF3">
        <w:t xml:space="preserve">The submission used an epidemiological approach to estimate the financial implications associated with </w:t>
      </w:r>
      <w:r>
        <w:t xml:space="preserve">the </w:t>
      </w:r>
      <w:r w:rsidRPr="00350BF3">
        <w:t>PBS listing of blinatumomab for the treatment of patients with B-ALL achieving complete haematological remission who are MRD-negative after initial induction chemotherapy. The submission used the same financial model used in the July 2019 submission for the use of blinatumomab in MRD-positive population (Blinatumomab PSD, July 2019 PBAC meeting), using the complement population and updated estimates.</w:t>
      </w:r>
    </w:p>
    <w:p w14:paraId="68F04266" w14:textId="1873A57C" w:rsidR="00894CD6" w:rsidRDefault="00F432E8" w:rsidP="001E7C76">
      <w:pPr>
        <w:pStyle w:val="COMexecsumnumberedpara"/>
      </w:pPr>
      <w:r w:rsidRPr="006117F6">
        <w:t xml:space="preserve">Key inputs relied on in the financial estimates are summarised in </w:t>
      </w:r>
      <w:r>
        <w:fldChar w:fldCharType="begin" w:fldLock="1"/>
      </w:r>
      <w:r>
        <w:instrText xml:space="preserve"> REF _Ref166499844 \h </w:instrText>
      </w:r>
      <w:r>
        <w:fldChar w:fldCharType="separate"/>
      </w:r>
      <w:r w:rsidR="00356F14" w:rsidRPr="00225248">
        <w:t xml:space="preserve">Table </w:t>
      </w:r>
      <w:r w:rsidR="00356F14">
        <w:rPr>
          <w:noProof/>
        </w:rPr>
        <w:t>18</w:t>
      </w:r>
      <w:r>
        <w:fldChar w:fldCharType="end"/>
      </w:r>
      <w:r>
        <w:t xml:space="preserve"> </w:t>
      </w:r>
      <w:r w:rsidRPr="006117F6">
        <w:t>below.</w:t>
      </w:r>
    </w:p>
    <w:p w14:paraId="61C925A4" w14:textId="08BDD42B" w:rsidR="0066189F" w:rsidRDefault="00F432E8" w:rsidP="0066189F">
      <w:pPr>
        <w:pStyle w:val="COMTableheadingrow"/>
        <w:rPr>
          <w:rStyle w:val="CommentReference"/>
          <w:sz w:val="20"/>
          <w:szCs w:val="20"/>
        </w:rPr>
      </w:pPr>
      <w:bookmarkStart w:id="74" w:name="_Ref166499844"/>
      <w:r w:rsidRPr="00225248">
        <w:t xml:space="preserve">Table </w:t>
      </w:r>
      <w:r w:rsidR="006F0D54">
        <w:fldChar w:fldCharType="begin" w:fldLock="1"/>
      </w:r>
      <w:r w:rsidR="006F0D54">
        <w:instrText xml:space="preserve"> SEQ Table \* ARABIC </w:instrText>
      </w:r>
      <w:r w:rsidR="006F0D54">
        <w:fldChar w:fldCharType="separate"/>
      </w:r>
      <w:r w:rsidR="00356F14">
        <w:rPr>
          <w:noProof/>
        </w:rPr>
        <w:t>18</w:t>
      </w:r>
      <w:r w:rsidR="006F0D54">
        <w:rPr>
          <w:noProof/>
        </w:rPr>
        <w:fldChar w:fldCharType="end"/>
      </w:r>
      <w:bookmarkEnd w:id="74"/>
      <w:r w:rsidR="0066189F" w:rsidRPr="0020672F">
        <w:rPr>
          <w:rStyle w:val="CommentReference"/>
          <w:sz w:val="20"/>
          <w:szCs w:val="20"/>
        </w:rPr>
        <w:t>: Data sources and parameter values applied in the utilisation and financial estimates</w:t>
      </w:r>
    </w:p>
    <w:tbl>
      <w:tblPr>
        <w:tblStyle w:val="TableGrid"/>
        <w:tblW w:w="0" w:type="auto"/>
        <w:tblCellMar>
          <w:left w:w="28" w:type="dxa"/>
          <w:right w:w="28" w:type="dxa"/>
        </w:tblCellMar>
        <w:tblLook w:val="04A0" w:firstRow="1" w:lastRow="0" w:firstColumn="1" w:lastColumn="0" w:noHBand="0" w:noVBand="1"/>
        <w:tblCaption w:val="Table 18:  Data sources and parameter values applied in the utilisation and financial estimates"/>
      </w:tblPr>
      <w:tblGrid>
        <w:gridCol w:w="1413"/>
        <w:gridCol w:w="3118"/>
        <w:gridCol w:w="4486"/>
      </w:tblGrid>
      <w:tr w:rsidR="0083555F" w:rsidRPr="008C335E" w14:paraId="39BF7FCA" w14:textId="77777777" w:rsidTr="1797D1E5">
        <w:trPr>
          <w:cantSplit/>
          <w:tblHeader/>
        </w:trPr>
        <w:tc>
          <w:tcPr>
            <w:tcW w:w="1413" w:type="dxa"/>
            <w:vAlign w:val="center"/>
          </w:tcPr>
          <w:p w14:paraId="7CB5DF03" w14:textId="77777777" w:rsidR="0083555F" w:rsidRPr="008C335E" w:rsidRDefault="0083555F" w:rsidP="000C0687">
            <w:pPr>
              <w:pStyle w:val="COMTableheadingrow"/>
              <w:keepNext w:val="0"/>
              <w:rPr>
                <w:rStyle w:val="CommentReference"/>
              </w:rPr>
            </w:pPr>
            <w:r w:rsidRPr="008C335E">
              <w:t>Data</w:t>
            </w:r>
          </w:p>
        </w:tc>
        <w:tc>
          <w:tcPr>
            <w:tcW w:w="3118" w:type="dxa"/>
            <w:vAlign w:val="center"/>
          </w:tcPr>
          <w:p w14:paraId="00DD7D2A" w14:textId="7F250A86" w:rsidR="0083555F" w:rsidRPr="008C335E" w:rsidRDefault="0083555F" w:rsidP="0083555F">
            <w:pPr>
              <w:pStyle w:val="COMTableheadingrow"/>
              <w:keepNext w:val="0"/>
              <w:jc w:val="center"/>
              <w:rPr>
                <w:rStyle w:val="CommentReference"/>
              </w:rPr>
            </w:pPr>
            <w:r w:rsidRPr="008C335E">
              <w:t>Value and source</w:t>
            </w:r>
          </w:p>
        </w:tc>
        <w:tc>
          <w:tcPr>
            <w:tcW w:w="4486" w:type="dxa"/>
            <w:vAlign w:val="center"/>
          </w:tcPr>
          <w:p w14:paraId="4C176D0E" w14:textId="77777777" w:rsidR="0083555F" w:rsidRPr="008C335E" w:rsidRDefault="0083555F" w:rsidP="000C0687">
            <w:pPr>
              <w:pStyle w:val="COMTableheadingrow"/>
              <w:keepNext w:val="0"/>
              <w:jc w:val="center"/>
              <w:rPr>
                <w:rStyle w:val="CommentReference"/>
              </w:rPr>
            </w:pPr>
            <w:r w:rsidRPr="008C335E">
              <w:t>Comment</w:t>
            </w:r>
          </w:p>
        </w:tc>
      </w:tr>
      <w:tr w:rsidR="0083555F" w:rsidRPr="008C335E" w14:paraId="7FBDCCC7" w14:textId="77777777" w:rsidTr="1797D1E5">
        <w:trPr>
          <w:cantSplit/>
        </w:trPr>
        <w:tc>
          <w:tcPr>
            <w:tcW w:w="1413" w:type="dxa"/>
            <w:vAlign w:val="center"/>
          </w:tcPr>
          <w:p w14:paraId="5E5DA7A7" w14:textId="2DC8BCDA" w:rsidR="0083555F" w:rsidRPr="008C335E" w:rsidRDefault="0083555F" w:rsidP="000C0687">
            <w:pPr>
              <w:pStyle w:val="COMTableheadingrow"/>
              <w:keepNext w:val="0"/>
              <w:rPr>
                <w:rStyle w:val="CommentReference"/>
                <w:b w:val="0"/>
                <w:bCs/>
              </w:rPr>
            </w:pPr>
            <w:r w:rsidRPr="00A521A3">
              <w:rPr>
                <w:b w:val="0"/>
                <w:bCs/>
              </w:rPr>
              <w:t>Projected number of new cases of ALL</w:t>
            </w:r>
          </w:p>
        </w:tc>
        <w:tc>
          <w:tcPr>
            <w:tcW w:w="3118" w:type="dxa"/>
            <w:vAlign w:val="center"/>
          </w:tcPr>
          <w:p w14:paraId="6172573C" w14:textId="32C380B0" w:rsidR="0083555F" w:rsidRPr="008C335E" w:rsidRDefault="0083555F" w:rsidP="000C0687">
            <w:pPr>
              <w:pStyle w:val="COMTableheadingrow"/>
              <w:keepNext w:val="0"/>
              <w:rPr>
                <w:b w:val="0"/>
                <w:bCs/>
              </w:rPr>
            </w:pPr>
            <w:r w:rsidRPr="008C335E">
              <w:rPr>
                <w:b w:val="0"/>
                <w:bCs/>
              </w:rPr>
              <w:t xml:space="preserve">Adult: Year 1 - </w:t>
            </w:r>
            <w:r w:rsidR="00AF1BA2" w:rsidRPr="00AF1BA2">
              <w:rPr>
                <w:b w:val="0"/>
                <w:bCs/>
                <w:color w:val="000000"/>
                <w:spacing w:val="53"/>
                <w:shd w:val="solid" w:color="000000" w:fill="000000"/>
                <w:fitText w:val="330" w:id="-894171647"/>
                <w14:textFill>
                  <w14:solidFill>
                    <w14:srgbClr w14:val="000000">
                      <w14:alpha w14:val="100000"/>
                    </w14:srgbClr>
                  </w14:solidFill>
                </w14:textFill>
              </w:rPr>
              <w:t>|||</w:t>
            </w:r>
            <w:r w:rsidR="00AF1BA2" w:rsidRPr="00AF1BA2">
              <w:rPr>
                <w:b w:val="0"/>
                <w:bCs/>
                <w:color w:val="000000"/>
                <w:spacing w:val="1"/>
                <w:shd w:val="solid" w:color="000000" w:fill="000000"/>
                <w:fitText w:val="330" w:id="-894171647"/>
                <w14:textFill>
                  <w14:solidFill>
                    <w14:srgbClr w14:val="000000">
                      <w14:alpha w14:val="100000"/>
                    </w14:srgbClr>
                  </w14:solidFill>
                </w14:textFill>
              </w:rPr>
              <w:t>|</w:t>
            </w:r>
            <w:r w:rsidR="00B779B1" w:rsidRPr="00327E8F">
              <w:rPr>
                <w:b w:val="0"/>
                <w:bCs/>
                <w:vertAlign w:val="superscript"/>
              </w:rPr>
              <w:t>1</w:t>
            </w:r>
            <w:r w:rsidRPr="008C335E">
              <w:rPr>
                <w:b w:val="0"/>
                <w:bCs/>
              </w:rPr>
              <w:t xml:space="preserve">, to Year 6 - </w:t>
            </w:r>
            <w:r w:rsidR="00AF1BA2" w:rsidRPr="00AF1BA2">
              <w:rPr>
                <w:b w:val="0"/>
                <w:bCs/>
                <w:color w:val="000000"/>
                <w:spacing w:val="49"/>
                <w:shd w:val="solid" w:color="000000" w:fill="000000"/>
                <w:fitText w:val="320" w:id="-894171646"/>
                <w14:textFill>
                  <w14:solidFill>
                    <w14:srgbClr w14:val="000000">
                      <w14:alpha w14:val="100000"/>
                    </w14:srgbClr>
                  </w14:solidFill>
                </w14:textFill>
              </w:rPr>
              <w:t>|||</w:t>
            </w:r>
            <w:r w:rsidR="00AF1BA2" w:rsidRPr="00AF1BA2">
              <w:rPr>
                <w:b w:val="0"/>
                <w:bCs/>
                <w:color w:val="000000"/>
                <w:spacing w:val="3"/>
                <w:shd w:val="solid" w:color="000000" w:fill="000000"/>
                <w:fitText w:val="320" w:id="-894171646"/>
                <w14:textFill>
                  <w14:solidFill>
                    <w14:srgbClr w14:val="000000">
                      <w14:alpha w14:val="100000"/>
                    </w14:srgbClr>
                  </w14:solidFill>
                </w14:textFill>
              </w:rPr>
              <w:t>|</w:t>
            </w:r>
            <w:r w:rsidR="00311759" w:rsidRPr="005C269B">
              <w:rPr>
                <w:b w:val="0"/>
                <w:bCs/>
                <w:vertAlign w:val="superscript"/>
              </w:rPr>
              <w:t>1</w:t>
            </w:r>
            <w:r w:rsidRPr="008C335E">
              <w:rPr>
                <w:b w:val="0"/>
                <w:bCs/>
              </w:rPr>
              <w:t xml:space="preserve">. </w:t>
            </w:r>
          </w:p>
          <w:p w14:paraId="6D0088E2" w14:textId="111A1100" w:rsidR="0083555F" w:rsidRPr="008C335E" w:rsidRDefault="0083555F" w:rsidP="000C0687">
            <w:pPr>
              <w:pStyle w:val="COMTableheadingrow"/>
              <w:keepNext w:val="0"/>
              <w:rPr>
                <w:b w:val="0"/>
                <w:bCs/>
              </w:rPr>
            </w:pPr>
            <w:r w:rsidRPr="008C335E">
              <w:rPr>
                <w:b w:val="0"/>
                <w:bCs/>
              </w:rPr>
              <w:t xml:space="preserve">Paediatric: Year 1 - </w:t>
            </w:r>
            <w:r w:rsidR="00AF1BA2" w:rsidRPr="00AF1BA2">
              <w:rPr>
                <w:b w:val="0"/>
                <w:bCs/>
                <w:color w:val="000000"/>
                <w:spacing w:val="53"/>
                <w:shd w:val="solid" w:color="000000" w:fill="000000"/>
                <w:fitText w:val="330" w:id="-894171645"/>
                <w14:textFill>
                  <w14:solidFill>
                    <w14:srgbClr w14:val="000000">
                      <w14:alpha w14:val="100000"/>
                    </w14:srgbClr>
                  </w14:solidFill>
                </w14:textFill>
              </w:rPr>
              <w:t>|||</w:t>
            </w:r>
            <w:r w:rsidR="00AF1BA2" w:rsidRPr="00AF1BA2">
              <w:rPr>
                <w:b w:val="0"/>
                <w:bCs/>
                <w:color w:val="000000"/>
                <w:spacing w:val="1"/>
                <w:shd w:val="solid" w:color="000000" w:fill="000000"/>
                <w:fitText w:val="330" w:id="-894171645"/>
                <w14:textFill>
                  <w14:solidFill>
                    <w14:srgbClr w14:val="000000">
                      <w14:alpha w14:val="100000"/>
                    </w14:srgbClr>
                  </w14:solidFill>
                </w14:textFill>
              </w:rPr>
              <w:t>|</w:t>
            </w:r>
            <w:r w:rsidR="00311759" w:rsidRPr="005C269B">
              <w:rPr>
                <w:b w:val="0"/>
                <w:bCs/>
                <w:vertAlign w:val="superscript"/>
              </w:rPr>
              <w:t>1</w:t>
            </w:r>
            <w:r w:rsidRPr="008C335E">
              <w:rPr>
                <w:b w:val="0"/>
                <w:bCs/>
              </w:rPr>
              <w:t xml:space="preserve"> to Year 6 - </w:t>
            </w:r>
            <w:r w:rsidR="00AF1BA2" w:rsidRPr="00AF1BA2">
              <w:rPr>
                <w:b w:val="0"/>
                <w:bCs/>
                <w:color w:val="000000"/>
                <w:spacing w:val="53"/>
                <w:shd w:val="solid" w:color="000000" w:fill="000000"/>
                <w:fitText w:val="330" w:id="-894171644"/>
                <w14:textFill>
                  <w14:solidFill>
                    <w14:srgbClr w14:val="000000">
                      <w14:alpha w14:val="100000"/>
                    </w14:srgbClr>
                  </w14:solidFill>
                </w14:textFill>
              </w:rPr>
              <w:t>|||</w:t>
            </w:r>
            <w:r w:rsidR="00AF1BA2" w:rsidRPr="00AF1BA2">
              <w:rPr>
                <w:b w:val="0"/>
                <w:bCs/>
                <w:color w:val="000000"/>
                <w:spacing w:val="1"/>
                <w:shd w:val="solid" w:color="000000" w:fill="000000"/>
                <w:fitText w:val="330" w:id="-894171644"/>
                <w14:textFill>
                  <w14:solidFill>
                    <w14:srgbClr w14:val="000000">
                      <w14:alpha w14:val="100000"/>
                    </w14:srgbClr>
                  </w14:solidFill>
                </w14:textFill>
              </w:rPr>
              <w:t>|</w:t>
            </w:r>
            <w:r w:rsidR="00311759" w:rsidRPr="005C269B">
              <w:rPr>
                <w:b w:val="0"/>
                <w:bCs/>
                <w:vertAlign w:val="superscript"/>
              </w:rPr>
              <w:t>1</w:t>
            </w:r>
            <w:r w:rsidRPr="008C335E">
              <w:rPr>
                <w:b w:val="0"/>
                <w:bCs/>
              </w:rPr>
              <w:t xml:space="preserve">. </w:t>
            </w:r>
          </w:p>
          <w:p w14:paraId="66EE420A" w14:textId="77777777" w:rsidR="00613F2C" w:rsidRPr="008C335E" w:rsidRDefault="00613F2C" w:rsidP="000C0687">
            <w:pPr>
              <w:pStyle w:val="COMTableheadingrow"/>
              <w:keepNext w:val="0"/>
              <w:rPr>
                <w:b w:val="0"/>
                <w:bCs/>
              </w:rPr>
            </w:pPr>
          </w:p>
          <w:p w14:paraId="1ACB4769" w14:textId="3ADD05AA" w:rsidR="0083555F" w:rsidRPr="008C335E" w:rsidRDefault="0083555F" w:rsidP="000C0687">
            <w:pPr>
              <w:pStyle w:val="COMTableheadingrow"/>
              <w:keepNext w:val="0"/>
              <w:rPr>
                <w:rStyle w:val="CommentReference"/>
                <w:b w:val="0"/>
                <w:bCs/>
              </w:rPr>
            </w:pPr>
            <w:r w:rsidRPr="008C335E">
              <w:rPr>
                <w:b w:val="0"/>
                <w:bCs/>
              </w:rPr>
              <w:t>Australian Cancer Incidence and Mortality (AIHW, 2017)</w:t>
            </w:r>
            <w:r w:rsidR="00613F2C" w:rsidRPr="008C335E">
              <w:rPr>
                <w:b w:val="0"/>
                <w:bCs/>
              </w:rPr>
              <w:t xml:space="preserve"> data</w:t>
            </w:r>
            <w:r w:rsidRPr="008C335E">
              <w:rPr>
                <w:b w:val="0"/>
                <w:bCs/>
              </w:rPr>
              <w:t xml:space="preserve"> </w:t>
            </w:r>
            <w:r w:rsidR="00613F2C" w:rsidRPr="008C335E">
              <w:rPr>
                <w:b w:val="0"/>
                <w:bCs/>
              </w:rPr>
              <w:t xml:space="preserve">for 2006 to 2013 </w:t>
            </w:r>
            <w:r w:rsidRPr="008C335E">
              <w:rPr>
                <w:b w:val="0"/>
                <w:bCs/>
              </w:rPr>
              <w:t>extrapolat</w:t>
            </w:r>
            <w:r w:rsidR="00613F2C" w:rsidRPr="008C335E">
              <w:rPr>
                <w:b w:val="0"/>
                <w:bCs/>
              </w:rPr>
              <w:t>ed</w:t>
            </w:r>
            <w:r w:rsidRPr="008C335E">
              <w:rPr>
                <w:b w:val="0"/>
                <w:bCs/>
              </w:rPr>
              <w:t xml:space="preserve"> to 2030, assuming </w:t>
            </w:r>
            <w:r w:rsidR="00AF1BA2" w:rsidRPr="00AF1BA2">
              <w:rPr>
                <w:b w:val="0"/>
                <w:bCs/>
                <w:color w:val="000000"/>
                <w:spacing w:val="53"/>
                <w:shd w:val="solid" w:color="000000" w:fill="000000"/>
                <w:fitText w:val="330" w:id="-894171643"/>
                <w14:textFill>
                  <w14:solidFill>
                    <w14:srgbClr w14:val="000000">
                      <w14:alpha w14:val="100000"/>
                    </w14:srgbClr>
                  </w14:solidFill>
                </w14:textFill>
              </w:rPr>
              <w:t>|||</w:t>
            </w:r>
            <w:r w:rsidR="00AF1BA2" w:rsidRPr="00AF1BA2">
              <w:rPr>
                <w:b w:val="0"/>
                <w:bCs/>
                <w:color w:val="000000"/>
                <w:spacing w:val="1"/>
                <w:shd w:val="solid" w:color="000000" w:fill="000000"/>
                <w:fitText w:val="330" w:id="-894171643"/>
                <w14:textFill>
                  <w14:solidFill>
                    <w14:srgbClr w14:val="000000">
                      <w14:alpha w14:val="100000"/>
                    </w14:srgbClr>
                  </w14:solidFill>
                </w14:textFill>
              </w:rPr>
              <w:t>|</w:t>
            </w:r>
            <w:r w:rsidR="00311759" w:rsidRPr="005C269B">
              <w:rPr>
                <w:b w:val="0"/>
                <w:bCs/>
                <w:vertAlign w:val="superscript"/>
              </w:rPr>
              <w:t>1</w:t>
            </w:r>
            <w:r w:rsidRPr="008C335E">
              <w:rPr>
                <w:b w:val="0"/>
                <w:bCs/>
              </w:rPr>
              <w:t xml:space="preserve"> additional adult patients and </w:t>
            </w:r>
            <w:r w:rsidR="00AF1BA2" w:rsidRPr="00AF1BA2">
              <w:rPr>
                <w:b w:val="0"/>
                <w:bCs/>
                <w:color w:val="000000"/>
                <w:spacing w:val="53"/>
                <w:shd w:val="solid" w:color="000000" w:fill="000000"/>
                <w:fitText w:val="330" w:id="-894171642"/>
                <w14:textFill>
                  <w14:solidFill>
                    <w14:srgbClr w14:val="000000">
                      <w14:alpha w14:val="100000"/>
                    </w14:srgbClr>
                  </w14:solidFill>
                </w14:textFill>
              </w:rPr>
              <w:t>|||</w:t>
            </w:r>
            <w:r w:rsidR="00AF1BA2" w:rsidRPr="00AF1BA2">
              <w:rPr>
                <w:b w:val="0"/>
                <w:bCs/>
                <w:color w:val="000000"/>
                <w:spacing w:val="1"/>
                <w:shd w:val="solid" w:color="000000" w:fill="000000"/>
                <w:fitText w:val="330" w:id="-894171642"/>
                <w14:textFill>
                  <w14:solidFill>
                    <w14:srgbClr w14:val="000000">
                      <w14:alpha w14:val="100000"/>
                    </w14:srgbClr>
                  </w14:solidFill>
                </w14:textFill>
              </w:rPr>
              <w:t>|</w:t>
            </w:r>
            <w:r w:rsidR="00311759" w:rsidRPr="005C269B">
              <w:rPr>
                <w:b w:val="0"/>
                <w:bCs/>
                <w:vertAlign w:val="superscript"/>
              </w:rPr>
              <w:t>1</w:t>
            </w:r>
            <w:r w:rsidRPr="008C335E">
              <w:rPr>
                <w:b w:val="0"/>
                <w:bCs/>
              </w:rPr>
              <w:t xml:space="preserve"> additional paediatric patients each year. </w:t>
            </w:r>
          </w:p>
        </w:tc>
        <w:tc>
          <w:tcPr>
            <w:tcW w:w="4486" w:type="dxa"/>
            <w:vAlign w:val="center"/>
          </w:tcPr>
          <w:p w14:paraId="037F46EA" w14:textId="5976619C" w:rsidR="0083555F" w:rsidRPr="008C335E" w:rsidRDefault="0083555F" w:rsidP="000C0687">
            <w:pPr>
              <w:pStyle w:val="Tabletext0"/>
              <w:rPr>
                <w:rFonts w:eastAsiaTheme="majorEastAsia"/>
                <w:bCs/>
                <w:szCs w:val="24"/>
                <w:lang w:eastAsia="en-AU"/>
              </w:rPr>
            </w:pPr>
            <w:r w:rsidRPr="008C335E">
              <w:rPr>
                <w:rFonts w:eastAsiaTheme="majorEastAsia"/>
                <w:bCs/>
                <w:szCs w:val="24"/>
                <w:lang w:eastAsia="en-AU"/>
              </w:rPr>
              <w:t xml:space="preserve">Updated from </w:t>
            </w:r>
            <w:r w:rsidR="00696C87" w:rsidRPr="008C335E">
              <w:rPr>
                <w:rFonts w:eastAsiaTheme="majorEastAsia"/>
                <w:bCs/>
                <w:szCs w:val="24"/>
                <w:lang w:eastAsia="en-AU"/>
              </w:rPr>
              <w:t xml:space="preserve">the </w:t>
            </w:r>
            <w:r w:rsidRPr="008C335E">
              <w:rPr>
                <w:rFonts w:eastAsiaTheme="majorEastAsia"/>
                <w:bCs/>
                <w:szCs w:val="24"/>
                <w:lang w:eastAsia="en-AU"/>
              </w:rPr>
              <w:t xml:space="preserve">July 2019 submission. </w:t>
            </w:r>
          </w:p>
          <w:p w14:paraId="44D02239" w14:textId="4297FD91" w:rsidR="0083555F" w:rsidRPr="008C335E" w:rsidRDefault="00613F2C" w:rsidP="000C0687">
            <w:pPr>
              <w:pStyle w:val="COMTableheadingrow"/>
              <w:keepNext w:val="0"/>
              <w:rPr>
                <w:szCs w:val="24"/>
              </w:rPr>
            </w:pPr>
            <w:r w:rsidRPr="008C335E">
              <w:rPr>
                <w:b w:val="0"/>
                <w:bCs/>
              </w:rPr>
              <w:t>U</w:t>
            </w:r>
            <w:r w:rsidR="0083555F" w:rsidRPr="008C335E">
              <w:rPr>
                <w:b w:val="0"/>
                <w:bCs/>
              </w:rPr>
              <w:t xml:space="preserve">sed same AIHW 2017 published data to inform the extrapolation and maintain consistency with the previous estimates. </w:t>
            </w:r>
            <w:r w:rsidR="0083555F" w:rsidRPr="008C335E">
              <w:rPr>
                <w:rFonts w:eastAsiaTheme="majorEastAsia" w:cs="Times New Roman"/>
                <w:b w:val="0"/>
                <w:bCs/>
                <w:szCs w:val="24"/>
              </w:rPr>
              <w:t xml:space="preserve">A comparison with the AIHW 2022 data showed extrapolation of 2006-2013 data underestimated cases for 2014-2021 by approximately 4.5% (138 cases). The extrapolation of estimates from the AIHW 2022 data </w:t>
            </w:r>
            <w:r w:rsidR="000936FD">
              <w:rPr>
                <w:rFonts w:eastAsiaTheme="majorEastAsia" w:cs="Times New Roman"/>
                <w:b w:val="0"/>
                <w:bCs/>
                <w:szCs w:val="24"/>
              </w:rPr>
              <w:t xml:space="preserve">used by the submission as a comparison with the projections using AIHW data from 2017 </w:t>
            </w:r>
            <w:r w:rsidR="0083555F" w:rsidRPr="008C335E">
              <w:rPr>
                <w:rFonts w:eastAsiaTheme="majorEastAsia" w:cs="Times New Roman"/>
                <w:b w:val="0"/>
                <w:bCs/>
                <w:szCs w:val="24"/>
              </w:rPr>
              <w:t>could not be verified and appears to be based on a different approach to the original extrapolation.</w:t>
            </w:r>
          </w:p>
        </w:tc>
      </w:tr>
      <w:tr w:rsidR="0083555F" w:rsidRPr="008C335E" w14:paraId="0CADCD22" w14:textId="77777777" w:rsidTr="1797D1E5">
        <w:trPr>
          <w:cantSplit/>
        </w:trPr>
        <w:tc>
          <w:tcPr>
            <w:tcW w:w="1413" w:type="dxa"/>
            <w:vAlign w:val="center"/>
          </w:tcPr>
          <w:p w14:paraId="770C35B6" w14:textId="77777777" w:rsidR="0083555F" w:rsidRPr="008C335E" w:rsidRDefault="0083555F" w:rsidP="000C0687">
            <w:pPr>
              <w:pStyle w:val="COMTableheadingrow"/>
              <w:keepNext w:val="0"/>
              <w:rPr>
                <w:rStyle w:val="CommentReference"/>
                <w:b w:val="0"/>
                <w:bCs/>
              </w:rPr>
            </w:pPr>
            <w:r w:rsidRPr="008C335E">
              <w:rPr>
                <w:b w:val="0"/>
                <w:bCs/>
              </w:rPr>
              <w:t xml:space="preserve">Proportion of </w:t>
            </w:r>
            <w:proofErr w:type="gramStart"/>
            <w:r w:rsidRPr="008C335E">
              <w:rPr>
                <w:b w:val="0"/>
                <w:bCs/>
              </w:rPr>
              <w:t>ALL of</w:t>
            </w:r>
            <w:proofErr w:type="gramEnd"/>
            <w:r w:rsidRPr="008C335E">
              <w:rPr>
                <w:b w:val="0"/>
                <w:bCs/>
              </w:rPr>
              <w:t xml:space="preserve"> B-cell lineage</w:t>
            </w:r>
          </w:p>
        </w:tc>
        <w:tc>
          <w:tcPr>
            <w:tcW w:w="3118" w:type="dxa"/>
            <w:vAlign w:val="center"/>
          </w:tcPr>
          <w:p w14:paraId="50CFA04C" w14:textId="77777777" w:rsidR="0083555F" w:rsidRPr="008C335E" w:rsidRDefault="0083555F" w:rsidP="000C0687">
            <w:pPr>
              <w:pStyle w:val="COMTableheadingrow"/>
              <w:keepNext w:val="0"/>
              <w:rPr>
                <w:b w:val="0"/>
                <w:bCs/>
              </w:rPr>
            </w:pPr>
            <w:r w:rsidRPr="008C335E">
              <w:rPr>
                <w:b w:val="0"/>
                <w:bCs/>
              </w:rPr>
              <w:t>Adult: 76%</w:t>
            </w:r>
          </w:p>
          <w:p w14:paraId="26A92743" w14:textId="77777777" w:rsidR="0083555F" w:rsidRPr="008C335E" w:rsidRDefault="0083555F" w:rsidP="000C0687">
            <w:pPr>
              <w:pStyle w:val="COMTableheadingrow"/>
              <w:keepNext w:val="0"/>
              <w:rPr>
                <w:b w:val="0"/>
                <w:bCs/>
              </w:rPr>
            </w:pPr>
            <w:r w:rsidRPr="008C335E">
              <w:rPr>
                <w:b w:val="0"/>
                <w:bCs/>
              </w:rPr>
              <w:t xml:space="preserve">Thomas et al, 2004 (72%); Moorman et al, 2007 (assumed 78%); Oriel et al, 2010 (~71.6%); </w:t>
            </w:r>
            <w:proofErr w:type="spellStart"/>
            <w:r w:rsidRPr="008C335E">
              <w:rPr>
                <w:b w:val="0"/>
                <w:bCs/>
              </w:rPr>
              <w:t>Gokbuget</w:t>
            </w:r>
            <w:proofErr w:type="spellEnd"/>
            <w:r w:rsidRPr="008C335E">
              <w:rPr>
                <w:b w:val="0"/>
                <w:bCs/>
              </w:rPr>
              <w:t xml:space="preserve"> et al 2012 (65%); </w:t>
            </w:r>
            <w:proofErr w:type="spellStart"/>
            <w:r w:rsidRPr="008C335E">
              <w:rPr>
                <w:b w:val="0"/>
                <w:bCs/>
              </w:rPr>
              <w:t>Chiaretti</w:t>
            </w:r>
            <w:proofErr w:type="spellEnd"/>
            <w:r w:rsidRPr="008C335E">
              <w:rPr>
                <w:b w:val="0"/>
                <w:bCs/>
              </w:rPr>
              <w:t xml:space="preserve"> et al, 2013 (85.8%).</w:t>
            </w:r>
          </w:p>
          <w:p w14:paraId="6FC84877" w14:textId="77777777" w:rsidR="00613F2C" w:rsidRPr="008C335E" w:rsidRDefault="00613F2C" w:rsidP="000C0687">
            <w:pPr>
              <w:pStyle w:val="COMTableheadingrow"/>
              <w:keepNext w:val="0"/>
              <w:rPr>
                <w:b w:val="0"/>
                <w:bCs/>
              </w:rPr>
            </w:pPr>
          </w:p>
          <w:p w14:paraId="61287BEB" w14:textId="77777777" w:rsidR="0083555F" w:rsidRPr="008C335E" w:rsidRDefault="0083555F" w:rsidP="000C0687">
            <w:pPr>
              <w:pStyle w:val="COMTableheadingrow"/>
              <w:keepNext w:val="0"/>
              <w:rPr>
                <w:b w:val="0"/>
                <w:bCs/>
              </w:rPr>
            </w:pPr>
            <w:r w:rsidRPr="008C335E">
              <w:rPr>
                <w:b w:val="0"/>
                <w:bCs/>
              </w:rPr>
              <w:t>Paediatric: 80%</w:t>
            </w:r>
          </w:p>
          <w:p w14:paraId="7603D281" w14:textId="454F071C" w:rsidR="0083555F" w:rsidRPr="008C335E" w:rsidRDefault="0083555F" w:rsidP="000C0687">
            <w:pPr>
              <w:pStyle w:val="COMTableheadingrow"/>
              <w:keepNext w:val="0"/>
              <w:rPr>
                <w:rStyle w:val="CommentReference"/>
                <w:b w:val="0"/>
                <w:bCs/>
              </w:rPr>
            </w:pPr>
            <w:r w:rsidRPr="008C335E">
              <w:rPr>
                <w:b w:val="0"/>
                <w:bCs/>
              </w:rPr>
              <w:t>Cooper et al, 2015.</w:t>
            </w:r>
          </w:p>
        </w:tc>
        <w:tc>
          <w:tcPr>
            <w:tcW w:w="4486" w:type="dxa"/>
            <w:vAlign w:val="center"/>
          </w:tcPr>
          <w:p w14:paraId="0BAF934E" w14:textId="7CF28BDE" w:rsidR="0083555F" w:rsidRPr="008C335E" w:rsidRDefault="00613F2C" w:rsidP="000C0687">
            <w:pPr>
              <w:pStyle w:val="Tabletext0"/>
              <w:rPr>
                <w:bCs/>
              </w:rPr>
            </w:pPr>
            <w:r w:rsidRPr="008C335E">
              <w:rPr>
                <w:bCs/>
              </w:rPr>
              <w:t>U</w:t>
            </w:r>
            <w:r w:rsidR="0083555F" w:rsidRPr="008C335E">
              <w:rPr>
                <w:bCs/>
              </w:rPr>
              <w:t>nchanged from the July 2019 submission.</w:t>
            </w:r>
          </w:p>
          <w:p w14:paraId="77AC274D" w14:textId="64680F65" w:rsidR="0083555F" w:rsidRPr="008C335E" w:rsidRDefault="00A521A3" w:rsidP="000C0687">
            <w:pPr>
              <w:pStyle w:val="COMTableheadingrow"/>
              <w:keepNext w:val="0"/>
              <w:rPr>
                <w:rStyle w:val="CommentReference"/>
                <w:b w:val="0"/>
                <w:bCs/>
              </w:rPr>
            </w:pPr>
            <w:r>
              <w:rPr>
                <w:b w:val="0"/>
                <w:bCs/>
              </w:rPr>
              <w:t xml:space="preserve">The evaluator consider it was </w:t>
            </w:r>
            <w:r w:rsidR="00C0701D" w:rsidRPr="008C335E">
              <w:rPr>
                <w:b w:val="0"/>
                <w:bCs/>
              </w:rPr>
              <w:t>u</w:t>
            </w:r>
            <w:r w:rsidR="0083555F" w:rsidRPr="008C335E">
              <w:rPr>
                <w:b w:val="0"/>
                <w:bCs/>
              </w:rPr>
              <w:t>nclear why 76% was selected, given the wide range of estimates of B-cell immunophenotypes (65-85%). Some studies may have excluded mature B-cell ALL patients, which may alter the overall proportion by immunophenotype.</w:t>
            </w:r>
          </w:p>
          <w:p w14:paraId="55FCA591" w14:textId="77777777" w:rsidR="00613F2C" w:rsidRPr="008C335E" w:rsidRDefault="00613F2C" w:rsidP="000C0687">
            <w:pPr>
              <w:pStyle w:val="COMTableheadingrow"/>
              <w:rPr>
                <w:b w:val="0"/>
                <w:bCs/>
              </w:rPr>
            </w:pPr>
          </w:p>
          <w:p w14:paraId="69B2D54D" w14:textId="60D5C17D" w:rsidR="0083555F" w:rsidRPr="008C335E" w:rsidRDefault="0083555F" w:rsidP="000C0687">
            <w:pPr>
              <w:pStyle w:val="COMTableheadingrow"/>
              <w:rPr>
                <w:rStyle w:val="CommentReference"/>
                <w:b w:val="0"/>
                <w:bCs/>
              </w:rPr>
            </w:pPr>
            <w:r w:rsidRPr="008C335E">
              <w:rPr>
                <w:b w:val="0"/>
                <w:bCs/>
              </w:rPr>
              <w:t>Cooper et al. (2015) reported 80% of paediatric patients had the B-precursor immunophenotype</w:t>
            </w:r>
            <w:r w:rsidR="00613F2C" w:rsidRPr="008C335E">
              <w:rPr>
                <w:b w:val="0"/>
                <w:bCs/>
              </w:rPr>
              <w:t>,</w:t>
            </w:r>
            <w:r w:rsidRPr="008C335E">
              <w:rPr>
                <w:b w:val="0"/>
                <w:bCs/>
              </w:rPr>
              <w:t xml:space="preserve"> but </w:t>
            </w:r>
            <w:r w:rsidR="00041AC6" w:rsidRPr="008C335E">
              <w:rPr>
                <w:b w:val="0"/>
                <w:bCs/>
              </w:rPr>
              <w:t xml:space="preserve">the </w:t>
            </w:r>
            <w:r w:rsidRPr="008C335E">
              <w:rPr>
                <w:b w:val="0"/>
                <w:bCs/>
              </w:rPr>
              <w:t xml:space="preserve">source </w:t>
            </w:r>
            <w:r w:rsidR="00041AC6" w:rsidRPr="008C335E">
              <w:rPr>
                <w:b w:val="0"/>
                <w:bCs/>
              </w:rPr>
              <w:t xml:space="preserve">of the estimate was </w:t>
            </w:r>
            <w:r w:rsidR="00613F2C" w:rsidRPr="008C335E">
              <w:rPr>
                <w:b w:val="0"/>
                <w:bCs/>
              </w:rPr>
              <w:t>not provided</w:t>
            </w:r>
            <w:r w:rsidRPr="008C335E">
              <w:rPr>
                <w:b w:val="0"/>
                <w:bCs/>
              </w:rPr>
              <w:t>.</w:t>
            </w:r>
          </w:p>
        </w:tc>
      </w:tr>
      <w:tr w:rsidR="0083555F" w:rsidRPr="008C335E" w14:paraId="60CCAD29" w14:textId="77777777" w:rsidTr="1797D1E5">
        <w:trPr>
          <w:cantSplit/>
        </w:trPr>
        <w:tc>
          <w:tcPr>
            <w:tcW w:w="1413" w:type="dxa"/>
            <w:vAlign w:val="center"/>
          </w:tcPr>
          <w:p w14:paraId="3C3DAB2F" w14:textId="77777777" w:rsidR="0083555F" w:rsidRPr="008C335E" w:rsidRDefault="0083555F" w:rsidP="000C0687">
            <w:pPr>
              <w:pStyle w:val="COMTableheadingrow"/>
              <w:keepNext w:val="0"/>
              <w:rPr>
                <w:rStyle w:val="CommentReference"/>
                <w:b w:val="0"/>
                <w:bCs/>
              </w:rPr>
            </w:pPr>
            <w:r w:rsidRPr="008C335E">
              <w:rPr>
                <w:b w:val="0"/>
                <w:bCs/>
              </w:rPr>
              <w:t>Proportion of B</w:t>
            </w:r>
            <w:r w:rsidRPr="008C335E">
              <w:rPr>
                <w:b w:val="0"/>
                <w:bCs/>
              </w:rPr>
              <w:noBreakHyphen/>
              <w:t>ALL which is immature B-cell precursor</w:t>
            </w:r>
          </w:p>
        </w:tc>
        <w:tc>
          <w:tcPr>
            <w:tcW w:w="3118" w:type="dxa"/>
            <w:vAlign w:val="center"/>
          </w:tcPr>
          <w:p w14:paraId="4F137ED5" w14:textId="77777777" w:rsidR="0083555F" w:rsidRPr="008C335E" w:rsidRDefault="0083555F" w:rsidP="000C0687">
            <w:pPr>
              <w:pStyle w:val="COMTableheadingrow"/>
              <w:keepNext w:val="0"/>
              <w:rPr>
                <w:b w:val="0"/>
                <w:bCs/>
              </w:rPr>
            </w:pPr>
            <w:r w:rsidRPr="008C335E">
              <w:rPr>
                <w:b w:val="0"/>
                <w:bCs/>
              </w:rPr>
              <w:t>All: 93%</w:t>
            </w:r>
          </w:p>
          <w:p w14:paraId="4BB2D349" w14:textId="7BE659E4" w:rsidR="0083555F" w:rsidRPr="008C335E" w:rsidRDefault="0083555F" w:rsidP="000C0687">
            <w:pPr>
              <w:pStyle w:val="COMTableheadingrow"/>
              <w:keepNext w:val="0"/>
              <w:rPr>
                <w:b w:val="0"/>
                <w:bCs/>
              </w:rPr>
            </w:pPr>
            <w:r w:rsidRPr="008C335E">
              <w:rPr>
                <w:b w:val="0"/>
                <w:bCs/>
              </w:rPr>
              <w:t>Fielding et al, 2007 (approx. 2.9% mature); Moorman et al, 2010 (approx. 13.3% mature).</w:t>
            </w:r>
          </w:p>
        </w:tc>
        <w:tc>
          <w:tcPr>
            <w:tcW w:w="4486" w:type="dxa"/>
            <w:vAlign w:val="center"/>
          </w:tcPr>
          <w:p w14:paraId="26607B40" w14:textId="77777777" w:rsidR="0083555F" w:rsidRPr="008C335E" w:rsidRDefault="0083555F" w:rsidP="000C0687">
            <w:pPr>
              <w:pStyle w:val="Tabletext0"/>
              <w:rPr>
                <w:bCs/>
              </w:rPr>
            </w:pPr>
            <w:r w:rsidRPr="008C335E">
              <w:rPr>
                <w:bCs/>
              </w:rPr>
              <w:t xml:space="preserve">Unchanged from the July 2019 submission. </w:t>
            </w:r>
          </w:p>
          <w:p w14:paraId="673113AC" w14:textId="79815745" w:rsidR="0083555F" w:rsidRPr="008C335E" w:rsidRDefault="0083555F" w:rsidP="00B4042C">
            <w:pPr>
              <w:pStyle w:val="Tabletext0"/>
              <w:rPr>
                <w:bCs/>
              </w:rPr>
            </w:pPr>
            <w:r w:rsidRPr="008C335E">
              <w:rPr>
                <w:bCs/>
              </w:rPr>
              <w:t xml:space="preserve">Based on small studies with high variability. </w:t>
            </w:r>
            <w:r w:rsidR="00A521A3">
              <w:rPr>
                <w:bCs/>
              </w:rPr>
              <w:t>The evaluator considered i</w:t>
            </w:r>
            <w:r w:rsidRPr="008C335E">
              <w:rPr>
                <w:bCs/>
              </w:rPr>
              <w:t xml:space="preserve">t </w:t>
            </w:r>
            <w:r w:rsidR="00A521A3">
              <w:rPr>
                <w:bCs/>
              </w:rPr>
              <w:t>wa</w:t>
            </w:r>
            <w:r w:rsidRPr="008C335E">
              <w:rPr>
                <w:bCs/>
              </w:rPr>
              <w:t xml:space="preserve">s inappropriate to apply this estimate to the paediatric population from Cooper et al. (2015), which estimated precursor B-cell ALL at 80% of paediatric ALL population. </w:t>
            </w:r>
          </w:p>
        </w:tc>
      </w:tr>
      <w:tr w:rsidR="0083555F" w:rsidRPr="008C335E" w14:paraId="7A17071C" w14:textId="77777777" w:rsidTr="1797D1E5">
        <w:trPr>
          <w:cantSplit/>
        </w:trPr>
        <w:tc>
          <w:tcPr>
            <w:tcW w:w="1413" w:type="dxa"/>
            <w:vAlign w:val="center"/>
          </w:tcPr>
          <w:p w14:paraId="271BEB84" w14:textId="77777777" w:rsidR="0083555F" w:rsidRPr="008C335E" w:rsidRDefault="0083555F" w:rsidP="000C0687">
            <w:pPr>
              <w:pStyle w:val="COMTableheadingrow"/>
              <w:keepNext w:val="0"/>
              <w:rPr>
                <w:rStyle w:val="CommentReference"/>
                <w:b w:val="0"/>
                <w:bCs/>
              </w:rPr>
            </w:pPr>
            <w:r w:rsidRPr="008C335E">
              <w:rPr>
                <w:b w:val="0"/>
                <w:bCs/>
              </w:rPr>
              <w:lastRenderedPageBreak/>
              <w:t>Proportion of patients with complete remission after initial induction treatment</w:t>
            </w:r>
          </w:p>
        </w:tc>
        <w:tc>
          <w:tcPr>
            <w:tcW w:w="3118" w:type="dxa"/>
            <w:vAlign w:val="center"/>
          </w:tcPr>
          <w:p w14:paraId="63B8CDF2" w14:textId="77777777" w:rsidR="0083555F" w:rsidRPr="008C335E" w:rsidRDefault="0083555F" w:rsidP="000C0687">
            <w:pPr>
              <w:pStyle w:val="COMTableheadingrow"/>
              <w:keepNext w:val="0"/>
              <w:rPr>
                <w:b w:val="0"/>
                <w:bCs/>
              </w:rPr>
            </w:pPr>
            <w:r w:rsidRPr="008C335E">
              <w:rPr>
                <w:b w:val="0"/>
                <w:bCs/>
              </w:rPr>
              <w:t>Adult: 88%</w:t>
            </w:r>
          </w:p>
          <w:p w14:paraId="4F116614" w14:textId="394CFE23" w:rsidR="0083555F" w:rsidRPr="008C335E" w:rsidRDefault="0083555F" w:rsidP="000C0687">
            <w:pPr>
              <w:pStyle w:val="COMTableheadingrow"/>
              <w:keepNext w:val="0"/>
              <w:rPr>
                <w:rStyle w:val="CommentReference"/>
                <w:b w:val="0"/>
                <w:bCs/>
              </w:rPr>
            </w:pPr>
            <w:proofErr w:type="spellStart"/>
            <w:r w:rsidRPr="008C335E">
              <w:rPr>
                <w:b w:val="0"/>
                <w:bCs/>
              </w:rPr>
              <w:t>Gokbuget</w:t>
            </w:r>
            <w:proofErr w:type="spellEnd"/>
            <w:r w:rsidRPr="008C335E">
              <w:rPr>
                <w:b w:val="0"/>
                <w:bCs/>
              </w:rPr>
              <w:t xml:space="preserve"> et al, 2012 (90%); </w:t>
            </w:r>
            <w:proofErr w:type="spellStart"/>
            <w:r w:rsidRPr="008C335E">
              <w:rPr>
                <w:b w:val="0"/>
                <w:bCs/>
              </w:rPr>
              <w:t>Holoweicki</w:t>
            </w:r>
            <w:proofErr w:type="spellEnd"/>
            <w:r w:rsidRPr="008C335E">
              <w:rPr>
                <w:b w:val="0"/>
                <w:bCs/>
              </w:rPr>
              <w:t xml:space="preserve"> et al, 2008 (90%), Bassan et al, 2009 (84%).</w:t>
            </w:r>
          </w:p>
          <w:p w14:paraId="6985E980" w14:textId="77777777" w:rsidR="0083555F" w:rsidRPr="008C335E" w:rsidRDefault="0083555F" w:rsidP="000C0687">
            <w:pPr>
              <w:pStyle w:val="COMTableheadingrow"/>
              <w:keepNext w:val="0"/>
              <w:rPr>
                <w:b w:val="0"/>
                <w:bCs/>
              </w:rPr>
            </w:pPr>
            <w:r w:rsidRPr="008C335E">
              <w:rPr>
                <w:b w:val="0"/>
                <w:bCs/>
              </w:rPr>
              <w:t>Paediatric: 96%</w:t>
            </w:r>
          </w:p>
          <w:p w14:paraId="72D7EE9E" w14:textId="1A6CDE7F" w:rsidR="0083555F" w:rsidRPr="008C335E" w:rsidRDefault="0083555F" w:rsidP="000C0687">
            <w:pPr>
              <w:pStyle w:val="COMTableheadingrow"/>
              <w:rPr>
                <w:rStyle w:val="CommentReference"/>
                <w:b w:val="0"/>
                <w:bCs/>
              </w:rPr>
            </w:pPr>
            <w:r w:rsidRPr="008C335E">
              <w:rPr>
                <w:b w:val="0"/>
                <w:bCs/>
              </w:rPr>
              <w:t>Cooper 2015 (</w:t>
            </w:r>
            <w:r w:rsidR="00613F2C" w:rsidRPr="008C335E">
              <w:rPr>
                <w:b w:val="0"/>
                <w:bCs/>
              </w:rPr>
              <w:t>i</w:t>
            </w:r>
            <w:r w:rsidRPr="008C335E">
              <w:rPr>
                <w:b w:val="0"/>
                <w:bCs/>
              </w:rPr>
              <w:t xml:space="preserve">nduction failure in </w:t>
            </w:r>
            <w:r w:rsidR="00613F2C" w:rsidRPr="008C335E">
              <w:rPr>
                <w:b w:val="0"/>
                <w:bCs/>
              </w:rPr>
              <w:t>~</w:t>
            </w:r>
            <w:r w:rsidRPr="008C335E">
              <w:rPr>
                <w:b w:val="0"/>
                <w:bCs/>
              </w:rPr>
              <w:t>3% to 5% of children with newly diagnosed ALL).</w:t>
            </w:r>
          </w:p>
        </w:tc>
        <w:tc>
          <w:tcPr>
            <w:tcW w:w="4486" w:type="dxa"/>
            <w:vAlign w:val="center"/>
          </w:tcPr>
          <w:p w14:paraId="60EA07E0" w14:textId="77777777" w:rsidR="0083555F" w:rsidRPr="008C335E" w:rsidRDefault="0083555F" w:rsidP="000C0687">
            <w:pPr>
              <w:pStyle w:val="Tabletext0"/>
              <w:rPr>
                <w:bCs/>
              </w:rPr>
            </w:pPr>
            <w:r w:rsidRPr="008C335E">
              <w:rPr>
                <w:bCs/>
              </w:rPr>
              <w:t xml:space="preserve">Unchanged from the July 2019 submission. </w:t>
            </w:r>
          </w:p>
          <w:p w14:paraId="0D3D0C8C" w14:textId="750DB879" w:rsidR="0083555F" w:rsidRPr="008C335E" w:rsidRDefault="00613F2C" w:rsidP="000C0687">
            <w:pPr>
              <w:pStyle w:val="COMTableheadingrow"/>
              <w:keepNext w:val="0"/>
              <w:rPr>
                <w:rStyle w:val="CommentReference"/>
                <w:b w:val="0"/>
                <w:bCs/>
              </w:rPr>
            </w:pPr>
            <w:r w:rsidRPr="008C335E">
              <w:rPr>
                <w:b w:val="0"/>
                <w:bCs/>
              </w:rPr>
              <w:t>T</w:t>
            </w:r>
            <w:r w:rsidR="0083555F" w:rsidRPr="008C335E">
              <w:rPr>
                <w:b w:val="0"/>
                <w:bCs/>
              </w:rPr>
              <w:t>he proportion of adult patients achieving complete remission decreases with advancing age, and only 68.2% of patients in the E1910 trial (aged 30-70 years) achieved CR1 after induction chemotherapy, and 58.6% maintained CR1 (ECOG performance status ≤2) after induction intensification.</w:t>
            </w:r>
          </w:p>
        </w:tc>
      </w:tr>
      <w:tr w:rsidR="0083555F" w:rsidRPr="008C335E" w14:paraId="14B6DB94" w14:textId="77777777" w:rsidTr="1797D1E5">
        <w:trPr>
          <w:cantSplit/>
        </w:trPr>
        <w:tc>
          <w:tcPr>
            <w:tcW w:w="1413" w:type="dxa"/>
            <w:vAlign w:val="center"/>
          </w:tcPr>
          <w:p w14:paraId="114B7B60" w14:textId="77777777" w:rsidR="0083555F" w:rsidRPr="008C335E" w:rsidRDefault="0083555F" w:rsidP="000C0687">
            <w:pPr>
              <w:pStyle w:val="COMTableheadingrow"/>
              <w:keepNext w:val="0"/>
              <w:rPr>
                <w:rStyle w:val="CommentReference"/>
                <w:b w:val="0"/>
                <w:bCs/>
              </w:rPr>
            </w:pPr>
            <w:r w:rsidRPr="008C335E">
              <w:rPr>
                <w:b w:val="0"/>
                <w:bCs/>
              </w:rPr>
              <w:t>Proportion of patients with complete remission MRD-negative</w:t>
            </w:r>
          </w:p>
        </w:tc>
        <w:tc>
          <w:tcPr>
            <w:tcW w:w="3118" w:type="dxa"/>
            <w:vAlign w:val="center"/>
          </w:tcPr>
          <w:p w14:paraId="0D26CF53" w14:textId="77777777" w:rsidR="0083555F" w:rsidRPr="008C335E" w:rsidRDefault="0083555F" w:rsidP="000C0687">
            <w:pPr>
              <w:pStyle w:val="Tabletext0"/>
              <w:rPr>
                <w:bCs/>
              </w:rPr>
            </w:pPr>
            <w:r w:rsidRPr="008C335E">
              <w:rPr>
                <w:bCs/>
              </w:rPr>
              <w:t>Adult: 60%</w:t>
            </w:r>
          </w:p>
          <w:p w14:paraId="0CA0FB5D" w14:textId="044F34BD" w:rsidR="0083555F" w:rsidRPr="008C335E" w:rsidRDefault="00613F2C" w:rsidP="000C0687">
            <w:pPr>
              <w:pStyle w:val="Tabletext0"/>
              <w:rPr>
                <w:bCs/>
              </w:rPr>
            </w:pPr>
            <w:r w:rsidRPr="008C335E">
              <w:rPr>
                <w:bCs/>
              </w:rPr>
              <w:t>Assumed complement of the</w:t>
            </w:r>
            <w:r w:rsidR="0083555F" w:rsidRPr="008C335E">
              <w:rPr>
                <w:bCs/>
              </w:rPr>
              <w:t xml:space="preserve"> July 2019 </w:t>
            </w:r>
            <w:r w:rsidRPr="008C335E">
              <w:rPr>
                <w:bCs/>
              </w:rPr>
              <w:t xml:space="preserve">submission assumption of </w:t>
            </w:r>
            <w:r w:rsidR="0083555F" w:rsidRPr="008C335E">
              <w:rPr>
                <w:bCs/>
              </w:rPr>
              <w:t>MRD-positive</w:t>
            </w:r>
            <w:r w:rsidRPr="008C335E">
              <w:rPr>
                <w:bCs/>
              </w:rPr>
              <w:t xml:space="preserve"> population (</w:t>
            </w:r>
            <w:r w:rsidR="0083555F" w:rsidRPr="008C335E">
              <w:rPr>
                <w:bCs/>
              </w:rPr>
              <w:t>40%</w:t>
            </w:r>
            <w:r w:rsidRPr="008C335E">
              <w:rPr>
                <w:bCs/>
              </w:rPr>
              <w:t>)</w:t>
            </w:r>
            <w:r w:rsidR="0083555F" w:rsidRPr="008C335E">
              <w:rPr>
                <w:bCs/>
              </w:rPr>
              <w:t xml:space="preserve">. </w:t>
            </w:r>
          </w:p>
          <w:p w14:paraId="652E6ECA" w14:textId="77777777" w:rsidR="00613F2C" w:rsidRPr="008C335E" w:rsidRDefault="00613F2C" w:rsidP="000C0687">
            <w:pPr>
              <w:pStyle w:val="COMTableheadingrow"/>
              <w:keepNext w:val="0"/>
              <w:rPr>
                <w:rStyle w:val="CommentReference"/>
                <w:b w:val="0"/>
                <w:bCs/>
              </w:rPr>
            </w:pPr>
          </w:p>
          <w:p w14:paraId="311B32BB" w14:textId="77777777" w:rsidR="0083555F" w:rsidRPr="008C335E" w:rsidRDefault="0083555F" w:rsidP="000C0687">
            <w:pPr>
              <w:pStyle w:val="Tabletext0"/>
              <w:rPr>
                <w:bCs/>
              </w:rPr>
            </w:pPr>
            <w:r w:rsidRPr="008C335E">
              <w:rPr>
                <w:bCs/>
              </w:rPr>
              <w:t>Paediatric: 81%</w:t>
            </w:r>
          </w:p>
          <w:p w14:paraId="16D7C527" w14:textId="1776B75D" w:rsidR="0083555F" w:rsidRPr="008C335E" w:rsidRDefault="00613F2C" w:rsidP="000C0687">
            <w:pPr>
              <w:pStyle w:val="COMTableheadingrow"/>
              <w:rPr>
                <w:rStyle w:val="CommentReference"/>
                <w:b w:val="0"/>
                <w:bCs/>
              </w:rPr>
            </w:pPr>
            <w:r w:rsidRPr="008C335E">
              <w:rPr>
                <w:rFonts w:eastAsia="Times New Roman" w:cs="Times New Roman"/>
                <w:b w:val="0"/>
                <w:bCs/>
                <w:szCs w:val="22"/>
              </w:rPr>
              <w:t>Assumed complement of the July 2019 submission assumption of MRD-positive population (19%)</w:t>
            </w:r>
            <w:r w:rsidR="0083555F" w:rsidRPr="008C335E">
              <w:rPr>
                <w:b w:val="0"/>
                <w:bCs/>
              </w:rPr>
              <w:t>.</w:t>
            </w:r>
          </w:p>
        </w:tc>
        <w:tc>
          <w:tcPr>
            <w:tcW w:w="4486" w:type="dxa"/>
            <w:vAlign w:val="center"/>
          </w:tcPr>
          <w:p w14:paraId="1C1843E0" w14:textId="105E2801" w:rsidR="0083555F" w:rsidRPr="008C335E" w:rsidRDefault="0083555F" w:rsidP="000C0687">
            <w:pPr>
              <w:pStyle w:val="COMTableheadingrow"/>
              <w:keepNext w:val="0"/>
              <w:rPr>
                <w:rStyle w:val="CommentReference"/>
                <w:b w:val="0"/>
                <w:bCs/>
              </w:rPr>
            </w:pPr>
            <w:r w:rsidRPr="008C335E">
              <w:rPr>
                <w:rFonts w:cstheme="minorHAnsi"/>
                <w:b w:val="0"/>
                <w:bCs/>
              </w:rPr>
              <w:t>Given the E1910 trial included MRD-negative (224, 78.3%) and MRD-positive (62, 21.7%) populations, the</w:t>
            </w:r>
            <w:r w:rsidR="0081004E">
              <w:rPr>
                <w:rFonts w:cstheme="minorHAnsi"/>
                <w:b w:val="0"/>
                <w:bCs/>
              </w:rPr>
              <w:t xml:space="preserve"> evaluator considered the</w:t>
            </w:r>
            <w:r w:rsidRPr="008C335E">
              <w:rPr>
                <w:rFonts w:cstheme="minorHAnsi"/>
                <w:b w:val="0"/>
                <w:bCs/>
              </w:rPr>
              <w:t xml:space="preserve"> assumed proportion of MRD-negative patients (60%) may be substantially underestimated. </w:t>
            </w:r>
            <w:r w:rsidR="00AD39ED" w:rsidRPr="008C335E">
              <w:rPr>
                <w:rFonts w:cstheme="minorHAnsi"/>
                <w:b w:val="0"/>
                <w:bCs/>
              </w:rPr>
              <w:t xml:space="preserve">The PSCR argued that the E1910 trial is not an epidemiological study and maintained that the use of the complement of the July 2019 submission assumption remained appropriate. </w:t>
            </w:r>
          </w:p>
          <w:p w14:paraId="685EB79C" w14:textId="32CDBD9D" w:rsidR="0083555F" w:rsidRPr="008C335E" w:rsidRDefault="0083555F" w:rsidP="000C0687">
            <w:pPr>
              <w:pStyle w:val="COMTableheadingrow"/>
              <w:rPr>
                <w:rStyle w:val="CommentReference"/>
                <w:b w:val="0"/>
                <w:bCs/>
              </w:rPr>
            </w:pPr>
            <w:r w:rsidRPr="008C335E">
              <w:rPr>
                <w:b w:val="0"/>
                <w:bCs/>
              </w:rPr>
              <w:t xml:space="preserve">The July 2019 submission used a value lower than that reported in Borowitz et al. (2008), and most likely underestimated paediatric MRD positivity. The E1910 trial did not include paediatric patients. </w:t>
            </w:r>
          </w:p>
        </w:tc>
      </w:tr>
      <w:tr w:rsidR="0083555F" w:rsidRPr="008C335E" w14:paraId="4B8FDF75" w14:textId="77777777" w:rsidTr="1797D1E5">
        <w:trPr>
          <w:cantSplit/>
        </w:trPr>
        <w:tc>
          <w:tcPr>
            <w:tcW w:w="1413" w:type="dxa"/>
            <w:vAlign w:val="center"/>
          </w:tcPr>
          <w:p w14:paraId="4A8948E4" w14:textId="77777777" w:rsidR="0083555F" w:rsidRPr="008C335E" w:rsidRDefault="0083555F" w:rsidP="000C0687">
            <w:pPr>
              <w:pStyle w:val="COMTableheadingrow"/>
              <w:keepNext w:val="0"/>
              <w:rPr>
                <w:rStyle w:val="CommentReference"/>
                <w:b w:val="0"/>
                <w:bCs/>
              </w:rPr>
            </w:pPr>
            <w:r w:rsidRPr="008C335E">
              <w:rPr>
                <w:b w:val="0"/>
                <w:bCs/>
              </w:rPr>
              <w:t>Proportion of MRD-negative patients receiving consolidation therapy post induction</w:t>
            </w:r>
          </w:p>
        </w:tc>
        <w:tc>
          <w:tcPr>
            <w:tcW w:w="3118" w:type="dxa"/>
            <w:vAlign w:val="center"/>
          </w:tcPr>
          <w:p w14:paraId="1FCADA32" w14:textId="77777777" w:rsidR="0083555F" w:rsidRPr="008C335E" w:rsidRDefault="0083555F" w:rsidP="000C0687">
            <w:pPr>
              <w:pStyle w:val="COMTableheadingrow"/>
              <w:keepNext w:val="0"/>
              <w:rPr>
                <w:b w:val="0"/>
                <w:bCs/>
              </w:rPr>
            </w:pPr>
            <w:r w:rsidRPr="008C335E">
              <w:rPr>
                <w:b w:val="0"/>
                <w:bCs/>
              </w:rPr>
              <w:t>All: 95%</w:t>
            </w:r>
          </w:p>
          <w:p w14:paraId="0BCD646E" w14:textId="0CE09BEF" w:rsidR="0083555F" w:rsidRPr="008C335E" w:rsidRDefault="0083555F" w:rsidP="000C0687">
            <w:pPr>
              <w:pStyle w:val="COMTableheadingrow"/>
              <w:keepNext w:val="0"/>
              <w:rPr>
                <w:rStyle w:val="CommentReference"/>
                <w:b w:val="0"/>
                <w:bCs/>
              </w:rPr>
            </w:pPr>
            <w:r w:rsidRPr="008C335E">
              <w:rPr>
                <w:b w:val="0"/>
                <w:bCs/>
              </w:rPr>
              <w:t>Assumption based on clinician advice.</w:t>
            </w:r>
          </w:p>
        </w:tc>
        <w:tc>
          <w:tcPr>
            <w:tcW w:w="4486" w:type="dxa"/>
            <w:vAlign w:val="center"/>
          </w:tcPr>
          <w:p w14:paraId="61927B45" w14:textId="77777777" w:rsidR="0083555F" w:rsidRPr="008C335E" w:rsidRDefault="0083555F" w:rsidP="000C0687">
            <w:pPr>
              <w:pStyle w:val="COMTableheadingrow"/>
              <w:keepNext w:val="0"/>
              <w:rPr>
                <w:rStyle w:val="CommentReference"/>
                <w:b w:val="0"/>
                <w:bCs/>
              </w:rPr>
            </w:pPr>
            <w:r w:rsidRPr="008C335E">
              <w:rPr>
                <w:b w:val="0"/>
                <w:bCs/>
              </w:rPr>
              <w:t xml:space="preserve">This is consistent with the E1910 trial, which reported 11 (3.8%) patients not commencing consolidation therapy, most frequently due to early disease progression/relapse. </w:t>
            </w:r>
          </w:p>
        </w:tc>
      </w:tr>
      <w:tr w:rsidR="0083555F" w:rsidRPr="008C335E" w14:paraId="5E219E1A" w14:textId="77777777" w:rsidTr="1797D1E5">
        <w:trPr>
          <w:cantSplit/>
        </w:trPr>
        <w:tc>
          <w:tcPr>
            <w:tcW w:w="1413" w:type="dxa"/>
            <w:vAlign w:val="center"/>
          </w:tcPr>
          <w:p w14:paraId="697C59BA" w14:textId="77777777" w:rsidR="0083555F" w:rsidRPr="008C335E" w:rsidRDefault="0083555F" w:rsidP="000C0687">
            <w:pPr>
              <w:pStyle w:val="COMTableheadingrow"/>
              <w:keepNext w:val="0"/>
              <w:rPr>
                <w:rStyle w:val="CommentReference"/>
                <w:b w:val="0"/>
                <w:bCs/>
              </w:rPr>
            </w:pPr>
            <w:r w:rsidRPr="008C335E">
              <w:rPr>
                <w:b w:val="0"/>
                <w:bCs/>
              </w:rPr>
              <w:t>Cumulative proportion of all B</w:t>
            </w:r>
            <w:r w:rsidRPr="008C335E">
              <w:rPr>
                <w:b w:val="0"/>
                <w:bCs/>
              </w:rPr>
              <w:noBreakHyphen/>
              <w:t>ALL patients eligible for treatment</w:t>
            </w:r>
          </w:p>
        </w:tc>
        <w:tc>
          <w:tcPr>
            <w:tcW w:w="3118" w:type="dxa"/>
            <w:vAlign w:val="center"/>
          </w:tcPr>
          <w:p w14:paraId="67ACF59E" w14:textId="7157A083" w:rsidR="0083555F" w:rsidRPr="008C335E" w:rsidRDefault="0083555F" w:rsidP="0083555F">
            <w:pPr>
              <w:pStyle w:val="Tabletext0"/>
              <w:rPr>
                <w:bCs/>
              </w:rPr>
            </w:pPr>
            <w:r w:rsidRPr="008C335E">
              <w:rPr>
                <w:bCs/>
              </w:rPr>
              <w:t>Adult: 35.453%</w:t>
            </w:r>
          </w:p>
          <w:p w14:paraId="676A5A08" w14:textId="77777777" w:rsidR="0083555F" w:rsidRPr="008C335E" w:rsidRDefault="0083555F" w:rsidP="0083555F">
            <w:pPr>
              <w:pStyle w:val="Tabletext0"/>
              <w:rPr>
                <w:bCs/>
              </w:rPr>
            </w:pPr>
            <w:r w:rsidRPr="008C335E">
              <w:rPr>
                <w:bCs/>
              </w:rPr>
              <w:t>Paediatric: 54.96%</w:t>
            </w:r>
          </w:p>
          <w:p w14:paraId="43D7E4FA" w14:textId="52BE2A87" w:rsidR="0083555F" w:rsidRPr="008C335E" w:rsidRDefault="0083555F" w:rsidP="00655CF9">
            <w:pPr>
              <w:pStyle w:val="Tabletext0"/>
              <w:rPr>
                <w:rStyle w:val="CommentReference"/>
                <w:bCs/>
                <w:sz w:val="20"/>
                <w:szCs w:val="22"/>
              </w:rPr>
            </w:pPr>
            <w:r w:rsidRPr="008C335E">
              <w:rPr>
                <w:bCs/>
              </w:rPr>
              <w:t xml:space="preserve">Multiplier of above proportions (product of conditional probabilities). </w:t>
            </w:r>
          </w:p>
        </w:tc>
        <w:tc>
          <w:tcPr>
            <w:tcW w:w="4486" w:type="dxa"/>
            <w:vAlign w:val="center"/>
          </w:tcPr>
          <w:p w14:paraId="4C7815E6" w14:textId="77777777" w:rsidR="0083555F" w:rsidRPr="008C335E" w:rsidRDefault="0083555F" w:rsidP="000C0687">
            <w:pPr>
              <w:pStyle w:val="Tabletext0"/>
              <w:rPr>
                <w:bCs/>
              </w:rPr>
            </w:pPr>
            <w:r w:rsidRPr="008C335E">
              <w:rPr>
                <w:bCs/>
              </w:rPr>
              <w:t xml:space="preserve">Same approach as the July 2019 submission. </w:t>
            </w:r>
          </w:p>
          <w:p w14:paraId="35ECF28B" w14:textId="169C7D30" w:rsidR="0083555F" w:rsidRPr="008C335E" w:rsidRDefault="0083555F" w:rsidP="000C0687">
            <w:pPr>
              <w:pStyle w:val="Tabletext0"/>
              <w:rPr>
                <w:rStyle w:val="CommentReference"/>
                <w:bCs/>
                <w:szCs w:val="22"/>
              </w:rPr>
            </w:pPr>
            <w:r w:rsidRPr="008C335E">
              <w:rPr>
                <w:bCs/>
              </w:rPr>
              <w:t xml:space="preserve">The </w:t>
            </w:r>
            <w:r w:rsidR="0081004E">
              <w:rPr>
                <w:bCs/>
              </w:rPr>
              <w:t xml:space="preserve">evaluator considered the </w:t>
            </w:r>
            <w:r w:rsidRPr="008C335E">
              <w:rPr>
                <w:bCs/>
              </w:rPr>
              <w:t>conditional multiplier used to estimate the proportion of the total B-ALL population eligible for treatment remains uncertain, given the probabilities used to derive the multipliers are unlikely to be independent.</w:t>
            </w:r>
          </w:p>
        </w:tc>
      </w:tr>
      <w:tr w:rsidR="0083555F" w:rsidRPr="008C335E" w14:paraId="09A9C4EA" w14:textId="77777777" w:rsidTr="1797D1E5">
        <w:trPr>
          <w:cantSplit/>
        </w:trPr>
        <w:tc>
          <w:tcPr>
            <w:tcW w:w="1413" w:type="dxa"/>
            <w:vAlign w:val="center"/>
          </w:tcPr>
          <w:p w14:paraId="00AE84E6" w14:textId="77777777" w:rsidR="0083555F" w:rsidRPr="008C335E" w:rsidRDefault="0083555F" w:rsidP="000C0687">
            <w:pPr>
              <w:pStyle w:val="COMTableheadingrow"/>
              <w:keepNext w:val="0"/>
              <w:rPr>
                <w:rStyle w:val="CommentReference"/>
                <w:b w:val="0"/>
                <w:bCs/>
              </w:rPr>
            </w:pPr>
            <w:r w:rsidRPr="008C335E">
              <w:rPr>
                <w:b w:val="0"/>
                <w:bCs/>
              </w:rPr>
              <w:t>Uptake rate</w:t>
            </w:r>
          </w:p>
        </w:tc>
        <w:tc>
          <w:tcPr>
            <w:tcW w:w="3118" w:type="dxa"/>
            <w:vAlign w:val="center"/>
          </w:tcPr>
          <w:p w14:paraId="58ABB995" w14:textId="456649AA" w:rsidR="0083555F" w:rsidRPr="008C335E" w:rsidRDefault="0083555F" w:rsidP="0083555F">
            <w:pPr>
              <w:pStyle w:val="Tabletext0"/>
            </w:pPr>
            <w:r>
              <w:t xml:space="preserve">Adults: </w:t>
            </w:r>
            <w:r w:rsidR="724F0F60" w:rsidRPr="1797D1E5">
              <w:rPr>
                <w:color w:val="000000" w:themeColor="text1"/>
              </w:rPr>
              <w:t>|</w:t>
            </w:r>
            <w:r w:rsidR="724F0F60">
              <w:t xml:space="preserve"> </w:t>
            </w:r>
            <w:r>
              <w:t>%</w:t>
            </w:r>
          </w:p>
          <w:p w14:paraId="212126F4" w14:textId="4A096CDE" w:rsidR="0083555F" w:rsidRPr="008C335E" w:rsidRDefault="0083555F" w:rsidP="0083555F">
            <w:pPr>
              <w:pStyle w:val="Tabletext0"/>
            </w:pPr>
            <w:r>
              <w:t xml:space="preserve">Paediatric: </w:t>
            </w:r>
            <w:r w:rsidR="1CA63FB0" w:rsidRPr="1797D1E5">
              <w:rPr>
                <w:color w:val="000000" w:themeColor="text1"/>
              </w:rPr>
              <w:t>|</w:t>
            </w:r>
            <w:r w:rsidR="1CA63FB0">
              <w:t xml:space="preserve"> %</w:t>
            </w:r>
          </w:p>
          <w:p w14:paraId="772305C0" w14:textId="77777777" w:rsidR="0083555F" w:rsidRPr="008C335E" w:rsidRDefault="0083555F" w:rsidP="1797D1E5">
            <w:pPr>
              <w:pStyle w:val="COMTableheadingrow"/>
              <w:keepNext w:val="0"/>
              <w:rPr>
                <w:rStyle w:val="CommentReference"/>
                <w:b w:val="0"/>
              </w:rPr>
            </w:pPr>
            <w:r>
              <w:rPr>
                <w:b w:val="0"/>
              </w:rPr>
              <w:t>Assumption. The submission assumed most paediatric patients would be offered treatment in a clinical trial.</w:t>
            </w:r>
          </w:p>
        </w:tc>
        <w:tc>
          <w:tcPr>
            <w:tcW w:w="4486" w:type="dxa"/>
            <w:vAlign w:val="center"/>
          </w:tcPr>
          <w:p w14:paraId="15A08A38" w14:textId="77777777" w:rsidR="0083555F" w:rsidRPr="008C335E" w:rsidRDefault="0083555F" w:rsidP="000C0687">
            <w:pPr>
              <w:pStyle w:val="Tabletext0"/>
              <w:rPr>
                <w:bCs/>
              </w:rPr>
            </w:pPr>
            <w:r w:rsidRPr="008C335E">
              <w:rPr>
                <w:bCs/>
              </w:rPr>
              <w:t>Unchanged from the July 2019 submission.</w:t>
            </w:r>
          </w:p>
          <w:p w14:paraId="4AE3365F" w14:textId="18CA79AA" w:rsidR="0083555F" w:rsidRPr="008C335E" w:rsidRDefault="0083555F" w:rsidP="000C0687">
            <w:pPr>
              <w:pStyle w:val="COMTableheadingrow"/>
              <w:keepNext w:val="0"/>
              <w:rPr>
                <w:rStyle w:val="CommentReference"/>
                <w:b w:val="0"/>
                <w:bCs/>
              </w:rPr>
            </w:pPr>
            <w:r w:rsidRPr="008C335E">
              <w:rPr>
                <w:b w:val="0"/>
                <w:bCs/>
              </w:rPr>
              <w:t>Assumptions of uptake are highly uncertain.</w:t>
            </w:r>
            <w:r w:rsidR="00DA178F" w:rsidRPr="008C335E">
              <w:rPr>
                <w:b w:val="0"/>
                <w:bCs/>
              </w:rPr>
              <w:t xml:space="preserve"> The ESC considered that uptake will be very high and considered the rates applied in the submission appropriate. </w:t>
            </w:r>
          </w:p>
        </w:tc>
      </w:tr>
      <w:tr w:rsidR="0083555F" w:rsidRPr="008C335E" w14:paraId="6F741D88" w14:textId="77777777" w:rsidTr="1797D1E5">
        <w:trPr>
          <w:cantSplit/>
        </w:trPr>
        <w:tc>
          <w:tcPr>
            <w:tcW w:w="1413" w:type="dxa"/>
            <w:vAlign w:val="center"/>
          </w:tcPr>
          <w:p w14:paraId="50F3F5C9" w14:textId="77777777" w:rsidR="0083555F" w:rsidRPr="008C335E" w:rsidRDefault="0083555F" w:rsidP="000C0687">
            <w:pPr>
              <w:pStyle w:val="COMTableheadingrow"/>
              <w:keepNext w:val="0"/>
              <w:rPr>
                <w:rStyle w:val="CommentReference"/>
                <w:b w:val="0"/>
                <w:bCs/>
              </w:rPr>
            </w:pPr>
            <w:r w:rsidRPr="008C335E">
              <w:rPr>
                <w:b w:val="0"/>
                <w:bCs/>
              </w:rPr>
              <w:t>PBS units dispensed per patient per treatment course</w:t>
            </w:r>
          </w:p>
        </w:tc>
        <w:tc>
          <w:tcPr>
            <w:tcW w:w="3118" w:type="dxa"/>
            <w:vAlign w:val="center"/>
          </w:tcPr>
          <w:p w14:paraId="19DDB80D" w14:textId="52D659DD" w:rsidR="0083555F" w:rsidRPr="008C335E" w:rsidRDefault="0083555F" w:rsidP="00827696">
            <w:pPr>
              <w:pStyle w:val="Tabletext0"/>
              <w:rPr>
                <w:bCs/>
              </w:rPr>
            </w:pPr>
            <w:r w:rsidRPr="008C335E">
              <w:rPr>
                <w:bCs/>
              </w:rPr>
              <w:t>Adult:</w:t>
            </w:r>
            <w:r w:rsidR="00827696" w:rsidRPr="008C335E">
              <w:rPr>
                <w:bCs/>
              </w:rPr>
              <w:t xml:space="preserve"> </w:t>
            </w:r>
            <w:r w:rsidRPr="008C335E">
              <w:rPr>
                <w:bCs/>
              </w:rPr>
              <w:t>82.6 × 38.5 µg vials of blinatumomab</w:t>
            </w:r>
            <w:r w:rsidR="00827696" w:rsidRPr="008C335E">
              <w:rPr>
                <w:bCs/>
              </w:rPr>
              <w:t xml:space="preserve"> </w:t>
            </w:r>
            <w:r w:rsidRPr="008C335E">
              <w:rPr>
                <w:bCs/>
              </w:rPr>
              <w:t>over 2.95 cycles</w:t>
            </w:r>
          </w:p>
          <w:p w14:paraId="11DEFC0E" w14:textId="4157269F" w:rsidR="0083555F" w:rsidRPr="008C335E" w:rsidRDefault="0083555F" w:rsidP="00827696">
            <w:pPr>
              <w:pStyle w:val="Tabletext0"/>
              <w:rPr>
                <w:bCs/>
              </w:rPr>
            </w:pPr>
            <w:r w:rsidRPr="008C335E">
              <w:rPr>
                <w:bCs/>
              </w:rPr>
              <w:t>Paediatric:</w:t>
            </w:r>
            <w:r w:rsidR="00827696" w:rsidRPr="008C335E">
              <w:rPr>
                <w:bCs/>
              </w:rPr>
              <w:t xml:space="preserve"> </w:t>
            </w:r>
            <w:r w:rsidRPr="008C335E">
              <w:rPr>
                <w:bCs/>
              </w:rPr>
              <w:t>49.6 × 38.5 µg vials of blinatumomab</w:t>
            </w:r>
            <w:r w:rsidR="00827696" w:rsidRPr="008C335E">
              <w:rPr>
                <w:bCs/>
              </w:rPr>
              <w:t xml:space="preserve"> </w:t>
            </w:r>
            <w:r w:rsidRPr="008C335E">
              <w:rPr>
                <w:bCs/>
              </w:rPr>
              <w:t>over 2.95 cycles</w:t>
            </w:r>
            <w:r w:rsidR="00CE1EB5" w:rsidRPr="008C335E">
              <w:rPr>
                <w:bCs/>
              </w:rPr>
              <w:t>.</w:t>
            </w:r>
          </w:p>
          <w:p w14:paraId="4FF96579" w14:textId="39605A7C" w:rsidR="0083555F" w:rsidRPr="008C335E" w:rsidRDefault="00655CF9" w:rsidP="0083555F">
            <w:pPr>
              <w:pStyle w:val="Tabletext0"/>
              <w:rPr>
                <w:bCs/>
              </w:rPr>
            </w:pPr>
            <w:r w:rsidRPr="008C335E">
              <w:rPr>
                <w:bCs/>
              </w:rPr>
              <w:t>A</w:t>
            </w:r>
            <w:r w:rsidR="0083555F" w:rsidRPr="008C335E">
              <w:rPr>
                <w:bCs/>
              </w:rPr>
              <w:t>ssumed all patients received one 38.5</w:t>
            </w:r>
            <w:r w:rsidR="00827696" w:rsidRPr="008C335E">
              <w:rPr>
                <w:bCs/>
              </w:rPr>
              <w:t> </w:t>
            </w:r>
            <w:r w:rsidR="0083555F" w:rsidRPr="008C335E">
              <w:rPr>
                <w:bCs/>
              </w:rPr>
              <w:t xml:space="preserve">ug vial of blinatumomab </w:t>
            </w:r>
            <w:r w:rsidR="00827696" w:rsidRPr="008C335E">
              <w:rPr>
                <w:bCs/>
              </w:rPr>
              <w:t>daily</w:t>
            </w:r>
            <w:r w:rsidR="0083555F" w:rsidRPr="008C335E">
              <w:rPr>
                <w:bCs/>
              </w:rPr>
              <w:t xml:space="preserve">, based on blinatumomab exposure data from the E1910 trial (2.95 scripts). </w:t>
            </w:r>
          </w:p>
          <w:p w14:paraId="2DB6C1DA" w14:textId="77777777" w:rsidR="0083555F" w:rsidRPr="008C335E" w:rsidRDefault="0083555F" w:rsidP="000C0687">
            <w:pPr>
              <w:pStyle w:val="Tabletext0"/>
              <w:rPr>
                <w:bCs/>
              </w:rPr>
            </w:pPr>
            <w:r w:rsidRPr="008C335E">
              <w:rPr>
                <w:bCs/>
              </w:rPr>
              <w:t>[28 × 2.95 = 82.6]</w:t>
            </w:r>
          </w:p>
          <w:p w14:paraId="57379B71" w14:textId="6F9D8894" w:rsidR="0083555F" w:rsidRPr="008C335E" w:rsidRDefault="0083555F" w:rsidP="000C0687">
            <w:pPr>
              <w:pStyle w:val="Tabletext0"/>
              <w:rPr>
                <w:bCs/>
              </w:rPr>
            </w:pPr>
            <w:r w:rsidRPr="008C335E">
              <w:rPr>
                <w:bCs/>
              </w:rPr>
              <w:t>Paediatric patients assumed to receive 0.60 of the adult dose (1.77 scripts).</w:t>
            </w:r>
          </w:p>
          <w:p w14:paraId="0CA60491" w14:textId="71F0D2F9" w:rsidR="0083555F" w:rsidRPr="008C335E" w:rsidRDefault="0083555F" w:rsidP="00655CF9">
            <w:pPr>
              <w:pStyle w:val="Tabletext0"/>
              <w:rPr>
                <w:rStyle w:val="CommentReference"/>
                <w:bCs/>
                <w:sz w:val="20"/>
                <w:szCs w:val="22"/>
              </w:rPr>
            </w:pPr>
            <w:r w:rsidRPr="008C335E">
              <w:rPr>
                <w:bCs/>
              </w:rPr>
              <w:t xml:space="preserve">[28 × (2.95 × 0.60) = </w:t>
            </w:r>
            <w:r w:rsidRPr="008C335E">
              <w:rPr>
                <w:bCs/>
                <w:lang w:bidi="hi-IN"/>
              </w:rPr>
              <w:t xml:space="preserve">49.6] </w:t>
            </w:r>
          </w:p>
        </w:tc>
        <w:tc>
          <w:tcPr>
            <w:tcW w:w="4486" w:type="dxa"/>
            <w:vAlign w:val="center"/>
          </w:tcPr>
          <w:p w14:paraId="5809DBEE" w14:textId="46AE5C80" w:rsidR="0083555F" w:rsidRPr="008C335E" w:rsidRDefault="0083555F" w:rsidP="002817D7">
            <w:pPr>
              <w:pStyle w:val="Tabletext0"/>
              <w:rPr>
                <w:bCs/>
              </w:rPr>
            </w:pPr>
            <w:r w:rsidRPr="008C335E">
              <w:rPr>
                <w:bCs/>
              </w:rPr>
              <w:t xml:space="preserve">Use of E1910 trial blinatumomab exposure by number of cycles commenced was </w:t>
            </w:r>
            <w:r w:rsidR="00C97EDD" w:rsidRPr="008C335E">
              <w:rPr>
                <w:bCs/>
              </w:rPr>
              <w:t>consistent with estimates used in the economic model</w:t>
            </w:r>
            <w:r w:rsidR="00655CF9" w:rsidRPr="008C335E">
              <w:rPr>
                <w:bCs/>
              </w:rPr>
              <w:t>.</w:t>
            </w:r>
          </w:p>
          <w:p w14:paraId="0D472E94" w14:textId="31F119A1" w:rsidR="0083555F" w:rsidRPr="008C335E" w:rsidRDefault="0083555F" w:rsidP="000C0687">
            <w:pPr>
              <w:pStyle w:val="Tabletext0"/>
              <w:rPr>
                <w:bCs/>
              </w:rPr>
            </w:pPr>
            <w:r w:rsidRPr="008C335E">
              <w:rPr>
                <w:bCs/>
              </w:rPr>
              <w:t xml:space="preserve">The submission considered the estimate conservative, as inpatient public hospital use </w:t>
            </w:r>
            <w:r w:rsidR="00F02086" w:rsidRPr="008C335E">
              <w:rPr>
                <w:bCs/>
              </w:rPr>
              <w:t xml:space="preserve">was included, which is not </w:t>
            </w:r>
            <w:r w:rsidRPr="008C335E">
              <w:rPr>
                <w:bCs/>
              </w:rPr>
              <w:t>PBS subsidised</w:t>
            </w:r>
            <w:r w:rsidR="00F02086" w:rsidRPr="008C335E">
              <w:rPr>
                <w:bCs/>
              </w:rPr>
              <w:t>.</w:t>
            </w:r>
            <w:r w:rsidR="00ED6252" w:rsidRPr="008C335E">
              <w:rPr>
                <w:bCs/>
              </w:rPr>
              <w:t xml:space="preserve"> T</w:t>
            </w:r>
            <w:r w:rsidR="0081004E">
              <w:rPr>
                <w:bCs/>
              </w:rPr>
              <w:t>he evaluator considered t</w:t>
            </w:r>
            <w:r w:rsidR="00ED6252" w:rsidRPr="008C335E">
              <w:rPr>
                <w:bCs/>
              </w:rPr>
              <w:t xml:space="preserve">his may overestimate </w:t>
            </w:r>
            <w:r w:rsidRPr="008C335E">
              <w:rPr>
                <w:bCs/>
              </w:rPr>
              <w:t xml:space="preserve">use of blinatumomab by a maximum of 5 vials (3 vials in cycle 1 and 2 vials in cycle 2) if hospitalisation recommended in the PI is followed. </w:t>
            </w:r>
          </w:p>
          <w:p w14:paraId="7ED29391" w14:textId="101D1716" w:rsidR="00655CF9" w:rsidRPr="008C335E" w:rsidRDefault="0083555F" w:rsidP="000C0687">
            <w:pPr>
              <w:pStyle w:val="COMTableheadingrow"/>
              <w:keepNext w:val="0"/>
              <w:rPr>
                <w:rStyle w:val="CommentReference"/>
                <w:b w:val="0"/>
                <w:bCs/>
                <w:sz w:val="20"/>
                <w:szCs w:val="20"/>
              </w:rPr>
            </w:pPr>
            <w:r w:rsidRPr="008C335E">
              <w:rPr>
                <w:b w:val="0"/>
                <w:bCs/>
              </w:rPr>
              <w:t>The assumption that paediatric patients receive 0.60 of the adult dose was not adequately supported and is uncertain.</w:t>
            </w:r>
          </w:p>
        </w:tc>
      </w:tr>
      <w:tr w:rsidR="001A17AE" w:rsidRPr="008C335E" w14:paraId="0EAEA8D0" w14:textId="77777777" w:rsidTr="1797D1E5">
        <w:trPr>
          <w:cantSplit/>
        </w:trPr>
        <w:tc>
          <w:tcPr>
            <w:tcW w:w="1413" w:type="dxa"/>
            <w:vAlign w:val="center"/>
          </w:tcPr>
          <w:p w14:paraId="54F07D39" w14:textId="0E3EAAAF" w:rsidR="001A17AE" w:rsidRPr="008C335E" w:rsidRDefault="001A17AE" w:rsidP="000C0687">
            <w:pPr>
              <w:pStyle w:val="COMTableheadingrow"/>
              <w:keepNext w:val="0"/>
              <w:rPr>
                <w:b w:val="0"/>
                <w:bCs/>
              </w:rPr>
            </w:pPr>
            <w:r w:rsidRPr="008C335E">
              <w:rPr>
                <w:b w:val="0"/>
                <w:bCs/>
              </w:rPr>
              <w:lastRenderedPageBreak/>
              <w:t xml:space="preserve">Cost offset for decreased blinatumomab/ inotuzumab </w:t>
            </w:r>
            <w:bookmarkStart w:id="75" w:name="_Hlk174093208"/>
            <w:r w:rsidR="002074A6" w:rsidRPr="002074A6">
              <w:rPr>
                <w:b w:val="0"/>
                <w:bCs/>
              </w:rPr>
              <w:t>ozogamicin</w:t>
            </w:r>
            <w:bookmarkEnd w:id="75"/>
            <w:r w:rsidR="002074A6" w:rsidRPr="008C335E">
              <w:rPr>
                <w:b w:val="0"/>
                <w:bCs/>
              </w:rPr>
              <w:t xml:space="preserve"> </w:t>
            </w:r>
            <w:r w:rsidRPr="008C335E">
              <w:rPr>
                <w:b w:val="0"/>
                <w:bCs/>
              </w:rPr>
              <w:t>use in the R/R setting</w:t>
            </w:r>
          </w:p>
        </w:tc>
        <w:tc>
          <w:tcPr>
            <w:tcW w:w="3118" w:type="dxa"/>
            <w:vAlign w:val="center"/>
          </w:tcPr>
          <w:p w14:paraId="4FAF23CC" w14:textId="1C02099D" w:rsidR="001A17AE" w:rsidRPr="008C335E" w:rsidRDefault="008B7E21" w:rsidP="008B7E21">
            <w:pPr>
              <w:pStyle w:val="Tabletext0"/>
              <w:rPr>
                <w:bCs/>
              </w:rPr>
            </w:pPr>
            <w:r w:rsidRPr="008C335E">
              <w:rPr>
                <w:bCs/>
              </w:rPr>
              <w:t>$</w:t>
            </w:r>
            <w:r w:rsidR="00AF1BA2" w:rsidRPr="00AF1BA2">
              <w:rPr>
                <w:bCs/>
                <w:color w:val="000000"/>
                <w:spacing w:val="53"/>
                <w:shd w:val="solid" w:color="000000" w:fill="000000"/>
                <w:fitText w:val="330" w:id="-894171641"/>
                <w14:textFill>
                  <w14:solidFill>
                    <w14:srgbClr w14:val="000000">
                      <w14:alpha w14:val="100000"/>
                    </w14:srgbClr>
                  </w14:solidFill>
                </w14:textFill>
              </w:rPr>
              <w:t>|||</w:t>
            </w:r>
            <w:r w:rsidR="00AF1BA2" w:rsidRPr="00AF1BA2">
              <w:rPr>
                <w:bCs/>
                <w:color w:val="000000"/>
                <w:spacing w:val="1"/>
                <w:shd w:val="solid" w:color="000000" w:fill="000000"/>
                <w:fitText w:val="330" w:id="-894171641"/>
                <w14:textFill>
                  <w14:solidFill>
                    <w14:srgbClr w14:val="000000">
                      <w14:alpha w14:val="100000"/>
                    </w14:srgbClr>
                  </w14:solidFill>
                </w14:textFill>
              </w:rPr>
              <w:t>|</w:t>
            </w:r>
            <w:r w:rsidRPr="008C335E">
              <w:rPr>
                <w:bCs/>
              </w:rPr>
              <w:t xml:space="preserve"> per patient treated with blinatumomab.</w:t>
            </w:r>
          </w:p>
          <w:p w14:paraId="2900E586" w14:textId="28EB75FF" w:rsidR="008B7E21" w:rsidRPr="008C335E" w:rsidRDefault="008B7E21" w:rsidP="008B7E21">
            <w:pPr>
              <w:pStyle w:val="Tabletext0"/>
              <w:rPr>
                <w:bCs/>
              </w:rPr>
            </w:pPr>
            <w:r w:rsidRPr="008C335E">
              <w:rPr>
                <w:bCs/>
              </w:rPr>
              <w:t xml:space="preserve">Based on the incremental difference in the cost of off-protocol blinatumomab in the economic model, excluding costs of hospitalisation, bag changes and infusion pumps, accrued during the first 4.5 years of the model. The incremental costs of off-protocol blinatumomab were considered a proxy for displaced inotuzumab </w:t>
            </w:r>
            <w:r w:rsidR="002074A6" w:rsidRPr="002074A6">
              <w:rPr>
                <w:bCs/>
              </w:rPr>
              <w:t>ozogamicin</w:t>
            </w:r>
            <w:r w:rsidR="002074A6" w:rsidRPr="008C335E">
              <w:rPr>
                <w:bCs/>
              </w:rPr>
              <w:t xml:space="preserve"> </w:t>
            </w:r>
            <w:r w:rsidRPr="008C335E">
              <w:rPr>
                <w:bCs/>
              </w:rPr>
              <w:t>costs.</w:t>
            </w:r>
          </w:p>
        </w:tc>
        <w:tc>
          <w:tcPr>
            <w:tcW w:w="4486" w:type="dxa"/>
            <w:vAlign w:val="center"/>
          </w:tcPr>
          <w:p w14:paraId="22721C26" w14:textId="4F09295A" w:rsidR="001A17AE" w:rsidRPr="008C335E" w:rsidRDefault="008B7E21" w:rsidP="002817D7">
            <w:pPr>
              <w:pStyle w:val="Tabletext0"/>
              <w:rPr>
                <w:bCs/>
              </w:rPr>
            </w:pPr>
            <w:r w:rsidRPr="008C335E">
              <w:rPr>
                <w:bCs/>
              </w:rPr>
              <w:t xml:space="preserve">The </w:t>
            </w:r>
            <w:r w:rsidR="0081004E">
              <w:rPr>
                <w:bCs/>
              </w:rPr>
              <w:t xml:space="preserve">evaluator considered the </w:t>
            </w:r>
            <w:r w:rsidRPr="008C335E">
              <w:rPr>
                <w:bCs/>
              </w:rPr>
              <w:t>estimated cost offsets should not be considered reliable given the use of economic model outputs that were highly uncertain as the basis of these costs.</w:t>
            </w:r>
            <w:r w:rsidR="00DA178F" w:rsidRPr="008C335E">
              <w:rPr>
                <w:bCs/>
              </w:rPr>
              <w:t xml:space="preserve"> </w:t>
            </w:r>
          </w:p>
        </w:tc>
      </w:tr>
    </w:tbl>
    <w:p w14:paraId="1A2C0FF1" w14:textId="07315867" w:rsidR="0066189F" w:rsidRPr="00350BF3" w:rsidRDefault="0066189F" w:rsidP="0066189F">
      <w:pPr>
        <w:pStyle w:val="COMTablefooter"/>
      </w:pPr>
      <w:r w:rsidRPr="00350BF3">
        <w:t>Source: Tables 4-1, 4-2 and 4-3, and Section 4.1-4.2, pp202-211 of the submission. Excel spreadsheet ‘Blincyto MRD-neg B-ALL UCM section 4.xlsx’ Attachment 4.1 of the submission.</w:t>
      </w:r>
    </w:p>
    <w:p w14:paraId="0C316C23" w14:textId="77777777" w:rsidR="000131E3" w:rsidRDefault="0066189F" w:rsidP="00827696">
      <w:pPr>
        <w:pStyle w:val="COMTablefooter"/>
        <w:rPr>
          <w:color w:val="000000"/>
          <w:szCs w:val="18"/>
        </w:rPr>
      </w:pPr>
      <w:r w:rsidRPr="00350BF3">
        <w:rPr>
          <w:szCs w:val="18"/>
        </w:rPr>
        <w:t xml:space="preserve">Abbreviations: </w:t>
      </w:r>
      <w:r w:rsidRPr="00350BF3">
        <w:t>AIHW, Australian Institute of Health and Welfare;</w:t>
      </w:r>
      <w:r w:rsidRPr="00350BF3">
        <w:rPr>
          <w:szCs w:val="18"/>
        </w:rPr>
        <w:t xml:space="preserve"> ALL, acute lymphoblastic leukaemia; ASCT, allogeneic h</w:t>
      </w:r>
      <w:r w:rsidRPr="00350BF3">
        <w:rPr>
          <w:color w:val="000000"/>
          <w:szCs w:val="18"/>
        </w:rPr>
        <w:t xml:space="preserve">aematopoietic stem cell transplant; </w:t>
      </w:r>
      <w:r w:rsidRPr="00350BF3">
        <w:t>B</w:t>
      </w:r>
      <w:r w:rsidRPr="00350BF3">
        <w:noBreakHyphen/>
        <w:t xml:space="preserve">ALL, B-cell precursor acute lymphoblastic leukaemia; </w:t>
      </w:r>
      <w:r w:rsidRPr="00350BF3">
        <w:rPr>
          <w:color w:val="000000"/>
          <w:szCs w:val="18"/>
        </w:rPr>
        <w:t xml:space="preserve">CR, complete haematological remission; CR1, first complete haematological remission; </w:t>
      </w:r>
      <w:r w:rsidRPr="00350BF3">
        <w:rPr>
          <w:szCs w:val="18"/>
        </w:rPr>
        <w:t xml:space="preserve">ECOG, Eastern Cooperative Oncology Group; </w:t>
      </w:r>
      <w:r w:rsidRPr="00350BF3">
        <w:rPr>
          <w:color w:val="000000"/>
          <w:szCs w:val="18"/>
        </w:rPr>
        <w:t xml:space="preserve">MRD, minimal residual disease; </w:t>
      </w:r>
      <w:r w:rsidRPr="00350BF3">
        <w:rPr>
          <w:szCs w:val="18"/>
        </w:rPr>
        <w:t>PBS, Pharmaceutical Benefits Scheme;</w:t>
      </w:r>
      <w:r w:rsidRPr="00350BF3">
        <w:rPr>
          <w:color w:val="000000"/>
          <w:szCs w:val="18"/>
        </w:rPr>
        <w:t xml:space="preserve"> R/R, relapsed/refractory</w:t>
      </w:r>
    </w:p>
    <w:p w14:paraId="6666D530" w14:textId="0B191713" w:rsidR="000131E3" w:rsidRPr="00862762" w:rsidRDefault="000131E3" w:rsidP="000131E3">
      <w:pPr>
        <w:pStyle w:val="COMTablefooter"/>
        <w:rPr>
          <w:i/>
          <w:iCs/>
          <w:color w:val="000000"/>
          <w:szCs w:val="18"/>
        </w:rPr>
      </w:pPr>
      <w:bookmarkStart w:id="76" w:name="_Hlk176510095"/>
      <w:r w:rsidRPr="00862762">
        <w:rPr>
          <w:i/>
          <w:iCs/>
          <w:color w:val="000000"/>
          <w:szCs w:val="18"/>
        </w:rPr>
        <w:t>The redacted values correspond to the following ranges</w:t>
      </w:r>
    </w:p>
    <w:p w14:paraId="67FCA169" w14:textId="0CD0C95C" w:rsidR="0066189F" w:rsidRPr="00862762" w:rsidRDefault="000131E3" w:rsidP="000131E3">
      <w:pPr>
        <w:pStyle w:val="COMTablefooter"/>
        <w:rPr>
          <w:i/>
          <w:iCs/>
          <w:color w:val="000000"/>
          <w:szCs w:val="18"/>
        </w:rPr>
      </w:pPr>
      <w:r w:rsidRPr="00862762">
        <w:rPr>
          <w:i/>
          <w:iCs/>
          <w:color w:val="000000"/>
          <w:szCs w:val="18"/>
        </w:rPr>
        <w:t xml:space="preserve">1 </w:t>
      </w:r>
      <w:r w:rsidR="00B779B1" w:rsidRPr="00862762">
        <w:rPr>
          <w:i/>
          <w:iCs/>
          <w:color w:val="000000"/>
          <w:szCs w:val="18"/>
        </w:rPr>
        <w:t xml:space="preserve">&lt; 500 </w:t>
      </w:r>
    </w:p>
    <w:bookmarkEnd w:id="76"/>
    <w:p w14:paraId="32ADEE87" w14:textId="0BB3A4AC" w:rsidR="0022309B" w:rsidRPr="00B50DB8" w:rsidRDefault="00827696" w:rsidP="0022309B">
      <w:pPr>
        <w:pStyle w:val="ListParagraph"/>
        <w:numPr>
          <w:ilvl w:val="1"/>
          <w:numId w:val="1"/>
        </w:numPr>
        <w:spacing w:after="160"/>
        <w:ind w:left="720"/>
      </w:pPr>
      <w:r>
        <w:fldChar w:fldCharType="begin" w:fldLock="1"/>
      </w:r>
      <w:r>
        <w:instrText xml:space="preserve"> REF _Ref166503793 \h </w:instrText>
      </w:r>
      <w:r>
        <w:fldChar w:fldCharType="separate"/>
      </w:r>
      <w:r w:rsidR="00356F14" w:rsidRPr="00225248">
        <w:t xml:space="preserve">Table </w:t>
      </w:r>
      <w:r w:rsidR="00356F14">
        <w:rPr>
          <w:noProof/>
        </w:rPr>
        <w:t>19</w:t>
      </w:r>
      <w:r>
        <w:fldChar w:fldCharType="end"/>
      </w:r>
      <w:r w:rsidR="0022309B" w:rsidRPr="000C19E3">
        <w:t xml:space="preserve"> summarises the estimated extent of use and costs of listing blinatumomab for the treatment of patients </w:t>
      </w:r>
      <w:r w:rsidR="0022309B" w:rsidRPr="00350BF3">
        <w:t>with B-ALL achieving complete haematological remission who are MRD-negative after initial induction chemotherapy</w:t>
      </w:r>
      <w:r w:rsidR="0022309B">
        <w:t>,</w:t>
      </w:r>
      <w:r w:rsidR="0022309B" w:rsidRPr="000C19E3">
        <w:t xml:space="preserve"> in the first 6 years of listing.</w:t>
      </w:r>
    </w:p>
    <w:p w14:paraId="3516EC66" w14:textId="0B49091E" w:rsidR="0022309B" w:rsidRPr="00350BF3" w:rsidRDefault="0022309B" w:rsidP="00862762">
      <w:pPr>
        <w:pStyle w:val="COMtablefigcaption"/>
        <w:keepLines/>
        <w:rPr>
          <w:rStyle w:val="CommentReference"/>
        </w:rPr>
      </w:pPr>
      <w:bookmarkStart w:id="77" w:name="_Ref166503793"/>
      <w:r w:rsidRPr="00225248">
        <w:lastRenderedPageBreak/>
        <w:t xml:space="preserve">Table </w:t>
      </w:r>
      <w:r w:rsidR="006F0D54">
        <w:fldChar w:fldCharType="begin" w:fldLock="1"/>
      </w:r>
      <w:r w:rsidR="006F0D54">
        <w:instrText xml:space="preserve"> SEQ Table \* ARABIC </w:instrText>
      </w:r>
      <w:r w:rsidR="006F0D54">
        <w:fldChar w:fldCharType="separate"/>
      </w:r>
      <w:r w:rsidR="00356F14">
        <w:rPr>
          <w:noProof/>
        </w:rPr>
        <w:t>19</w:t>
      </w:r>
      <w:r w:rsidR="006F0D54">
        <w:rPr>
          <w:noProof/>
        </w:rPr>
        <w:fldChar w:fldCharType="end"/>
      </w:r>
      <w:bookmarkEnd w:id="77"/>
      <w:r w:rsidRPr="00350BF3">
        <w:t>: Estimated utilisation and cost to the PBS in the first six years of listing</w:t>
      </w:r>
      <w:r w:rsidR="00B35B98">
        <w:t xml:space="preserve"> blinatumomab</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9: Estimated utilisation and cost to the PBS in the first six years of listing blinatumomab"/>
      </w:tblPr>
      <w:tblGrid>
        <w:gridCol w:w="3256"/>
        <w:gridCol w:w="992"/>
        <w:gridCol w:w="992"/>
        <w:gridCol w:w="992"/>
        <w:gridCol w:w="993"/>
        <w:gridCol w:w="850"/>
        <w:gridCol w:w="992"/>
      </w:tblGrid>
      <w:tr w:rsidR="0022309B" w:rsidRPr="00350BF3" w14:paraId="7AA09702" w14:textId="77777777" w:rsidTr="1797D1E5">
        <w:trPr>
          <w:tblHeader/>
        </w:trPr>
        <w:tc>
          <w:tcPr>
            <w:tcW w:w="3256" w:type="dxa"/>
            <w:tcBorders>
              <w:bottom w:val="single" w:sz="4" w:space="0" w:color="auto"/>
            </w:tcBorders>
            <w:shd w:val="clear" w:color="auto" w:fill="auto"/>
            <w:vAlign w:val="center"/>
          </w:tcPr>
          <w:p w14:paraId="4B77D8D3" w14:textId="77777777" w:rsidR="0022309B" w:rsidRPr="00350BF3" w:rsidRDefault="0022309B" w:rsidP="00862762">
            <w:pPr>
              <w:pStyle w:val="Tabletext0"/>
              <w:keepNext/>
              <w:keepLines/>
              <w:rPr>
                <w:b/>
                <w:szCs w:val="20"/>
              </w:rPr>
            </w:pPr>
          </w:p>
        </w:tc>
        <w:tc>
          <w:tcPr>
            <w:tcW w:w="992" w:type="dxa"/>
            <w:tcBorders>
              <w:bottom w:val="single" w:sz="4" w:space="0" w:color="auto"/>
            </w:tcBorders>
            <w:shd w:val="clear" w:color="auto" w:fill="auto"/>
            <w:vAlign w:val="center"/>
          </w:tcPr>
          <w:p w14:paraId="4FC5F357" w14:textId="77777777" w:rsidR="0022309B" w:rsidRPr="00350BF3" w:rsidRDefault="0022309B" w:rsidP="00862762">
            <w:pPr>
              <w:pStyle w:val="Tabletext0"/>
              <w:keepNext/>
              <w:keepLines/>
              <w:jc w:val="center"/>
              <w:rPr>
                <w:b/>
                <w:szCs w:val="20"/>
              </w:rPr>
            </w:pPr>
            <w:r w:rsidRPr="00350BF3">
              <w:rPr>
                <w:b/>
                <w:szCs w:val="20"/>
              </w:rPr>
              <w:t>Year 1</w:t>
            </w:r>
          </w:p>
          <w:p w14:paraId="78151E87" w14:textId="77777777" w:rsidR="0022309B" w:rsidRPr="00350BF3" w:rsidRDefault="0022309B" w:rsidP="00862762">
            <w:pPr>
              <w:pStyle w:val="Tabletext0"/>
              <w:keepNext/>
              <w:keepLines/>
              <w:jc w:val="center"/>
              <w:rPr>
                <w:b/>
                <w:szCs w:val="20"/>
              </w:rPr>
            </w:pPr>
            <w:r w:rsidRPr="00350BF3">
              <w:rPr>
                <w:b/>
                <w:szCs w:val="20"/>
              </w:rPr>
              <w:t>(2025)</w:t>
            </w:r>
          </w:p>
        </w:tc>
        <w:tc>
          <w:tcPr>
            <w:tcW w:w="992" w:type="dxa"/>
            <w:tcBorders>
              <w:bottom w:val="single" w:sz="4" w:space="0" w:color="auto"/>
            </w:tcBorders>
            <w:shd w:val="clear" w:color="auto" w:fill="auto"/>
            <w:vAlign w:val="center"/>
          </w:tcPr>
          <w:p w14:paraId="5D411DA6" w14:textId="77777777" w:rsidR="0022309B" w:rsidRPr="00350BF3" w:rsidRDefault="0022309B" w:rsidP="00862762">
            <w:pPr>
              <w:pStyle w:val="Tabletext0"/>
              <w:keepNext/>
              <w:keepLines/>
              <w:jc w:val="center"/>
              <w:rPr>
                <w:b/>
                <w:szCs w:val="20"/>
              </w:rPr>
            </w:pPr>
            <w:r w:rsidRPr="00350BF3">
              <w:rPr>
                <w:b/>
                <w:szCs w:val="20"/>
              </w:rPr>
              <w:t>Year 2</w:t>
            </w:r>
          </w:p>
          <w:p w14:paraId="261B45D8" w14:textId="77777777" w:rsidR="0022309B" w:rsidRPr="00350BF3" w:rsidRDefault="0022309B" w:rsidP="00862762">
            <w:pPr>
              <w:pStyle w:val="Tabletext0"/>
              <w:keepNext/>
              <w:keepLines/>
              <w:jc w:val="center"/>
              <w:rPr>
                <w:b/>
                <w:szCs w:val="20"/>
              </w:rPr>
            </w:pPr>
            <w:r w:rsidRPr="00350BF3">
              <w:rPr>
                <w:b/>
                <w:szCs w:val="20"/>
              </w:rPr>
              <w:t>(2026)</w:t>
            </w:r>
          </w:p>
        </w:tc>
        <w:tc>
          <w:tcPr>
            <w:tcW w:w="992" w:type="dxa"/>
            <w:tcBorders>
              <w:bottom w:val="single" w:sz="4" w:space="0" w:color="auto"/>
            </w:tcBorders>
            <w:shd w:val="clear" w:color="auto" w:fill="auto"/>
            <w:vAlign w:val="center"/>
          </w:tcPr>
          <w:p w14:paraId="7F532F74" w14:textId="77777777" w:rsidR="0022309B" w:rsidRPr="00350BF3" w:rsidRDefault="0022309B" w:rsidP="00862762">
            <w:pPr>
              <w:pStyle w:val="Tabletext0"/>
              <w:keepNext/>
              <w:keepLines/>
              <w:jc w:val="center"/>
              <w:rPr>
                <w:b/>
                <w:szCs w:val="20"/>
              </w:rPr>
            </w:pPr>
            <w:r w:rsidRPr="00350BF3">
              <w:rPr>
                <w:b/>
                <w:szCs w:val="20"/>
              </w:rPr>
              <w:t>Year 3</w:t>
            </w:r>
          </w:p>
          <w:p w14:paraId="355079FD" w14:textId="77777777" w:rsidR="0022309B" w:rsidRPr="00350BF3" w:rsidRDefault="0022309B" w:rsidP="00862762">
            <w:pPr>
              <w:pStyle w:val="Tabletext0"/>
              <w:keepNext/>
              <w:keepLines/>
              <w:jc w:val="center"/>
              <w:rPr>
                <w:b/>
                <w:szCs w:val="20"/>
              </w:rPr>
            </w:pPr>
            <w:r w:rsidRPr="00350BF3">
              <w:rPr>
                <w:b/>
                <w:szCs w:val="20"/>
              </w:rPr>
              <w:t>(2027)</w:t>
            </w:r>
          </w:p>
        </w:tc>
        <w:tc>
          <w:tcPr>
            <w:tcW w:w="993" w:type="dxa"/>
            <w:tcBorders>
              <w:bottom w:val="single" w:sz="4" w:space="0" w:color="auto"/>
            </w:tcBorders>
            <w:shd w:val="clear" w:color="auto" w:fill="auto"/>
            <w:vAlign w:val="center"/>
          </w:tcPr>
          <w:p w14:paraId="6B64BAB2" w14:textId="77777777" w:rsidR="0022309B" w:rsidRPr="00350BF3" w:rsidRDefault="0022309B" w:rsidP="00862762">
            <w:pPr>
              <w:pStyle w:val="Tabletext0"/>
              <w:keepNext/>
              <w:keepLines/>
              <w:jc w:val="center"/>
              <w:rPr>
                <w:b/>
                <w:szCs w:val="20"/>
              </w:rPr>
            </w:pPr>
            <w:r w:rsidRPr="00350BF3">
              <w:rPr>
                <w:b/>
                <w:szCs w:val="20"/>
              </w:rPr>
              <w:t>Year 4</w:t>
            </w:r>
          </w:p>
          <w:p w14:paraId="125B2C10" w14:textId="77777777" w:rsidR="0022309B" w:rsidRPr="00350BF3" w:rsidRDefault="0022309B" w:rsidP="00862762">
            <w:pPr>
              <w:pStyle w:val="Tabletext0"/>
              <w:keepNext/>
              <w:keepLines/>
              <w:jc w:val="center"/>
              <w:rPr>
                <w:b/>
                <w:szCs w:val="20"/>
              </w:rPr>
            </w:pPr>
            <w:r w:rsidRPr="00350BF3">
              <w:rPr>
                <w:b/>
                <w:szCs w:val="20"/>
              </w:rPr>
              <w:t>(2028)</w:t>
            </w:r>
          </w:p>
        </w:tc>
        <w:tc>
          <w:tcPr>
            <w:tcW w:w="850" w:type="dxa"/>
            <w:tcBorders>
              <w:bottom w:val="single" w:sz="4" w:space="0" w:color="auto"/>
            </w:tcBorders>
            <w:shd w:val="clear" w:color="auto" w:fill="auto"/>
            <w:vAlign w:val="center"/>
          </w:tcPr>
          <w:p w14:paraId="4EB61CC8" w14:textId="77777777" w:rsidR="0022309B" w:rsidRPr="00350BF3" w:rsidRDefault="0022309B" w:rsidP="00862762">
            <w:pPr>
              <w:pStyle w:val="Tabletext0"/>
              <w:keepNext/>
              <w:keepLines/>
              <w:jc w:val="center"/>
              <w:rPr>
                <w:b/>
                <w:szCs w:val="20"/>
              </w:rPr>
            </w:pPr>
            <w:r w:rsidRPr="00350BF3">
              <w:rPr>
                <w:b/>
                <w:szCs w:val="20"/>
              </w:rPr>
              <w:t>Year 5</w:t>
            </w:r>
          </w:p>
          <w:p w14:paraId="3B7AFC9F" w14:textId="77777777" w:rsidR="0022309B" w:rsidRPr="00350BF3" w:rsidRDefault="0022309B" w:rsidP="00862762">
            <w:pPr>
              <w:pStyle w:val="Tabletext0"/>
              <w:keepNext/>
              <w:keepLines/>
              <w:jc w:val="center"/>
              <w:rPr>
                <w:b/>
                <w:szCs w:val="20"/>
              </w:rPr>
            </w:pPr>
            <w:r w:rsidRPr="00350BF3">
              <w:rPr>
                <w:b/>
                <w:szCs w:val="20"/>
              </w:rPr>
              <w:t>(2029)</w:t>
            </w:r>
          </w:p>
        </w:tc>
        <w:tc>
          <w:tcPr>
            <w:tcW w:w="992" w:type="dxa"/>
            <w:tcBorders>
              <w:bottom w:val="single" w:sz="4" w:space="0" w:color="auto"/>
            </w:tcBorders>
            <w:shd w:val="clear" w:color="auto" w:fill="auto"/>
            <w:vAlign w:val="center"/>
          </w:tcPr>
          <w:p w14:paraId="783A430A" w14:textId="77777777" w:rsidR="0022309B" w:rsidRPr="00350BF3" w:rsidRDefault="0022309B" w:rsidP="00862762">
            <w:pPr>
              <w:pStyle w:val="Tabletext0"/>
              <w:keepNext/>
              <w:keepLines/>
              <w:jc w:val="center"/>
              <w:rPr>
                <w:b/>
                <w:szCs w:val="20"/>
              </w:rPr>
            </w:pPr>
            <w:r w:rsidRPr="00350BF3">
              <w:rPr>
                <w:b/>
                <w:szCs w:val="20"/>
              </w:rPr>
              <w:t>Year 6</w:t>
            </w:r>
          </w:p>
          <w:p w14:paraId="6E2ACA52" w14:textId="77777777" w:rsidR="0022309B" w:rsidRPr="00350BF3" w:rsidRDefault="0022309B" w:rsidP="00862762">
            <w:pPr>
              <w:pStyle w:val="Tabletext0"/>
              <w:keepNext/>
              <w:keepLines/>
              <w:jc w:val="center"/>
              <w:rPr>
                <w:b/>
                <w:szCs w:val="20"/>
              </w:rPr>
            </w:pPr>
            <w:r w:rsidRPr="00350BF3">
              <w:rPr>
                <w:b/>
                <w:szCs w:val="20"/>
              </w:rPr>
              <w:t>(2030)</w:t>
            </w:r>
          </w:p>
        </w:tc>
      </w:tr>
      <w:tr w:rsidR="0022309B" w:rsidRPr="00350BF3" w14:paraId="68772BDC" w14:textId="77777777" w:rsidTr="1797D1E5">
        <w:tc>
          <w:tcPr>
            <w:tcW w:w="9067" w:type="dxa"/>
            <w:gridSpan w:val="7"/>
            <w:tcBorders>
              <w:bottom w:val="single" w:sz="4" w:space="0" w:color="auto"/>
            </w:tcBorders>
            <w:shd w:val="clear" w:color="auto" w:fill="auto"/>
            <w:vAlign w:val="center"/>
          </w:tcPr>
          <w:p w14:paraId="7DCE253A" w14:textId="61B738BF" w:rsidR="0022309B" w:rsidRPr="00350BF3" w:rsidRDefault="0022309B" w:rsidP="00862762">
            <w:pPr>
              <w:pStyle w:val="Tabletext0"/>
              <w:keepNext/>
              <w:keepLines/>
              <w:rPr>
                <w:b/>
                <w:szCs w:val="20"/>
              </w:rPr>
            </w:pPr>
            <w:r w:rsidRPr="00350BF3">
              <w:rPr>
                <w:b/>
                <w:szCs w:val="20"/>
              </w:rPr>
              <w:t>Estimated eligible patient population</w:t>
            </w:r>
            <w:r w:rsidR="00B35B98" w:rsidRPr="00350BF3">
              <w:rPr>
                <w:b/>
                <w:szCs w:val="20"/>
              </w:rPr>
              <w:t xml:space="preserve"> </w:t>
            </w:r>
            <w:r w:rsidR="00B35B98">
              <w:rPr>
                <w:b/>
                <w:szCs w:val="20"/>
              </w:rPr>
              <w:t xml:space="preserve">and </w:t>
            </w:r>
            <w:r w:rsidR="00B35B98" w:rsidRPr="00350BF3">
              <w:rPr>
                <w:b/>
                <w:szCs w:val="20"/>
              </w:rPr>
              <w:t>extent of use of blinatumomab on the PBS</w:t>
            </w:r>
          </w:p>
        </w:tc>
      </w:tr>
      <w:tr w:rsidR="0022309B" w:rsidRPr="00350BF3" w14:paraId="077F7CE9" w14:textId="77777777" w:rsidTr="1797D1E5">
        <w:tc>
          <w:tcPr>
            <w:tcW w:w="3256" w:type="dxa"/>
            <w:tcBorders>
              <w:bottom w:val="nil"/>
            </w:tcBorders>
            <w:shd w:val="clear" w:color="auto" w:fill="auto"/>
            <w:vAlign w:val="center"/>
          </w:tcPr>
          <w:p w14:paraId="02AB60B9" w14:textId="77777777" w:rsidR="0022309B" w:rsidRPr="00350BF3" w:rsidRDefault="0022309B" w:rsidP="00862762">
            <w:pPr>
              <w:pStyle w:val="Tabletext0"/>
              <w:keepNext/>
              <w:keepLines/>
              <w:rPr>
                <w:szCs w:val="20"/>
              </w:rPr>
            </w:pPr>
            <w:r>
              <w:rPr>
                <w:szCs w:val="20"/>
              </w:rPr>
              <w:t>Patients treated with blinatumomab</w:t>
            </w:r>
          </w:p>
        </w:tc>
        <w:tc>
          <w:tcPr>
            <w:tcW w:w="992" w:type="dxa"/>
            <w:tcBorders>
              <w:top w:val="single" w:sz="4" w:space="0" w:color="auto"/>
              <w:left w:val="nil"/>
              <w:bottom w:val="nil"/>
              <w:right w:val="single" w:sz="4" w:space="0" w:color="auto"/>
            </w:tcBorders>
            <w:shd w:val="clear" w:color="auto" w:fill="auto"/>
          </w:tcPr>
          <w:p w14:paraId="03AA49EA" w14:textId="1EFC395A" w:rsidR="0022309B" w:rsidRPr="00327E8F" w:rsidRDefault="00AF1BA2" w:rsidP="00862762">
            <w:pPr>
              <w:pStyle w:val="Tabletext0"/>
              <w:keepNext/>
              <w:keepLines/>
              <w:jc w:val="center"/>
              <w:rPr>
                <w:szCs w:val="20"/>
                <w:highlight w:val="lightGray"/>
              </w:rPr>
            </w:pPr>
            <w:r w:rsidRPr="00AF1BA2">
              <w:rPr>
                <w:rFonts w:hint="eastAsia"/>
                <w:color w:val="000000"/>
                <w:w w:val="15"/>
                <w:szCs w:val="20"/>
                <w:shd w:val="solid" w:color="000000" w:fill="000000"/>
                <w:fitText w:val="70" w:id="-894171640"/>
                <w14:textFill>
                  <w14:solidFill>
                    <w14:srgbClr w14:val="000000">
                      <w14:alpha w14:val="100000"/>
                    </w14:srgbClr>
                  </w14:solidFill>
                </w14:textFill>
              </w:rPr>
              <w:t xml:space="preserve">　</w:t>
            </w:r>
            <w:r w:rsidRPr="00AF1BA2">
              <w:rPr>
                <w:color w:val="000000"/>
                <w:w w:val="15"/>
                <w:szCs w:val="20"/>
                <w:shd w:val="solid" w:color="000000" w:fill="000000"/>
                <w:fitText w:val="70" w:id="-894171640"/>
                <w14:textFill>
                  <w14:solidFill>
                    <w14:srgbClr w14:val="000000">
                      <w14:alpha w14:val="100000"/>
                    </w14:srgbClr>
                  </w14:solidFill>
                </w14:textFill>
              </w:rPr>
              <w:t>|</w:t>
            </w:r>
            <w:r w:rsidRPr="00AF1BA2">
              <w:rPr>
                <w:rFonts w:hint="eastAsia"/>
                <w:color w:val="000000"/>
                <w:spacing w:val="4"/>
                <w:w w:val="15"/>
                <w:szCs w:val="20"/>
                <w:shd w:val="solid" w:color="000000" w:fill="000000"/>
                <w:fitText w:val="70" w:id="-894171640"/>
                <w14:textFill>
                  <w14:solidFill>
                    <w14:srgbClr w14:val="000000">
                      <w14:alpha w14:val="100000"/>
                    </w14:srgbClr>
                  </w14:solidFill>
                </w14:textFill>
              </w:rPr>
              <w:t xml:space="preserve">　</w:t>
            </w:r>
            <w:r w:rsidR="00EF1493" w:rsidRPr="005C269B">
              <w:rPr>
                <w:b/>
                <w:bCs/>
                <w:vertAlign w:val="superscript"/>
              </w:rPr>
              <w:t>1</w:t>
            </w:r>
          </w:p>
        </w:tc>
        <w:tc>
          <w:tcPr>
            <w:tcW w:w="992" w:type="dxa"/>
            <w:tcBorders>
              <w:top w:val="single" w:sz="4" w:space="0" w:color="auto"/>
              <w:left w:val="single" w:sz="4" w:space="0" w:color="auto"/>
              <w:bottom w:val="nil"/>
              <w:right w:val="single" w:sz="4" w:space="0" w:color="auto"/>
            </w:tcBorders>
            <w:shd w:val="clear" w:color="auto" w:fill="auto"/>
          </w:tcPr>
          <w:p w14:paraId="36E24C09" w14:textId="45137A51" w:rsidR="0022309B" w:rsidRPr="00327E8F" w:rsidRDefault="00AF1BA2" w:rsidP="00862762">
            <w:pPr>
              <w:pStyle w:val="Tabletext0"/>
              <w:keepNext/>
              <w:keepLines/>
              <w:jc w:val="center"/>
              <w:rPr>
                <w:szCs w:val="20"/>
                <w:highlight w:val="lightGray"/>
              </w:rPr>
            </w:pPr>
            <w:r w:rsidRPr="00AF1BA2">
              <w:rPr>
                <w:rFonts w:hint="eastAsia"/>
                <w:color w:val="000000"/>
                <w:w w:val="15"/>
                <w:szCs w:val="20"/>
                <w:shd w:val="solid" w:color="000000" w:fill="000000"/>
                <w:fitText w:val="70" w:id="-894171639"/>
                <w14:textFill>
                  <w14:solidFill>
                    <w14:srgbClr w14:val="000000">
                      <w14:alpha w14:val="100000"/>
                    </w14:srgbClr>
                  </w14:solidFill>
                </w14:textFill>
              </w:rPr>
              <w:t xml:space="preserve">　</w:t>
            </w:r>
            <w:r w:rsidRPr="00AF1BA2">
              <w:rPr>
                <w:color w:val="000000"/>
                <w:w w:val="15"/>
                <w:szCs w:val="20"/>
                <w:shd w:val="solid" w:color="000000" w:fill="000000"/>
                <w:fitText w:val="70" w:id="-894171639"/>
                <w14:textFill>
                  <w14:solidFill>
                    <w14:srgbClr w14:val="000000">
                      <w14:alpha w14:val="100000"/>
                    </w14:srgbClr>
                  </w14:solidFill>
                </w14:textFill>
              </w:rPr>
              <w:t>|</w:t>
            </w:r>
            <w:r w:rsidRPr="00AF1BA2">
              <w:rPr>
                <w:rFonts w:hint="eastAsia"/>
                <w:color w:val="000000"/>
                <w:spacing w:val="4"/>
                <w:w w:val="15"/>
                <w:szCs w:val="20"/>
                <w:shd w:val="solid" w:color="000000" w:fill="000000"/>
                <w:fitText w:val="70" w:id="-894171639"/>
                <w14:textFill>
                  <w14:solidFill>
                    <w14:srgbClr w14:val="000000">
                      <w14:alpha w14:val="100000"/>
                    </w14:srgbClr>
                  </w14:solidFill>
                </w14:textFill>
              </w:rPr>
              <w:t xml:space="preserve">　</w:t>
            </w:r>
            <w:r w:rsidR="00EF1493" w:rsidRPr="005C269B">
              <w:rPr>
                <w:b/>
                <w:bCs/>
                <w:vertAlign w:val="superscript"/>
              </w:rPr>
              <w:t>1</w:t>
            </w:r>
          </w:p>
        </w:tc>
        <w:tc>
          <w:tcPr>
            <w:tcW w:w="992" w:type="dxa"/>
            <w:tcBorders>
              <w:top w:val="single" w:sz="4" w:space="0" w:color="auto"/>
              <w:left w:val="single" w:sz="4" w:space="0" w:color="auto"/>
              <w:bottom w:val="nil"/>
              <w:right w:val="single" w:sz="4" w:space="0" w:color="auto"/>
            </w:tcBorders>
            <w:shd w:val="clear" w:color="auto" w:fill="auto"/>
          </w:tcPr>
          <w:p w14:paraId="228BBE51" w14:textId="17157822" w:rsidR="0022309B" w:rsidRPr="00327E8F" w:rsidRDefault="00AF1BA2" w:rsidP="00862762">
            <w:pPr>
              <w:pStyle w:val="Tabletext0"/>
              <w:keepNext/>
              <w:keepLines/>
              <w:jc w:val="center"/>
              <w:rPr>
                <w:szCs w:val="20"/>
                <w:highlight w:val="lightGray"/>
              </w:rPr>
            </w:pPr>
            <w:r w:rsidRPr="00AF1BA2">
              <w:rPr>
                <w:rFonts w:cstheme="minorHAnsi" w:hint="eastAsia"/>
                <w:color w:val="000000"/>
                <w:w w:val="15"/>
                <w:szCs w:val="20"/>
                <w:shd w:val="solid" w:color="000000" w:fill="000000"/>
                <w:fitText w:val="70" w:id="-894171638"/>
                <w:lang w:bidi="hi-IN"/>
                <w14:textFill>
                  <w14:solidFill>
                    <w14:srgbClr w14:val="000000">
                      <w14:alpha w14:val="100000"/>
                    </w14:srgbClr>
                  </w14:solidFill>
                </w14:textFill>
              </w:rPr>
              <w:t xml:space="preserve">　</w:t>
            </w:r>
            <w:r w:rsidRPr="00AF1BA2">
              <w:rPr>
                <w:rFonts w:cstheme="minorHAnsi"/>
                <w:color w:val="000000"/>
                <w:w w:val="15"/>
                <w:szCs w:val="20"/>
                <w:shd w:val="solid" w:color="000000" w:fill="000000"/>
                <w:fitText w:val="70" w:id="-894171638"/>
                <w:lang w:bidi="hi-IN"/>
                <w14:textFill>
                  <w14:solidFill>
                    <w14:srgbClr w14:val="000000">
                      <w14:alpha w14:val="100000"/>
                    </w14:srgbClr>
                  </w14:solidFill>
                </w14:textFill>
              </w:rPr>
              <w:t>|</w:t>
            </w:r>
            <w:r w:rsidRPr="00AF1BA2">
              <w:rPr>
                <w:rFonts w:cstheme="minorHAnsi" w:hint="eastAsia"/>
                <w:color w:val="000000"/>
                <w:spacing w:val="4"/>
                <w:w w:val="15"/>
                <w:szCs w:val="20"/>
                <w:shd w:val="solid" w:color="000000" w:fill="000000"/>
                <w:fitText w:val="70" w:id="-894171638"/>
                <w:lang w:bidi="hi-IN"/>
                <w14:textFill>
                  <w14:solidFill>
                    <w14:srgbClr w14:val="000000">
                      <w14:alpha w14:val="100000"/>
                    </w14:srgbClr>
                  </w14:solidFill>
                </w14:textFill>
              </w:rPr>
              <w:t xml:space="preserve">　</w:t>
            </w:r>
            <w:r w:rsidR="00EF1493" w:rsidRPr="005C269B">
              <w:rPr>
                <w:b/>
                <w:bCs/>
                <w:vertAlign w:val="superscript"/>
              </w:rPr>
              <w:t>1</w:t>
            </w:r>
          </w:p>
        </w:tc>
        <w:tc>
          <w:tcPr>
            <w:tcW w:w="993" w:type="dxa"/>
            <w:tcBorders>
              <w:top w:val="single" w:sz="4" w:space="0" w:color="auto"/>
              <w:left w:val="single" w:sz="4" w:space="0" w:color="auto"/>
              <w:bottom w:val="nil"/>
              <w:right w:val="single" w:sz="4" w:space="0" w:color="auto"/>
            </w:tcBorders>
            <w:shd w:val="clear" w:color="auto" w:fill="auto"/>
          </w:tcPr>
          <w:p w14:paraId="6610F7CC" w14:textId="1F9A7580" w:rsidR="0022309B" w:rsidRPr="00327E8F" w:rsidRDefault="00AF1BA2" w:rsidP="00862762">
            <w:pPr>
              <w:pStyle w:val="Tabletext0"/>
              <w:keepNext/>
              <w:keepLines/>
              <w:jc w:val="center"/>
              <w:rPr>
                <w:szCs w:val="20"/>
                <w:highlight w:val="lightGray"/>
              </w:rPr>
            </w:pPr>
            <w:r w:rsidRPr="00AF1BA2">
              <w:rPr>
                <w:rFonts w:hint="eastAsia"/>
                <w:color w:val="000000"/>
                <w:w w:val="15"/>
                <w:szCs w:val="20"/>
                <w:shd w:val="solid" w:color="000000" w:fill="000000"/>
                <w:fitText w:val="70" w:id="-894171637"/>
                <w14:textFill>
                  <w14:solidFill>
                    <w14:srgbClr w14:val="000000">
                      <w14:alpha w14:val="100000"/>
                    </w14:srgbClr>
                  </w14:solidFill>
                </w14:textFill>
              </w:rPr>
              <w:t xml:space="preserve">　</w:t>
            </w:r>
            <w:r w:rsidRPr="00AF1BA2">
              <w:rPr>
                <w:color w:val="000000"/>
                <w:w w:val="15"/>
                <w:szCs w:val="20"/>
                <w:shd w:val="solid" w:color="000000" w:fill="000000"/>
                <w:fitText w:val="70" w:id="-894171637"/>
                <w14:textFill>
                  <w14:solidFill>
                    <w14:srgbClr w14:val="000000">
                      <w14:alpha w14:val="100000"/>
                    </w14:srgbClr>
                  </w14:solidFill>
                </w14:textFill>
              </w:rPr>
              <w:t>|</w:t>
            </w:r>
            <w:r w:rsidRPr="00AF1BA2">
              <w:rPr>
                <w:rFonts w:hint="eastAsia"/>
                <w:color w:val="000000"/>
                <w:spacing w:val="4"/>
                <w:w w:val="15"/>
                <w:szCs w:val="20"/>
                <w:shd w:val="solid" w:color="000000" w:fill="000000"/>
                <w:fitText w:val="70" w:id="-894171637"/>
                <w14:textFill>
                  <w14:solidFill>
                    <w14:srgbClr w14:val="000000">
                      <w14:alpha w14:val="100000"/>
                    </w14:srgbClr>
                  </w14:solidFill>
                </w14:textFill>
              </w:rPr>
              <w:t xml:space="preserve">　</w:t>
            </w:r>
            <w:r w:rsidR="00EF1493" w:rsidRPr="005C269B">
              <w:rPr>
                <w:b/>
                <w:bCs/>
                <w:vertAlign w:val="superscript"/>
              </w:rPr>
              <w:t>1</w:t>
            </w:r>
          </w:p>
        </w:tc>
        <w:tc>
          <w:tcPr>
            <w:tcW w:w="850" w:type="dxa"/>
            <w:tcBorders>
              <w:top w:val="single" w:sz="4" w:space="0" w:color="auto"/>
              <w:left w:val="single" w:sz="4" w:space="0" w:color="auto"/>
              <w:bottom w:val="nil"/>
              <w:right w:val="single" w:sz="4" w:space="0" w:color="auto"/>
            </w:tcBorders>
            <w:shd w:val="clear" w:color="auto" w:fill="auto"/>
          </w:tcPr>
          <w:p w14:paraId="33FF4D2A" w14:textId="30060A28" w:rsidR="0022309B" w:rsidRPr="00327E8F" w:rsidRDefault="00AF1BA2" w:rsidP="00862762">
            <w:pPr>
              <w:pStyle w:val="Tabletext0"/>
              <w:keepNext/>
              <w:keepLines/>
              <w:jc w:val="center"/>
              <w:rPr>
                <w:szCs w:val="20"/>
                <w:highlight w:val="lightGray"/>
              </w:rPr>
            </w:pPr>
            <w:r w:rsidRPr="00AF1BA2">
              <w:rPr>
                <w:rFonts w:hint="eastAsia"/>
                <w:color w:val="000000"/>
                <w:w w:val="15"/>
                <w:szCs w:val="20"/>
                <w:shd w:val="solid" w:color="000000" w:fill="000000"/>
                <w:fitText w:val="70" w:id="-894171636"/>
                <w14:textFill>
                  <w14:solidFill>
                    <w14:srgbClr w14:val="000000">
                      <w14:alpha w14:val="100000"/>
                    </w14:srgbClr>
                  </w14:solidFill>
                </w14:textFill>
              </w:rPr>
              <w:t xml:space="preserve">　</w:t>
            </w:r>
            <w:r w:rsidRPr="00AF1BA2">
              <w:rPr>
                <w:color w:val="000000"/>
                <w:w w:val="15"/>
                <w:szCs w:val="20"/>
                <w:shd w:val="solid" w:color="000000" w:fill="000000"/>
                <w:fitText w:val="70" w:id="-894171636"/>
                <w14:textFill>
                  <w14:solidFill>
                    <w14:srgbClr w14:val="000000">
                      <w14:alpha w14:val="100000"/>
                    </w14:srgbClr>
                  </w14:solidFill>
                </w14:textFill>
              </w:rPr>
              <w:t>|</w:t>
            </w:r>
            <w:r w:rsidRPr="00AF1BA2">
              <w:rPr>
                <w:rFonts w:hint="eastAsia"/>
                <w:color w:val="000000"/>
                <w:spacing w:val="4"/>
                <w:w w:val="15"/>
                <w:szCs w:val="20"/>
                <w:shd w:val="solid" w:color="000000" w:fill="000000"/>
                <w:fitText w:val="70" w:id="-894171636"/>
                <w14:textFill>
                  <w14:solidFill>
                    <w14:srgbClr w14:val="000000">
                      <w14:alpha w14:val="100000"/>
                    </w14:srgbClr>
                  </w14:solidFill>
                </w14:textFill>
              </w:rPr>
              <w:t xml:space="preserve">　</w:t>
            </w:r>
            <w:r w:rsidR="00EF1493" w:rsidRPr="005C269B">
              <w:rPr>
                <w:b/>
                <w:bCs/>
                <w:vertAlign w:val="superscript"/>
              </w:rPr>
              <w:t>1</w:t>
            </w:r>
          </w:p>
        </w:tc>
        <w:tc>
          <w:tcPr>
            <w:tcW w:w="992" w:type="dxa"/>
            <w:tcBorders>
              <w:top w:val="single" w:sz="4" w:space="0" w:color="auto"/>
              <w:left w:val="single" w:sz="4" w:space="0" w:color="auto"/>
              <w:bottom w:val="nil"/>
              <w:right w:val="single" w:sz="4" w:space="0" w:color="auto"/>
            </w:tcBorders>
            <w:shd w:val="clear" w:color="auto" w:fill="auto"/>
          </w:tcPr>
          <w:p w14:paraId="644007FE" w14:textId="01471079" w:rsidR="0022309B" w:rsidRPr="00327E8F" w:rsidRDefault="00AF1BA2" w:rsidP="00862762">
            <w:pPr>
              <w:pStyle w:val="Tabletext0"/>
              <w:keepNext/>
              <w:keepLines/>
              <w:jc w:val="center"/>
              <w:rPr>
                <w:szCs w:val="20"/>
                <w:highlight w:val="lightGray"/>
              </w:rPr>
            </w:pPr>
            <w:r w:rsidRPr="00AF1BA2">
              <w:rPr>
                <w:rFonts w:hint="eastAsia"/>
                <w:color w:val="000000"/>
                <w:w w:val="15"/>
                <w:szCs w:val="20"/>
                <w:shd w:val="solid" w:color="000000" w:fill="000000"/>
                <w:fitText w:val="70" w:id="-894171635"/>
                <w14:textFill>
                  <w14:solidFill>
                    <w14:srgbClr w14:val="000000">
                      <w14:alpha w14:val="100000"/>
                    </w14:srgbClr>
                  </w14:solidFill>
                </w14:textFill>
              </w:rPr>
              <w:t xml:space="preserve">　</w:t>
            </w:r>
            <w:r w:rsidRPr="00AF1BA2">
              <w:rPr>
                <w:color w:val="000000"/>
                <w:w w:val="15"/>
                <w:szCs w:val="20"/>
                <w:shd w:val="solid" w:color="000000" w:fill="000000"/>
                <w:fitText w:val="70" w:id="-894171635"/>
                <w14:textFill>
                  <w14:solidFill>
                    <w14:srgbClr w14:val="000000">
                      <w14:alpha w14:val="100000"/>
                    </w14:srgbClr>
                  </w14:solidFill>
                </w14:textFill>
              </w:rPr>
              <w:t>|</w:t>
            </w:r>
            <w:r w:rsidRPr="00AF1BA2">
              <w:rPr>
                <w:rFonts w:hint="eastAsia"/>
                <w:color w:val="000000"/>
                <w:spacing w:val="4"/>
                <w:w w:val="15"/>
                <w:szCs w:val="20"/>
                <w:shd w:val="solid" w:color="000000" w:fill="000000"/>
                <w:fitText w:val="70" w:id="-894171635"/>
                <w14:textFill>
                  <w14:solidFill>
                    <w14:srgbClr w14:val="000000">
                      <w14:alpha w14:val="100000"/>
                    </w14:srgbClr>
                  </w14:solidFill>
                </w14:textFill>
              </w:rPr>
              <w:t xml:space="preserve">　</w:t>
            </w:r>
            <w:r w:rsidR="00EF1493" w:rsidRPr="005C269B">
              <w:rPr>
                <w:b/>
                <w:bCs/>
                <w:vertAlign w:val="superscript"/>
              </w:rPr>
              <w:t>1</w:t>
            </w:r>
          </w:p>
        </w:tc>
      </w:tr>
      <w:tr w:rsidR="0022309B" w:rsidRPr="00350BF3" w14:paraId="4FD63EA3" w14:textId="77777777" w:rsidTr="1797D1E5">
        <w:tc>
          <w:tcPr>
            <w:tcW w:w="3256" w:type="dxa"/>
            <w:tcBorders>
              <w:top w:val="nil"/>
              <w:bottom w:val="nil"/>
            </w:tcBorders>
            <w:shd w:val="clear" w:color="auto" w:fill="auto"/>
            <w:vAlign w:val="center"/>
          </w:tcPr>
          <w:p w14:paraId="40E79DC2" w14:textId="48FCE327" w:rsidR="0022309B" w:rsidRPr="00350BF3" w:rsidRDefault="0022309B" w:rsidP="00862762">
            <w:pPr>
              <w:pStyle w:val="Tabletext0"/>
              <w:keepNext/>
              <w:keepLines/>
              <w:numPr>
                <w:ilvl w:val="0"/>
                <w:numId w:val="15"/>
              </w:numPr>
              <w:ind w:left="142" w:hanging="142"/>
            </w:pPr>
            <w:r>
              <w:t>Adult (</w:t>
            </w:r>
            <w:r w:rsidR="4B71436A" w:rsidRPr="1797D1E5">
              <w:rPr>
                <w:color w:val="000000" w:themeColor="text1"/>
              </w:rPr>
              <w:t>|</w:t>
            </w:r>
            <w:r w:rsidR="4B71436A">
              <w:t xml:space="preserve"> %</w:t>
            </w:r>
            <w:r>
              <w:t xml:space="preserve"> uptake)</w:t>
            </w:r>
          </w:p>
        </w:tc>
        <w:tc>
          <w:tcPr>
            <w:tcW w:w="992" w:type="dxa"/>
            <w:tcBorders>
              <w:top w:val="nil"/>
              <w:left w:val="nil"/>
              <w:bottom w:val="nil"/>
              <w:right w:val="single" w:sz="4" w:space="0" w:color="auto"/>
            </w:tcBorders>
            <w:shd w:val="clear" w:color="auto" w:fill="auto"/>
          </w:tcPr>
          <w:p w14:paraId="109BEE47" w14:textId="023DCCC8" w:rsidR="0022309B" w:rsidRPr="00327E8F" w:rsidRDefault="00AF1BA2" w:rsidP="00862762">
            <w:pPr>
              <w:pStyle w:val="Tabletext0"/>
              <w:keepNext/>
              <w:keepLines/>
              <w:jc w:val="center"/>
              <w:rPr>
                <w:szCs w:val="20"/>
                <w:highlight w:val="lightGray"/>
              </w:rPr>
            </w:pPr>
            <w:r w:rsidRPr="00AF1BA2">
              <w:rPr>
                <w:rFonts w:hint="eastAsia"/>
                <w:color w:val="000000"/>
                <w:w w:val="15"/>
                <w:szCs w:val="20"/>
                <w:shd w:val="solid" w:color="000000" w:fill="000000"/>
                <w:fitText w:val="70" w:id="-894171634"/>
                <w14:textFill>
                  <w14:solidFill>
                    <w14:srgbClr w14:val="000000">
                      <w14:alpha w14:val="100000"/>
                    </w14:srgbClr>
                  </w14:solidFill>
                </w14:textFill>
              </w:rPr>
              <w:t xml:space="preserve">　</w:t>
            </w:r>
            <w:r w:rsidRPr="00AF1BA2">
              <w:rPr>
                <w:color w:val="000000"/>
                <w:w w:val="15"/>
                <w:szCs w:val="20"/>
                <w:shd w:val="solid" w:color="000000" w:fill="000000"/>
                <w:fitText w:val="70" w:id="-894171634"/>
                <w14:textFill>
                  <w14:solidFill>
                    <w14:srgbClr w14:val="000000">
                      <w14:alpha w14:val="100000"/>
                    </w14:srgbClr>
                  </w14:solidFill>
                </w14:textFill>
              </w:rPr>
              <w:t>|</w:t>
            </w:r>
            <w:r w:rsidRPr="00AF1BA2">
              <w:rPr>
                <w:rFonts w:hint="eastAsia"/>
                <w:color w:val="000000"/>
                <w:spacing w:val="4"/>
                <w:w w:val="15"/>
                <w:szCs w:val="20"/>
                <w:shd w:val="solid" w:color="000000" w:fill="000000"/>
                <w:fitText w:val="70" w:id="-894171634"/>
                <w14:textFill>
                  <w14:solidFill>
                    <w14:srgbClr w14:val="000000">
                      <w14:alpha w14:val="100000"/>
                    </w14:srgbClr>
                  </w14:solidFill>
                </w14:textFill>
              </w:rPr>
              <w:t xml:space="preserve">　</w:t>
            </w:r>
            <w:r w:rsidR="00EF1493" w:rsidRPr="005C269B">
              <w:rPr>
                <w:b/>
                <w:bCs/>
                <w:vertAlign w:val="superscript"/>
              </w:rPr>
              <w:t>1</w:t>
            </w:r>
          </w:p>
        </w:tc>
        <w:tc>
          <w:tcPr>
            <w:tcW w:w="992" w:type="dxa"/>
            <w:tcBorders>
              <w:top w:val="nil"/>
              <w:left w:val="single" w:sz="4" w:space="0" w:color="auto"/>
              <w:bottom w:val="nil"/>
              <w:right w:val="single" w:sz="4" w:space="0" w:color="auto"/>
            </w:tcBorders>
            <w:shd w:val="clear" w:color="auto" w:fill="auto"/>
          </w:tcPr>
          <w:p w14:paraId="4910C241" w14:textId="056820A2" w:rsidR="0022309B" w:rsidRPr="00327E8F" w:rsidRDefault="00AF1BA2" w:rsidP="00862762">
            <w:pPr>
              <w:pStyle w:val="Tabletext0"/>
              <w:keepNext/>
              <w:keepLines/>
              <w:jc w:val="center"/>
              <w:rPr>
                <w:szCs w:val="20"/>
                <w:highlight w:val="lightGray"/>
              </w:rPr>
            </w:pPr>
            <w:r w:rsidRPr="00AF1BA2">
              <w:rPr>
                <w:rFonts w:hint="eastAsia"/>
                <w:color w:val="000000"/>
                <w:w w:val="15"/>
                <w:szCs w:val="20"/>
                <w:shd w:val="solid" w:color="000000" w:fill="000000"/>
                <w:fitText w:val="70" w:id="-894171633"/>
                <w14:textFill>
                  <w14:solidFill>
                    <w14:srgbClr w14:val="000000">
                      <w14:alpha w14:val="100000"/>
                    </w14:srgbClr>
                  </w14:solidFill>
                </w14:textFill>
              </w:rPr>
              <w:t xml:space="preserve">　</w:t>
            </w:r>
            <w:r w:rsidRPr="00AF1BA2">
              <w:rPr>
                <w:color w:val="000000"/>
                <w:w w:val="15"/>
                <w:szCs w:val="20"/>
                <w:shd w:val="solid" w:color="000000" w:fill="000000"/>
                <w:fitText w:val="70" w:id="-894171633"/>
                <w14:textFill>
                  <w14:solidFill>
                    <w14:srgbClr w14:val="000000">
                      <w14:alpha w14:val="100000"/>
                    </w14:srgbClr>
                  </w14:solidFill>
                </w14:textFill>
              </w:rPr>
              <w:t>|</w:t>
            </w:r>
            <w:r w:rsidRPr="00AF1BA2">
              <w:rPr>
                <w:rFonts w:hint="eastAsia"/>
                <w:color w:val="000000"/>
                <w:spacing w:val="4"/>
                <w:w w:val="15"/>
                <w:szCs w:val="20"/>
                <w:shd w:val="solid" w:color="000000" w:fill="000000"/>
                <w:fitText w:val="70" w:id="-894171633"/>
                <w14:textFill>
                  <w14:solidFill>
                    <w14:srgbClr w14:val="000000">
                      <w14:alpha w14:val="100000"/>
                    </w14:srgbClr>
                  </w14:solidFill>
                </w14:textFill>
              </w:rPr>
              <w:t xml:space="preserve">　</w:t>
            </w:r>
            <w:r w:rsidR="006B00CA" w:rsidRPr="005C269B">
              <w:rPr>
                <w:b/>
                <w:bCs/>
                <w:vertAlign w:val="superscript"/>
              </w:rPr>
              <w:t>1</w:t>
            </w:r>
          </w:p>
        </w:tc>
        <w:tc>
          <w:tcPr>
            <w:tcW w:w="992" w:type="dxa"/>
            <w:tcBorders>
              <w:top w:val="nil"/>
              <w:left w:val="single" w:sz="4" w:space="0" w:color="auto"/>
              <w:bottom w:val="nil"/>
              <w:right w:val="single" w:sz="4" w:space="0" w:color="auto"/>
            </w:tcBorders>
            <w:shd w:val="clear" w:color="auto" w:fill="auto"/>
          </w:tcPr>
          <w:p w14:paraId="22F914C0" w14:textId="6907FE73" w:rsidR="0022309B" w:rsidRPr="00327E8F" w:rsidRDefault="00AF1BA2" w:rsidP="00862762">
            <w:pPr>
              <w:pStyle w:val="Tabletext0"/>
              <w:keepNext/>
              <w:keepLines/>
              <w:jc w:val="center"/>
              <w:rPr>
                <w:szCs w:val="20"/>
                <w:highlight w:val="lightGray"/>
              </w:rPr>
            </w:pPr>
            <w:r w:rsidRPr="00AF1BA2">
              <w:rPr>
                <w:rFonts w:hint="eastAsia"/>
                <w:color w:val="000000"/>
                <w:w w:val="15"/>
                <w:szCs w:val="20"/>
                <w:shd w:val="solid" w:color="000000" w:fill="000000"/>
                <w:fitText w:val="70" w:id="-894171632"/>
                <w14:textFill>
                  <w14:solidFill>
                    <w14:srgbClr w14:val="000000">
                      <w14:alpha w14:val="100000"/>
                    </w14:srgbClr>
                  </w14:solidFill>
                </w14:textFill>
              </w:rPr>
              <w:t xml:space="preserve">　</w:t>
            </w:r>
            <w:r w:rsidRPr="00AF1BA2">
              <w:rPr>
                <w:color w:val="000000"/>
                <w:w w:val="15"/>
                <w:szCs w:val="20"/>
                <w:shd w:val="solid" w:color="000000" w:fill="000000"/>
                <w:fitText w:val="70" w:id="-894171632"/>
                <w14:textFill>
                  <w14:solidFill>
                    <w14:srgbClr w14:val="000000">
                      <w14:alpha w14:val="100000"/>
                    </w14:srgbClr>
                  </w14:solidFill>
                </w14:textFill>
              </w:rPr>
              <w:t>|</w:t>
            </w:r>
            <w:r w:rsidRPr="00AF1BA2">
              <w:rPr>
                <w:rFonts w:hint="eastAsia"/>
                <w:color w:val="000000"/>
                <w:spacing w:val="4"/>
                <w:w w:val="15"/>
                <w:szCs w:val="20"/>
                <w:shd w:val="solid" w:color="000000" w:fill="000000"/>
                <w:fitText w:val="70" w:id="-894171632"/>
                <w14:textFill>
                  <w14:solidFill>
                    <w14:srgbClr w14:val="000000">
                      <w14:alpha w14:val="100000"/>
                    </w14:srgbClr>
                  </w14:solidFill>
                </w14:textFill>
              </w:rPr>
              <w:t xml:space="preserve">　</w:t>
            </w:r>
            <w:r w:rsidR="006B00CA" w:rsidRPr="005C269B">
              <w:rPr>
                <w:b/>
                <w:bCs/>
                <w:vertAlign w:val="superscript"/>
              </w:rPr>
              <w:t>1</w:t>
            </w:r>
          </w:p>
        </w:tc>
        <w:tc>
          <w:tcPr>
            <w:tcW w:w="993" w:type="dxa"/>
            <w:tcBorders>
              <w:top w:val="nil"/>
              <w:left w:val="single" w:sz="4" w:space="0" w:color="auto"/>
              <w:bottom w:val="nil"/>
              <w:right w:val="single" w:sz="4" w:space="0" w:color="auto"/>
            </w:tcBorders>
            <w:shd w:val="clear" w:color="auto" w:fill="auto"/>
          </w:tcPr>
          <w:p w14:paraId="489DDB1F" w14:textId="78D6CA97" w:rsidR="0022309B" w:rsidRPr="00327E8F" w:rsidRDefault="00AF1BA2" w:rsidP="00862762">
            <w:pPr>
              <w:pStyle w:val="Tabletext0"/>
              <w:keepNext/>
              <w:keepLines/>
              <w:jc w:val="center"/>
              <w:rPr>
                <w:szCs w:val="20"/>
                <w:highlight w:val="lightGray"/>
              </w:rPr>
            </w:pPr>
            <w:r w:rsidRPr="00AF1BA2">
              <w:rPr>
                <w:rFonts w:hint="eastAsia"/>
                <w:color w:val="000000"/>
                <w:w w:val="15"/>
                <w:szCs w:val="20"/>
                <w:shd w:val="solid" w:color="000000" w:fill="000000"/>
                <w:fitText w:val="70" w:id="-894171648"/>
                <w14:textFill>
                  <w14:solidFill>
                    <w14:srgbClr w14:val="000000">
                      <w14:alpha w14:val="100000"/>
                    </w14:srgbClr>
                  </w14:solidFill>
                </w14:textFill>
              </w:rPr>
              <w:t xml:space="preserve">　</w:t>
            </w:r>
            <w:r w:rsidRPr="00AF1BA2">
              <w:rPr>
                <w:color w:val="000000"/>
                <w:w w:val="15"/>
                <w:szCs w:val="20"/>
                <w:shd w:val="solid" w:color="000000" w:fill="000000"/>
                <w:fitText w:val="70" w:id="-894171648"/>
                <w14:textFill>
                  <w14:solidFill>
                    <w14:srgbClr w14:val="000000">
                      <w14:alpha w14:val="100000"/>
                    </w14:srgbClr>
                  </w14:solidFill>
                </w14:textFill>
              </w:rPr>
              <w:t>|</w:t>
            </w:r>
            <w:r w:rsidRPr="00AF1BA2">
              <w:rPr>
                <w:rFonts w:hint="eastAsia"/>
                <w:color w:val="000000"/>
                <w:spacing w:val="4"/>
                <w:w w:val="15"/>
                <w:szCs w:val="20"/>
                <w:shd w:val="solid" w:color="000000" w:fill="000000"/>
                <w:fitText w:val="70" w:id="-894171648"/>
                <w14:textFill>
                  <w14:solidFill>
                    <w14:srgbClr w14:val="000000">
                      <w14:alpha w14:val="100000"/>
                    </w14:srgbClr>
                  </w14:solidFill>
                </w14:textFill>
              </w:rPr>
              <w:t xml:space="preserve">　</w:t>
            </w:r>
            <w:r w:rsidR="006B00CA" w:rsidRPr="005C269B">
              <w:rPr>
                <w:b/>
                <w:bCs/>
                <w:vertAlign w:val="superscript"/>
              </w:rPr>
              <w:t>1</w:t>
            </w:r>
          </w:p>
        </w:tc>
        <w:tc>
          <w:tcPr>
            <w:tcW w:w="850" w:type="dxa"/>
            <w:tcBorders>
              <w:top w:val="nil"/>
              <w:left w:val="single" w:sz="4" w:space="0" w:color="auto"/>
              <w:bottom w:val="nil"/>
              <w:right w:val="single" w:sz="4" w:space="0" w:color="auto"/>
            </w:tcBorders>
            <w:shd w:val="clear" w:color="auto" w:fill="auto"/>
          </w:tcPr>
          <w:p w14:paraId="6AEC1824" w14:textId="308F413F" w:rsidR="0022309B" w:rsidRPr="00327E8F" w:rsidRDefault="00AF1BA2" w:rsidP="00862762">
            <w:pPr>
              <w:pStyle w:val="Tabletext0"/>
              <w:keepNext/>
              <w:keepLines/>
              <w:jc w:val="center"/>
              <w:rPr>
                <w:szCs w:val="20"/>
                <w:highlight w:val="lightGray"/>
              </w:rPr>
            </w:pPr>
            <w:r w:rsidRPr="00AF1BA2">
              <w:rPr>
                <w:rFonts w:hint="eastAsia"/>
                <w:color w:val="000000"/>
                <w:w w:val="15"/>
                <w:szCs w:val="20"/>
                <w:shd w:val="solid" w:color="000000" w:fill="000000"/>
                <w:fitText w:val="70" w:id="-894171647"/>
                <w14:textFill>
                  <w14:solidFill>
                    <w14:srgbClr w14:val="000000">
                      <w14:alpha w14:val="100000"/>
                    </w14:srgbClr>
                  </w14:solidFill>
                </w14:textFill>
              </w:rPr>
              <w:t xml:space="preserve">　</w:t>
            </w:r>
            <w:r w:rsidRPr="00AF1BA2">
              <w:rPr>
                <w:color w:val="000000"/>
                <w:w w:val="15"/>
                <w:szCs w:val="20"/>
                <w:shd w:val="solid" w:color="000000" w:fill="000000"/>
                <w:fitText w:val="70" w:id="-894171647"/>
                <w14:textFill>
                  <w14:solidFill>
                    <w14:srgbClr w14:val="000000">
                      <w14:alpha w14:val="100000"/>
                    </w14:srgbClr>
                  </w14:solidFill>
                </w14:textFill>
              </w:rPr>
              <w:t>|</w:t>
            </w:r>
            <w:r w:rsidRPr="00AF1BA2">
              <w:rPr>
                <w:rFonts w:hint="eastAsia"/>
                <w:color w:val="000000"/>
                <w:spacing w:val="4"/>
                <w:w w:val="15"/>
                <w:szCs w:val="20"/>
                <w:shd w:val="solid" w:color="000000" w:fill="000000"/>
                <w:fitText w:val="70" w:id="-894171647"/>
                <w14:textFill>
                  <w14:solidFill>
                    <w14:srgbClr w14:val="000000">
                      <w14:alpha w14:val="100000"/>
                    </w14:srgbClr>
                  </w14:solidFill>
                </w14:textFill>
              </w:rPr>
              <w:t xml:space="preserve">　</w:t>
            </w:r>
            <w:r w:rsidR="006B00CA" w:rsidRPr="005C269B">
              <w:rPr>
                <w:b/>
                <w:bCs/>
                <w:vertAlign w:val="superscript"/>
              </w:rPr>
              <w:t>1</w:t>
            </w:r>
          </w:p>
        </w:tc>
        <w:tc>
          <w:tcPr>
            <w:tcW w:w="992" w:type="dxa"/>
            <w:tcBorders>
              <w:top w:val="nil"/>
              <w:left w:val="single" w:sz="4" w:space="0" w:color="auto"/>
              <w:bottom w:val="nil"/>
              <w:right w:val="single" w:sz="4" w:space="0" w:color="auto"/>
            </w:tcBorders>
            <w:shd w:val="clear" w:color="auto" w:fill="auto"/>
          </w:tcPr>
          <w:p w14:paraId="7E66FBC9" w14:textId="089B5232" w:rsidR="0022309B" w:rsidRPr="00327E8F" w:rsidRDefault="00AF1BA2" w:rsidP="00862762">
            <w:pPr>
              <w:pStyle w:val="Tabletext0"/>
              <w:keepNext/>
              <w:keepLines/>
              <w:jc w:val="center"/>
              <w:rPr>
                <w:szCs w:val="20"/>
                <w:highlight w:val="lightGray"/>
              </w:rPr>
            </w:pPr>
            <w:r w:rsidRPr="00AF1BA2">
              <w:rPr>
                <w:rFonts w:hint="eastAsia"/>
                <w:color w:val="000000"/>
                <w:w w:val="15"/>
                <w:szCs w:val="20"/>
                <w:shd w:val="solid" w:color="000000" w:fill="000000"/>
                <w:fitText w:val="70" w:id="-894171646"/>
                <w14:textFill>
                  <w14:solidFill>
                    <w14:srgbClr w14:val="000000">
                      <w14:alpha w14:val="100000"/>
                    </w14:srgbClr>
                  </w14:solidFill>
                </w14:textFill>
              </w:rPr>
              <w:t xml:space="preserve">　</w:t>
            </w:r>
            <w:r w:rsidRPr="00AF1BA2">
              <w:rPr>
                <w:color w:val="000000"/>
                <w:w w:val="15"/>
                <w:szCs w:val="20"/>
                <w:shd w:val="solid" w:color="000000" w:fill="000000"/>
                <w:fitText w:val="70" w:id="-894171646"/>
                <w14:textFill>
                  <w14:solidFill>
                    <w14:srgbClr w14:val="000000">
                      <w14:alpha w14:val="100000"/>
                    </w14:srgbClr>
                  </w14:solidFill>
                </w14:textFill>
              </w:rPr>
              <w:t>|</w:t>
            </w:r>
            <w:r w:rsidRPr="00AF1BA2">
              <w:rPr>
                <w:rFonts w:hint="eastAsia"/>
                <w:color w:val="000000"/>
                <w:spacing w:val="4"/>
                <w:w w:val="15"/>
                <w:szCs w:val="20"/>
                <w:shd w:val="solid" w:color="000000" w:fill="000000"/>
                <w:fitText w:val="70" w:id="-894171646"/>
                <w14:textFill>
                  <w14:solidFill>
                    <w14:srgbClr w14:val="000000">
                      <w14:alpha w14:val="100000"/>
                    </w14:srgbClr>
                  </w14:solidFill>
                </w14:textFill>
              </w:rPr>
              <w:t xml:space="preserve">　</w:t>
            </w:r>
            <w:r w:rsidR="006B00CA" w:rsidRPr="005C269B">
              <w:rPr>
                <w:b/>
                <w:bCs/>
                <w:vertAlign w:val="superscript"/>
              </w:rPr>
              <w:t>1</w:t>
            </w:r>
          </w:p>
        </w:tc>
      </w:tr>
      <w:tr w:rsidR="0022309B" w:rsidRPr="00350BF3" w14:paraId="0E3DC511" w14:textId="77777777" w:rsidTr="1797D1E5">
        <w:tc>
          <w:tcPr>
            <w:tcW w:w="3256" w:type="dxa"/>
            <w:tcBorders>
              <w:top w:val="nil"/>
              <w:bottom w:val="single" w:sz="4" w:space="0" w:color="auto"/>
            </w:tcBorders>
            <w:shd w:val="clear" w:color="auto" w:fill="auto"/>
            <w:vAlign w:val="center"/>
          </w:tcPr>
          <w:p w14:paraId="692DCD5A" w14:textId="0A69E761" w:rsidR="0022309B" w:rsidRPr="00350BF3" w:rsidRDefault="0022309B" w:rsidP="00862762">
            <w:pPr>
              <w:pStyle w:val="Tabletext0"/>
              <w:keepNext/>
              <w:keepLines/>
              <w:numPr>
                <w:ilvl w:val="0"/>
                <w:numId w:val="15"/>
              </w:numPr>
              <w:ind w:left="142" w:hanging="142"/>
            </w:pPr>
            <w:r>
              <w:t>Paediatric (</w:t>
            </w:r>
            <w:r w:rsidR="001A0FFE" w:rsidRPr="001A0FFE">
              <w:rPr>
                <w:color w:val="000000"/>
                <w:spacing w:val="52"/>
                <w:shd w:val="solid" w:color="000000" w:fill="000000"/>
                <w:fitText w:val="327" w:id="-764128000"/>
                <w14:textFill>
                  <w14:solidFill>
                    <w14:srgbClr w14:val="000000">
                      <w14:alpha w14:val="100000"/>
                    </w14:srgbClr>
                  </w14:solidFill>
                </w14:textFill>
              </w:rPr>
              <w:t>|||</w:t>
            </w:r>
            <w:r w:rsidR="001A0FFE" w:rsidRPr="001A0FFE">
              <w:rPr>
                <w:color w:val="000000"/>
                <w:spacing w:val="1"/>
                <w:shd w:val="solid" w:color="000000" w:fill="000000"/>
                <w:fitText w:val="327" w:id="-764128000"/>
                <w14:textFill>
                  <w14:solidFill>
                    <w14:srgbClr w14:val="000000">
                      <w14:alpha w14:val="100000"/>
                    </w14:srgbClr>
                  </w14:solidFill>
                </w14:textFill>
              </w:rPr>
              <w:t>|</w:t>
            </w:r>
            <w:r>
              <w:t>% uptake)</w:t>
            </w:r>
          </w:p>
        </w:tc>
        <w:tc>
          <w:tcPr>
            <w:tcW w:w="992" w:type="dxa"/>
            <w:tcBorders>
              <w:top w:val="nil"/>
              <w:left w:val="nil"/>
              <w:bottom w:val="single" w:sz="4" w:space="0" w:color="auto"/>
              <w:right w:val="single" w:sz="4" w:space="0" w:color="auto"/>
            </w:tcBorders>
            <w:shd w:val="clear" w:color="auto" w:fill="auto"/>
          </w:tcPr>
          <w:p w14:paraId="1D2BE33E" w14:textId="360B67EC" w:rsidR="0022309B" w:rsidRPr="00327E8F" w:rsidRDefault="00AF1BA2" w:rsidP="00862762">
            <w:pPr>
              <w:pStyle w:val="Tabletext0"/>
              <w:keepNext/>
              <w:keepLines/>
              <w:jc w:val="center"/>
              <w:rPr>
                <w:szCs w:val="20"/>
                <w:highlight w:val="lightGray"/>
              </w:rPr>
            </w:pPr>
            <w:r w:rsidRPr="001A0FFE">
              <w:rPr>
                <w:rFonts w:hint="eastAsia"/>
                <w:color w:val="000000"/>
                <w:w w:val="22"/>
                <w:szCs w:val="20"/>
                <w:shd w:val="solid" w:color="000000" w:fill="000000"/>
                <w:fitText w:val="100" w:id="-894171645"/>
                <w14:textFill>
                  <w14:solidFill>
                    <w14:srgbClr w14:val="000000">
                      <w14:alpha w14:val="100000"/>
                    </w14:srgbClr>
                  </w14:solidFill>
                </w14:textFill>
              </w:rPr>
              <w:t xml:space="preserve">　</w:t>
            </w:r>
            <w:r w:rsidRPr="001A0FFE">
              <w:rPr>
                <w:color w:val="000000"/>
                <w:w w:val="22"/>
                <w:szCs w:val="20"/>
                <w:shd w:val="solid" w:color="000000" w:fill="000000"/>
                <w:fitText w:val="100" w:id="-894171645"/>
                <w14:textFill>
                  <w14:solidFill>
                    <w14:srgbClr w14:val="000000">
                      <w14:alpha w14:val="100000"/>
                    </w14:srgbClr>
                  </w14:solidFill>
                </w14:textFill>
              </w:rPr>
              <w:t>|</w:t>
            </w:r>
            <w:r w:rsidRPr="001A0FFE">
              <w:rPr>
                <w:rFonts w:hint="eastAsia"/>
                <w:color w:val="000000"/>
                <w:spacing w:val="3"/>
                <w:w w:val="22"/>
                <w:szCs w:val="20"/>
                <w:shd w:val="solid" w:color="000000" w:fill="000000"/>
                <w:fitText w:val="100" w:id="-894171645"/>
                <w14:textFill>
                  <w14:solidFill>
                    <w14:srgbClr w14:val="000000">
                      <w14:alpha w14:val="100000"/>
                    </w14:srgbClr>
                  </w14:solidFill>
                </w14:textFill>
              </w:rPr>
              <w:t xml:space="preserve">　</w:t>
            </w:r>
            <w:r w:rsidR="00EF1493" w:rsidRPr="005C269B">
              <w:rPr>
                <w:b/>
                <w:bCs/>
                <w:vertAlign w:val="superscript"/>
              </w:rPr>
              <w:t>1</w:t>
            </w:r>
          </w:p>
        </w:tc>
        <w:tc>
          <w:tcPr>
            <w:tcW w:w="992" w:type="dxa"/>
            <w:tcBorders>
              <w:top w:val="nil"/>
              <w:left w:val="single" w:sz="4" w:space="0" w:color="auto"/>
              <w:bottom w:val="single" w:sz="4" w:space="0" w:color="auto"/>
              <w:right w:val="single" w:sz="4" w:space="0" w:color="auto"/>
            </w:tcBorders>
            <w:shd w:val="clear" w:color="auto" w:fill="auto"/>
          </w:tcPr>
          <w:p w14:paraId="37B98A6E" w14:textId="11BDC3C4" w:rsidR="0022309B" w:rsidRPr="00327E8F" w:rsidRDefault="00AF1BA2" w:rsidP="00862762">
            <w:pPr>
              <w:pStyle w:val="Tabletext0"/>
              <w:keepNext/>
              <w:keepLines/>
              <w:jc w:val="center"/>
              <w:rPr>
                <w:szCs w:val="20"/>
                <w:highlight w:val="lightGray"/>
              </w:rPr>
            </w:pPr>
            <w:r w:rsidRPr="001A0FFE">
              <w:rPr>
                <w:rFonts w:hint="eastAsia"/>
                <w:color w:val="000000"/>
                <w:w w:val="15"/>
                <w:szCs w:val="20"/>
                <w:shd w:val="solid" w:color="000000" w:fill="000000"/>
                <w:fitText w:val="70" w:id="-894171392"/>
                <w14:textFill>
                  <w14:solidFill>
                    <w14:srgbClr w14:val="000000">
                      <w14:alpha w14:val="100000"/>
                    </w14:srgbClr>
                  </w14:solidFill>
                </w14:textFill>
              </w:rPr>
              <w:t xml:space="preserve">　</w:t>
            </w:r>
            <w:r w:rsidRPr="001A0FFE">
              <w:rPr>
                <w:color w:val="000000"/>
                <w:w w:val="15"/>
                <w:szCs w:val="20"/>
                <w:shd w:val="solid" w:color="000000" w:fill="000000"/>
                <w:fitText w:val="70" w:id="-894171392"/>
                <w14:textFill>
                  <w14:solidFill>
                    <w14:srgbClr w14:val="000000">
                      <w14:alpha w14:val="100000"/>
                    </w14:srgbClr>
                  </w14:solidFill>
                </w14:textFill>
              </w:rPr>
              <w:t>|</w:t>
            </w:r>
            <w:r w:rsidRPr="001A0FFE">
              <w:rPr>
                <w:rFonts w:hint="eastAsia"/>
                <w:color w:val="000000"/>
                <w:spacing w:val="4"/>
                <w:w w:val="15"/>
                <w:szCs w:val="20"/>
                <w:shd w:val="solid" w:color="000000" w:fill="000000"/>
                <w:fitText w:val="70" w:id="-894171392"/>
                <w14:textFill>
                  <w14:solidFill>
                    <w14:srgbClr w14:val="000000">
                      <w14:alpha w14:val="100000"/>
                    </w14:srgbClr>
                  </w14:solidFill>
                </w14:textFill>
              </w:rPr>
              <w:t xml:space="preserve">　</w:t>
            </w:r>
            <w:r w:rsidR="00D54479" w:rsidRPr="005C269B">
              <w:rPr>
                <w:b/>
                <w:bCs/>
                <w:vertAlign w:val="superscript"/>
              </w:rPr>
              <w:t>1</w:t>
            </w:r>
          </w:p>
        </w:tc>
        <w:tc>
          <w:tcPr>
            <w:tcW w:w="992" w:type="dxa"/>
            <w:tcBorders>
              <w:top w:val="nil"/>
              <w:left w:val="single" w:sz="4" w:space="0" w:color="auto"/>
              <w:bottom w:val="single" w:sz="4" w:space="0" w:color="auto"/>
              <w:right w:val="single" w:sz="4" w:space="0" w:color="auto"/>
            </w:tcBorders>
            <w:shd w:val="clear" w:color="auto" w:fill="auto"/>
          </w:tcPr>
          <w:p w14:paraId="64006DAF" w14:textId="1AE35D8C" w:rsidR="0022309B" w:rsidRPr="00327E8F" w:rsidRDefault="00AF1BA2" w:rsidP="00862762">
            <w:pPr>
              <w:pStyle w:val="Tabletext0"/>
              <w:keepNext/>
              <w:keepLines/>
              <w:jc w:val="center"/>
              <w:rPr>
                <w:szCs w:val="20"/>
                <w:highlight w:val="lightGray"/>
              </w:rPr>
            </w:pPr>
            <w:r w:rsidRPr="001A0FFE">
              <w:rPr>
                <w:rFonts w:hint="eastAsia"/>
                <w:color w:val="000000"/>
                <w:w w:val="15"/>
                <w:szCs w:val="20"/>
                <w:shd w:val="solid" w:color="000000" w:fill="000000"/>
                <w:fitText w:val="70" w:id="-894171391"/>
                <w14:textFill>
                  <w14:solidFill>
                    <w14:srgbClr w14:val="000000">
                      <w14:alpha w14:val="100000"/>
                    </w14:srgbClr>
                  </w14:solidFill>
                </w14:textFill>
              </w:rPr>
              <w:t xml:space="preserve">　</w:t>
            </w:r>
            <w:r w:rsidRPr="001A0FFE">
              <w:rPr>
                <w:color w:val="000000"/>
                <w:w w:val="15"/>
                <w:szCs w:val="20"/>
                <w:shd w:val="solid" w:color="000000" w:fill="000000"/>
                <w:fitText w:val="70" w:id="-894171391"/>
                <w14:textFill>
                  <w14:solidFill>
                    <w14:srgbClr w14:val="000000">
                      <w14:alpha w14:val="100000"/>
                    </w14:srgbClr>
                  </w14:solidFill>
                </w14:textFill>
              </w:rPr>
              <w:t>|</w:t>
            </w:r>
            <w:r w:rsidRPr="001A0FFE">
              <w:rPr>
                <w:rFonts w:hint="eastAsia"/>
                <w:color w:val="000000"/>
                <w:spacing w:val="4"/>
                <w:w w:val="15"/>
                <w:szCs w:val="20"/>
                <w:shd w:val="solid" w:color="000000" w:fill="000000"/>
                <w:fitText w:val="70" w:id="-894171391"/>
                <w14:textFill>
                  <w14:solidFill>
                    <w14:srgbClr w14:val="000000">
                      <w14:alpha w14:val="100000"/>
                    </w14:srgbClr>
                  </w14:solidFill>
                </w14:textFill>
              </w:rPr>
              <w:t xml:space="preserve">　</w:t>
            </w:r>
            <w:r w:rsidR="00D54479" w:rsidRPr="005C269B">
              <w:rPr>
                <w:b/>
                <w:bCs/>
                <w:vertAlign w:val="superscript"/>
              </w:rPr>
              <w:t>1</w:t>
            </w:r>
          </w:p>
        </w:tc>
        <w:tc>
          <w:tcPr>
            <w:tcW w:w="993" w:type="dxa"/>
            <w:tcBorders>
              <w:top w:val="nil"/>
              <w:left w:val="single" w:sz="4" w:space="0" w:color="auto"/>
              <w:bottom w:val="single" w:sz="4" w:space="0" w:color="auto"/>
              <w:right w:val="single" w:sz="4" w:space="0" w:color="auto"/>
            </w:tcBorders>
            <w:shd w:val="clear" w:color="auto" w:fill="auto"/>
          </w:tcPr>
          <w:p w14:paraId="7F7CB69A" w14:textId="15A7C897" w:rsidR="0022309B" w:rsidRPr="00327E8F" w:rsidRDefault="00AF1BA2" w:rsidP="00862762">
            <w:pPr>
              <w:pStyle w:val="Tabletext0"/>
              <w:keepNext/>
              <w:keepLines/>
              <w:jc w:val="center"/>
              <w:rPr>
                <w:szCs w:val="20"/>
                <w:highlight w:val="lightGray"/>
              </w:rPr>
            </w:pPr>
            <w:r w:rsidRPr="001A0FFE">
              <w:rPr>
                <w:rFonts w:hint="eastAsia"/>
                <w:color w:val="000000"/>
                <w:w w:val="15"/>
                <w:szCs w:val="20"/>
                <w:shd w:val="solid" w:color="000000" w:fill="000000"/>
                <w:fitText w:val="70" w:id="-894171390"/>
                <w14:textFill>
                  <w14:solidFill>
                    <w14:srgbClr w14:val="000000">
                      <w14:alpha w14:val="100000"/>
                    </w14:srgbClr>
                  </w14:solidFill>
                </w14:textFill>
              </w:rPr>
              <w:t xml:space="preserve">　</w:t>
            </w:r>
            <w:r w:rsidRPr="001A0FFE">
              <w:rPr>
                <w:color w:val="000000"/>
                <w:w w:val="15"/>
                <w:szCs w:val="20"/>
                <w:shd w:val="solid" w:color="000000" w:fill="000000"/>
                <w:fitText w:val="70" w:id="-894171390"/>
                <w14:textFill>
                  <w14:solidFill>
                    <w14:srgbClr w14:val="000000">
                      <w14:alpha w14:val="100000"/>
                    </w14:srgbClr>
                  </w14:solidFill>
                </w14:textFill>
              </w:rPr>
              <w:t>|</w:t>
            </w:r>
            <w:r w:rsidRPr="001A0FFE">
              <w:rPr>
                <w:rFonts w:hint="eastAsia"/>
                <w:color w:val="000000"/>
                <w:spacing w:val="4"/>
                <w:w w:val="15"/>
                <w:szCs w:val="20"/>
                <w:shd w:val="solid" w:color="000000" w:fill="000000"/>
                <w:fitText w:val="70" w:id="-894171390"/>
                <w14:textFill>
                  <w14:solidFill>
                    <w14:srgbClr w14:val="000000">
                      <w14:alpha w14:val="100000"/>
                    </w14:srgbClr>
                  </w14:solidFill>
                </w14:textFill>
              </w:rPr>
              <w:t xml:space="preserve">　</w:t>
            </w:r>
            <w:r w:rsidR="00D54479" w:rsidRPr="005C269B">
              <w:rPr>
                <w:b/>
                <w:bCs/>
                <w:vertAlign w:val="superscript"/>
              </w:rPr>
              <w:t>1</w:t>
            </w:r>
          </w:p>
        </w:tc>
        <w:tc>
          <w:tcPr>
            <w:tcW w:w="850" w:type="dxa"/>
            <w:tcBorders>
              <w:top w:val="nil"/>
              <w:left w:val="single" w:sz="4" w:space="0" w:color="auto"/>
              <w:bottom w:val="single" w:sz="4" w:space="0" w:color="auto"/>
              <w:right w:val="single" w:sz="4" w:space="0" w:color="auto"/>
            </w:tcBorders>
            <w:shd w:val="clear" w:color="auto" w:fill="auto"/>
          </w:tcPr>
          <w:p w14:paraId="6E761E97" w14:textId="2564FA42" w:rsidR="0022309B" w:rsidRPr="00327E8F" w:rsidRDefault="00AF1BA2" w:rsidP="00862762">
            <w:pPr>
              <w:pStyle w:val="Tabletext0"/>
              <w:keepNext/>
              <w:keepLines/>
              <w:jc w:val="center"/>
              <w:rPr>
                <w:szCs w:val="20"/>
                <w:highlight w:val="lightGray"/>
              </w:rPr>
            </w:pPr>
            <w:r w:rsidRPr="001A0FFE">
              <w:rPr>
                <w:rFonts w:hint="eastAsia"/>
                <w:color w:val="000000"/>
                <w:w w:val="15"/>
                <w:szCs w:val="20"/>
                <w:shd w:val="solid" w:color="000000" w:fill="000000"/>
                <w:fitText w:val="70" w:id="-894171389"/>
                <w14:textFill>
                  <w14:solidFill>
                    <w14:srgbClr w14:val="000000">
                      <w14:alpha w14:val="100000"/>
                    </w14:srgbClr>
                  </w14:solidFill>
                </w14:textFill>
              </w:rPr>
              <w:t xml:space="preserve">　</w:t>
            </w:r>
            <w:r w:rsidRPr="001A0FFE">
              <w:rPr>
                <w:color w:val="000000"/>
                <w:w w:val="15"/>
                <w:szCs w:val="20"/>
                <w:shd w:val="solid" w:color="000000" w:fill="000000"/>
                <w:fitText w:val="70" w:id="-894171389"/>
                <w14:textFill>
                  <w14:solidFill>
                    <w14:srgbClr w14:val="000000">
                      <w14:alpha w14:val="100000"/>
                    </w14:srgbClr>
                  </w14:solidFill>
                </w14:textFill>
              </w:rPr>
              <w:t>|</w:t>
            </w:r>
            <w:r w:rsidRPr="001A0FFE">
              <w:rPr>
                <w:rFonts w:hint="eastAsia"/>
                <w:color w:val="000000"/>
                <w:spacing w:val="4"/>
                <w:w w:val="15"/>
                <w:szCs w:val="20"/>
                <w:shd w:val="solid" w:color="000000" w:fill="000000"/>
                <w:fitText w:val="70" w:id="-894171389"/>
                <w14:textFill>
                  <w14:solidFill>
                    <w14:srgbClr w14:val="000000">
                      <w14:alpha w14:val="100000"/>
                    </w14:srgbClr>
                  </w14:solidFill>
                </w14:textFill>
              </w:rPr>
              <w:t xml:space="preserve">　</w:t>
            </w:r>
            <w:r w:rsidR="00D54479" w:rsidRPr="005C269B">
              <w:rPr>
                <w:b/>
                <w:bCs/>
                <w:vertAlign w:val="superscript"/>
              </w:rPr>
              <w:t>1</w:t>
            </w:r>
          </w:p>
        </w:tc>
        <w:tc>
          <w:tcPr>
            <w:tcW w:w="992" w:type="dxa"/>
            <w:tcBorders>
              <w:top w:val="nil"/>
              <w:left w:val="single" w:sz="4" w:space="0" w:color="auto"/>
              <w:bottom w:val="single" w:sz="4" w:space="0" w:color="auto"/>
              <w:right w:val="single" w:sz="4" w:space="0" w:color="auto"/>
            </w:tcBorders>
            <w:shd w:val="clear" w:color="auto" w:fill="auto"/>
          </w:tcPr>
          <w:p w14:paraId="44806F61" w14:textId="17FEB43E" w:rsidR="0022309B" w:rsidRPr="00327E8F" w:rsidRDefault="00AF1BA2" w:rsidP="00862762">
            <w:pPr>
              <w:pStyle w:val="Tabletext0"/>
              <w:keepNext/>
              <w:keepLines/>
              <w:jc w:val="center"/>
              <w:rPr>
                <w:szCs w:val="20"/>
                <w:highlight w:val="lightGray"/>
              </w:rPr>
            </w:pPr>
            <w:r w:rsidRPr="001A0FFE">
              <w:rPr>
                <w:rFonts w:hint="eastAsia"/>
                <w:color w:val="000000"/>
                <w:w w:val="15"/>
                <w:szCs w:val="20"/>
                <w:shd w:val="solid" w:color="000000" w:fill="000000"/>
                <w:fitText w:val="70" w:id="-894171388"/>
                <w14:textFill>
                  <w14:solidFill>
                    <w14:srgbClr w14:val="000000">
                      <w14:alpha w14:val="100000"/>
                    </w14:srgbClr>
                  </w14:solidFill>
                </w14:textFill>
              </w:rPr>
              <w:t xml:space="preserve">　</w:t>
            </w:r>
            <w:r w:rsidRPr="001A0FFE">
              <w:rPr>
                <w:color w:val="000000"/>
                <w:w w:val="15"/>
                <w:szCs w:val="20"/>
                <w:shd w:val="solid" w:color="000000" w:fill="000000"/>
                <w:fitText w:val="70" w:id="-894171388"/>
                <w14:textFill>
                  <w14:solidFill>
                    <w14:srgbClr w14:val="000000">
                      <w14:alpha w14:val="100000"/>
                    </w14:srgbClr>
                  </w14:solidFill>
                </w14:textFill>
              </w:rPr>
              <w:t>|</w:t>
            </w:r>
            <w:r w:rsidRPr="001A0FFE">
              <w:rPr>
                <w:rFonts w:hint="eastAsia"/>
                <w:color w:val="000000"/>
                <w:spacing w:val="4"/>
                <w:w w:val="15"/>
                <w:szCs w:val="20"/>
                <w:shd w:val="solid" w:color="000000" w:fill="000000"/>
                <w:fitText w:val="70" w:id="-894171388"/>
                <w14:textFill>
                  <w14:solidFill>
                    <w14:srgbClr w14:val="000000">
                      <w14:alpha w14:val="100000"/>
                    </w14:srgbClr>
                  </w14:solidFill>
                </w14:textFill>
              </w:rPr>
              <w:t xml:space="preserve">　</w:t>
            </w:r>
            <w:r w:rsidR="00D54479" w:rsidRPr="005C269B">
              <w:rPr>
                <w:b/>
                <w:bCs/>
                <w:vertAlign w:val="superscript"/>
              </w:rPr>
              <w:t>1</w:t>
            </w:r>
          </w:p>
        </w:tc>
      </w:tr>
      <w:tr w:rsidR="0022309B" w:rsidRPr="00350BF3" w14:paraId="1C4179F8" w14:textId="77777777" w:rsidTr="1797D1E5">
        <w:tc>
          <w:tcPr>
            <w:tcW w:w="3256" w:type="dxa"/>
            <w:tcBorders>
              <w:bottom w:val="nil"/>
            </w:tcBorders>
            <w:shd w:val="clear" w:color="auto" w:fill="auto"/>
            <w:vAlign w:val="center"/>
          </w:tcPr>
          <w:p w14:paraId="6E2EF81B" w14:textId="53F03425" w:rsidR="0022309B" w:rsidRPr="00350BF3" w:rsidRDefault="0022309B" w:rsidP="00862762">
            <w:pPr>
              <w:pStyle w:val="Tabletext0"/>
              <w:keepNext/>
              <w:keepLines/>
              <w:rPr>
                <w:szCs w:val="20"/>
                <w:vertAlign w:val="superscript"/>
              </w:rPr>
            </w:pPr>
            <w:r w:rsidRPr="00350BF3">
              <w:rPr>
                <w:szCs w:val="20"/>
              </w:rPr>
              <w:t>Aggregated scripts</w:t>
            </w:r>
            <w:r w:rsidR="00B35B98">
              <w:rPr>
                <w:szCs w:val="20"/>
                <w:vertAlign w:val="superscript"/>
              </w:rPr>
              <w:t>a</w:t>
            </w:r>
          </w:p>
        </w:tc>
        <w:tc>
          <w:tcPr>
            <w:tcW w:w="992" w:type="dxa"/>
            <w:tcBorders>
              <w:top w:val="single" w:sz="4" w:space="0" w:color="auto"/>
              <w:left w:val="nil"/>
              <w:bottom w:val="nil"/>
              <w:right w:val="single" w:sz="4" w:space="0" w:color="auto"/>
            </w:tcBorders>
            <w:shd w:val="clear" w:color="auto" w:fill="auto"/>
            <w:vAlign w:val="center"/>
          </w:tcPr>
          <w:p w14:paraId="1AF103B8" w14:textId="7AE6B66A" w:rsidR="0022309B" w:rsidRPr="00327E8F" w:rsidRDefault="00AF1BA2" w:rsidP="00862762">
            <w:pPr>
              <w:pStyle w:val="Tabletext0"/>
              <w:keepNext/>
              <w:keepLines/>
              <w:jc w:val="center"/>
              <w:rPr>
                <w:szCs w:val="20"/>
                <w:highlight w:val="lightGray"/>
              </w:rPr>
            </w:pPr>
            <w:r w:rsidRPr="001A0FFE">
              <w:rPr>
                <w:rFonts w:hint="eastAsia"/>
                <w:color w:val="000000"/>
                <w:w w:val="15"/>
                <w:szCs w:val="20"/>
                <w:shd w:val="solid" w:color="000000" w:fill="000000"/>
                <w:fitText w:val="70" w:id="-894171387"/>
                <w14:textFill>
                  <w14:solidFill>
                    <w14:srgbClr w14:val="000000">
                      <w14:alpha w14:val="100000"/>
                    </w14:srgbClr>
                  </w14:solidFill>
                </w14:textFill>
              </w:rPr>
              <w:t xml:space="preserve">　</w:t>
            </w:r>
            <w:r w:rsidRPr="001A0FFE">
              <w:rPr>
                <w:color w:val="000000"/>
                <w:w w:val="15"/>
                <w:szCs w:val="20"/>
                <w:shd w:val="solid" w:color="000000" w:fill="000000"/>
                <w:fitText w:val="70" w:id="-894171387"/>
                <w14:textFill>
                  <w14:solidFill>
                    <w14:srgbClr w14:val="000000">
                      <w14:alpha w14:val="100000"/>
                    </w14:srgbClr>
                  </w14:solidFill>
                </w14:textFill>
              </w:rPr>
              <w:t>|</w:t>
            </w:r>
            <w:r w:rsidRPr="001A0FFE">
              <w:rPr>
                <w:rFonts w:hint="eastAsia"/>
                <w:color w:val="000000"/>
                <w:spacing w:val="4"/>
                <w:w w:val="15"/>
                <w:szCs w:val="20"/>
                <w:shd w:val="solid" w:color="000000" w:fill="000000"/>
                <w:fitText w:val="70" w:id="-894171387"/>
                <w14:textFill>
                  <w14:solidFill>
                    <w14:srgbClr w14:val="000000">
                      <w14:alpha w14:val="100000"/>
                    </w14:srgbClr>
                  </w14:solidFill>
                </w14:textFill>
              </w:rPr>
              <w:t xml:space="preserve">　</w:t>
            </w:r>
            <w:r w:rsidR="00EF1493" w:rsidRPr="005C269B">
              <w:rPr>
                <w:b/>
                <w:bCs/>
                <w:vertAlign w:val="superscript"/>
              </w:rPr>
              <w:t>1</w:t>
            </w:r>
          </w:p>
        </w:tc>
        <w:tc>
          <w:tcPr>
            <w:tcW w:w="992" w:type="dxa"/>
            <w:tcBorders>
              <w:top w:val="single" w:sz="4" w:space="0" w:color="auto"/>
              <w:left w:val="single" w:sz="4" w:space="0" w:color="auto"/>
              <w:bottom w:val="nil"/>
              <w:right w:val="single" w:sz="4" w:space="0" w:color="auto"/>
            </w:tcBorders>
            <w:shd w:val="clear" w:color="auto" w:fill="auto"/>
            <w:vAlign w:val="center"/>
          </w:tcPr>
          <w:p w14:paraId="2B287081" w14:textId="6CBB7D14" w:rsidR="0022309B" w:rsidRPr="00327E8F" w:rsidRDefault="00AF1BA2" w:rsidP="00862762">
            <w:pPr>
              <w:pStyle w:val="Tabletext0"/>
              <w:keepNext/>
              <w:keepLines/>
              <w:jc w:val="center"/>
              <w:rPr>
                <w:szCs w:val="20"/>
                <w:highlight w:val="lightGray"/>
              </w:rPr>
            </w:pPr>
            <w:r w:rsidRPr="001A0FFE">
              <w:rPr>
                <w:rFonts w:hint="eastAsia"/>
                <w:color w:val="000000"/>
                <w:w w:val="15"/>
                <w:szCs w:val="20"/>
                <w:shd w:val="solid" w:color="000000" w:fill="000000"/>
                <w:fitText w:val="70" w:id="-894171386"/>
                <w14:textFill>
                  <w14:solidFill>
                    <w14:srgbClr w14:val="000000">
                      <w14:alpha w14:val="100000"/>
                    </w14:srgbClr>
                  </w14:solidFill>
                </w14:textFill>
              </w:rPr>
              <w:t xml:space="preserve">　</w:t>
            </w:r>
            <w:r w:rsidRPr="001A0FFE">
              <w:rPr>
                <w:color w:val="000000"/>
                <w:w w:val="15"/>
                <w:szCs w:val="20"/>
                <w:shd w:val="solid" w:color="000000" w:fill="000000"/>
                <w:fitText w:val="70" w:id="-894171386"/>
                <w14:textFill>
                  <w14:solidFill>
                    <w14:srgbClr w14:val="000000">
                      <w14:alpha w14:val="100000"/>
                    </w14:srgbClr>
                  </w14:solidFill>
                </w14:textFill>
              </w:rPr>
              <w:t>|</w:t>
            </w:r>
            <w:r w:rsidRPr="001A0FFE">
              <w:rPr>
                <w:rFonts w:hint="eastAsia"/>
                <w:color w:val="000000"/>
                <w:spacing w:val="4"/>
                <w:w w:val="15"/>
                <w:szCs w:val="20"/>
                <w:shd w:val="solid" w:color="000000" w:fill="000000"/>
                <w:fitText w:val="70" w:id="-894171386"/>
                <w14:textFill>
                  <w14:solidFill>
                    <w14:srgbClr w14:val="000000">
                      <w14:alpha w14:val="100000"/>
                    </w14:srgbClr>
                  </w14:solidFill>
                </w14:textFill>
              </w:rPr>
              <w:t xml:space="preserve">　</w:t>
            </w:r>
            <w:r w:rsidR="00D54479" w:rsidRPr="005C269B">
              <w:rPr>
                <w:b/>
                <w:bCs/>
                <w:vertAlign w:val="superscript"/>
              </w:rPr>
              <w:t>1</w:t>
            </w:r>
          </w:p>
        </w:tc>
        <w:tc>
          <w:tcPr>
            <w:tcW w:w="992" w:type="dxa"/>
            <w:tcBorders>
              <w:top w:val="single" w:sz="4" w:space="0" w:color="auto"/>
              <w:left w:val="single" w:sz="4" w:space="0" w:color="auto"/>
              <w:bottom w:val="nil"/>
              <w:right w:val="single" w:sz="4" w:space="0" w:color="auto"/>
            </w:tcBorders>
            <w:shd w:val="clear" w:color="auto" w:fill="auto"/>
            <w:vAlign w:val="center"/>
          </w:tcPr>
          <w:p w14:paraId="4970C35A" w14:textId="53560914" w:rsidR="0022309B" w:rsidRPr="00327E8F" w:rsidRDefault="00AF1BA2" w:rsidP="00862762">
            <w:pPr>
              <w:pStyle w:val="Tabletext0"/>
              <w:keepNext/>
              <w:keepLines/>
              <w:jc w:val="center"/>
              <w:rPr>
                <w:szCs w:val="20"/>
                <w:highlight w:val="lightGray"/>
              </w:rPr>
            </w:pPr>
            <w:r w:rsidRPr="001A0FFE">
              <w:rPr>
                <w:rFonts w:hint="eastAsia"/>
                <w:color w:val="000000"/>
                <w:w w:val="15"/>
                <w:szCs w:val="20"/>
                <w:shd w:val="solid" w:color="000000" w:fill="000000"/>
                <w:fitText w:val="70" w:id="-894171385"/>
                <w14:textFill>
                  <w14:solidFill>
                    <w14:srgbClr w14:val="000000">
                      <w14:alpha w14:val="100000"/>
                    </w14:srgbClr>
                  </w14:solidFill>
                </w14:textFill>
              </w:rPr>
              <w:t xml:space="preserve">　</w:t>
            </w:r>
            <w:r w:rsidRPr="001A0FFE">
              <w:rPr>
                <w:color w:val="000000"/>
                <w:w w:val="15"/>
                <w:szCs w:val="20"/>
                <w:shd w:val="solid" w:color="000000" w:fill="000000"/>
                <w:fitText w:val="70" w:id="-894171385"/>
                <w14:textFill>
                  <w14:solidFill>
                    <w14:srgbClr w14:val="000000">
                      <w14:alpha w14:val="100000"/>
                    </w14:srgbClr>
                  </w14:solidFill>
                </w14:textFill>
              </w:rPr>
              <w:t>|</w:t>
            </w:r>
            <w:r w:rsidRPr="001A0FFE">
              <w:rPr>
                <w:rFonts w:hint="eastAsia"/>
                <w:color w:val="000000"/>
                <w:spacing w:val="4"/>
                <w:w w:val="15"/>
                <w:szCs w:val="20"/>
                <w:shd w:val="solid" w:color="000000" w:fill="000000"/>
                <w:fitText w:val="70" w:id="-894171385"/>
                <w14:textFill>
                  <w14:solidFill>
                    <w14:srgbClr w14:val="000000">
                      <w14:alpha w14:val="100000"/>
                    </w14:srgbClr>
                  </w14:solidFill>
                </w14:textFill>
              </w:rPr>
              <w:t xml:space="preserve">　</w:t>
            </w:r>
            <w:r w:rsidR="00D54479" w:rsidRPr="005C269B">
              <w:rPr>
                <w:b/>
                <w:bCs/>
                <w:vertAlign w:val="superscript"/>
              </w:rPr>
              <w:t>1</w:t>
            </w:r>
          </w:p>
        </w:tc>
        <w:tc>
          <w:tcPr>
            <w:tcW w:w="993" w:type="dxa"/>
            <w:tcBorders>
              <w:top w:val="single" w:sz="4" w:space="0" w:color="auto"/>
              <w:left w:val="single" w:sz="4" w:space="0" w:color="auto"/>
              <w:bottom w:val="nil"/>
              <w:right w:val="single" w:sz="4" w:space="0" w:color="auto"/>
            </w:tcBorders>
            <w:shd w:val="clear" w:color="auto" w:fill="auto"/>
            <w:vAlign w:val="center"/>
          </w:tcPr>
          <w:p w14:paraId="06034045" w14:textId="6D9900C3" w:rsidR="0022309B" w:rsidRPr="00327E8F" w:rsidRDefault="00AF1BA2" w:rsidP="00862762">
            <w:pPr>
              <w:pStyle w:val="Tabletext0"/>
              <w:keepNext/>
              <w:keepLines/>
              <w:jc w:val="center"/>
              <w:rPr>
                <w:szCs w:val="20"/>
                <w:highlight w:val="lightGray"/>
              </w:rPr>
            </w:pPr>
            <w:r w:rsidRPr="001A0FFE">
              <w:rPr>
                <w:rFonts w:hint="eastAsia"/>
                <w:color w:val="000000"/>
                <w:w w:val="15"/>
                <w:szCs w:val="20"/>
                <w:shd w:val="solid" w:color="000000" w:fill="000000"/>
                <w:fitText w:val="70" w:id="-894171384"/>
                <w14:textFill>
                  <w14:solidFill>
                    <w14:srgbClr w14:val="000000">
                      <w14:alpha w14:val="100000"/>
                    </w14:srgbClr>
                  </w14:solidFill>
                </w14:textFill>
              </w:rPr>
              <w:t xml:space="preserve">　</w:t>
            </w:r>
            <w:r w:rsidRPr="001A0FFE">
              <w:rPr>
                <w:color w:val="000000"/>
                <w:w w:val="15"/>
                <w:szCs w:val="20"/>
                <w:shd w:val="solid" w:color="000000" w:fill="000000"/>
                <w:fitText w:val="70" w:id="-894171384"/>
                <w14:textFill>
                  <w14:solidFill>
                    <w14:srgbClr w14:val="000000">
                      <w14:alpha w14:val="100000"/>
                    </w14:srgbClr>
                  </w14:solidFill>
                </w14:textFill>
              </w:rPr>
              <w:t>|</w:t>
            </w:r>
            <w:r w:rsidRPr="001A0FFE">
              <w:rPr>
                <w:rFonts w:hint="eastAsia"/>
                <w:color w:val="000000"/>
                <w:spacing w:val="4"/>
                <w:w w:val="15"/>
                <w:szCs w:val="20"/>
                <w:shd w:val="solid" w:color="000000" w:fill="000000"/>
                <w:fitText w:val="70" w:id="-894171384"/>
                <w14:textFill>
                  <w14:solidFill>
                    <w14:srgbClr w14:val="000000">
                      <w14:alpha w14:val="100000"/>
                    </w14:srgbClr>
                  </w14:solidFill>
                </w14:textFill>
              </w:rPr>
              <w:t xml:space="preserve">　</w:t>
            </w:r>
            <w:r w:rsidR="00BB7531" w:rsidRPr="005C269B">
              <w:rPr>
                <w:b/>
                <w:bCs/>
                <w:vertAlign w:val="superscript"/>
              </w:rPr>
              <w:t>1</w:t>
            </w:r>
          </w:p>
        </w:tc>
        <w:tc>
          <w:tcPr>
            <w:tcW w:w="850" w:type="dxa"/>
            <w:tcBorders>
              <w:top w:val="single" w:sz="4" w:space="0" w:color="auto"/>
              <w:left w:val="single" w:sz="4" w:space="0" w:color="auto"/>
              <w:bottom w:val="nil"/>
              <w:right w:val="single" w:sz="4" w:space="0" w:color="auto"/>
            </w:tcBorders>
            <w:shd w:val="clear" w:color="auto" w:fill="auto"/>
            <w:vAlign w:val="center"/>
          </w:tcPr>
          <w:p w14:paraId="45C5521C" w14:textId="43276387" w:rsidR="0022309B" w:rsidRPr="00327E8F" w:rsidRDefault="00AF1BA2" w:rsidP="00862762">
            <w:pPr>
              <w:pStyle w:val="Tabletext0"/>
              <w:keepNext/>
              <w:keepLines/>
              <w:jc w:val="center"/>
              <w:rPr>
                <w:szCs w:val="20"/>
                <w:highlight w:val="lightGray"/>
              </w:rPr>
            </w:pPr>
            <w:r w:rsidRPr="001A0FFE">
              <w:rPr>
                <w:rFonts w:hint="eastAsia"/>
                <w:color w:val="000000"/>
                <w:w w:val="15"/>
                <w:szCs w:val="20"/>
                <w:shd w:val="solid" w:color="000000" w:fill="000000"/>
                <w:fitText w:val="70" w:id="-894171383"/>
                <w14:textFill>
                  <w14:solidFill>
                    <w14:srgbClr w14:val="000000">
                      <w14:alpha w14:val="100000"/>
                    </w14:srgbClr>
                  </w14:solidFill>
                </w14:textFill>
              </w:rPr>
              <w:t xml:space="preserve">　</w:t>
            </w:r>
            <w:r w:rsidRPr="001A0FFE">
              <w:rPr>
                <w:color w:val="000000"/>
                <w:w w:val="15"/>
                <w:szCs w:val="20"/>
                <w:shd w:val="solid" w:color="000000" w:fill="000000"/>
                <w:fitText w:val="70" w:id="-894171383"/>
                <w14:textFill>
                  <w14:solidFill>
                    <w14:srgbClr w14:val="000000">
                      <w14:alpha w14:val="100000"/>
                    </w14:srgbClr>
                  </w14:solidFill>
                </w14:textFill>
              </w:rPr>
              <w:t>|</w:t>
            </w:r>
            <w:r w:rsidRPr="001A0FFE">
              <w:rPr>
                <w:rFonts w:hint="eastAsia"/>
                <w:color w:val="000000"/>
                <w:spacing w:val="4"/>
                <w:w w:val="15"/>
                <w:szCs w:val="20"/>
                <w:shd w:val="solid" w:color="000000" w:fill="000000"/>
                <w:fitText w:val="70" w:id="-894171383"/>
                <w14:textFill>
                  <w14:solidFill>
                    <w14:srgbClr w14:val="000000">
                      <w14:alpha w14:val="100000"/>
                    </w14:srgbClr>
                  </w14:solidFill>
                </w14:textFill>
              </w:rPr>
              <w:t xml:space="preserve">　</w:t>
            </w:r>
            <w:r w:rsidR="00BB7531" w:rsidRPr="005C269B">
              <w:rPr>
                <w:b/>
                <w:bCs/>
                <w:vertAlign w:val="superscript"/>
              </w:rPr>
              <w:t>1</w:t>
            </w:r>
          </w:p>
        </w:tc>
        <w:tc>
          <w:tcPr>
            <w:tcW w:w="992" w:type="dxa"/>
            <w:tcBorders>
              <w:top w:val="single" w:sz="4" w:space="0" w:color="auto"/>
              <w:left w:val="single" w:sz="4" w:space="0" w:color="auto"/>
              <w:bottom w:val="nil"/>
              <w:right w:val="single" w:sz="4" w:space="0" w:color="auto"/>
            </w:tcBorders>
            <w:shd w:val="clear" w:color="auto" w:fill="auto"/>
            <w:vAlign w:val="center"/>
          </w:tcPr>
          <w:p w14:paraId="3DEBDB1B" w14:textId="2F94EBB7" w:rsidR="0022309B" w:rsidRPr="00327E8F" w:rsidRDefault="00AF1BA2" w:rsidP="00862762">
            <w:pPr>
              <w:pStyle w:val="Tabletext0"/>
              <w:keepNext/>
              <w:keepLines/>
              <w:jc w:val="center"/>
              <w:rPr>
                <w:szCs w:val="20"/>
                <w:highlight w:val="lightGray"/>
              </w:rPr>
            </w:pPr>
            <w:r w:rsidRPr="001A0FFE">
              <w:rPr>
                <w:rFonts w:hint="eastAsia"/>
                <w:color w:val="000000"/>
                <w:w w:val="15"/>
                <w:szCs w:val="20"/>
                <w:shd w:val="solid" w:color="000000" w:fill="000000"/>
                <w:fitText w:val="70" w:id="-894171382"/>
                <w14:textFill>
                  <w14:solidFill>
                    <w14:srgbClr w14:val="000000">
                      <w14:alpha w14:val="100000"/>
                    </w14:srgbClr>
                  </w14:solidFill>
                </w14:textFill>
              </w:rPr>
              <w:t xml:space="preserve">　</w:t>
            </w:r>
            <w:r w:rsidRPr="001A0FFE">
              <w:rPr>
                <w:color w:val="000000"/>
                <w:w w:val="15"/>
                <w:szCs w:val="20"/>
                <w:shd w:val="solid" w:color="000000" w:fill="000000"/>
                <w:fitText w:val="70" w:id="-894171382"/>
                <w14:textFill>
                  <w14:solidFill>
                    <w14:srgbClr w14:val="000000">
                      <w14:alpha w14:val="100000"/>
                    </w14:srgbClr>
                  </w14:solidFill>
                </w14:textFill>
              </w:rPr>
              <w:t>|</w:t>
            </w:r>
            <w:r w:rsidRPr="001A0FFE">
              <w:rPr>
                <w:rFonts w:hint="eastAsia"/>
                <w:color w:val="000000"/>
                <w:spacing w:val="4"/>
                <w:w w:val="15"/>
                <w:szCs w:val="20"/>
                <w:shd w:val="solid" w:color="000000" w:fill="000000"/>
                <w:fitText w:val="70" w:id="-894171382"/>
                <w14:textFill>
                  <w14:solidFill>
                    <w14:srgbClr w14:val="000000">
                      <w14:alpha w14:val="100000"/>
                    </w14:srgbClr>
                  </w14:solidFill>
                </w14:textFill>
              </w:rPr>
              <w:t xml:space="preserve">　</w:t>
            </w:r>
            <w:r w:rsidR="00BB7531" w:rsidRPr="005C269B">
              <w:rPr>
                <w:b/>
                <w:bCs/>
                <w:vertAlign w:val="superscript"/>
              </w:rPr>
              <w:t>1</w:t>
            </w:r>
          </w:p>
        </w:tc>
      </w:tr>
      <w:tr w:rsidR="0022309B" w:rsidRPr="00350BF3" w14:paraId="571AEC78" w14:textId="77777777" w:rsidTr="1797D1E5">
        <w:tc>
          <w:tcPr>
            <w:tcW w:w="3256" w:type="dxa"/>
            <w:tcBorders>
              <w:top w:val="nil"/>
              <w:bottom w:val="nil"/>
            </w:tcBorders>
            <w:shd w:val="clear" w:color="auto" w:fill="auto"/>
            <w:vAlign w:val="center"/>
          </w:tcPr>
          <w:p w14:paraId="16F0ECCC" w14:textId="77777777" w:rsidR="0022309B" w:rsidRPr="00350BF3" w:rsidRDefault="0022309B" w:rsidP="00862762">
            <w:pPr>
              <w:pStyle w:val="Tabletext0"/>
              <w:keepNext/>
              <w:keepLines/>
              <w:numPr>
                <w:ilvl w:val="0"/>
                <w:numId w:val="15"/>
              </w:numPr>
              <w:ind w:left="142" w:hanging="142"/>
              <w:rPr>
                <w:szCs w:val="20"/>
              </w:rPr>
            </w:pPr>
            <w:r w:rsidRPr="00350BF3">
              <w:rPr>
                <w:szCs w:val="20"/>
              </w:rPr>
              <w:t xml:space="preserve">PBS </w:t>
            </w:r>
          </w:p>
        </w:tc>
        <w:tc>
          <w:tcPr>
            <w:tcW w:w="992" w:type="dxa"/>
            <w:tcBorders>
              <w:top w:val="nil"/>
              <w:left w:val="nil"/>
              <w:bottom w:val="nil"/>
              <w:right w:val="single" w:sz="4" w:space="0" w:color="auto"/>
            </w:tcBorders>
            <w:shd w:val="clear" w:color="auto" w:fill="auto"/>
            <w:vAlign w:val="center"/>
          </w:tcPr>
          <w:p w14:paraId="33B90F73" w14:textId="6F12FA93" w:rsidR="0022309B" w:rsidRPr="00327E8F" w:rsidRDefault="00AF1BA2" w:rsidP="00862762">
            <w:pPr>
              <w:pStyle w:val="Tabletext0"/>
              <w:keepNext/>
              <w:keepLines/>
              <w:jc w:val="center"/>
              <w:rPr>
                <w:szCs w:val="20"/>
                <w:highlight w:val="lightGray"/>
              </w:rPr>
            </w:pPr>
            <w:r w:rsidRPr="001A0FFE">
              <w:rPr>
                <w:rFonts w:hint="eastAsia"/>
                <w:color w:val="000000"/>
                <w:w w:val="15"/>
                <w:szCs w:val="20"/>
                <w:shd w:val="solid" w:color="000000" w:fill="000000"/>
                <w:fitText w:val="70" w:id="-894171381"/>
                <w14:textFill>
                  <w14:solidFill>
                    <w14:srgbClr w14:val="000000">
                      <w14:alpha w14:val="100000"/>
                    </w14:srgbClr>
                  </w14:solidFill>
                </w14:textFill>
              </w:rPr>
              <w:t xml:space="preserve">　</w:t>
            </w:r>
            <w:r w:rsidRPr="001A0FFE">
              <w:rPr>
                <w:color w:val="000000"/>
                <w:w w:val="15"/>
                <w:szCs w:val="20"/>
                <w:shd w:val="solid" w:color="000000" w:fill="000000"/>
                <w:fitText w:val="70" w:id="-894171381"/>
                <w14:textFill>
                  <w14:solidFill>
                    <w14:srgbClr w14:val="000000">
                      <w14:alpha w14:val="100000"/>
                    </w14:srgbClr>
                  </w14:solidFill>
                </w14:textFill>
              </w:rPr>
              <w:t>|</w:t>
            </w:r>
            <w:r w:rsidRPr="001A0FFE">
              <w:rPr>
                <w:rFonts w:hint="eastAsia"/>
                <w:color w:val="000000"/>
                <w:spacing w:val="4"/>
                <w:w w:val="15"/>
                <w:szCs w:val="20"/>
                <w:shd w:val="solid" w:color="000000" w:fill="000000"/>
                <w:fitText w:val="70" w:id="-894171381"/>
                <w14:textFill>
                  <w14:solidFill>
                    <w14:srgbClr w14:val="000000">
                      <w14:alpha w14:val="100000"/>
                    </w14:srgbClr>
                  </w14:solidFill>
                </w14:textFill>
              </w:rPr>
              <w:t xml:space="preserve">　</w:t>
            </w:r>
            <w:r w:rsidR="00BB7531" w:rsidRPr="005C269B">
              <w:rPr>
                <w:b/>
                <w:bCs/>
                <w:vertAlign w:val="superscript"/>
              </w:rPr>
              <w:t>1</w:t>
            </w:r>
          </w:p>
        </w:tc>
        <w:tc>
          <w:tcPr>
            <w:tcW w:w="992" w:type="dxa"/>
            <w:tcBorders>
              <w:top w:val="nil"/>
              <w:left w:val="single" w:sz="4" w:space="0" w:color="auto"/>
              <w:bottom w:val="nil"/>
              <w:right w:val="single" w:sz="4" w:space="0" w:color="auto"/>
            </w:tcBorders>
            <w:shd w:val="clear" w:color="auto" w:fill="auto"/>
            <w:vAlign w:val="center"/>
          </w:tcPr>
          <w:p w14:paraId="5D92713D" w14:textId="41E08133" w:rsidR="0022309B" w:rsidRPr="00327E8F" w:rsidRDefault="00AF1BA2" w:rsidP="00862762">
            <w:pPr>
              <w:pStyle w:val="Tabletext0"/>
              <w:keepNext/>
              <w:keepLines/>
              <w:jc w:val="center"/>
              <w:rPr>
                <w:szCs w:val="20"/>
                <w:highlight w:val="lightGray"/>
              </w:rPr>
            </w:pPr>
            <w:r w:rsidRPr="001A0FFE">
              <w:rPr>
                <w:rFonts w:hint="eastAsia"/>
                <w:color w:val="000000"/>
                <w:w w:val="15"/>
                <w:szCs w:val="20"/>
                <w:shd w:val="solid" w:color="000000" w:fill="000000"/>
                <w:fitText w:val="70" w:id="-894171380"/>
                <w14:textFill>
                  <w14:solidFill>
                    <w14:srgbClr w14:val="000000">
                      <w14:alpha w14:val="100000"/>
                    </w14:srgbClr>
                  </w14:solidFill>
                </w14:textFill>
              </w:rPr>
              <w:t xml:space="preserve">　</w:t>
            </w:r>
            <w:r w:rsidRPr="001A0FFE">
              <w:rPr>
                <w:color w:val="000000"/>
                <w:w w:val="15"/>
                <w:szCs w:val="20"/>
                <w:shd w:val="solid" w:color="000000" w:fill="000000"/>
                <w:fitText w:val="70" w:id="-894171380"/>
                <w14:textFill>
                  <w14:solidFill>
                    <w14:srgbClr w14:val="000000">
                      <w14:alpha w14:val="100000"/>
                    </w14:srgbClr>
                  </w14:solidFill>
                </w14:textFill>
              </w:rPr>
              <w:t>|</w:t>
            </w:r>
            <w:r w:rsidRPr="001A0FFE">
              <w:rPr>
                <w:rFonts w:hint="eastAsia"/>
                <w:color w:val="000000"/>
                <w:spacing w:val="4"/>
                <w:w w:val="15"/>
                <w:szCs w:val="20"/>
                <w:shd w:val="solid" w:color="000000" w:fill="000000"/>
                <w:fitText w:val="70" w:id="-894171380"/>
                <w14:textFill>
                  <w14:solidFill>
                    <w14:srgbClr w14:val="000000">
                      <w14:alpha w14:val="100000"/>
                    </w14:srgbClr>
                  </w14:solidFill>
                </w14:textFill>
              </w:rPr>
              <w:t xml:space="preserve">　</w:t>
            </w:r>
            <w:r w:rsidR="00BB7531" w:rsidRPr="005C269B">
              <w:rPr>
                <w:b/>
                <w:bCs/>
                <w:vertAlign w:val="superscript"/>
              </w:rPr>
              <w:t>1</w:t>
            </w:r>
          </w:p>
        </w:tc>
        <w:tc>
          <w:tcPr>
            <w:tcW w:w="992" w:type="dxa"/>
            <w:tcBorders>
              <w:top w:val="nil"/>
              <w:left w:val="single" w:sz="4" w:space="0" w:color="auto"/>
              <w:bottom w:val="nil"/>
              <w:right w:val="single" w:sz="4" w:space="0" w:color="auto"/>
            </w:tcBorders>
            <w:shd w:val="clear" w:color="auto" w:fill="auto"/>
            <w:vAlign w:val="center"/>
          </w:tcPr>
          <w:p w14:paraId="560F0F6B" w14:textId="788232AA" w:rsidR="0022309B" w:rsidRPr="00327E8F" w:rsidRDefault="00AF1BA2" w:rsidP="00862762">
            <w:pPr>
              <w:pStyle w:val="Tabletext0"/>
              <w:keepNext/>
              <w:keepLines/>
              <w:jc w:val="center"/>
              <w:rPr>
                <w:szCs w:val="20"/>
                <w:highlight w:val="lightGray"/>
              </w:rPr>
            </w:pPr>
            <w:r w:rsidRPr="001A0FFE">
              <w:rPr>
                <w:rFonts w:hint="eastAsia"/>
                <w:color w:val="000000"/>
                <w:w w:val="15"/>
                <w:szCs w:val="20"/>
                <w:shd w:val="solid" w:color="000000" w:fill="000000"/>
                <w:fitText w:val="70" w:id="-894171379"/>
                <w14:textFill>
                  <w14:solidFill>
                    <w14:srgbClr w14:val="000000">
                      <w14:alpha w14:val="100000"/>
                    </w14:srgbClr>
                  </w14:solidFill>
                </w14:textFill>
              </w:rPr>
              <w:t xml:space="preserve">　</w:t>
            </w:r>
            <w:r w:rsidRPr="001A0FFE">
              <w:rPr>
                <w:color w:val="000000"/>
                <w:w w:val="15"/>
                <w:szCs w:val="20"/>
                <w:shd w:val="solid" w:color="000000" w:fill="000000"/>
                <w:fitText w:val="70" w:id="-894171379"/>
                <w14:textFill>
                  <w14:solidFill>
                    <w14:srgbClr w14:val="000000">
                      <w14:alpha w14:val="100000"/>
                    </w14:srgbClr>
                  </w14:solidFill>
                </w14:textFill>
              </w:rPr>
              <w:t>|</w:t>
            </w:r>
            <w:r w:rsidRPr="001A0FFE">
              <w:rPr>
                <w:rFonts w:hint="eastAsia"/>
                <w:color w:val="000000"/>
                <w:spacing w:val="4"/>
                <w:w w:val="15"/>
                <w:szCs w:val="20"/>
                <w:shd w:val="solid" w:color="000000" w:fill="000000"/>
                <w:fitText w:val="70" w:id="-894171379"/>
                <w14:textFill>
                  <w14:solidFill>
                    <w14:srgbClr w14:val="000000">
                      <w14:alpha w14:val="100000"/>
                    </w14:srgbClr>
                  </w14:solidFill>
                </w14:textFill>
              </w:rPr>
              <w:t xml:space="preserve">　</w:t>
            </w:r>
            <w:r w:rsidR="00BB7531" w:rsidRPr="005C269B">
              <w:rPr>
                <w:b/>
                <w:bCs/>
                <w:vertAlign w:val="superscript"/>
              </w:rPr>
              <w:t>1</w:t>
            </w:r>
          </w:p>
        </w:tc>
        <w:tc>
          <w:tcPr>
            <w:tcW w:w="993" w:type="dxa"/>
            <w:tcBorders>
              <w:top w:val="nil"/>
              <w:left w:val="single" w:sz="4" w:space="0" w:color="auto"/>
              <w:bottom w:val="nil"/>
              <w:right w:val="single" w:sz="4" w:space="0" w:color="auto"/>
            </w:tcBorders>
            <w:shd w:val="clear" w:color="auto" w:fill="auto"/>
            <w:vAlign w:val="center"/>
          </w:tcPr>
          <w:p w14:paraId="1ACF690B" w14:textId="46A91E44" w:rsidR="0022309B" w:rsidRPr="00327E8F" w:rsidRDefault="00AF1BA2" w:rsidP="00862762">
            <w:pPr>
              <w:pStyle w:val="Tabletext0"/>
              <w:keepNext/>
              <w:keepLines/>
              <w:jc w:val="center"/>
              <w:rPr>
                <w:szCs w:val="20"/>
                <w:highlight w:val="lightGray"/>
              </w:rPr>
            </w:pPr>
            <w:r w:rsidRPr="001A0FFE">
              <w:rPr>
                <w:rFonts w:hint="eastAsia"/>
                <w:color w:val="000000"/>
                <w:w w:val="15"/>
                <w:szCs w:val="20"/>
                <w:shd w:val="solid" w:color="000000" w:fill="000000"/>
                <w:fitText w:val="70" w:id="-894171378"/>
                <w14:textFill>
                  <w14:solidFill>
                    <w14:srgbClr w14:val="000000">
                      <w14:alpha w14:val="100000"/>
                    </w14:srgbClr>
                  </w14:solidFill>
                </w14:textFill>
              </w:rPr>
              <w:t xml:space="preserve">　</w:t>
            </w:r>
            <w:r w:rsidRPr="001A0FFE">
              <w:rPr>
                <w:color w:val="000000"/>
                <w:w w:val="15"/>
                <w:szCs w:val="20"/>
                <w:shd w:val="solid" w:color="000000" w:fill="000000"/>
                <w:fitText w:val="70" w:id="-894171378"/>
                <w14:textFill>
                  <w14:solidFill>
                    <w14:srgbClr w14:val="000000">
                      <w14:alpha w14:val="100000"/>
                    </w14:srgbClr>
                  </w14:solidFill>
                </w14:textFill>
              </w:rPr>
              <w:t>|</w:t>
            </w:r>
            <w:r w:rsidRPr="001A0FFE">
              <w:rPr>
                <w:rFonts w:hint="eastAsia"/>
                <w:color w:val="000000"/>
                <w:spacing w:val="4"/>
                <w:w w:val="15"/>
                <w:szCs w:val="20"/>
                <w:shd w:val="solid" w:color="000000" w:fill="000000"/>
                <w:fitText w:val="70" w:id="-894171378"/>
                <w14:textFill>
                  <w14:solidFill>
                    <w14:srgbClr w14:val="000000">
                      <w14:alpha w14:val="100000"/>
                    </w14:srgbClr>
                  </w14:solidFill>
                </w14:textFill>
              </w:rPr>
              <w:t xml:space="preserve">　</w:t>
            </w:r>
            <w:r w:rsidR="00BB7531" w:rsidRPr="005C269B">
              <w:rPr>
                <w:b/>
                <w:bCs/>
                <w:vertAlign w:val="superscript"/>
              </w:rPr>
              <w:t>1</w:t>
            </w:r>
          </w:p>
        </w:tc>
        <w:tc>
          <w:tcPr>
            <w:tcW w:w="850" w:type="dxa"/>
            <w:tcBorders>
              <w:top w:val="nil"/>
              <w:left w:val="single" w:sz="4" w:space="0" w:color="auto"/>
              <w:bottom w:val="nil"/>
              <w:right w:val="single" w:sz="4" w:space="0" w:color="auto"/>
            </w:tcBorders>
            <w:shd w:val="clear" w:color="auto" w:fill="auto"/>
            <w:vAlign w:val="center"/>
          </w:tcPr>
          <w:p w14:paraId="21FD976D" w14:textId="08264045" w:rsidR="0022309B" w:rsidRPr="00327E8F" w:rsidRDefault="00AF1BA2" w:rsidP="00862762">
            <w:pPr>
              <w:pStyle w:val="Tabletext0"/>
              <w:keepNext/>
              <w:keepLines/>
              <w:jc w:val="center"/>
              <w:rPr>
                <w:szCs w:val="20"/>
                <w:highlight w:val="lightGray"/>
              </w:rPr>
            </w:pPr>
            <w:r w:rsidRPr="001A0FFE">
              <w:rPr>
                <w:rFonts w:hint="eastAsia"/>
                <w:color w:val="000000"/>
                <w:w w:val="15"/>
                <w:szCs w:val="20"/>
                <w:shd w:val="solid" w:color="000000" w:fill="000000"/>
                <w:fitText w:val="70" w:id="-894171377"/>
                <w14:textFill>
                  <w14:solidFill>
                    <w14:srgbClr w14:val="000000">
                      <w14:alpha w14:val="100000"/>
                    </w14:srgbClr>
                  </w14:solidFill>
                </w14:textFill>
              </w:rPr>
              <w:t xml:space="preserve">　</w:t>
            </w:r>
            <w:r w:rsidRPr="001A0FFE">
              <w:rPr>
                <w:color w:val="000000"/>
                <w:w w:val="15"/>
                <w:szCs w:val="20"/>
                <w:shd w:val="solid" w:color="000000" w:fill="000000"/>
                <w:fitText w:val="70" w:id="-894171377"/>
                <w14:textFill>
                  <w14:solidFill>
                    <w14:srgbClr w14:val="000000">
                      <w14:alpha w14:val="100000"/>
                    </w14:srgbClr>
                  </w14:solidFill>
                </w14:textFill>
              </w:rPr>
              <w:t>|</w:t>
            </w:r>
            <w:r w:rsidRPr="001A0FFE">
              <w:rPr>
                <w:rFonts w:hint="eastAsia"/>
                <w:color w:val="000000"/>
                <w:spacing w:val="4"/>
                <w:w w:val="15"/>
                <w:szCs w:val="20"/>
                <w:shd w:val="solid" w:color="000000" w:fill="000000"/>
                <w:fitText w:val="70" w:id="-894171377"/>
                <w14:textFill>
                  <w14:solidFill>
                    <w14:srgbClr w14:val="000000">
                      <w14:alpha w14:val="100000"/>
                    </w14:srgbClr>
                  </w14:solidFill>
                </w14:textFill>
              </w:rPr>
              <w:t xml:space="preserve">　</w:t>
            </w:r>
            <w:r w:rsidR="00BB7531" w:rsidRPr="005C269B">
              <w:rPr>
                <w:b/>
                <w:bCs/>
                <w:vertAlign w:val="superscript"/>
              </w:rPr>
              <w:t>1</w:t>
            </w:r>
          </w:p>
        </w:tc>
        <w:tc>
          <w:tcPr>
            <w:tcW w:w="992" w:type="dxa"/>
            <w:tcBorders>
              <w:top w:val="nil"/>
              <w:left w:val="single" w:sz="4" w:space="0" w:color="auto"/>
              <w:bottom w:val="nil"/>
              <w:right w:val="single" w:sz="4" w:space="0" w:color="auto"/>
            </w:tcBorders>
            <w:shd w:val="clear" w:color="auto" w:fill="auto"/>
            <w:vAlign w:val="center"/>
          </w:tcPr>
          <w:p w14:paraId="18A6EE91" w14:textId="654F5369" w:rsidR="0022309B" w:rsidRPr="00327E8F" w:rsidRDefault="00AF1BA2" w:rsidP="00862762">
            <w:pPr>
              <w:pStyle w:val="Tabletext0"/>
              <w:keepNext/>
              <w:keepLines/>
              <w:jc w:val="center"/>
              <w:rPr>
                <w:szCs w:val="20"/>
                <w:highlight w:val="lightGray"/>
              </w:rPr>
            </w:pPr>
            <w:r w:rsidRPr="001A0FFE">
              <w:rPr>
                <w:rFonts w:hint="eastAsia"/>
                <w:color w:val="000000"/>
                <w:w w:val="15"/>
                <w:szCs w:val="20"/>
                <w:shd w:val="solid" w:color="000000" w:fill="000000"/>
                <w:fitText w:val="70" w:id="-894171376"/>
                <w14:textFill>
                  <w14:solidFill>
                    <w14:srgbClr w14:val="000000">
                      <w14:alpha w14:val="100000"/>
                    </w14:srgbClr>
                  </w14:solidFill>
                </w14:textFill>
              </w:rPr>
              <w:t xml:space="preserve">　</w:t>
            </w:r>
            <w:r w:rsidRPr="001A0FFE">
              <w:rPr>
                <w:color w:val="000000"/>
                <w:w w:val="15"/>
                <w:szCs w:val="20"/>
                <w:shd w:val="solid" w:color="000000" w:fill="000000"/>
                <w:fitText w:val="70" w:id="-894171376"/>
                <w14:textFill>
                  <w14:solidFill>
                    <w14:srgbClr w14:val="000000">
                      <w14:alpha w14:val="100000"/>
                    </w14:srgbClr>
                  </w14:solidFill>
                </w14:textFill>
              </w:rPr>
              <w:t>|</w:t>
            </w:r>
            <w:r w:rsidRPr="001A0FFE">
              <w:rPr>
                <w:rFonts w:hint="eastAsia"/>
                <w:color w:val="000000"/>
                <w:spacing w:val="4"/>
                <w:w w:val="15"/>
                <w:szCs w:val="20"/>
                <w:shd w:val="solid" w:color="000000" w:fill="000000"/>
                <w:fitText w:val="70" w:id="-894171376"/>
                <w14:textFill>
                  <w14:solidFill>
                    <w14:srgbClr w14:val="000000">
                      <w14:alpha w14:val="100000"/>
                    </w14:srgbClr>
                  </w14:solidFill>
                </w14:textFill>
              </w:rPr>
              <w:t xml:space="preserve">　</w:t>
            </w:r>
            <w:r w:rsidR="00BB7531" w:rsidRPr="005C269B">
              <w:rPr>
                <w:b/>
                <w:bCs/>
                <w:vertAlign w:val="superscript"/>
              </w:rPr>
              <w:t>1</w:t>
            </w:r>
          </w:p>
        </w:tc>
      </w:tr>
      <w:tr w:rsidR="0022309B" w:rsidRPr="00350BF3" w14:paraId="014BCC84" w14:textId="77777777" w:rsidTr="1797D1E5">
        <w:tc>
          <w:tcPr>
            <w:tcW w:w="3256" w:type="dxa"/>
            <w:tcBorders>
              <w:top w:val="nil"/>
              <w:bottom w:val="nil"/>
            </w:tcBorders>
            <w:shd w:val="clear" w:color="auto" w:fill="auto"/>
            <w:vAlign w:val="center"/>
          </w:tcPr>
          <w:p w14:paraId="3EEE8F7C" w14:textId="77777777" w:rsidR="0022309B" w:rsidRPr="00350BF3" w:rsidRDefault="0022309B" w:rsidP="00862762">
            <w:pPr>
              <w:pStyle w:val="Tabletext0"/>
              <w:keepNext/>
              <w:keepLines/>
              <w:numPr>
                <w:ilvl w:val="0"/>
                <w:numId w:val="15"/>
              </w:numPr>
              <w:ind w:left="284" w:hanging="142"/>
              <w:rPr>
                <w:szCs w:val="20"/>
              </w:rPr>
            </w:pPr>
            <w:r w:rsidRPr="00350BF3">
              <w:rPr>
                <w:szCs w:val="20"/>
              </w:rPr>
              <w:t>Adults</w:t>
            </w:r>
          </w:p>
        </w:tc>
        <w:tc>
          <w:tcPr>
            <w:tcW w:w="992" w:type="dxa"/>
            <w:tcBorders>
              <w:top w:val="nil"/>
              <w:left w:val="nil"/>
              <w:bottom w:val="nil"/>
              <w:right w:val="single" w:sz="4" w:space="0" w:color="auto"/>
            </w:tcBorders>
            <w:shd w:val="clear" w:color="auto" w:fill="auto"/>
            <w:vAlign w:val="center"/>
          </w:tcPr>
          <w:p w14:paraId="6103645B" w14:textId="17F9D977" w:rsidR="0022309B" w:rsidRPr="00327E8F" w:rsidRDefault="00AF1BA2" w:rsidP="00862762">
            <w:pPr>
              <w:pStyle w:val="Tabletext0"/>
              <w:keepNext/>
              <w:keepLines/>
              <w:jc w:val="center"/>
              <w:rPr>
                <w:szCs w:val="20"/>
                <w:highlight w:val="lightGray"/>
              </w:rPr>
            </w:pPr>
            <w:r w:rsidRPr="001A0FFE">
              <w:rPr>
                <w:rFonts w:hint="eastAsia"/>
                <w:color w:val="000000"/>
                <w:w w:val="15"/>
                <w:szCs w:val="20"/>
                <w:shd w:val="solid" w:color="000000" w:fill="000000"/>
                <w:fitText w:val="70" w:id="-894171392"/>
                <w14:textFill>
                  <w14:solidFill>
                    <w14:srgbClr w14:val="000000">
                      <w14:alpha w14:val="100000"/>
                    </w14:srgbClr>
                  </w14:solidFill>
                </w14:textFill>
              </w:rPr>
              <w:t xml:space="preserve">　</w:t>
            </w:r>
            <w:r w:rsidRPr="001A0FFE">
              <w:rPr>
                <w:color w:val="000000"/>
                <w:w w:val="15"/>
                <w:szCs w:val="20"/>
                <w:shd w:val="solid" w:color="000000" w:fill="000000"/>
                <w:fitText w:val="70" w:id="-894171392"/>
                <w14:textFill>
                  <w14:solidFill>
                    <w14:srgbClr w14:val="000000">
                      <w14:alpha w14:val="100000"/>
                    </w14:srgbClr>
                  </w14:solidFill>
                </w14:textFill>
              </w:rPr>
              <w:t>|</w:t>
            </w:r>
            <w:r w:rsidRPr="001A0FFE">
              <w:rPr>
                <w:rFonts w:hint="eastAsia"/>
                <w:color w:val="000000"/>
                <w:spacing w:val="4"/>
                <w:w w:val="15"/>
                <w:szCs w:val="20"/>
                <w:shd w:val="solid" w:color="000000" w:fill="000000"/>
                <w:fitText w:val="70" w:id="-894171392"/>
                <w14:textFill>
                  <w14:solidFill>
                    <w14:srgbClr w14:val="000000">
                      <w14:alpha w14:val="100000"/>
                    </w14:srgbClr>
                  </w14:solidFill>
                </w14:textFill>
              </w:rPr>
              <w:t xml:space="preserve">　</w:t>
            </w:r>
            <w:r w:rsidR="00BB7531" w:rsidRPr="005C269B">
              <w:rPr>
                <w:b/>
                <w:bCs/>
                <w:vertAlign w:val="superscript"/>
              </w:rPr>
              <w:t>1</w:t>
            </w:r>
          </w:p>
        </w:tc>
        <w:tc>
          <w:tcPr>
            <w:tcW w:w="992" w:type="dxa"/>
            <w:tcBorders>
              <w:top w:val="nil"/>
              <w:left w:val="single" w:sz="4" w:space="0" w:color="auto"/>
              <w:bottom w:val="nil"/>
              <w:right w:val="single" w:sz="4" w:space="0" w:color="auto"/>
            </w:tcBorders>
            <w:shd w:val="clear" w:color="auto" w:fill="auto"/>
            <w:vAlign w:val="center"/>
          </w:tcPr>
          <w:p w14:paraId="5A2DEEDE" w14:textId="28173843" w:rsidR="0022309B" w:rsidRPr="00327E8F" w:rsidRDefault="00AF1BA2" w:rsidP="00862762">
            <w:pPr>
              <w:pStyle w:val="Tabletext0"/>
              <w:keepNext/>
              <w:keepLines/>
              <w:jc w:val="center"/>
              <w:rPr>
                <w:szCs w:val="20"/>
                <w:highlight w:val="lightGray"/>
              </w:rPr>
            </w:pPr>
            <w:r w:rsidRPr="001A0FFE">
              <w:rPr>
                <w:rFonts w:hint="eastAsia"/>
                <w:color w:val="000000"/>
                <w:w w:val="15"/>
                <w:szCs w:val="20"/>
                <w:shd w:val="solid" w:color="000000" w:fill="000000"/>
                <w:fitText w:val="70" w:id="-894171391"/>
                <w14:textFill>
                  <w14:solidFill>
                    <w14:srgbClr w14:val="000000">
                      <w14:alpha w14:val="100000"/>
                    </w14:srgbClr>
                  </w14:solidFill>
                </w14:textFill>
              </w:rPr>
              <w:t xml:space="preserve">　</w:t>
            </w:r>
            <w:r w:rsidRPr="001A0FFE">
              <w:rPr>
                <w:color w:val="000000"/>
                <w:w w:val="15"/>
                <w:szCs w:val="20"/>
                <w:shd w:val="solid" w:color="000000" w:fill="000000"/>
                <w:fitText w:val="70" w:id="-894171391"/>
                <w14:textFill>
                  <w14:solidFill>
                    <w14:srgbClr w14:val="000000">
                      <w14:alpha w14:val="100000"/>
                    </w14:srgbClr>
                  </w14:solidFill>
                </w14:textFill>
              </w:rPr>
              <w:t>|</w:t>
            </w:r>
            <w:r w:rsidRPr="001A0FFE">
              <w:rPr>
                <w:rFonts w:hint="eastAsia"/>
                <w:color w:val="000000"/>
                <w:spacing w:val="4"/>
                <w:w w:val="15"/>
                <w:szCs w:val="20"/>
                <w:shd w:val="solid" w:color="000000" w:fill="000000"/>
                <w:fitText w:val="70" w:id="-894171391"/>
                <w14:textFill>
                  <w14:solidFill>
                    <w14:srgbClr w14:val="000000">
                      <w14:alpha w14:val="100000"/>
                    </w14:srgbClr>
                  </w14:solidFill>
                </w14:textFill>
              </w:rPr>
              <w:t xml:space="preserve">　</w:t>
            </w:r>
            <w:r w:rsidR="00BB7531" w:rsidRPr="005C269B">
              <w:rPr>
                <w:b/>
                <w:bCs/>
                <w:vertAlign w:val="superscript"/>
              </w:rPr>
              <w:t>1</w:t>
            </w:r>
          </w:p>
        </w:tc>
        <w:tc>
          <w:tcPr>
            <w:tcW w:w="992" w:type="dxa"/>
            <w:tcBorders>
              <w:top w:val="nil"/>
              <w:left w:val="single" w:sz="4" w:space="0" w:color="auto"/>
              <w:bottom w:val="nil"/>
              <w:right w:val="single" w:sz="4" w:space="0" w:color="auto"/>
            </w:tcBorders>
            <w:shd w:val="clear" w:color="auto" w:fill="auto"/>
            <w:vAlign w:val="center"/>
          </w:tcPr>
          <w:p w14:paraId="2F31A57F" w14:textId="500A22DD" w:rsidR="0022309B" w:rsidRPr="00327E8F" w:rsidRDefault="00AF1BA2" w:rsidP="00862762">
            <w:pPr>
              <w:pStyle w:val="Tabletext0"/>
              <w:keepNext/>
              <w:keepLines/>
              <w:jc w:val="center"/>
              <w:rPr>
                <w:szCs w:val="20"/>
                <w:highlight w:val="lightGray"/>
              </w:rPr>
            </w:pPr>
            <w:r w:rsidRPr="001A0FFE">
              <w:rPr>
                <w:rFonts w:hint="eastAsia"/>
                <w:color w:val="000000"/>
                <w:w w:val="15"/>
                <w:szCs w:val="20"/>
                <w:shd w:val="solid" w:color="000000" w:fill="000000"/>
                <w:fitText w:val="70" w:id="-894171390"/>
                <w14:textFill>
                  <w14:solidFill>
                    <w14:srgbClr w14:val="000000">
                      <w14:alpha w14:val="100000"/>
                    </w14:srgbClr>
                  </w14:solidFill>
                </w14:textFill>
              </w:rPr>
              <w:t xml:space="preserve">　</w:t>
            </w:r>
            <w:r w:rsidRPr="001A0FFE">
              <w:rPr>
                <w:color w:val="000000"/>
                <w:w w:val="15"/>
                <w:szCs w:val="20"/>
                <w:shd w:val="solid" w:color="000000" w:fill="000000"/>
                <w:fitText w:val="70" w:id="-894171390"/>
                <w14:textFill>
                  <w14:solidFill>
                    <w14:srgbClr w14:val="000000">
                      <w14:alpha w14:val="100000"/>
                    </w14:srgbClr>
                  </w14:solidFill>
                </w14:textFill>
              </w:rPr>
              <w:t>|</w:t>
            </w:r>
            <w:r w:rsidRPr="001A0FFE">
              <w:rPr>
                <w:rFonts w:hint="eastAsia"/>
                <w:color w:val="000000"/>
                <w:spacing w:val="4"/>
                <w:w w:val="15"/>
                <w:szCs w:val="20"/>
                <w:shd w:val="solid" w:color="000000" w:fill="000000"/>
                <w:fitText w:val="70" w:id="-894171390"/>
                <w14:textFill>
                  <w14:solidFill>
                    <w14:srgbClr w14:val="000000">
                      <w14:alpha w14:val="100000"/>
                    </w14:srgbClr>
                  </w14:solidFill>
                </w14:textFill>
              </w:rPr>
              <w:t xml:space="preserve">　</w:t>
            </w:r>
            <w:r w:rsidR="00BB7531" w:rsidRPr="005C269B">
              <w:rPr>
                <w:b/>
                <w:bCs/>
                <w:vertAlign w:val="superscript"/>
              </w:rPr>
              <w:t>1</w:t>
            </w:r>
          </w:p>
        </w:tc>
        <w:tc>
          <w:tcPr>
            <w:tcW w:w="993" w:type="dxa"/>
            <w:tcBorders>
              <w:top w:val="nil"/>
              <w:left w:val="single" w:sz="4" w:space="0" w:color="auto"/>
              <w:bottom w:val="nil"/>
              <w:right w:val="single" w:sz="4" w:space="0" w:color="auto"/>
            </w:tcBorders>
            <w:shd w:val="clear" w:color="auto" w:fill="auto"/>
            <w:vAlign w:val="center"/>
          </w:tcPr>
          <w:p w14:paraId="1EA6D3BA" w14:textId="4977DDFB" w:rsidR="0022309B" w:rsidRPr="00327E8F" w:rsidRDefault="00AF1BA2" w:rsidP="00862762">
            <w:pPr>
              <w:pStyle w:val="Tabletext0"/>
              <w:keepNext/>
              <w:keepLines/>
              <w:jc w:val="center"/>
              <w:rPr>
                <w:szCs w:val="20"/>
                <w:highlight w:val="lightGray"/>
              </w:rPr>
            </w:pPr>
            <w:r w:rsidRPr="001A0FFE">
              <w:rPr>
                <w:rFonts w:hint="eastAsia"/>
                <w:color w:val="000000"/>
                <w:w w:val="15"/>
                <w:szCs w:val="20"/>
                <w:shd w:val="solid" w:color="000000" w:fill="000000"/>
                <w:fitText w:val="70" w:id="-894171389"/>
                <w14:textFill>
                  <w14:solidFill>
                    <w14:srgbClr w14:val="000000">
                      <w14:alpha w14:val="100000"/>
                    </w14:srgbClr>
                  </w14:solidFill>
                </w14:textFill>
              </w:rPr>
              <w:t xml:space="preserve">　</w:t>
            </w:r>
            <w:r w:rsidRPr="001A0FFE">
              <w:rPr>
                <w:color w:val="000000"/>
                <w:w w:val="15"/>
                <w:szCs w:val="20"/>
                <w:shd w:val="solid" w:color="000000" w:fill="000000"/>
                <w:fitText w:val="70" w:id="-894171389"/>
                <w14:textFill>
                  <w14:solidFill>
                    <w14:srgbClr w14:val="000000">
                      <w14:alpha w14:val="100000"/>
                    </w14:srgbClr>
                  </w14:solidFill>
                </w14:textFill>
              </w:rPr>
              <w:t>|</w:t>
            </w:r>
            <w:r w:rsidRPr="001A0FFE">
              <w:rPr>
                <w:rFonts w:hint="eastAsia"/>
                <w:color w:val="000000"/>
                <w:spacing w:val="4"/>
                <w:w w:val="15"/>
                <w:szCs w:val="20"/>
                <w:shd w:val="solid" w:color="000000" w:fill="000000"/>
                <w:fitText w:val="70" w:id="-894171389"/>
                <w14:textFill>
                  <w14:solidFill>
                    <w14:srgbClr w14:val="000000">
                      <w14:alpha w14:val="100000"/>
                    </w14:srgbClr>
                  </w14:solidFill>
                </w14:textFill>
              </w:rPr>
              <w:t xml:space="preserve">　</w:t>
            </w:r>
            <w:r w:rsidR="00BB7531" w:rsidRPr="005C269B">
              <w:rPr>
                <w:b/>
                <w:bCs/>
                <w:vertAlign w:val="superscript"/>
              </w:rPr>
              <w:t>1</w:t>
            </w:r>
          </w:p>
        </w:tc>
        <w:tc>
          <w:tcPr>
            <w:tcW w:w="850" w:type="dxa"/>
            <w:tcBorders>
              <w:top w:val="nil"/>
              <w:left w:val="single" w:sz="4" w:space="0" w:color="auto"/>
              <w:bottom w:val="nil"/>
              <w:right w:val="single" w:sz="4" w:space="0" w:color="auto"/>
            </w:tcBorders>
            <w:shd w:val="clear" w:color="auto" w:fill="auto"/>
            <w:vAlign w:val="center"/>
          </w:tcPr>
          <w:p w14:paraId="01155134" w14:textId="750F59F2" w:rsidR="0022309B" w:rsidRPr="00327E8F" w:rsidRDefault="00AF1BA2" w:rsidP="00862762">
            <w:pPr>
              <w:pStyle w:val="Tabletext0"/>
              <w:keepNext/>
              <w:keepLines/>
              <w:jc w:val="center"/>
              <w:rPr>
                <w:szCs w:val="20"/>
                <w:highlight w:val="lightGray"/>
              </w:rPr>
            </w:pPr>
            <w:r w:rsidRPr="001A0FFE">
              <w:rPr>
                <w:rFonts w:hint="eastAsia"/>
                <w:color w:val="000000"/>
                <w:w w:val="15"/>
                <w:szCs w:val="20"/>
                <w:shd w:val="solid" w:color="000000" w:fill="000000"/>
                <w:fitText w:val="70" w:id="-894171388"/>
                <w14:textFill>
                  <w14:solidFill>
                    <w14:srgbClr w14:val="000000">
                      <w14:alpha w14:val="100000"/>
                    </w14:srgbClr>
                  </w14:solidFill>
                </w14:textFill>
              </w:rPr>
              <w:t xml:space="preserve">　</w:t>
            </w:r>
            <w:r w:rsidRPr="001A0FFE">
              <w:rPr>
                <w:color w:val="000000"/>
                <w:w w:val="15"/>
                <w:szCs w:val="20"/>
                <w:shd w:val="solid" w:color="000000" w:fill="000000"/>
                <w:fitText w:val="70" w:id="-894171388"/>
                <w14:textFill>
                  <w14:solidFill>
                    <w14:srgbClr w14:val="000000">
                      <w14:alpha w14:val="100000"/>
                    </w14:srgbClr>
                  </w14:solidFill>
                </w14:textFill>
              </w:rPr>
              <w:t>|</w:t>
            </w:r>
            <w:r w:rsidRPr="001A0FFE">
              <w:rPr>
                <w:rFonts w:hint="eastAsia"/>
                <w:color w:val="000000"/>
                <w:spacing w:val="4"/>
                <w:w w:val="15"/>
                <w:szCs w:val="20"/>
                <w:shd w:val="solid" w:color="000000" w:fill="000000"/>
                <w:fitText w:val="70" w:id="-894171388"/>
                <w14:textFill>
                  <w14:solidFill>
                    <w14:srgbClr w14:val="000000">
                      <w14:alpha w14:val="100000"/>
                    </w14:srgbClr>
                  </w14:solidFill>
                </w14:textFill>
              </w:rPr>
              <w:t xml:space="preserve">　</w:t>
            </w:r>
            <w:r w:rsidR="00BB7531" w:rsidRPr="005C269B">
              <w:rPr>
                <w:b/>
                <w:bCs/>
                <w:vertAlign w:val="superscript"/>
              </w:rPr>
              <w:t>1</w:t>
            </w:r>
          </w:p>
        </w:tc>
        <w:tc>
          <w:tcPr>
            <w:tcW w:w="992" w:type="dxa"/>
            <w:tcBorders>
              <w:top w:val="nil"/>
              <w:left w:val="single" w:sz="4" w:space="0" w:color="auto"/>
              <w:bottom w:val="nil"/>
              <w:right w:val="single" w:sz="4" w:space="0" w:color="auto"/>
            </w:tcBorders>
            <w:shd w:val="clear" w:color="auto" w:fill="auto"/>
            <w:vAlign w:val="center"/>
          </w:tcPr>
          <w:p w14:paraId="29D8E812" w14:textId="40EE5EEF" w:rsidR="0022309B" w:rsidRPr="00327E8F" w:rsidRDefault="00AF1BA2" w:rsidP="00862762">
            <w:pPr>
              <w:pStyle w:val="Tabletext0"/>
              <w:keepNext/>
              <w:keepLines/>
              <w:jc w:val="center"/>
              <w:rPr>
                <w:szCs w:val="20"/>
                <w:highlight w:val="lightGray"/>
              </w:rPr>
            </w:pPr>
            <w:r w:rsidRPr="001A0FFE">
              <w:rPr>
                <w:rFonts w:hint="eastAsia"/>
                <w:color w:val="000000"/>
                <w:w w:val="15"/>
                <w:szCs w:val="20"/>
                <w:shd w:val="solid" w:color="000000" w:fill="000000"/>
                <w:fitText w:val="70" w:id="-894171387"/>
                <w14:textFill>
                  <w14:solidFill>
                    <w14:srgbClr w14:val="000000">
                      <w14:alpha w14:val="100000"/>
                    </w14:srgbClr>
                  </w14:solidFill>
                </w14:textFill>
              </w:rPr>
              <w:t xml:space="preserve">　</w:t>
            </w:r>
            <w:r w:rsidRPr="001A0FFE">
              <w:rPr>
                <w:color w:val="000000"/>
                <w:w w:val="15"/>
                <w:szCs w:val="20"/>
                <w:shd w:val="solid" w:color="000000" w:fill="000000"/>
                <w:fitText w:val="70" w:id="-894171387"/>
                <w14:textFill>
                  <w14:solidFill>
                    <w14:srgbClr w14:val="000000">
                      <w14:alpha w14:val="100000"/>
                    </w14:srgbClr>
                  </w14:solidFill>
                </w14:textFill>
              </w:rPr>
              <w:t>|</w:t>
            </w:r>
            <w:r w:rsidRPr="001A0FFE">
              <w:rPr>
                <w:rFonts w:hint="eastAsia"/>
                <w:color w:val="000000"/>
                <w:spacing w:val="4"/>
                <w:w w:val="15"/>
                <w:szCs w:val="20"/>
                <w:shd w:val="solid" w:color="000000" w:fill="000000"/>
                <w:fitText w:val="70" w:id="-894171387"/>
                <w14:textFill>
                  <w14:solidFill>
                    <w14:srgbClr w14:val="000000">
                      <w14:alpha w14:val="100000"/>
                    </w14:srgbClr>
                  </w14:solidFill>
                </w14:textFill>
              </w:rPr>
              <w:t xml:space="preserve">　</w:t>
            </w:r>
            <w:r w:rsidR="00BB7531" w:rsidRPr="005C269B">
              <w:rPr>
                <w:b/>
                <w:bCs/>
                <w:vertAlign w:val="superscript"/>
              </w:rPr>
              <w:t>1</w:t>
            </w:r>
          </w:p>
        </w:tc>
      </w:tr>
      <w:tr w:rsidR="0022309B" w:rsidRPr="00350BF3" w14:paraId="0C51396F" w14:textId="77777777" w:rsidTr="1797D1E5">
        <w:tc>
          <w:tcPr>
            <w:tcW w:w="3256" w:type="dxa"/>
            <w:tcBorders>
              <w:top w:val="nil"/>
              <w:bottom w:val="nil"/>
            </w:tcBorders>
            <w:shd w:val="clear" w:color="auto" w:fill="auto"/>
            <w:vAlign w:val="center"/>
          </w:tcPr>
          <w:p w14:paraId="53F197FD" w14:textId="77777777" w:rsidR="0022309B" w:rsidRPr="00350BF3" w:rsidRDefault="0022309B" w:rsidP="00862762">
            <w:pPr>
              <w:pStyle w:val="Tabletext0"/>
              <w:keepNext/>
              <w:keepLines/>
              <w:numPr>
                <w:ilvl w:val="0"/>
                <w:numId w:val="15"/>
              </w:numPr>
              <w:ind w:left="284" w:hanging="142"/>
              <w:rPr>
                <w:szCs w:val="20"/>
              </w:rPr>
            </w:pPr>
            <w:r w:rsidRPr="00350BF3">
              <w:rPr>
                <w:szCs w:val="20"/>
              </w:rPr>
              <w:t>Paediatric</w:t>
            </w:r>
          </w:p>
        </w:tc>
        <w:tc>
          <w:tcPr>
            <w:tcW w:w="992" w:type="dxa"/>
            <w:tcBorders>
              <w:top w:val="nil"/>
              <w:left w:val="nil"/>
              <w:bottom w:val="nil"/>
              <w:right w:val="single" w:sz="4" w:space="0" w:color="auto"/>
            </w:tcBorders>
            <w:shd w:val="clear" w:color="auto" w:fill="auto"/>
            <w:vAlign w:val="center"/>
          </w:tcPr>
          <w:p w14:paraId="7660B7A9" w14:textId="3C211A49" w:rsidR="0022309B" w:rsidRPr="00327E8F" w:rsidRDefault="00AF1BA2" w:rsidP="00862762">
            <w:pPr>
              <w:pStyle w:val="Tabletext0"/>
              <w:keepNext/>
              <w:keepLines/>
              <w:jc w:val="center"/>
              <w:rPr>
                <w:szCs w:val="20"/>
                <w:highlight w:val="lightGray"/>
              </w:rPr>
            </w:pPr>
            <w:r w:rsidRPr="001A0FFE">
              <w:rPr>
                <w:rFonts w:hint="eastAsia"/>
                <w:color w:val="000000"/>
                <w:w w:val="15"/>
                <w:szCs w:val="20"/>
                <w:shd w:val="solid" w:color="000000" w:fill="000000"/>
                <w:fitText w:val="70" w:id="-894171386"/>
                <w14:textFill>
                  <w14:solidFill>
                    <w14:srgbClr w14:val="000000">
                      <w14:alpha w14:val="100000"/>
                    </w14:srgbClr>
                  </w14:solidFill>
                </w14:textFill>
              </w:rPr>
              <w:t xml:space="preserve">　</w:t>
            </w:r>
            <w:r w:rsidRPr="001A0FFE">
              <w:rPr>
                <w:color w:val="000000"/>
                <w:w w:val="15"/>
                <w:szCs w:val="20"/>
                <w:shd w:val="solid" w:color="000000" w:fill="000000"/>
                <w:fitText w:val="70" w:id="-894171386"/>
                <w14:textFill>
                  <w14:solidFill>
                    <w14:srgbClr w14:val="000000">
                      <w14:alpha w14:val="100000"/>
                    </w14:srgbClr>
                  </w14:solidFill>
                </w14:textFill>
              </w:rPr>
              <w:t>|</w:t>
            </w:r>
            <w:r w:rsidRPr="001A0FFE">
              <w:rPr>
                <w:rFonts w:hint="eastAsia"/>
                <w:color w:val="000000"/>
                <w:spacing w:val="4"/>
                <w:w w:val="15"/>
                <w:szCs w:val="20"/>
                <w:shd w:val="solid" w:color="000000" w:fill="000000"/>
                <w:fitText w:val="70" w:id="-894171386"/>
                <w14:textFill>
                  <w14:solidFill>
                    <w14:srgbClr w14:val="000000">
                      <w14:alpha w14:val="100000"/>
                    </w14:srgbClr>
                  </w14:solidFill>
                </w14:textFill>
              </w:rPr>
              <w:t xml:space="preserve">　</w:t>
            </w:r>
            <w:r w:rsidR="00BB7531" w:rsidRPr="005C269B">
              <w:rPr>
                <w:b/>
                <w:bCs/>
                <w:vertAlign w:val="superscript"/>
              </w:rPr>
              <w:t>1</w:t>
            </w:r>
          </w:p>
        </w:tc>
        <w:tc>
          <w:tcPr>
            <w:tcW w:w="992" w:type="dxa"/>
            <w:tcBorders>
              <w:top w:val="nil"/>
              <w:left w:val="single" w:sz="4" w:space="0" w:color="auto"/>
              <w:bottom w:val="nil"/>
              <w:right w:val="single" w:sz="4" w:space="0" w:color="auto"/>
            </w:tcBorders>
            <w:shd w:val="clear" w:color="auto" w:fill="auto"/>
            <w:vAlign w:val="center"/>
          </w:tcPr>
          <w:p w14:paraId="7772CDEB" w14:textId="70ED63B7" w:rsidR="0022309B" w:rsidRPr="00327E8F" w:rsidRDefault="00AF1BA2" w:rsidP="00862762">
            <w:pPr>
              <w:pStyle w:val="Tabletext0"/>
              <w:keepNext/>
              <w:keepLines/>
              <w:jc w:val="center"/>
              <w:rPr>
                <w:szCs w:val="20"/>
                <w:highlight w:val="lightGray"/>
              </w:rPr>
            </w:pPr>
            <w:r w:rsidRPr="001A0FFE">
              <w:rPr>
                <w:rFonts w:hint="eastAsia"/>
                <w:color w:val="000000"/>
                <w:w w:val="15"/>
                <w:szCs w:val="20"/>
                <w:shd w:val="solid" w:color="000000" w:fill="000000"/>
                <w:fitText w:val="70" w:id="-894171385"/>
                <w14:textFill>
                  <w14:solidFill>
                    <w14:srgbClr w14:val="000000">
                      <w14:alpha w14:val="100000"/>
                    </w14:srgbClr>
                  </w14:solidFill>
                </w14:textFill>
              </w:rPr>
              <w:t xml:space="preserve">　</w:t>
            </w:r>
            <w:r w:rsidRPr="001A0FFE">
              <w:rPr>
                <w:color w:val="000000"/>
                <w:w w:val="15"/>
                <w:szCs w:val="20"/>
                <w:shd w:val="solid" w:color="000000" w:fill="000000"/>
                <w:fitText w:val="70" w:id="-894171385"/>
                <w14:textFill>
                  <w14:solidFill>
                    <w14:srgbClr w14:val="000000">
                      <w14:alpha w14:val="100000"/>
                    </w14:srgbClr>
                  </w14:solidFill>
                </w14:textFill>
              </w:rPr>
              <w:t>|</w:t>
            </w:r>
            <w:r w:rsidRPr="001A0FFE">
              <w:rPr>
                <w:rFonts w:hint="eastAsia"/>
                <w:color w:val="000000"/>
                <w:spacing w:val="4"/>
                <w:w w:val="15"/>
                <w:szCs w:val="20"/>
                <w:shd w:val="solid" w:color="000000" w:fill="000000"/>
                <w:fitText w:val="70" w:id="-894171385"/>
                <w14:textFill>
                  <w14:solidFill>
                    <w14:srgbClr w14:val="000000">
                      <w14:alpha w14:val="100000"/>
                    </w14:srgbClr>
                  </w14:solidFill>
                </w14:textFill>
              </w:rPr>
              <w:t xml:space="preserve">　</w:t>
            </w:r>
            <w:r w:rsidR="000E2CBA" w:rsidRPr="005C269B">
              <w:rPr>
                <w:b/>
                <w:bCs/>
                <w:vertAlign w:val="superscript"/>
              </w:rPr>
              <w:t>1</w:t>
            </w:r>
          </w:p>
        </w:tc>
        <w:tc>
          <w:tcPr>
            <w:tcW w:w="992" w:type="dxa"/>
            <w:tcBorders>
              <w:top w:val="nil"/>
              <w:left w:val="single" w:sz="4" w:space="0" w:color="auto"/>
              <w:bottom w:val="nil"/>
              <w:right w:val="single" w:sz="4" w:space="0" w:color="auto"/>
            </w:tcBorders>
            <w:shd w:val="clear" w:color="auto" w:fill="auto"/>
            <w:vAlign w:val="center"/>
          </w:tcPr>
          <w:p w14:paraId="0A52B692" w14:textId="65A5BBE9" w:rsidR="0022309B" w:rsidRPr="00327E8F" w:rsidRDefault="00AF1BA2" w:rsidP="00862762">
            <w:pPr>
              <w:pStyle w:val="Tabletext0"/>
              <w:keepNext/>
              <w:keepLines/>
              <w:jc w:val="center"/>
              <w:rPr>
                <w:szCs w:val="20"/>
                <w:highlight w:val="lightGray"/>
              </w:rPr>
            </w:pPr>
            <w:r w:rsidRPr="001A0FFE">
              <w:rPr>
                <w:rFonts w:hint="eastAsia"/>
                <w:color w:val="000000"/>
                <w:w w:val="15"/>
                <w:szCs w:val="20"/>
                <w:shd w:val="solid" w:color="000000" w:fill="000000"/>
                <w:fitText w:val="70" w:id="-894171384"/>
                <w14:textFill>
                  <w14:solidFill>
                    <w14:srgbClr w14:val="000000">
                      <w14:alpha w14:val="100000"/>
                    </w14:srgbClr>
                  </w14:solidFill>
                </w14:textFill>
              </w:rPr>
              <w:t xml:space="preserve">　</w:t>
            </w:r>
            <w:r w:rsidRPr="001A0FFE">
              <w:rPr>
                <w:color w:val="000000"/>
                <w:w w:val="15"/>
                <w:szCs w:val="20"/>
                <w:shd w:val="solid" w:color="000000" w:fill="000000"/>
                <w:fitText w:val="70" w:id="-894171384"/>
                <w14:textFill>
                  <w14:solidFill>
                    <w14:srgbClr w14:val="000000">
                      <w14:alpha w14:val="100000"/>
                    </w14:srgbClr>
                  </w14:solidFill>
                </w14:textFill>
              </w:rPr>
              <w:t>|</w:t>
            </w:r>
            <w:r w:rsidRPr="001A0FFE">
              <w:rPr>
                <w:rFonts w:hint="eastAsia"/>
                <w:color w:val="000000"/>
                <w:spacing w:val="4"/>
                <w:w w:val="15"/>
                <w:szCs w:val="20"/>
                <w:shd w:val="solid" w:color="000000" w:fill="000000"/>
                <w:fitText w:val="70" w:id="-894171384"/>
                <w14:textFill>
                  <w14:solidFill>
                    <w14:srgbClr w14:val="000000">
                      <w14:alpha w14:val="100000"/>
                    </w14:srgbClr>
                  </w14:solidFill>
                </w14:textFill>
              </w:rPr>
              <w:t xml:space="preserve">　</w:t>
            </w:r>
            <w:r w:rsidR="000E2CBA" w:rsidRPr="005C269B">
              <w:rPr>
                <w:b/>
                <w:bCs/>
                <w:vertAlign w:val="superscript"/>
              </w:rPr>
              <w:t>1</w:t>
            </w:r>
          </w:p>
        </w:tc>
        <w:tc>
          <w:tcPr>
            <w:tcW w:w="993" w:type="dxa"/>
            <w:tcBorders>
              <w:top w:val="nil"/>
              <w:left w:val="single" w:sz="4" w:space="0" w:color="auto"/>
              <w:bottom w:val="nil"/>
              <w:right w:val="single" w:sz="4" w:space="0" w:color="auto"/>
            </w:tcBorders>
            <w:shd w:val="clear" w:color="auto" w:fill="auto"/>
            <w:vAlign w:val="center"/>
          </w:tcPr>
          <w:p w14:paraId="2232BECE" w14:textId="495188E3" w:rsidR="0022309B" w:rsidRPr="00327E8F" w:rsidRDefault="00AF1BA2" w:rsidP="00862762">
            <w:pPr>
              <w:pStyle w:val="Tabletext0"/>
              <w:keepNext/>
              <w:keepLines/>
              <w:jc w:val="center"/>
              <w:rPr>
                <w:szCs w:val="20"/>
                <w:highlight w:val="lightGray"/>
              </w:rPr>
            </w:pPr>
            <w:r w:rsidRPr="001A0FFE">
              <w:rPr>
                <w:rFonts w:hint="eastAsia"/>
                <w:color w:val="000000"/>
                <w:w w:val="15"/>
                <w:szCs w:val="20"/>
                <w:shd w:val="solid" w:color="000000" w:fill="000000"/>
                <w:fitText w:val="70" w:id="-894171383"/>
                <w14:textFill>
                  <w14:solidFill>
                    <w14:srgbClr w14:val="000000">
                      <w14:alpha w14:val="100000"/>
                    </w14:srgbClr>
                  </w14:solidFill>
                </w14:textFill>
              </w:rPr>
              <w:t xml:space="preserve">　</w:t>
            </w:r>
            <w:r w:rsidRPr="001A0FFE">
              <w:rPr>
                <w:color w:val="000000"/>
                <w:w w:val="15"/>
                <w:szCs w:val="20"/>
                <w:shd w:val="solid" w:color="000000" w:fill="000000"/>
                <w:fitText w:val="70" w:id="-894171383"/>
                <w14:textFill>
                  <w14:solidFill>
                    <w14:srgbClr w14:val="000000">
                      <w14:alpha w14:val="100000"/>
                    </w14:srgbClr>
                  </w14:solidFill>
                </w14:textFill>
              </w:rPr>
              <w:t>|</w:t>
            </w:r>
            <w:r w:rsidRPr="001A0FFE">
              <w:rPr>
                <w:rFonts w:hint="eastAsia"/>
                <w:color w:val="000000"/>
                <w:spacing w:val="4"/>
                <w:w w:val="15"/>
                <w:szCs w:val="20"/>
                <w:shd w:val="solid" w:color="000000" w:fill="000000"/>
                <w:fitText w:val="70" w:id="-894171383"/>
                <w14:textFill>
                  <w14:solidFill>
                    <w14:srgbClr w14:val="000000">
                      <w14:alpha w14:val="100000"/>
                    </w14:srgbClr>
                  </w14:solidFill>
                </w14:textFill>
              </w:rPr>
              <w:t xml:space="preserve">　</w:t>
            </w:r>
            <w:r w:rsidR="000E2CBA" w:rsidRPr="005C269B">
              <w:rPr>
                <w:b/>
                <w:bCs/>
                <w:vertAlign w:val="superscript"/>
              </w:rPr>
              <w:t>1</w:t>
            </w:r>
          </w:p>
        </w:tc>
        <w:tc>
          <w:tcPr>
            <w:tcW w:w="850" w:type="dxa"/>
            <w:tcBorders>
              <w:top w:val="nil"/>
              <w:left w:val="single" w:sz="4" w:space="0" w:color="auto"/>
              <w:bottom w:val="nil"/>
              <w:right w:val="single" w:sz="4" w:space="0" w:color="auto"/>
            </w:tcBorders>
            <w:shd w:val="clear" w:color="auto" w:fill="auto"/>
            <w:vAlign w:val="center"/>
          </w:tcPr>
          <w:p w14:paraId="0FCEAE6B" w14:textId="5EA26D08" w:rsidR="0022309B" w:rsidRPr="00327E8F" w:rsidRDefault="00AF1BA2" w:rsidP="00862762">
            <w:pPr>
              <w:pStyle w:val="Tabletext0"/>
              <w:keepNext/>
              <w:keepLines/>
              <w:jc w:val="center"/>
              <w:rPr>
                <w:szCs w:val="20"/>
                <w:highlight w:val="lightGray"/>
              </w:rPr>
            </w:pPr>
            <w:r w:rsidRPr="001A0FFE">
              <w:rPr>
                <w:rFonts w:hint="eastAsia"/>
                <w:color w:val="000000"/>
                <w:w w:val="15"/>
                <w:szCs w:val="20"/>
                <w:shd w:val="solid" w:color="000000" w:fill="000000"/>
                <w:fitText w:val="70" w:id="-894171382"/>
                <w14:textFill>
                  <w14:solidFill>
                    <w14:srgbClr w14:val="000000">
                      <w14:alpha w14:val="100000"/>
                    </w14:srgbClr>
                  </w14:solidFill>
                </w14:textFill>
              </w:rPr>
              <w:t xml:space="preserve">　</w:t>
            </w:r>
            <w:r w:rsidRPr="001A0FFE">
              <w:rPr>
                <w:color w:val="000000"/>
                <w:w w:val="15"/>
                <w:szCs w:val="20"/>
                <w:shd w:val="solid" w:color="000000" w:fill="000000"/>
                <w:fitText w:val="70" w:id="-894171382"/>
                <w14:textFill>
                  <w14:solidFill>
                    <w14:srgbClr w14:val="000000">
                      <w14:alpha w14:val="100000"/>
                    </w14:srgbClr>
                  </w14:solidFill>
                </w14:textFill>
              </w:rPr>
              <w:t>|</w:t>
            </w:r>
            <w:r w:rsidRPr="001A0FFE">
              <w:rPr>
                <w:rFonts w:hint="eastAsia"/>
                <w:color w:val="000000"/>
                <w:spacing w:val="4"/>
                <w:w w:val="15"/>
                <w:szCs w:val="20"/>
                <w:shd w:val="solid" w:color="000000" w:fill="000000"/>
                <w:fitText w:val="70" w:id="-894171382"/>
                <w14:textFill>
                  <w14:solidFill>
                    <w14:srgbClr w14:val="000000">
                      <w14:alpha w14:val="100000"/>
                    </w14:srgbClr>
                  </w14:solidFill>
                </w14:textFill>
              </w:rPr>
              <w:t xml:space="preserve">　</w:t>
            </w:r>
            <w:r w:rsidR="000E2CBA" w:rsidRPr="005C269B">
              <w:rPr>
                <w:b/>
                <w:bCs/>
                <w:vertAlign w:val="superscript"/>
              </w:rPr>
              <w:t>1</w:t>
            </w:r>
          </w:p>
        </w:tc>
        <w:tc>
          <w:tcPr>
            <w:tcW w:w="992" w:type="dxa"/>
            <w:tcBorders>
              <w:top w:val="nil"/>
              <w:left w:val="single" w:sz="4" w:space="0" w:color="auto"/>
              <w:bottom w:val="nil"/>
              <w:right w:val="single" w:sz="4" w:space="0" w:color="auto"/>
            </w:tcBorders>
            <w:shd w:val="clear" w:color="auto" w:fill="auto"/>
            <w:vAlign w:val="center"/>
          </w:tcPr>
          <w:p w14:paraId="07060096" w14:textId="282697B8" w:rsidR="0022309B" w:rsidRPr="00327E8F" w:rsidRDefault="00AF1BA2" w:rsidP="00862762">
            <w:pPr>
              <w:pStyle w:val="Tabletext0"/>
              <w:keepNext/>
              <w:keepLines/>
              <w:jc w:val="center"/>
              <w:rPr>
                <w:szCs w:val="20"/>
                <w:highlight w:val="lightGray"/>
              </w:rPr>
            </w:pPr>
            <w:r w:rsidRPr="001A0FFE">
              <w:rPr>
                <w:rFonts w:hint="eastAsia"/>
                <w:color w:val="000000"/>
                <w:w w:val="15"/>
                <w:szCs w:val="20"/>
                <w:shd w:val="solid" w:color="000000" w:fill="000000"/>
                <w:fitText w:val="70" w:id="-894171381"/>
                <w14:textFill>
                  <w14:solidFill>
                    <w14:srgbClr w14:val="000000">
                      <w14:alpha w14:val="100000"/>
                    </w14:srgbClr>
                  </w14:solidFill>
                </w14:textFill>
              </w:rPr>
              <w:t xml:space="preserve">　</w:t>
            </w:r>
            <w:r w:rsidRPr="001A0FFE">
              <w:rPr>
                <w:color w:val="000000"/>
                <w:w w:val="15"/>
                <w:szCs w:val="20"/>
                <w:shd w:val="solid" w:color="000000" w:fill="000000"/>
                <w:fitText w:val="70" w:id="-894171381"/>
                <w14:textFill>
                  <w14:solidFill>
                    <w14:srgbClr w14:val="000000">
                      <w14:alpha w14:val="100000"/>
                    </w14:srgbClr>
                  </w14:solidFill>
                </w14:textFill>
              </w:rPr>
              <w:t>|</w:t>
            </w:r>
            <w:r w:rsidRPr="001A0FFE">
              <w:rPr>
                <w:rFonts w:hint="eastAsia"/>
                <w:color w:val="000000"/>
                <w:spacing w:val="4"/>
                <w:w w:val="15"/>
                <w:szCs w:val="20"/>
                <w:shd w:val="solid" w:color="000000" w:fill="000000"/>
                <w:fitText w:val="70" w:id="-894171381"/>
                <w14:textFill>
                  <w14:solidFill>
                    <w14:srgbClr w14:val="000000">
                      <w14:alpha w14:val="100000"/>
                    </w14:srgbClr>
                  </w14:solidFill>
                </w14:textFill>
              </w:rPr>
              <w:t xml:space="preserve">　</w:t>
            </w:r>
            <w:r w:rsidR="000E2CBA" w:rsidRPr="005C269B">
              <w:rPr>
                <w:b/>
                <w:bCs/>
                <w:vertAlign w:val="superscript"/>
              </w:rPr>
              <w:t>1</w:t>
            </w:r>
          </w:p>
        </w:tc>
      </w:tr>
      <w:tr w:rsidR="0022309B" w:rsidRPr="00350BF3" w14:paraId="488C6C08" w14:textId="77777777" w:rsidTr="1797D1E5">
        <w:tc>
          <w:tcPr>
            <w:tcW w:w="3256" w:type="dxa"/>
            <w:tcBorders>
              <w:top w:val="nil"/>
              <w:bottom w:val="single" w:sz="4" w:space="0" w:color="auto"/>
            </w:tcBorders>
            <w:shd w:val="clear" w:color="auto" w:fill="auto"/>
            <w:vAlign w:val="center"/>
          </w:tcPr>
          <w:p w14:paraId="231520FB" w14:textId="77777777" w:rsidR="0022309B" w:rsidRPr="00350BF3" w:rsidRDefault="0022309B" w:rsidP="00862762">
            <w:pPr>
              <w:pStyle w:val="Tabletext0"/>
              <w:keepNext/>
              <w:keepLines/>
              <w:numPr>
                <w:ilvl w:val="0"/>
                <w:numId w:val="15"/>
              </w:numPr>
              <w:ind w:left="142" w:hanging="142"/>
              <w:rPr>
                <w:szCs w:val="20"/>
              </w:rPr>
            </w:pPr>
            <w:r w:rsidRPr="00350BF3">
              <w:rPr>
                <w:szCs w:val="20"/>
              </w:rPr>
              <w:t xml:space="preserve">RPBS </w:t>
            </w:r>
          </w:p>
        </w:tc>
        <w:tc>
          <w:tcPr>
            <w:tcW w:w="992" w:type="dxa"/>
            <w:tcBorders>
              <w:top w:val="nil"/>
              <w:left w:val="nil"/>
              <w:bottom w:val="single" w:sz="4" w:space="0" w:color="auto"/>
              <w:right w:val="single" w:sz="4" w:space="0" w:color="auto"/>
            </w:tcBorders>
            <w:shd w:val="clear" w:color="auto" w:fill="auto"/>
            <w:vAlign w:val="center"/>
          </w:tcPr>
          <w:p w14:paraId="7C9F05DC" w14:textId="33928AAB" w:rsidR="0022309B" w:rsidRPr="00327E8F" w:rsidRDefault="00AF1BA2" w:rsidP="00862762">
            <w:pPr>
              <w:pStyle w:val="Tabletext0"/>
              <w:keepNext/>
              <w:keepLines/>
              <w:jc w:val="center"/>
              <w:rPr>
                <w:szCs w:val="20"/>
                <w:highlight w:val="lightGray"/>
              </w:rPr>
            </w:pPr>
            <w:r w:rsidRPr="001A0FFE">
              <w:rPr>
                <w:rFonts w:hint="eastAsia"/>
                <w:color w:val="000000"/>
                <w:w w:val="15"/>
                <w:szCs w:val="20"/>
                <w:shd w:val="solid" w:color="000000" w:fill="000000"/>
                <w:fitText w:val="70" w:id="-894171380"/>
                <w14:textFill>
                  <w14:solidFill>
                    <w14:srgbClr w14:val="000000">
                      <w14:alpha w14:val="100000"/>
                    </w14:srgbClr>
                  </w14:solidFill>
                </w14:textFill>
              </w:rPr>
              <w:t xml:space="preserve">　</w:t>
            </w:r>
            <w:r w:rsidRPr="001A0FFE">
              <w:rPr>
                <w:color w:val="000000"/>
                <w:w w:val="15"/>
                <w:szCs w:val="20"/>
                <w:shd w:val="solid" w:color="000000" w:fill="000000"/>
                <w:fitText w:val="70" w:id="-894171380"/>
                <w14:textFill>
                  <w14:solidFill>
                    <w14:srgbClr w14:val="000000">
                      <w14:alpha w14:val="100000"/>
                    </w14:srgbClr>
                  </w14:solidFill>
                </w14:textFill>
              </w:rPr>
              <w:t>|</w:t>
            </w:r>
            <w:r w:rsidRPr="001A0FFE">
              <w:rPr>
                <w:rFonts w:hint="eastAsia"/>
                <w:color w:val="000000"/>
                <w:spacing w:val="4"/>
                <w:w w:val="15"/>
                <w:szCs w:val="20"/>
                <w:shd w:val="solid" w:color="000000" w:fill="000000"/>
                <w:fitText w:val="70" w:id="-894171380"/>
                <w14:textFill>
                  <w14:solidFill>
                    <w14:srgbClr w14:val="000000">
                      <w14:alpha w14:val="100000"/>
                    </w14:srgbClr>
                  </w14:solidFill>
                </w14:textFill>
              </w:rPr>
              <w:t xml:space="preserve">　</w:t>
            </w:r>
            <w:r w:rsidR="000E2CBA" w:rsidRPr="005C269B">
              <w:rPr>
                <w:b/>
                <w:bCs/>
                <w:vertAlign w:val="superscript"/>
              </w:rPr>
              <w:t>1</w:t>
            </w:r>
          </w:p>
        </w:tc>
        <w:tc>
          <w:tcPr>
            <w:tcW w:w="992" w:type="dxa"/>
            <w:tcBorders>
              <w:top w:val="nil"/>
              <w:left w:val="single" w:sz="4" w:space="0" w:color="auto"/>
              <w:bottom w:val="single" w:sz="4" w:space="0" w:color="auto"/>
              <w:right w:val="single" w:sz="4" w:space="0" w:color="auto"/>
            </w:tcBorders>
            <w:shd w:val="clear" w:color="auto" w:fill="auto"/>
            <w:vAlign w:val="center"/>
          </w:tcPr>
          <w:p w14:paraId="7BB0D077" w14:textId="19AC8C6F" w:rsidR="0022309B" w:rsidRPr="00327E8F" w:rsidRDefault="00AF1BA2" w:rsidP="00862762">
            <w:pPr>
              <w:pStyle w:val="Tabletext0"/>
              <w:keepNext/>
              <w:keepLines/>
              <w:jc w:val="center"/>
              <w:rPr>
                <w:szCs w:val="20"/>
                <w:highlight w:val="lightGray"/>
              </w:rPr>
            </w:pPr>
            <w:r w:rsidRPr="001A0FFE">
              <w:rPr>
                <w:rFonts w:hint="eastAsia"/>
                <w:color w:val="000000"/>
                <w:w w:val="15"/>
                <w:szCs w:val="20"/>
                <w:shd w:val="solid" w:color="000000" w:fill="000000"/>
                <w:fitText w:val="70" w:id="-894171379"/>
                <w14:textFill>
                  <w14:solidFill>
                    <w14:srgbClr w14:val="000000">
                      <w14:alpha w14:val="100000"/>
                    </w14:srgbClr>
                  </w14:solidFill>
                </w14:textFill>
              </w:rPr>
              <w:t xml:space="preserve">　</w:t>
            </w:r>
            <w:r w:rsidRPr="001A0FFE">
              <w:rPr>
                <w:color w:val="000000"/>
                <w:w w:val="15"/>
                <w:szCs w:val="20"/>
                <w:shd w:val="solid" w:color="000000" w:fill="000000"/>
                <w:fitText w:val="70" w:id="-894171379"/>
                <w14:textFill>
                  <w14:solidFill>
                    <w14:srgbClr w14:val="000000">
                      <w14:alpha w14:val="100000"/>
                    </w14:srgbClr>
                  </w14:solidFill>
                </w14:textFill>
              </w:rPr>
              <w:t>|</w:t>
            </w:r>
            <w:r w:rsidRPr="001A0FFE">
              <w:rPr>
                <w:rFonts w:hint="eastAsia"/>
                <w:color w:val="000000"/>
                <w:spacing w:val="4"/>
                <w:w w:val="15"/>
                <w:szCs w:val="20"/>
                <w:shd w:val="solid" w:color="000000" w:fill="000000"/>
                <w:fitText w:val="70" w:id="-894171379"/>
                <w14:textFill>
                  <w14:solidFill>
                    <w14:srgbClr w14:val="000000">
                      <w14:alpha w14:val="100000"/>
                    </w14:srgbClr>
                  </w14:solidFill>
                </w14:textFill>
              </w:rPr>
              <w:t xml:space="preserve">　</w:t>
            </w:r>
            <w:r w:rsidR="000E2CBA" w:rsidRPr="005C269B">
              <w:rPr>
                <w:b/>
                <w:bCs/>
                <w:vertAlign w:val="superscript"/>
              </w:rPr>
              <w:t>1</w:t>
            </w:r>
          </w:p>
        </w:tc>
        <w:tc>
          <w:tcPr>
            <w:tcW w:w="992" w:type="dxa"/>
            <w:tcBorders>
              <w:top w:val="nil"/>
              <w:left w:val="single" w:sz="4" w:space="0" w:color="auto"/>
              <w:bottom w:val="single" w:sz="4" w:space="0" w:color="auto"/>
              <w:right w:val="single" w:sz="4" w:space="0" w:color="auto"/>
            </w:tcBorders>
            <w:shd w:val="clear" w:color="auto" w:fill="auto"/>
            <w:vAlign w:val="center"/>
          </w:tcPr>
          <w:p w14:paraId="493A55B3" w14:textId="06011C4C" w:rsidR="0022309B" w:rsidRPr="00327E8F" w:rsidRDefault="00AF1BA2" w:rsidP="00862762">
            <w:pPr>
              <w:pStyle w:val="Tabletext0"/>
              <w:keepNext/>
              <w:keepLines/>
              <w:jc w:val="center"/>
              <w:rPr>
                <w:szCs w:val="20"/>
                <w:highlight w:val="lightGray"/>
              </w:rPr>
            </w:pPr>
            <w:r w:rsidRPr="001A0FFE">
              <w:rPr>
                <w:rFonts w:hint="eastAsia"/>
                <w:color w:val="000000"/>
                <w:w w:val="15"/>
                <w:szCs w:val="20"/>
                <w:shd w:val="solid" w:color="000000" w:fill="000000"/>
                <w:fitText w:val="70" w:id="-894171378"/>
                <w14:textFill>
                  <w14:solidFill>
                    <w14:srgbClr w14:val="000000">
                      <w14:alpha w14:val="100000"/>
                    </w14:srgbClr>
                  </w14:solidFill>
                </w14:textFill>
              </w:rPr>
              <w:t xml:space="preserve">　</w:t>
            </w:r>
            <w:r w:rsidRPr="001A0FFE">
              <w:rPr>
                <w:color w:val="000000"/>
                <w:w w:val="15"/>
                <w:szCs w:val="20"/>
                <w:shd w:val="solid" w:color="000000" w:fill="000000"/>
                <w:fitText w:val="70" w:id="-894171378"/>
                <w14:textFill>
                  <w14:solidFill>
                    <w14:srgbClr w14:val="000000">
                      <w14:alpha w14:val="100000"/>
                    </w14:srgbClr>
                  </w14:solidFill>
                </w14:textFill>
              </w:rPr>
              <w:t>|</w:t>
            </w:r>
            <w:r w:rsidRPr="001A0FFE">
              <w:rPr>
                <w:rFonts w:hint="eastAsia"/>
                <w:color w:val="000000"/>
                <w:spacing w:val="4"/>
                <w:w w:val="15"/>
                <w:szCs w:val="20"/>
                <w:shd w:val="solid" w:color="000000" w:fill="000000"/>
                <w:fitText w:val="70" w:id="-894171378"/>
                <w14:textFill>
                  <w14:solidFill>
                    <w14:srgbClr w14:val="000000">
                      <w14:alpha w14:val="100000"/>
                    </w14:srgbClr>
                  </w14:solidFill>
                </w14:textFill>
              </w:rPr>
              <w:t xml:space="preserve">　</w:t>
            </w:r>
            <w:r w:rsidR="000E2CBA" w:rsidRPr="005C269B">
              <w:rPr>
                <w:b/>
                <w:bCs/>
                <w:vertAlign w:val="superscript"/>
              </w:rPr>
              <w:t>1</w:t>
            </w:r>
          </w:p>
        </w:tc>
        <w:tc>
          <w:tcPr>
            <w:tcW w:w="993" w:type="dxa"/>
            <w:tcBorders>
              <w:top w:val="nil"/>
              <w:left w:val="single" w:sz="4" w:space="0" w:color="auto"/>
              <w:bottom w:val="single" w:sz="4" w:space="0" w:color="auto"/>
              <w:right w:val="single" w:sz="4" w:space="0" w:color="auto"/>
            </w:tcBorders>
            <w:shd w:val="clear" w:color="auto" w:fill="auto"/>
            <w:vAlign w:val="center"/>
          </w:tcPr>
          <w:p w14:paraId="5DF6803A" w14:textId="436A8BE2" w:rsidR="0022309B" w:rsidRPr="00327E8F" w:rsidRDefault="00AF1BA2" w:rsidP="00862762">
            <w:pPr>
              <w:pStyle w:val="Tabletext0"/>
              <w:keepNext/>
              <w:keepLines/>
              <w:jc w:val="center"/>
              <w:rPr>
                <w:szCs w:val="20"/>
                <w:highlight w:val="lightGray"/>
              </w:rPr>
            </w:pPr>
            <w:r w:rsidRPr="001A0FFE">
              <w:rPr>
                <w:rFonts w:hint="eastAsia"/>
                <w:color w:val="000000"/>
                <w:w w:val="15"/>
                <w:szCs w:val="20"/>
                <w:shd w:val="solid" w:color="000000" w:fill="000000"/>
                <w:fitText w:val="70" w:id="-894171377"/>
                <w14:textFill>
                  <w14:solidFill>
                    <w14:srgbClr w14:val="000000">
                      <w14:alpha w14:val="100000"/>
                    </w14:srgbClr>
                  </w14:solidFill>
                </w14:textFill>
              </w:rPr>
              <w:t xml:space="preserve">　</w:t>
            </w:r>
            <w:r w:rsidRPr="001A0FFE">
              <w:rPr>
                <w:color w:val="000000"/>
                <w:w w:val="15"/>
                <w:szCs w:val="20"/>
                <w:shd w:val="solid" w:color="000000" w:fill="000000"/>
                <w:fitText w:val="70" w:id="-894171377"/>
                <w14:textFill>
                  <w14:solidFill>
                    <w14:srgbClr w14:val="000000">
                      <w14:alpha w14:val="100000"/>
                    </w14:srgbClr>
                  </w14:solidFill>
                </w14:textFill>
              </w:rPr>
              <w:t>|</w:t>
            </w:r>
            <w:r w:rsidRPr="001A0FFE">
              <w:rPr>
                <w:rFonts w:hint="eastAsia"/>
                <w:color w:val="000000"/>
                <w:spacing w:val="4"/>
                <w:w w:val="15"/>
                <w:szCs w:val="20"/>
                <w:shd w:val="solid" w:color="000000" w:fill="000000"/>
                <w:fitText w:val="70" w:id="-894171377"/>
                <w14:textFill>
                  <w14:solidFill>
                    <w14:srgbClr w14:val="000000">
                      <w14:alpha w14:val="100000"/>
                    </w14:srgbClr>
                  </w14:solidFill>
                </w14:textFill>
              </w:rPr>
              <w:t xml:space="preserve">　</w:t>
            </w:r>
            <w:r w:rsidR="000E2CBA" w:rsidRPr="005C269B">
              <w:rPr>
                <w:b/>
                <w:bCs/>
                <w:vertAlign w:val="superscript"/>
              </w:rPr>
              <w:t>1</w:t>
            </w:r>
          </w:p>
        </w:tc>
        <w:tc>
          <w:tcPr>
            <w:tcW w:w="850" w:type="dxa"/>
            <w:tcBorders>
              <w:top w:val="nil"/>
              <w:left w:val="single" w:sz="4" w:space="0" w:color="auto"/>
              <w:bottom w:val="single" w:sz="4" w:space="0" w:color="auto"/>
              <w:right w:val="single" w:sz="4" w:space="0" w:color="auto"/>
            </w:tcBorders>
            <w:shd w:val="clear" w:color="auto" w:fill="auto"/>
            <w:vAlign w:val="center"/>
          </w:tcPr>
          <w:p w14:paraId="54A226DB" w14:textId="305F2C9A" w:rsidR="0022309B" w:rsidRPr="00327E8F" w:rsidRDefault="00AF1BA2" w:rsidP="00862762">
            <w:pPr>
              <w:pStyle w:val="Tabletext0"/>
              <w:keepNext/>
              <w:keepLines/>
              <w:jc w:val="center"/>
              <w:rPr>
                <w:szCs w:val="20"/>
                <w:highlight w:val="lightGray"/>
              </w:rPr>
            </w:pPr>
            <w:r w:rsidRPr="001A0FFE">
              <w:rPr>
                <w:rFonts w:hint="eastAsia"/>
                <w:color w:val="000000"/>
                <w:w w:val="15"/>
                <w:szCs w:val="20"/>
                <w:shd w:val="solid" w:color="000000" w:fill="000000"/>
                <w:fitText w:val="70" w:id="-894171376"/>
                <w14:textFill>
                  <w14:solidFill>
                    <w14:srgbClr w14:val="000000">
                      <w14:alpha w14:val="100000"/>
                    </w14:srgbClr>
                  </w14:solidFill>
                </w14:textFill>
              </w:rPr>
              <w:t xml:space="preserve">　</w:t>
            </w:r>
            <w:r w:rsidRPr="001A0FFE">
              <w:rPr>
                <w:color w:val="000000"/>
                <w:w w:val="15"/>
                <w:szCs w:val="20"/>
                <w:shd w:val="solid" w:color="000000" w:fill="000000"/>
                <w:fitText w:val="70" w:id="-894171376"/>
                <w14:textFill>
                  <w14:solidFill>
                    <w14:srgbClr w14:val="000000">
                      <w14:alpha w14:val="100000"/>
                    </w14:srgbClr>
                  </w14:solidFill>
                </w14:textFill>
              </w:rPr>
              <w:t>|</w:t>
            </w:r>
            <w:r w:rsidRPr="001A0FFE">
              <w:rPr>
                <w:rFonts w:hint="eastAsia"/>
                <w:color w:val="000000"/>
                <w:spacing w:val="4"/>
                <w:w w:val="15"/>
                <w:szCs w:val="20"/>
                <w:shd w:val="solid" w:color="000000" w:fill="000000"/>
                <w:fitText w:val="70" w:id="-894171376"/>
                <w14:textFill>
                  <w14:solidFill>
                    <w14:srgbClr w14:val="000000">
                      <w14:alpha w14:val="100000"/>
                    </w14:srgbClr>
                  </w14:solidFill>
                </w14:textFill>
              </w:rPr>
              <w:t xml:space="preserve">　</w:t>
            </w:r>
            <w:r w:rsidR="000E2CBA" w:rsidRPr="005C269B">
              <w:rPr>
                <w:b/>
                <w:bCs/>
                <w:vertAlign w:val="superscript"/>
              </w:rPr>
              <w:t>1</w:t>
            </w:r>
          </w:p>
        </w:tc>
        <w:tc>
          <w:tcPr>
            <w:tcW w:w="992" w:type="dxa"/>
            <w:tcBorders>
              <w:top w:val="nil"/>
              <w:left w:val="single" w:sz="4" w:space="0" w:color="auto"/>
              <w:bottom w:val="single" w:sz="4" w:space="0" w:color="auto"/>
              <w:right w:val="single" w:sz="4" w:space="0" w:color="auto"/>
            </w:tcBorders>
            <w:shd w:val="clear" w:color="auto" w:fill="auto"/>
            <w:vAlign w:val="center"/>
          </w:tcPr>
          <w:p w14:paraId="6BB98E13" w14:textId="79C3476D" w:rsidR="0022309B" w:rsidRPr="00327E8F" w:rsidRDefault="00AF1BA2" w:rsidP="00862762">
            <w:pPr>
              <w:pStyle w:val="Tabletext0"/>
              <w:keepNext/>
              <w:keepLines/>
              <w:jc w:val="center"/>
              <w:rPr>
                <w:szCs w:val="20"/>
                <w:highlight w:val="lightGray"/>
              </w:rPr>
            </w:pPr>
            <w:r w:rsidRPr="001A0FFE">
              <w:rPr>
                <w:rFonts w:hint="eastAsia"/>
                <w:color w:val="000000"/>
                <w:w w:val="15"/>
                <w:szCs w:val="20"/>
                <w:shd w:val="solid" w:color="000000" w:fill="000000"/>
                <w:fitText w:val="70" w:id="-894171392"/>
                <w14:textFill>
                  <w14:solidFill>
                    <w14:srgbClr w14:val="000000">
                      <w14:alpha w14:val="100000"/>
                    </w14:srgbClr>
                  </w14:solidFill>
                </w14:textFill>
              </w:rPr>
              <w:t xml:space="preserve">　</w:t>
            </w:r>
            <w:r w:rsidRPr="001A0FFE">
              <w:rPr>
                <w:color w:val="000000"/>
                <w:w w:val="15"/>
                <w:szCs w:val="20"/>
                <w:shd w:val="solid" w:color="000000" w:fill="000000"/>
                <w:fitText w:val="70" w:id="-894171392"/>
                <w14:textFill>
                  <w14:solidFill>
                    <w14:srgbClr w14:val="000000">
                      <w14:alpha w14:val="100000"/>
                    </w14:srgbClr>
                  </w14:solidFill>
                </w14:textFill>
              </w:rPr>
              <w:t>|</w:t>
            </w:r>
            <w:r w:rsidRPr="001A0FFE">
              <w:rPr>
                <w:rFonts w:hint="eastAsia"/>
                <w:color w:val="000000"/>
                <w:spacing w:val="4"/>
                <w:w w:val="15"/>
                <w:szCs w:val="20"/>
                <w:shd w:val="solid" w:color="000000" w:fill="000000"/>
                <w:fitText w:val="70" w:id="-894171392"/>
                <w14:textFill>
                  <w14:solidFill>
                    <w14:srgbClr w14:val="000000">
                      <w14:alpha w14:val="100000"/>
                    </w14:srgbClr>
                  </w14:solidFill>
                </w14:textFill>
              </w:rPr>
              <w:t xml:space="preserve">　</w:t>
            </w:r>
            <w:r w:rsidR="004555E1" w:rsidRPr="005C269B">
              <w:rPr>
                <w:b/>
                <w:bCs/>
                <w:vertAlign w:val="superscript"/>
              </w:rPr>
              <w:t>1</w:t>
            </w:r>
          </w:p>
        </w:tc>
      </w:tr>
      <w:tr w:rsidR="0022309B" w:rsidRPr="00350BF3" w14:paraId="3D02824C" w14:textId="77777777" w:rsidTr="1797D1E5">
        <w:tc>
          <w:tcPr>
            <w:tcW w:w="9067" w:type="dxa"/>
            <w:gridSpan w:val="7"/>
            <w:tcBorders>
              <w:bottom w:val="single" w:sz="4" w:space="0" w:color="auto"/>
              <w:right w:val="single" w:sz="4" w:space="0" w:color="auto"/>
            </w:tcBorders>
            <w:shd w:val="clear" w:color="auto" w:fill="auto"/>
            <w:vAlign w:val="center"/>
          </w:tcPr>
          <w:p w14:paraId="4E1955EF" w14:textId="77777777" w:rsidR="0022309B" w:rsidRPr="00350BF3" w:rsidRDefault="0022309B" w:rsidP="00862762">
            <w:pPr>
              <w:pStyle w:val="Tabletext0"/>
              <w:keepNext/>
              <w:keepLines/>
              <w:rPr>
                <w:b/>
                <w:bCs/>
                <w:szCs w:val="20"/>
              </w:rPr>
            </w:pPr>
            <w:r w:rsidRPr="00350BF3">
              <w:rPr>
                <w:b/>
                <w:bCs/>
                <w:szCs w:val="20"/>
              </w:rPr>
              <w:t>Estimated total cost of blinatumomab to the PBS/RPBS</w:t>
            </w:r>
          </w:p>
        </w:tc>
      </w:tr>
      <w:tr w:rsidR="0022309B" w:rsidRPr="00350BF3" w14:paraId="261BBFC7" w14:textId="77777777" w:rsidTr="1797D1E5">
        <w:tc>
          <w:tcPr>
            <w:tcW w:w="3256" w:type="dxa"/>
            <w:tcBorders>
              <w:bottom w:val="single" w:sz="4" w:space="0" w:color="auto"/>
            </w:tcBorders>
            <w:shd w:val="clear" w:color="auto" w:fill="auto"/>
            <w:vAlign w:val="center"/>
          </w:tcPr>
          <w:p w14:paraId="244D7A99" w14:textId="644043C3" w:rsidR="0022309B" w:rsidRPr="00350BF3" w:rsidRDefault="0022309B" w:rsidP="1797D1E5">
            <w:pPr>
              <w:pStyle w:val="Tabletext0"/>
              <w:keepNext/>
              <w:keepLines/>
              <w:rPr>
                <w:vertAlign w:val="superscript"/>
              </w:rPr>
            </w:pPr>
            <w:r>
              <w:t>Total PBS/RPBS cost ($</w:t>
            </w:r>
            <w:r w:rsidR="001A0FFE" w:rsidRPr="001A0FFE">
              <w:rPr>
                <w:color w:val="000000"/>
                <w:spacing w:val="52"/>
                <w:shd w:val="solid" w:color="000000" w:fill="000000"/>
                <w:fitText w:val="327" w:id="-764127999"/>
                <w14:textFill>
                  <w14:solidFill>
                    <w14:srgbClr w14:val="000000">
                      <w14:alpha w14:val="100000"/>
                    </w14:srgbClr>
                  </w14:solidFill>
                </w14:textFill>
              </w:rPr>
              <w:t>|||</w:t>
            </w:r>
            <w:r w:rsidR="001A0FFE" w:rsidRPr="001A0FFE">
              <w:rPr>
                <w:color w:val="000000"/>
                <w:spacing w:val="1"/>
                <w:shd w:val="solid" w:color="000000" w:fill="000000"/>
                <w:fitText w:val="327" w:id="-764127999"/>
                <w14:textFill>
                  <w14:solidFill>
                    <w14:srgbClr w14:val="000000">
                      <w14:alpha w14:val="100000"/>
                    </w14:srgbClr>
                  </w14:solidFill>
                </w14:textFill>
              </w:rPr>
              <w:t>|</w:t>
            </w:r>
            <w:r>
              <w:t>/script)</w:t>
            </w:r>
            <w:r w:rsidR="00B35B98" w:rsidRPr="1797D1E5">
              <w:rPr>
                <w:vertAlign w:val="superscript"/>
              </w:rPr>
              <w:t>b</w:t>
            </w:r>
          </w:p>
        </w:tc>
        <w:tc>
          <w:tcPr>
            <w:tcW w:w="992" w:type="dxa"/>
            <w:tcBorders>
              <w:top w:val="single" w:sz="4" w:space="0" w:color="auto"/>
              <w:left w:val="nil"/>
              <w:bottom w:val="single" w:sz="4" w:space="0" w:color="auto"/>
              <w:right w:val="single" w:sz="4" w:space="0" w:color="auto"/>
            </w:tcBorders>
            <w:shd w:val="clear" w:color="auto" w:fill="auto"/>
            <w:vAlign w:val="center"/>
          </w:tcPr>
          <w:p w14:paraId="4B650304" w14:textId="219F447E" w:rsidR="0022309B" w:rsidRPr="00327E8F" w:rsidRDefault="00AF1BA2" w:rsidP="00862762">
            <w:pPr>
              <w:pStyle w:val="Tabletext0"/>
              <w:keepNext/>
              <w:keepLines/>
              <w:jc w:val="center"/>
              <w:rPr>
                <w:szCs w:val="20"/>
                <w:highlight w:val="lightGray"/>
              </w:rPr>
            </w:pPr>
            <w:r w:rsidRPr="00AF1BA2">
              <w:rPr>
                <w:color w:val="000000"/>
                <w:spacing w:val="53"/>
                <w:szCs w:val="20"/>
                <w:shd w:val="solid" w:color="000000" w:fill="000000"/>
                <w:fitText w:val="330" w:id="-894171391"/>
                <w14:textFill>
                  <w14:solidFill>
                    <w14:srgbClr w14:val="000000">
                      <w14:alpha w14:val="100000"/>
                    </w14:srgbClr>
                  </w14:solidFill>
                </w14:textFill>
              </w:rPr>
              <w:t>|||</w:t>
            </w:r>
            <w:r w:rsidRPr="00AF1BA2">
              <w:rPr>
                <w:color w:val="000000"/>
                <w:spacing w:val="1"/>
                <w:szCs w:val="20"/>
                <w:shd w:val="solid" w:color="000000" w:fill="000000"/>
                <w:fitText w:val="330" w:id="-894171391"/>
                <w14:textFill>
                  <w14:solidFill>
                    <w14:srgbClr w14:val="000000">
                      <w14:alpha w14:val="100000"/>
                    </w14:srgbClr>
                  </w14:solidFill>
                </w14:textFill>
              </w:rPr>
              <w:t>|</w:t>
            </w:r>
            <w:r w:rsidR="00E11483" w:rsidRPr="00327E8F">
              <w:rPr>
                <w:szCs w:val="20"/>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319C92" w14:textId="2C16C004" w:rsidR="0022309B" w:rsidRPr="00327E8F" w:rsidRDefault="00AF1BA2" w:rsidP="00862762">
            <w:pPr>
              <w:pStyle w:val="Tabletext0"/>
              <w:keepNext/>
              <w:keepLines/>
              <w:jc w:val="center"/>
              <w:rPr>
                <w:szCs w:val="20"/>
                <w:highlight w:val="lightGray"/>
              </w:rPr>
            </w:pPr>
            <w:r w:rsidRPr="00054958">
              <w:rPr>
                <w:color w:val="000000"/>
                <w:spacing w:val="53"/>
                <w:szCs w:val="20"/>
                <w:shd w:val="solid" w:color="000000" w:fill="000000"/>
                <w:fitText w:val="330" w:id="-894171389"/>
                <w14:textFill>
                  <w14:solidFill>
                    <w14:srgbClr w14:val="000000">
                      <w14:alpha w14:val="100000"/>
                    </w14:srgbClr>
                  </w14:solidFill>
                </w14:textFill>
              </w:rPr>
              <w:t>|||</w:t>
            </w:r>
            <w:r w:rsidRPr="00054958">
              <w:rPr>
                <w:color w:val="000000"/>
                <w:spacing w:val="1"/>
                <w:szCs w:val="20"/>
                <w:shd w:val="solid" w:color="000000" w:fill="000000"/>
                <w:fitText w:val="330" w:id="-894171389"/>
                <w14:textFill>
                  <w14:solidFill>
                    <w14:srgbClr w14:val="000000">
                      <w14:alpha w14:val="100000"/>
                    </w14:srgbClr>
                  </w14:solidFill>
                </w14:textFill>
              </w:rPr>
              <w:t>|</w:t>
            </w:r>
            <w:r w:rsidR="00171BB7" w:rsidRPr="005C269B">
              <w:rPr>
                <w:szCs w:val="20"/>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50915C" w14:textId="4E4A8C60" w:rsidR="0022309B" w:rsidRPr="00327E8F" w:rsidRDefault="00AF1BA2" w:rsidP="00862762">
            <w:pPr>
              <w:pStyle w:val="Tabletext0"/>
              <w:keepNext/>
              <w:keepLines/>
              <w:jc w:val="center"/>
              <w:rPr>
                <w:szCs w:val="20"/>
                <w:highlight w:val="lightGray"/>
              </w:rPr>
            </w:pPr>
            <w:r w:rsidRPr="00AF1BA2">
              <w:rPr>
                <w:color w:val="000000"/>
                <w:spacing w:val="53"/>
                <w:szCs w:val="20"/>
                <w:shd w:val="solid" w:color="000000" w:fill="000000"/>
                <w:fitText w:val="330" w:id="-894171388"/>
                <w14:textFill>
                  <w14:solidFill>
                    <w14:srgbClr w14:val="000000">
                      <w14:alpha w14:val="100000"/>
                    </w14:srgbClr>
                  </w14:solidFill>
                </w14:textFill>
              </w:rPr>
              <w:t>|||</w:t>
            </w:r>
            <w:r w:rsidRPr="00AF1BA2">
              <w:rPr>
                <w:color w:val="000000"/>
                <w:spacing w:val="1"/>
                <w:szCs w:val="20"/>
                <w:shd w:val="solid" w:color="000000" w:fill="000000"/>
                <w:fitText w:val="330" w:id="-894171388"/>
                <w14:textFill>
                  <w14:solidFill>
                    <w14:srgbClr w14:val="000000">
                      <w14:alpha w14:val="100000"/>
                    </w14:srgbClr>
                  </w14:solidFill>
                </w14:textFill>
              </w:rPr>
              <w:t>|</w:t>
            </w:r>
            <w:r w:rsidR="00171BB7" w:rsidRPr="005C269B">
              <w:rPr>
                <w:szCs w:val="20"/>
                <w:vertAlign w:val="superscript"/>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4E56E3B" w14:textId="63170B1F" w:rsidR="0022309B" w:rsidRPr="00327E8F" w:rsidRDefault="00AF1BA2" w:rsidP="00862762">
            <w:pPr>
              <w:pStyle w:val="Tabletext0"/>
              <w:keepNext/>
              <w:keepLines/>
              <w:jc w:val="center"/>
              <w:rPr>
                <w:szCs w:val="20"/>
                <w:highlight w:val="lightGray"/>
              </w:rPr>
            </w:pPr>
            <w:r w:rsidRPr="00AF1BA2">
              <w:rPr>
                <w:color w:val="000000"/>
                <w:spacing w:val="53"/>
                <w:szCs w:val="20"/>
                <w:shd w:val="solid" w:color="000000" w:fill="000000"/>
                <w:fitText w:val="330" w:id="-894171387"/>
                <w14:textFill>
                  <w14:solidFill>
                    <w14:srgbClr w14:val="000000">
                      <w14:alpha w14:val="100000"/>
                    </w14:srgbClr>
                  </w14:solidFill>
                </w14:textFill>
              </w:rPr>
              <w:t>|||</w:t>
            </w:r>
            <w:r w:rsidRPr="00AF1BA2">
              <w:rPr>
                <w:color w:val="000000"/>
                <w:spacing w:val="1"/>
                <w:szCs w:val="20"/>
                <w:shd w:val="solid" w:color="000000" w:fill="000000"/>
                <w:fitText w:val="330" w:id="-894171387"/>
                <w14:textFill>
                  <w14:solidFill>
                    <w14:srgbClr w14:val="000000">
                      <w14:alpha w14:val="100000"/>
                    </w14:srgbClr>
                  </w14:solidFill>
                </w14:textFill>
              </w:rPr>
              <w:t>|</w:t>
            </w:r>
            <w:r w:rsidR="00171BB7" w:rsidRPr="005C269B">
              <w:rPr>
                <w:szCs w:val="20"/>
                <w:vertAlign w:val="superscript"/>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C2B85C" w14:textId="75DD1BE3" w:rsidR="0022309B" w:rsidRPr="00327E8F" w:rsidRDefault="00AF1BA2" w:rsidP="00862762">
            <w:pPr>
              <w:pStyle w:val="Tabletext0"/>
              <w:keepNext/>
              <w:keepLines/>
              <w:jc w:val="center"/>
              <w:rPr>
                <w:szCs w:val="20"/>
                <w:highlight w:val="lightGray"/>
              </w:rPr>
            </w:pPr>
            <w:r w:rsidRPr="00AF1BA2">
              <w:rPr>
                <w:color w:val="000000"/>
                <w:spacing w:val="53"/>
                <w:szCs w:val="20"/>
                <w:shd w:val="solid" w:color="000000" w:fill="000000"/>
                <w:fitText w:val="330" w:id="-894171386"/>
                <w14:textFill>
                  <w14:solidFill>
                    <w14:srgbClr w14:val="000000">
                      <w14:alpha w14:val="100000"/>
                    </w14:srgbClr>
                  </w14:solidFill>
                </w14:textFill>
              </w:rPr>
              <w:t>|||</w:t>
            </w:r>
            <w:r w:rsidRPr="00AF1BA2">
              <w:rPr>
                <w:color w:val="000000"/>
                <w:spacing w:val="1"/>
                <w:szCs w:val="20"/>
                <w:shd w:val="solid" w:color="000000" w:fill="000000"/>
                <w:fitText w:val="330" w:id="-894171386"/>
                <w14:textFill>
                  <w14:solidFill>
                    <w14:srgbClr w14:val="000000">
                      <w14:alpha w14:val="100000"/>
                    </w14:srgbClr>
                  </w14:solidFill>
                </w14:textFill>
              </w:rPr>
              <w:t>|</w:t>
            </w:r>
            <w:r w:rsidR="00171BB7" w:rsidRPr="005C269B">
              <w:rPr>
                <w:szCs w:val="20"/>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275CB0" w14:textId="76706DA1" w:rsidR="0022309B" w:rsidRPr="00327E8F" w:rsidRDefault="00AF1BA2" w:rsidP="00862762">
            <w:pPr>
              <w:pStyle w:val="Tabletext0"/>
              <w:keepNext/>
              <w:keepLines/>
              <w:jc w:val="center"/>
              <w:rPr>
                <w:szCs w:val="20"/>
                <w:highlight w:val="lightGray"/>
              </w:rPr>
            </w:pPr>
            <w:r w:rsidRPr="00AF1BA2">
              <w:rPr>
                <w:color w:val="000000"/>
                <w:spacing w:val="53"/>
                <w:szCs w:val="20"/>
                <w:shd w:val="solid" w:color="000000" w:fill="000000"/>
                <w:fitText w:val="330" w:id="-894171385"/>
                <w14:textFill>
                  <w14:solidFill>
                    <w14:srgbClr w14:val="000000">
                      <w14:alpha w14:val="100000"/>
                    </w14:srgbClr>
                  </w14:solidFill>
                </w14:textFill>
              </w:rPr>
              <w:t>|||</w:t>
            </w:r>
            <w:r w:rsidRPr="00AF1BA2">
              <w:rPr>
                <w:color w:val="000000"/>
                <w:spacing w:val="1"/>
                <w:szCs w:val="20"/>
                <w:shd w:val="solid" w:color="000000" w:fill="000000"/>
                <w:fitText w:val="330" w:id="-894171385"/>
                <w14:textFill>
                  <w14:solidFill>
                    <w14:srgbClr w14:val="000000">
                      <w14:alpha w14:val="100000"/>
                    </w14:srgbClr>
                  </w14:solidFill>
                </w14:textFill>
              </w:rPr>
              <w:t>|</w:t>
            </w:r>
            <w:r w:rsidR="00171BB7" w:rsidRPr="005C269B">
              <w:rPr>
                <w:szCs w:val="20"/>
                <w:vertAlign w:val="superscript"/>
              </w:rPr>
              <w:t>2</w:t>
            </w:r>
          </w:p>
        </w:tc>
      </w:tr>
      <w:tr w:rsidR="0022309B" w:rsidRPr="00350BF3" w14:paraId="7A686A6C" w14:textId="77777777" w:rsidTr="1797D1E5">
        <w:tc>
          <w:tcPr>
            <w:tcW w:w="3256" w:type="dxa"/>
            <w:tcBorders>
              <w:bottom w:val="single" w:sz="4" w:space="0" w:color="auto"/>
            </w:tcBorders>
            <w:shd w:val="clear" w:color="auto" w:fill="auto"/>
            <w:vAlign w:val="center"/>
          </w:tcPr>
          <w:p w14:paraId="11990818" w14:textId="35DEABF3" w:rsidR="0022309B" w:rsidRPr="00350BF3" w:rsidRDefault="0022309B" w:rsidP="00862762">
            <w:pPr>
              <w:pStyle w:val="Tabletext0"/>
              <w:keepNext/>
              <w:keepLines/>
              <w:rPr>
                <w:szCs w:val="20"/>
                <w:vertAlign w:val="superscript"/>
              </w:rPr>
            </w:pPr>
            <w:r w:rsidRPr="00350BF3">
              <w:rPr>
                <w:szCs w:val="20"/>
              </w:rPr>
              <w:t xml:space="preserve">Patient </w:t>
            </w:r>
            <w:proofErr w:type="spellStart"/>
            <w:r w:rsidRPr="00350BF3">
              <w:rPr>
                <w:szCs w:val="20"/>
              </w:rPr>
              <w:t>copayment</w:t>
            </w:r>
            <w:r w:rsidR="00B35B98">
              <w:rPr>
                <w:szCs w:val="20"/>
                <w:vertAlign w:val="superscript"/>
              </w:rPr>
              <w:t>c</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tcPr>
          <w:p w14:paraId="36D8292E" w14:textId="39CD2297" w:rsidR="0022309B" w:rsidRPr="00327E8F" w:rsidRDefault="00AF1BA2" w:rsidP="00862762">
            <w:pPr>
              <w:pStyle w:val="Tabletext0"/>
              <w:keepNext/>
              <w:keepLines/>
              <w:jc w:val="center"/>
              <w:rPr>
                <w:szCs w:val="20"/>
                <w:highlight w:val="lightGray"/>
              </w:rPr>
            </w:pPr>
            <w:r w:rsidRPr="00AF1BA2">
              <w:rPr>
                <w:color w:val="000000"/>
                <w:spacing w:val="53"/>
                <w:szCs w:val="20"/>
                <w:shd w:val="solid" w:color="000000" w:fill="000000"/>
                <w:fitText w:val="330" w:id="-894171384"/>
                <w14:textFill>
                  <w14:solidFill>
                    <w14:srgbClr w14:val="000000">
                      <w14:alpha w14:val="100000"/>
                    </w14:srgbClr>
                  </w14:solidFill>
                </w14:textFill>
              </w:rPr>
              <w:t>|||</w:t>
            </w:r>
            <w:r w:rsidRPr="00AF1BA2">
              <w:rPr>
                <w:color w:val="000000"/>
                <w:spacing w:val="1"/>
                <w:szCs w:val="20"/>
                <w:shd w:val="solid" w:color="000000" w:fill="000000"/>
                <w:fitText w:val="330" w:id="-894171384"/>
                <w14:textFill>
                  <w14:solidFill>
                    <w14:srgbClr w14:val="000000">
                      <w14:alpha w14:val="100000"/>
                    </w14:srgbClr>
                  </w14:solidFill>
                </w14:textFill>
              </w:rPr>
              <w:t>|</w:t>
            </w:r>
            <w:r w:rsidR="009326EA" w:rsidRPr="00327E8F">
              <w:rPr>
                <w:szCs w:val="20"/>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B0A6D9" w14:textId="063701BE" w:rsidR="0022309B" w:rsidRPr="00327E8F" w:rsidRDefault="00AF1BA2" w:rsidP="00862762">
            <w:pPr>
              <w:pStyle w:val="Tabletext0"/>
              <w:keepNext/>
              <w:keepLines/>
              <w:jc w:val="center"/>
              <w:rPr>
                <w:szCs w:val="20"/>
                <w:highlight w:val="lightGray"/>
              </w:rPr>
            </w:pPr>
            <w:r w:rsidRPr="00AF1BA2">
              <w:rPr>
                <w:color w:val="000000"/>
                <w:spacing w:val="53"/>
                <w:szCs w:val="20"/>
                <w:shd w:val="solid" w:color="000000" w:fill="000000"/>
                <w:fitText w:val="330" w:id="-894171383"/>
                <w14:textFill>
                  <w14:solidFill>
                    <w14:srgbClr w14:val="000000">
                      <w14:alpha w14:val="100000"/>
                    </w14:srgbClr>
                  </w14:solidFill>
                </w14:textFill>
              </w:rPr>
              <w:t>|||</w:t>
            </w:r>
            <w:r w:rsidRPr="00AF1BA2">
              <w:rPr>
                <w:color w:val="000000"/>
                <w:spacing w:val="1"/>
                <w:szCs w:val="20"/>
                <w:shd w:val="solid" w:color="000000" w:fill="000000"/>
                <w:fitText w:val="330" w:id="-894171383"/>
                <w14:textFill>
                  <w14:solidFill>
                    <w14:srgbClr w14:val="000000">
                      <w14:alpha w14:val="100000"/>
                    </w14:srgbClr>
                  </w14:solidFill>
                </w14:textFill>
              </w:rPr>
              <w:t>|</w:t>
            </w:r>
            <w:r w:rsidR="009326EA" w:rsidRPr="005C269B">
              <w:rPr>
                <w:szCs w:val="20"/>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FDA435" w14:textId="779F1CD3" w:rsidR="0022309B" w:rsidRPr="00327E8F" w:rsidRDefault="00AF1BA2" w:rsidP="00862762">
            <w:pPr>
              <w:pStyle w:val="Tabletext0"/>
              <w:keepNext/>
              <w:keepLines/>
              <w:jc w:val="center"/>
              <w:rPr>
                <w:szCs w:val="20"/>
                <w:highlight w:val="lightGray"/>
              </w:rPr>
            </w:pPr>
            <w:r w:rsidRPr="00AF1BA2">
              <w:rPr>
                <w:color w:val="000000"/>
                <w:spacing w:val="53"/>
                <w:szCs w:val="20"/>
                <w:shd w:val="solid" w:color="000000" w:fill="000000"/>
                <w:fitText w:val="330" w:id="-894171382"/>
                <w14:textFill>
                  <w14:solidFill>
                    <w14:srgbClr w14:val="000000">
                      <w14:alpha w14:val="100000"/>
                    </w14:srgbClr>
                  </w14:solidFill>
                </w14:textFill>
              </w:rPr>
              <w:t>|||</w:t>
            </w:r>
            <w:r w:rsidRPr="00AF1BA2">
              <w:rPr>
                <w:color w:val="000000"/>
                <w:spacing w:val="1"/>
                <w:szCs w:val="20"/>
                <w:shd w:val="solid" w:color="000000" w:fill="000000"/>
                <w:fitText w:val="330" w:id="-894171382"/>
                <w14:textFill>
                  <w14:solidFill>
                    <w14:srgbClr w14:val="000000">
                      <w14:alpha w14:val="100000"/>
                    </w14:srgbClr>
                  </w14:solidFill>
                </w14:textFill>
              </w:rPr>
              <w:t>|</w:t>
            </w:r>
            <w:r w:rsidR="008903F5" w:rsidRPr="005C269B">
              <w:rPr>
                <w:szCs w:val="20"/>
                <w:vertAlign w:val="superscript"/>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99142C5" w14:textId="4623849B" w:rsidR="0022309B" w:rsidRPr="00327E8F" w:rsidRDefault="00AF1BA2" w:rsidP="00862762">
            <w:pPr>
              <w:pStyle w:val="Tabletext0"/>
              <w:keepNext/>
              <w:keepLines/>
              <w:jc w:val="center"/>
              <w:rPr>
                <w:szCs w:val="20"/>
                <w:highlight w:val="lightGray"/>
              </w:rPr>
            </w:pPr>
            <w:r w:rsidRPr="00AF1BA2">
              <w:rPr>
                <w:color w:val="000000"/>
                <w:spacing w:val="53"/>
                <w:szCs w:val="20"/>
                <w:shd w:val="solid" w:color="000000" w:fill="000000"/>
                <w:fitText w:val="330" w:id="-894171381"/>
                <w14:textFill>
                  <w14:solidFill>
                    <w14:srgbClr w14:val="000000">
                      <w14:alpha w14:val="100000"/>
                    </w14:srgbClr>
                  </w14:solidFill>
                </w14:textFill>
              </w:rPr>
              <w:t>|||</w:t>
            </w:r>
            <w:r w:rsidRPr="00AF1BA2">
              <w:rPr>
                <w:color w:val="000000"/>
                <w:spacing w:val="1"/>
                <w:szCs w:val="20"/>
                <w:shd w:val="solid" w:color="000000" w:fill="000000"/>
                <w:fitText w:val="330" w:id="-894171381"/>
                <w14:textFill>
                  <w14:solidFill>
                    <w14:srgbClr w14:val="000000">
                      <w14:alpha w14:val="100000"/>
                    </w14:srgbClr>
                  </w14:solidFill>
                </w14:textFill>
              </w:rPr>
              <w:t>|</w:t>
            </w:r>
            <w:r w:rsidR="008903F5" w:rsidRPr="005C269B">
              <w:rPr>
                <w:szCs w:val="20"/>
                <w:vertAlign w:val="superscript"/>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4BB5E46" w14:textId="4CABD3AA" w:rsidR="0022309B" w:rsidRPr="00327E8F" w:rsidRDefault="00AF1BA2" w:rsidP="00862762">
            <w:pPr>
              <w:pStyle w:val="Tabletext0"/>
              <w:keepNext/>
              <w:keepLines/>
              <w:jc w:val="center"/>
              <w:rPr>
                <w:szCs w:val="20"/>
                <w:highlight w:val="lightGray"/>
              </w:rPr>
            </w:pPr>
            <w:r w:rsidRPr="00AF1BA2">
              <w:rPr>
                <w:color w:val="000000"/>
                <w:spacing w:val="53"/>
                <w:szCs w:val="20"/>
                <w:shd w:val="solid" w:color="000000" w:fill="000000"/>
                <w:fitText w:val="330" w:id="-894171380"/>
                <w14:textFill>
                  <w14:solidFill>
                    <w14:srgbClr w14:val="000000">
                      <w14:alpha w14:val="100000"/>
                    </w14:srgbClr>
                  </w14:solidFill>
                </w14:textFill>
              </w:rPr>
              <w:t>|||</w:t>
            </w:r>
            <w:r w:rsidRPr="00AF1BA2">
              <w:rPr>
                <w:color w:val="000000"/>
                <w:spacing w:val="1"/>
                <w:szCs w:val="20"/>
                <w:shd w:val="solid" w:color="000000" w:fill="000000"/>
                <w:fitText w:val="330" w:id="-894171380"/>
                <w14:textFill>
                  <w14:solidFill>
                    <w14:srgbClr w14:val="000000">
                      <w14:alpha w14:val="100000"/>
                    </w14:srgbClr>
                  </w14:solidFill>
                </w14:textFill>
              </w:rPr>
              <w:t>|</w:t>
            </w:r>
            <w:r w:rsidR="008903F5" w:rsidRPr="005C269B">
              <w:rPr>
                <w:szCs w:val="20"/>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1C940D" w14:textId="5FEC40C3" w:rsidR="0022309B" w:rsidRPr="00327E8F" w:rsidRDefault="00AF1BA2" w:rsidP="00862762">
            <w:pPr>
              <w:pStyle w:val="Tabletext0"/>
              <w:keepNext/>
              <w:keepLines/>
              <w:jc w:val="center"/>
              <w:rPr>
                <w:szCs w:val="20"/>
                <w:highlight w:val="lightGray"/>
              </w:rPr>
            </w:pPr>
            <w:r w:rsidRPr="00AF1BA2">
              <w:rPr>
                <w:color w:val="000000"/>
                <w:spacing w:val="53"/>
                <w:szCs w:val="20"/>
                <w:shd w:val="solid" w:color="000000" w:fill="000000"/>
                <w:fitText w:val="330" w:id="-894171379"/>
                <w14:textFill>
                  <w14:solidFill>
                    <w14:srgbClr w14:val="000000">
                      <w14:alpha w14:val="100000"/>
                    </w14:srgbClr>
                  </w14:solidFill>
                </w14:textFill>
              </w:rPr>
              <w:t>|||</w:t>
            </w:r>
            <w:r w:rsidRPr="00AF1BA2">
              <w:rPr>
                <w:color w:val="000000"/>
                <w:spacing w:val="1"/>
                <w:szCs w:val="20"/>
                <w:shd w:val="solid" w:color="000000" w:fill="000000"/>
                <w:fitText w:val="330" w:id="-894171379"/>
                <w14:textFill>
                  <w14:solidFill>
                    <w14:srgbClr w14:val="000000">
                      <w14:alpha w14:val="100000"/>
                    </w14:srgbClr>
                  </w14:solidFill>
                </w14:textFill>
              </w:rPr>
              <w:t>|</w:t>
            </w:r>
            <w:r w:rsidR="00214835" w:rsidRPr="005C269B">
              <w:rPr>
                <w:szCs w:val="20"/>
                <w:vertAlign w:val="superscript"/>
              </w:rPr>
              <w:t>3</w:t>
            </w:r>
          </w:p>
        </w:tc>
      </w:tr>
      <w:tr w:rsidR="0022309B" w:rsidRPr="00350BF3" w14:paraId="7F04B74F" w14:textId="77777777" w:rsidTr="1797D1E5">
        <w:tc>
          <w:tcPr>
            <w:tcW w:w="3256" w:type="dxa"/>
            <w:shd w:val="clear" w:color="auto" w:fill="auto"/>
            <w:vAlign w:val="center"/>
          </w:tcPr>
          <w:p w14:paraId="12C797D1" w14:textId="77777777" w:rsidR="0022309B" w:rsidRPr="00350BF3" w:rsidRDefault="0022309B" w:rsidP="00862762">
            <w:pPr>
              <w:pStyle w:val="Tabletext0"/>
              <w:keepNext/>
              <w:keepLines/>
              <w:rPr>
                <w:b/>
                <w:szCs w:val="20"/>
              </w:rPr>
            </w:pPr>
            <w:r w:rsidRPr="00350BF3">
              <w:rPr>
                <w:b/>
                <w:szCs w:val="20"/>
              </w:rPr>
              <w:t>Total net PBS/RPBS cost less copayment (effective)</w:t>
            </w:r>
          </w:p>
        </w:tc>
        <w:tc>
          <w:tcPr>
            <w:tcW w:w="992" w:type="dxa"/>
            <w:tcBorders>
              <w:top w:val="single" w:sz="4" w:space="0" w:color="auto"/>
              <w:left w:val="nil"/>
              <w:bottom w:val="single" w:sz="4" w:space="0" w:color="auto"/>
              <w:right w:val="single" w:sz="4" w:space="0" w:color="auto"/>
            </w:tcBorders>
            <w:shd w:val="clear" w:color="auto" w:fill="auto"/>
            <w:vAlign w:val="center"/>
          </w:tcPr>
          <w:p w14:paraId="0E17EA98" w14:textId="2B2B5E69" w:rsidR="0022309B" w:rsidRPr="00327E8F" w:rsidRDefault="00AF1BA2" w:rsidP="00862762">
            <w:pPr>
              <w:pStyle w:val="Tabletext0"/>
              <w:keepNext/>
              <w:keepLines/>
              <w:jc w:val="center"/>
              <w:rPr>
                <w:rFonts w:cs="Calibri"/>
                <w:b/>
                <w:bCs/>
                <w:szCs w:val="20"/>
                <w:highlight w:val="lightGray"/>
              </w:rPr>
            </w:pPr>
            <w:r w:rsidRPr="001A0FFE">
              <w:rPr>
                <w:b/>
                <w:bCs/>
                <w:color w:val="000000"/>
                <w:spacing w:val="54"/>
                <w:szCs w:val="20"/>
                <w:shd w:val="solid" w:color="000000" w:fill="000000"/>
                <w:fitText w:val="350" w:id="-894171378"/>
                <w14:textFill>
                  <w14:solidFill>
                    <w14:srgbClr w14:val="000000">
                      <w14:alpha w14:val="100000"/>
                    </w14:srgbClr>
                  </w14:solidFill>
                </w14:textFill>
              </w:rPr>
              <w:t>|||</w:t>
            </w:r>
            <w:r w:rsidRPr="001A0FFE">
              <w:rPr>
                <w:b/>
                <w:bCs/>
                <w:color w:val="000000"/>
                <w:spacing w:val="14"/>
                <w:szCs w:val="20"/>
                <w:shd w:val="solid" w:color="000000" w:fill="000000"/>
                <w:fitText w:val="350" w:id="-894171378"/>
                <w14:textFill>
                  <w14:solidFill>
                    <w14:srgbClr w14:val="000000">
                      <w14:alpha w14:val="100000"/>
                    </w14:srgbClr>
                  </w14:solidFill>
                </w14:textFill>
              </w:rPr>
              <w:t>|</w:t>
            </w:r>
            <w:r w:rsidR="00171BB7" w:rsidRPr="005C269B">
              <w:rPr>
                <w:szCs w:val="20"/>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8F8F80" w14:textId="2B202AB8" w:rsidR="0022309B" w:rsidRPr="00327E8F" w:rsidRDefault="00AF1BA2" w:rsidP="00862762">
            <w:pPr>
              <w:pStyle w:val="Tabletext0"/>
              <w:keepNext/>
              <w:keepLines/>
              <w:jc w:val="center"/>
              <w:rPr>
                <w:rFonts w:cs="Calibri"/>
                <w:b/>
                <w:bCs/>
                <w:szCs w:val="20"/>
                <w:highlight w:val="lightGray"/>
              </w:rPr>
            </w:pPr>
            <w:r w:rsidRPr="001A0FFE">
              <w:rPr>
                <w:b/>
                <w:bCs/>
                <w:color w:val="000000"/>
                <w:spacing w:val="54"/>
                <w:szCs w:val="20"/>
                <w:shd w:val="solid" w:color="000000" w:fill="000000"/>
                <w:fitText w:val="350" w:id="-894171377"/>
                <w14:textFill>
                  <w14:solidFill>
                    <w14:srgbClr w14:val="000000">
                      <w14:alpha w14:val="100000"/>
                    </w14:srgbClr>
                  </w14:solidFill>
                </w14:textFill>
              </w:rPr>
              <w:t>|||</w:t>
            </w:r>
            <w:r w:rsidRPr="001A0FFE">
              <w:rPr>
                <w:b/>
                <w:bCs/>
                <w:color w:val="000000"/>
                <w:spacing w:val="14"/>
                <w:szCs w:val="20"/>
                <w:shd w:val="solid" w:color="000000" w:fill="000000"/>
                <w:fitText w:val="350" w:id="-894171377"/>
                <w14:textFill>
                  <w14:solidFill>
                    <w14:srgbClr w14:val="000000">
                      <w14:alpha w14:val="100000"/>
                    </w14:srgbClr>
                  </w14:solidFill>
                </w14:textFill>
              </w:rPr>
              <w:t>|</w:t>
            </w:r>
            <w:r w:rsidR="00171BB7" w:rsidRPr="005C269B">
              <w:rPr>
                <w:szCs w:val="20"/>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8109E1" w14:textId="4C140526" w:rsidR="0022309B" w:rsidRPr="00327E8F" w:rsidRDefault="00AF1BA2" w:rsidP="00862762">
            <w:pPr>
              <w:pStyle w:val="Tabletext0"/>
              <w:keepNext/>
              <w:keepLines/>
              <w:jc w:val="center"/>
              <w:rPr>
                <w:rFonts w:cs="Calibri"/>
                <w:b/>
                <w:bCs/>
                <w:szCs w:val="20"/>
                <w:highlight w:val="lightGray"/>
              </w:rPr>
            </w:pPr>
            <w:r w:rsidRPr="001A0FFE">
              <w:rPr>
                <w:b/>
                <w:bCs/>
                <w:color w:val="000000"/>
                <w:spacing w:val="54"/>
                <w:szCs w:val="20"/>
                <w:shd w:val="solid" w:color="000000" w:fill="000000"/>
                <w:fitText w:val="350" w:id="-894171376"/>
                <w14:textFill>
                  <w14:solidFill>
                    <w14:srgbClr w14:val="000000">
                      <w14:alpha w14:val="100000"/>
                    </w14:srgbClr>
                  </w14:solidFill>
                </w14:textFill>
              </w:rPr>
              <w:t>|||</w:t>
            </w:r>
            <w:r w:rsidRPr="001A0FFE">
              <w:rPr>
                <w:b/>
                <w:bCs/>
                <w:color w:val="000000"/>
                <w:spacing w:val="14"/>
                <w:szCs w:val="20"/>
                <w:shd w:val="solid" w:color="000000" w:fill="000000"/>
                <w:fitText w:val="350" w:id="-894171376"/>
                <w14:textFill>
                  <w14:solidFill>
                    <w14:srgbClr w14:val="000000">
                      <w14:alpha w14:val="100000"/>
                    </w14:srgbClr>
                  </w14:solidFill>
                </w14:textFill>
              </w:rPr>
              <w:t>|</w:t>
            </w:r>
            <w:r w:rsidR="00171BB7" w:rsidRPr="005C269B">
              <w:rPr>
                <w:szCs w:val="20"/>
                <w:vertAlign w:val="superscript"/>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D64B130" w14:textId="6B9FD4FE" w:rsidR="0022309B" w:rsidRPr="00327E8F" w:rsidRDefault="00AF1BA2" w:rsidP="00862762">
            <w:pPr>
              <w:pStyle w:val="Tabletext0"/>
              <w:keepNext/>
              <w:keepLines/>
              <w:jc w:val="center"/>
              <w:rPr>
                <w:rFonts w:cs="Calibri"/>
                <w:b/>
                <w:bCs/>
                <w:szCs w:val="20"/>
                <w:highlight w:val="lightGray"/>
              </w:rPr>
            </w:pPr>
            <w:r w:rsidRPr="001A0FFE">
              <w:rPr>
                <w:b/>
                <w:bCs/>
                <w:color w:val="000000"/>
                <w:spacing w:val="54"/>
                <w:szCs w:val="20"/>
                <w:shd w:val="solid" w:color="000000" w:fill="000000"/>
                <w:fitText w:val="350" w:id="-894171392"/>
                <w14:textFill>
                  <w14:solidFill>
                    <w14:srgbClr w14:val="000000">
                      <w14:alpha w14:val="100000"/>
                    </w14:srgbClr>
                  </w14:solidFill>
                </w14:textFill>
              </w:rPr>
              <w:t>|||</w:t>
            </w:r>
            <w:r w:rsidRPr="001A0FFE">
              <w:rPr>
                <w:b/>
                <w:bCs/>
                <w:color w:val="000000"/>
                <w:spacing w:val="14"/>
                <w:szCs w:val="20"/>
                <w:shd w:val="solid" w:color="000000" w:fill="000000"/>
                <w:fitText w:val="350" w:id="-894171392"/>
                <w14:textFill>
                  <w14:solidFill>
                    <w14:srgbClr w14:val="000000">
                      <w14:alpha w14:val="100000"/>
                    </w14:srgbClr>
                  </w14:solidFill>
                </w14:textFill>
              </w:rPr>
              <w:t>|</w:t>
            </w:r>
            <w:r w:rsidR="00171BB7" w:rsidRPr="005C269B">
              <w:rPr>
                <w:szCs w:val="20"/>
                <w:vertAlign w:val="superscript"/>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AEE5DF9" w14:textId="0F3E66C0" w:rsidR="0022309B" w:rsidRPr="00327E8F" w:rsidRDefault="00AF1BA2" w:rsidP="00862762">
            <w:pPr>
              <w:pStyle w:val="Tabletext0"/>
              <w:keepNext/>
              <w:keepLines/>
              <w:jc w:val="center"/>
              <w:rPr>
                <w:rFonts w:cs="Calibri"/>
                <w:b/>
                <w:bCs/>
                <w:szCs w:val="20"/>
                <w:highlight w:val="lightGray"/>
              </w:rPr>
            </w:pPr>
            <w:r w:rsidRPr="001A0FFE">
              <w:rPr>
                <w:b/>
                <w:bCs/>
                <w:color w:val="000000"/>
                <w:spacing w:val="54"/>
                <w:szCs w:val="20"/>
                <w:shd w:val="solid" w:color="000000" w:fill="000000"/>
                <w:fitText w:val="350" w:id="-894171391"/>
                <w14:textFill>
                  <w14:solidFill>
                    <w14:srgbClr w14:val="000000">
                      <w14:alpha w14:val="100000"/>
                    </w14:srgbClr>
                  </w14:solidFill>
                </w14:textFill>
              </w:rPr>
              <w:t>|||</w:t>
            </w:r>
            <w:r w:rsidRPr="001A0FFE">
              <w:rPr>
                <w:b/>
                <w:bCs/>
                <w:color w:val="000000"/>
                <w:spacing w:val="14"/>
                <w:szCs w:val="20"/>
                <w:shd w:val="solid" w:color="000000" w:fill="000000"/>
                <w:fitText w:val="350" w:id="-894171391"/>
                <w14:textFill>
                  <w14:solidFill>
                    <w14:srgbClr w14:val="000000">
                      <w14:alpha w14:val="100000"/>
                    </w14:srgbClr>
                  </w14:solidFill>
                </w14:textFill>
              </w:rPr>
              <w:t>|</w:t>
            </w:r>
            <w:r w:rsidR="00171BB7" w:rsidRPr="005C269B">
              <w:rPr>
                <w:szCs w:val="20"/>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97E3A4" w14:textId="1D7645E6" w:rsidR="0022309B" w:rsidRPr="00327E8F" w:rsidRDefault="00AF1BA2" w:rsidP="00862762">
            <w:pPr>
              <w:pStyle w:val="Tabletext0"/>
              <w:keepNext/>
              <w:keepLines/>
              <w:jc w:val="center"/>
              <w:rPr>
                <w:rFonts w:cs="Calibri"/>
                <w:b/>
                <w:bCs/>
                <w:szCs w:val="20"/>
                <w:highlight w:val="lightGray"/>
              </w:rPr>
            </w:pPr>
            <w:r w:rsidRPr="001A0FFE">
              <w:rPr>
                <w:b/>
                <w:bCs/>
                <w:color w:val="000000"/>
                <w:spacing w:val="54"/>
                <w:szCs w:val="20"/>
                <w:shd w:val="solid" w:color="000000" w:fill="000000"/>
                <w:fitText w:val="350" w:id="-894171390"/>
                <w14:textFill>
                  <w14:solidFill>
                    <w14:srgbClr w14:val="000000">
                      <w14:alpha w14:val="100000"/>
                    </w14:srgbClr>
                  </w14:solidFill>
                </w14:textFill>
              </w:rPr>
              <w:t>|||</w:t>
            </w:r>
            <w:r w:rsidRPr="001A0FFE">
              <w:rPr>
                <w:b/>
                <w:bCs/>
                <w:color w:val="000000"/>
                <w:spacing w:val="14"/>
                <w:szCs w:val="20"/>
                <w:shd w:val="solid" w:color="000000" w:fill="000000"/>
                <w:fitText w:val="350" w:id="-894171390"/>
                <w14:textFill>
                  <w14:solidFill>
                    <w14:srgbClr w14:val="000000">
                      <w14:alpha w14:val="100000"/>
                    </w14:srgbClr>
                  </w14:solidFill>
                </w14:textFill>
              </w:rPr>
              <w:t>|</w:t>
            </w:r>
            <w:r w:rsidR="00171BB7" w:rsidRPr="005C269B">
              <w:rPr>
                <w:szCs w:val="20"/>
                <w:vertAlign w:val="superscript"/>
              </w:rPr>
              <w:t>2</w:t>
            </w:r>
          </w:p>
        </w:tc>
      </w:tr>
      <w:tr w:rsidR="00B35B98" w:rsidRPr="00B35B98" w14:paraId="03A1C0B9" w14:textId="77777777" w:rsidTr="1797D1E5">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13FC0C43" w14:textId="1038D860" w:rsidR="00B35B98" w:rsidRPr="00B35B98" w:rsidRDefault="00B35B98" w:rsidP="00862762">
            <w:pPr>
              <w:pStyle w:val="Tabletext0"/>
              <w:keepNext/>
              <w:keepLines/>
              <w:rPr>
                <w:bCs/>
                <w:szCs w:val="20"/>
              </w:rPr>
            </w:pPr>
            <w:r w:rsidRPr="00350BF3">
              <w:rPr>
                <w:szCs w:val="20"/>
              </w:rPr>
              <w:t xml:space="preserve">Cost offsets (displaced </w:t>
            </w:r>
            <w:r>
              <w:rPr>
                <w:szCs w:val="20"/>
              </w:rPr>
              <w:t>R/R blinatumomab and inotuzumab</w:t>
            </w:r>
            <w:r w:rsidRPr="00350BF3">
              <w:rPr>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476F2AD3" w14:textId="7C472580" w:rsidR="00B35B98" w:rsidRPr="00327E8F" w:rsidRDefault="00AF1BA2" w:rsidP="00862762">
            <w:pPr>
              <w:pStyle w:val="Tabletext0"/>
              <w:keepNext/>
              <w:keepLines/>
              <w:jc w:val="center"/>
              <w:rPr>
                <w:bCs/>
                <w:szCs w:val="20"/>
                <w:highlight w:val="lightGray"/>
              </w:rPr>
            </w:pPr>
            <w:r w:rsidRPr="00AF1BA2">
              <w:rPr>
                <w:bCs/>
                <w:color w:val="000000"/>
                <w:spacing w:val="53"/>
                <w:szCs w:val="20"/>
                <w:shd w:val="solid" w:color="000000" w:fill="000000"/>
                <w:fitText w:val="330" w:id="-894171389"/>
                <w14:textFill>
                  <w14:solidFill>
                    <w14:srgbClr w14:val="000000">
                      <w14:alpha w14:val="100000"/>
                    </w14:srgbClr>
                  </w14:solidFill>
                </w14:textFill>
              </w:rPr>
              <w:t>|||</w:t>
            </w:r>
            <w:r w:rsidRPr="00AF1BA2">
              <w:rPr>
                <w:bCs/>
                <w:color w:val="000000"/>
                <w:spacing w:val="1"/>
                <w:szCs w:val="20"/>
                <w:shd w:val="solid" w:color="000000" w:fill="000000"/>
                <w:fitText w:val="330" w:id="-894171389"/>
                <w14:textFill>
                  <w14:solidFill>
                    <w14:srgbClr w14:val="000000">
                      <w14:alpha w14:val="100000"/>
                    </w14:srgbClr>
                  </w14:solidFill>
                </w14:textFill>
              </w:rPr>
              <w:t>|</w:t>
            </w:r>
            <w:r w:rsidR="00214835" w:rsidRPr="00327E8F">
              <w:rPr>
                <w:bCs/>
                <w:szCs w:val="20"/>
                <w:vertAlign w:val="superscript"/>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ABB3E" w14:textId="0B65219E" w:rsidR="00B35B98" w:rsidRPr="00327E8F" w:rsidRDefault="00AF1BA2" w:rsidP="00862762">
            <w:pPr>
              <w:pStyle w:val="Tabletext0"/>
              <w:keepNext/>
              <w:keepLines/>
              <w:jc w:val="center"/>
              <w:rPr>
                <w:bCs/>
                <w:szCs w:val="20"/>
                <w:highlight w:val="lightGray"/>
              </w:rPr>
            </w:pPr>
            <w:r w:rsidRPr="00AF1BA2">
              <w:rPr>
                <w:bCs/>
                <w:color w:val="000000"/>
                <w:spacing w:val="53"/>
                <w:szCs w:val="20"/>
                <w:shd w:val="solid" w:color="000000" w:fill="000000"/>
                <w:fitText w:val="330" w:id="-894171388"/>
                <w14:textFill>
                  <w14:solidFill>
                    <w14:srgbClr w14:val="000000">
                      <w14:alpha w14:val="100000"/>
                    </w14:srgbClr>
                  </w14:solidFill>
                </w14:textFill>
              </w:rPr>
              <w:t>|||</w:t>
            </w:r>
            <w:r w:rsidRPr="00AF1BA2">
              <w:rPr>
                <w:bCs/>
                <w:color w:val="000000"/>
                <w:spacing w:val="1"/>
                <w:szCs w:val="20"/>
                <w:shd w:val="solid" w:color="000000" w:fill="000000"/>
                <w:fitText w:val="330" w:id="-894171388"/>
                <w14:textFill>
                  <w14:solidFill>
                    <w14:srgbClr w14:val="000000">
                      <w14:alpha w14:val="100000"/>
                    </w14:srgbClr>
                  </w14:solidFill>
                </w14:textFill>
              </w:rPr>
              <w:t>|</w:t>
            </w:r>
            <w:r w:rsidR="00173F79" w:rsidRPr="005C269B">
              <w:rPr>
                <w:bCs/>
                <w:szCs w:val="20"/>
                <w:vertAlign w:val="superscript"/>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7E0428" w14:textId="499C79C3" w:rsidR="00B35B98" w:rsidRPr="00327E8F" w:rsidRDefault="00AF1BA2" w:rsidP="00862762">
            <w:pPr>
              <w:pStyle w:val="Tabletext0"/>
              <w:keepNext/>
              <w:keepLines/>
              <w:jc w:val="center"/>
              <w:rPr>
                <w:bCs/>
                <w:szCs w:val="20"/>
                <w:highlight w:val="lightGray"/>
              </w:rPr>
            </w:pPr>
            <w:r w:rsidRPr="00AF1BA2">
              <w:rPr>
                <w:bCs/>
                <w:color w:val="000000"/>
                <w:spacing w:val="53"/>
                <w:szCs w:val="20"/>
                <w:shd w:val="solid" w:color="000000" w:fill="000000"/>
                <w:fitText w:val="330" w:id="-894171387"/>
                <w14:textFill>
                  <w14:solidFill>
                    <w14:srgbClr w14:val="000000">
                      <w14:alpha w14:val="100000"/>
                    </w14:srgbClr>
                  </w14:solidFill>
                </w14:textFill>
              </w:rPr>
              <w:t>|||</w:t>
            </w:r>
            <w:r w:rsidRPr="00AF1BA2">
              <w:rPr>
                <w:bCs/>
                <w:color w:val="000000"/>
                <w:spacing w:val="1"/>
                <w:szCs w:val="20"/>
                <w:shd w:val="solid" w:color="000000" w:fill="000000"/>
                <w:fitText w:val="330" w:id="-894171387"/>
                <w14:textFill>
                  <w14:solidFill>
                    <w14:srgbClr w14:val="000000">
                      <w14:alpha w14:val="100000"/>
                    </w14:srgbClr>
                  </w14:solidFill>
                </w14:textFill>
              </w:rPr>
              <w:t>|</w:t>
            </w:r>
            <w:r w:rsidR="00173F79" w:rsidRPr="005C269B">
              <w:rPr>
                <w:bCs/>
                <w:szCs w:val="20"/>
                <w:vertAlign w:val="superscript"/>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77222B7" w14:textId="19C00235" w:rsidR="00B35B98" w:rsidRPr="00327E8F" w:rsidRDefault="00AF1BA2" w:rsidP="00862762">
            <w:pPr>
              <w:pStyle w:val="Tabletext0"/>
              <w:keepNext/>
              <w:keepLines/>
              <w:jc w:val="center"/>
              <w:rPr>
                <w:bCs/>
                <w:szCs w:val="20"/>
                <w:highlight w:val="lightGray"/>
              </w:rPr>
            </w:pPr>
            <w:r w:rsidRPr="00AF1BA2">
              <w:rPr>
                <w:bCs/>
                <w:color w:val="000000"/>
                <w:spacing w:val="53"/>
                <w:szCs w:val="20"/>
                <w:shd w:val="solid" w:color="000000" w:fill="000000"/>
                <w:fitText w:val="330" w:id="-894171386"/>
                <w14:textFill>
                  <w14:solidFill>
                    <w14:srgbClr w14:val="000000">
                      <w14:alpha w14:val="100000"/>
                    </w14:srgbClr>
                  </w14:solidFill>
                </w14:textFill>
              </w:rPr>
              <w:t>|||</w:t>
            </w:r>
            <w:r w:rsidRPr="00AF1BA2">
              <w:rPr>
                <w:bCs/>
                <w:color w:val="000000"/>
                <w:spacing w:val="1"/>
                <w:szCs w:val="20"/>
                <w:shd w:val="solid" w:color="000000" w:fill="000000"/>
                <w:fitText w:val="330" w:id="-894171386"/>
                <w14:textFill>
                  <w14:solidFill>
                    <w14:srgbClr w14:val="000000">
                      <w14:alpha w14:val="100000"/>
                    </w14:srgbClr>
                  </w14:solidFill>
                </w14:textFill>
              </w:rPr>
              <w:t>|</w:t>
            </w:r>
            <w:r w:rsidR="00173F79" w:rsidRPr="005C269B">
              <w:rPr>
                <w:bCs/>
                <w:szCs w:val="20"/>
                <w:vertAlign w:val="superscript"/>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AA7217" w14:textId="34076B04" w:rsidR="00B35B98" w:rsidRPr="00327E8F" w:rsidRDefault="00AF1BA2" w:rsidP="00862762">
            <w:pPr>
              <w:pStyle w:val="Tabletext0"/>
              <w:keepNext/>
              <w:keepLines/>
              <w:jc w:val="center"/>
              <w:rPr>
                <w:bCs/>
                <w:szCs w:val="20"/>
                <w:highlight w:val="lightGray"/>
              </w:rPr>
            </w:pPr>
            <w:r w:rsidRPr="00AF1BA2">
              <w:rPr>
                <w:bCs/>
                <w:color w:val="000000"/>
                <w:spacing w:val="53"/>
                <w:szCs w:val="20"/>
                <w:shd w:val="solid" w:color="000000" w:fill="000000"/>
                <w:fitText w:val="330" w:id="-894171385"/>
                <w14:textFill>
                  <w14:solidFill>
                    <w14:srgbClr w14:val="000000">
                      <w14:alpha w14:val="100000"/>
                    </w14:srgbClr>
                  </w14:solidFill>
                </w14:textFill>
              </w:rPr>
              <w:t>|||</w:t>
            </w:r>
            <w:r w:rsidRPr="00AF1BA2">
              <w:rPr>
                <w:bCs/>
                <w:color w:val="000000"/>
                <w:spacing w:val="1"/>
                <w:szCs w:val="20"/>
                <w:shd w:val="solid" w:color="000000" w:fill="000000"/>
                <w:fitText w:val="330" w:id="-894171385"/>
                <w14:textFill>
                  <w14:solidFill>
                    <w14:srgbClr w14:val="000000">
                      <w14:alpha w14:val="100000"/>
                    </w14:srgbClr>
                  </w14:solidFill>
                </w14:textFill>
              </w:rPr>
              <w:t>|</w:t>
            </w:r>
            <w:r w:rsidR="00173F79" w:rsidRPr="005C269B">
              <w:rPr>
                <w:bCs/>
                <w:szCs w:val="20"/>
                <w:vertAlign w:val="superscript"/>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E7AB41" w14:textId="631A9387" w:rsidR="00B35B98" w:rsidRPr="00327E8F" w:rsidRDefault="00AF1BA2" w:rsidP="00862762">
            <w:pPr>
              <w:pStyle w:val="Tabletext0"/>
              <w:keepNext/>
              <w:keepLines/>
              <w:jc w:val="center"/>
              <w:rPr>
                <w:bCs/>
                <w:szCs w:val="20"/>
                <w:highlight w:val="lightGray"/>
              </w:rPr>
            </w:pPr>
            <w:r w:rsidRPr="00AF1BA2">
              <w:rPr>
                <w:bCs/>
                <w:color w:val="000000"/>
                <w:spacing w:val="53"/>
                <w:szCs w:val="20"/>
                <w:shd w:val="solid" w:color="000000" w:fill="000000"/>
                <w:fitText w:val="330" w:id="-894171384"/>
                <w14:textFill>
                  <w14:solidFill>
                    <w14:srgbClr w14:val="000000">
                      <w14:alpha w14:val="100000"/>
                    </w14:srgbClr>
                  </w14:solidFill>
                </w14:textFill>
              </w:rPr>
              <w:t>|||</w:t>
            </w:r>
            <w:r w:rsidRPr="00AF1BA2">
              <w:rPr>
                <w:bCs/>
                <w:color w:val="000000"/>
                <w:spacing w:val="1"/>
                <w:szCs w:val="20"/>
                <w:shd w:val="solid" w:color="000000" w:fill="000000"/>
                <w:fitText w:val="330" w:id="-894171384"/>
                <w14:textFill>
                  <w14:solidFill>
                    <w14:srgbClr w14:val="000000">
                      <w14:alpha w14:val="100000"/>
                    </w14:srgbClr>
                  </w14:solidFill>
                </w14:textFill>
              </w:rPr>
              <w:t>|</w:t>
            </w:r>
            <w:r w:rsidR="00173F79" w:rsidRPr="005C269B">
              <w:rPr>
                <w:bCs/>
                <w:szCs w:val="20"/>
                <w:vertAlign w:val="superscript"/>
              </w:rPr>
              <w:t>4</w:t>
            </w:r>
          </w:p>
        </w:tc>
      </w:tr>
      <w:tr w:rsidR="00B35B98" w:rsidRPr="00350BF3" w14:paraId="420303DF" w14:textId="77777777" w:rsidTr="1797D1E5">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69957BA9" w14:textId="56176A2F" w:rsidR="00B35B98" w:rsidRPr="00350BF3" w:rsidRDefault="00B35B98" w:rsidP="00862762">
            <w:pPr>
              <w:pStyle w:val="Tabletext0"/>
              <w:keepNext/>
              <w:keepLines/>
              <w:rPr>
                <w:b/>
                <w:szCs w:val="20"/>
              </w:rPr>
            </w:pPr>
            <w:r w:rsidRPr="00350BF3">
              <w:rPr>
                <w:b/>
                <w:szCs w:val="20"/>
              </w:rPr>
              <w:t>Total net PBS/RPBS cost less copayment</w:t>
            </w:r>
          </w:p>
        </w:tc>
        <w:tc>
          <w:tcPr>
            <w:tcW w:w="992" w:type="dxa"/>
            <w:tcBorders>
              <w:top w:val="single" w:sz="4" w:space="0" w:color="auto"/>
              <w:left w:val="nil"/>
              <w:bottom w:val="single" w:sz="4" w:space="0" w:color="auto"/>
              <w:right w:val="single" w:sz="4" w:space="0" w:color="auto"/>
            </w:tcBorders>
            <w:shd w:val="clear" w:color="auto" w:fill="auto"/>
            <w:vAlign w:val="center"/>
          </w:tcPr>
          <w:p w14:paraId="26B5F842" w14:textId="0F0DC53E" w:rsidR="00B35B98" w:rsidRPr="00327E8F" w:rsidRDefault="00AF1BA2" w:rsidP="00862762">
            <w:pPr>
              <w:pStyle w:val="Tabletext0"/>
              <w:keepNext/>
              <w:keepLines/>
              <w:jc w:val="center"/>
              <w:rPr>
                <w:b/>
                <w:bCs/>
                <w:szCs w:val="20"/>
                <w:highlight w:val="lightGray"/>
              </w:rPr>
            </w:pPr>
            <w:r w:rsidRPr="001A0FFE">
              <w:rPr>
                <w:b/>
                <w:bCs/>
                <w:color w:val="000000"/>
                <w:spacing w:val="54"/>
                <w:szCs w:val="20"/>
                <w:shd w:val="solid" w:color="000000" w:fill="000000"/>
                <w:fitText w:val="350" w:id="-894171383"/>
                <w14:textFill>
                  <w14:solidFill>
                    <w14:srgbClr w14:val="000000">
                      <w14:alpha w14:val="100000"/>
                    </w14:srgbClr>
                  </w14:solidFill>
                </w14:textFill>
              </w:rPr>
              <w:t>|||</w:t>
            </w:r>
            <w:r w:rsidRPr="001A0FFE">
              <w:rPr>
                <w:b/>
                <w:bCs/>
                <w:color w:val="000000"/>
                <w:spacing w:val="14"/>
                <w:szCs w:val="20"/>
                <w:shd w:val="solid" w:color="000000" w:fill="000000"/>
                <w:fitText w:val="350" w:id="-894171383"/>
                <w14:textFill>
                  <w14:solidFill>
                    <w14:srgbClr w14:val="000000">
                      <w14:alpha w14:val="100000"/>
                    </w14:srgbClr>
                  </w14:solidFill>
                </w14:textFill>
              </w:rPr>
              <w:t>|</w:t>
            </w:r>
            <w:r w:rsidR="00171BB7" w:rsidRPr="005C269B">
              <w:rPr>
                <w:szCs w:val="20"/>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01CB1A" w14:textId="2577A3B1" w:rsidR="00B35B98" w:rsidRPr="00327E8F" w:rsidRDefault="00AF1BA2" w:rsidP="00862762">
            <w:pPr>
              <w:pStyle w:val="Tabletext0"/>
              <w:keepNext/>
              <w:keepLines/>
              <w:jc w:val="center"/>
              <w:rPr>
                <w:b/>
                <w:bCs/>
                <w:szCs w:val="20"/>
                <w:highlight w:val="lightGray"/>
              </w:rPr>
            </w:pPr>
            <w:r w:rsidRPr="001A0FFE">
              <w:rPr>
                <w:b/>
                <w:bCs/>
                <w:color w:val="000000"/>
                <w:spacing w:val="54"/>
                <w:szCs w:val="20"/>
                <w:shd w:val="solid" w:color="000000" w:fill="000000"/>
                <w:fitText w:val="350" w:id="-894171382"/>
                <w14:textFill>
                  <w14:solidFill>
                    <w14:srgbClr w14:val="000000">
                      <w14:alpha w14:val="100000"/>
                    </w14:srgbClr>
                  </w14:solidFill>
                </w14:textFill>
              </w:rPr>
              <w:t>|||</w:t>
            </w:r>
            <w:r w:rsidRPr="001A0FFE">
              <w:rPr>
                <w:b/>
                <w:bCs/>
                <w:color w:val="000000"/>
                <w:spacing w:val="14"/>
                <w:szCs w:val="20"/>
                <w:shd w:val="solid" w:color="000000" w:fill="000000"/>
                <w:fitText w:val="350" w:id="-894171382"/>
                <w14:textFill>
                  <w14:solidFill>
                    <w14:srgbClr w14:val="000000">
                      <w14:alpha w14:val="100000"/>
                    </w14:srgbClr>
                  </w14:solidFill>
                </w14:textFill>
              </w:rPr>
              <w:t>|</w:t>
            </w:r>
            <w:r w:rsidR="003D24D7" w:rsidRPr="005C269B">
              <w:rPr>
                <w:szCs w:val="20"/>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D97718" w14:textId="4C64E70C" w:rsidR="00B35B98" w:rsidRPr="00327E8F" w:rsidRDefault="00AF1BA2" w:rsidP="00862762">
            <w:pPr>
              <w:pStyle w:val="Tabletext0"/>
              <w:keepNext/>
              <w:keepLines/>
              <w:jc w:val="center"/>
              <w:rPr>
                <w:b/>
                <w:bCs/>
                <w:szCs w:val="20"/>
                <w:highlight w:val="lightGray"/>
              </w:rPr>
            </w:pPr>
            <w:r w:rsidRPr="001A0FFE">
              <w:rPr>
                <w:b/>
                <w:bCs/>
                <w:color w:val="000000"/>
                <w:spacing w:val="54"/>
                <w:szCs w:val="20"/>
                <w:shd w:val="solid" w:color="000000" w:fill="000000"/>
                <w:fitText w:val="350" w:id="-894171381"/>
                <w14:textFill>
                  <w14:solidFill>
                    <w14:srgbClr w14:val="000000">
                      <w14:alpha w14:val="100000"/>
                    </w14:srgbClr>
                  </w14:solidFill>
                </w14:textFill>
              </w:rPr>
              <w:t>|||</w:t>
            </w:r>
            <w:r w:rsidRPr="001A0FFE">
              <w:rPr>
                <w:b/>
                <w:bCs/>
                <w:color w:val="000000"/>
                <w:spacing w:val="14"/>
                <w:szCs w:val="20"/>
                <w:shd w:val="solid" w:color="000000" w:fill="000000"/>
                <w:fitText w:val="350" w:id="-894171381"/>
                <w14:textFill>
                  <w14:solidFill>
                    <w14:srgbClr w14:val="000000">
                      <w14:alpha w14:val="100000"/>
                    </w14:srgbClr>
                  </w14:solidFill>
                </w14:textFill>
              </w:rPr>
              <w:t>|</w:t>
            </w:r>
            <w:r w:rsidR="003D24D7" w:rsidRPr="005C269B">
              <w:rPr>
                <w:szCs w:val="20"/>
                <w:vertAlign w:val="superscript"/>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2BA949B" w14:textId="0A290574" w:rsidR="00B35B98" w:rsidRPr="00327E8F" w:rsidRDefault="00AF1BA2" w:rsidP="00862762">
            <w:pPr>
              <w:pStyle w:val="Tabletext0"/>
              <w:keepNext/>
              <w:keepLines/>
              <w:jc w:val="center"/>
              <w:rPr>
                <w:b/>
                <w:bCs/>
                <w:szCs w:val="20"/>
                <w:highlight w:val="lightGray"/>
              </w:rPr>
            </w:pPr>
            <w:r w:rsidRPr="001A0FFE">
              <w:rPr>
                <w:b/>
                <w:bCs/>
                <w:color w:val="000000"/>
                <w:spacing w:val="54"/>
                <w:szCs w:val="20"/>
                <w:shd w:val="solid" w:color="000000" w:fill="000000"/>
                <w:fitText w:val="350" w:id="-894171380"/>
                <w14:textFill>
                  <w14:solidFill>
                    <w14:srgbClr w14:val="000000">
                      <w14:alpha w14:val="100000"/>
                    </w14:srgbClr>
                  </w14:solidFill>
                </w14:textFill>
              </w:rPr>
              <w:t>|||</w:t>
            </w:r>
            <w:r w:rsidRPr="001A0FFE">
              <w:rPr>
                <w:b/>
                <w:bCs/>
                <w:color w:val="000000"/>
                <w:spacing w:val="14"/>
                <w:szCs w:val="20"/>
                <w:shd w:val="solid" w:color="000000" w:fill="000000"/>
                <w:fitText w:val="350" w:id="-894171380"/>
                <w14:textFill>
                  <w14:solidFill>
                    <w14:srgbClr w14:val="000000">
                      <w14:alpha w14:val="100000"/>
                    </w14:srgbClr>
                  </w14:solidFill>
                </w14:textFill>
              </w:rPr>
              <w:t>|</w:t>
            </w:r>
            <w:r w:rsidR="003D24D7" w:rsidRPr="005C269B">
              <w:rPr>
                <w:szCs w:val="20"/>
                <w:vertAlign w:val="superscript"/>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E3E3AF" w14:textId="1281D845" w:rsidR="00B35B98" w:rsidRPr="00327E8F" w:rsidRDefault="00AF1BA2" w:rsidP="00862762">
            <w:pPr>
              <w:pStyle w:val="Tabletext0"/>
              <w:keepNext/>
              <w:keepLines/>
              <w:jc w:val="center"/>
              <w:rPr>
                <w:b/>
                <w:bCs/>
                <w:szCs w:val="20"/>
                <w:highlight w:val="lightGray"/>
              </w:rPr>
            </w:pPr>
            <w:r w:rsidRPr="001A0FFE">
              <w:rPr>
                <w:b/>
                <w:bCs/>
                <w:color w:val="000000"/>
                <w:spacing w:val="54"/>
                <w:szCs w:val="20"/>
                <w:shd w:val="solid" w:color="000000" w:fill="000000"/>
                <w:fitText w:val="350" w:id="-894171379"/>
                <w14:textFill>
                  <w14:solidFill>
                    <w14:srgbClr w14:val="000000">
                      <w14:alpha w14:val="100000"/>
                    </w14:srgbClr>
                  </w14:solidFill>
                </w14:textFill>
              </w:rPr>
              <w:t>|||</w:t>
            </w:r>
            <w:r w:rsidRPr="001A0FFE">
              <w:rPr>
                <w:b/>
                <w:bCs/>
                <w:color w:val="000000"/>
                <w:spacing w:val="14"/>
                <w:szCs w:val="20"/>
                <w:shd w:val="solid" w:color="000000" w:fill="000000"/>
                <w:fitText w:val="350" w:id="-894171379"/>
                <w14:textFill>
                  <w14:solidFill>
                    <w14:srgbClr w14:val="000000">
                      <w14:alpha w14:val="100000"/>
                    </w14:srgbClr>
                  </w14:solidFill>
                </w14:textFill>
              </w:rPr>
              <w:t>|</w:t>
            </w:r>
            <w:r w:rsidR="003D24D7" w:rsidRPr="005C269B">
              <w:rPr>
                <w:szCs w:val="20"/>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A2A78F" w14:textId="318DC9D3" w:rsidR="00B35B98" w:rsidRPr="00327E8F" w:rsidRDefault="00AF1BA2" w:rsidP="00862762">
            <w:pPr>
              <w:pStyle w:val="Tabletext0"/>
              <w:keepNext/>
              <w:keepLines/>
              <w:jc w:val="center"/>
              <w:rPr>
                <w:b/>
                <w:bCs/>
                <w:szCs w:val="20"/>
                <w:highlight w:val="lightGray"/>
              </w:rPr>
            </w:pPr>
            <w:r w:rsidRPr="001A0FFE">
              <w:rPr>
                <w:b/>
                <w:bCs/>
                <w:color w:val="000000"/>
                <w:spacing w:val="54"/>
                <w:szCs w:val="20"/>
                <w:shd w:val="solid" w:color="000000" w:fill="000000"/>
                <w:fitText w:val="350" w:id="-894171378"/>
                <w14:textFill>
                  <w14:solidFill>
                    <w14:srgbClr w14:val="000000">
                      <w14:alpha w14:val="100000"/>
                    </w14:srgbClr>
                  </w14:solidFill>
                </w14:textFill>
              </w:rPr>
              <w:t>|||</w:t>
            </w:r>
            <w:r w:rsidRPr="001A0FFE">
              <w:rPr>
                <w:b/>
                <w:bCs/>
                <w:color w:val="000000"/>
                <w:spacing w:val="14"/>
                <w:szCs w:val="20"/>
                <w:shd w:val="solid" w:color="000000" w:fill="000000"/>
                <w:fitText w:val="350" w:id="-894171378"/>
                <w14:textFill>
                  <w14:solidFill>
                    <w14:srgbClr w14:val="000000">
                      <w14:alpha w14:val="100000"/>
                    </w14:srgbClr>
                  </w14:solidFill>
                </w14:textFill>
              </w:rPr>
              <w:t>|</w:t>
            </w:r>
            <w:r w:rsidR="003D24D7" w:rsidRPr="005C269B">
              <w:rPr>
                <w:szCs w:val="20"/>
                <w:vertAlign w:val="superscript"/>
              </w:rPr>
              <w:t>2</w:t>
            </w:r>
          </w:p>
        </w:tc>
      </w:tr>
      <w:tr w:rsidR="00EB463D" w:rsidRPr="00350BF3" w14:paraId="7121EE23" w14:textId="77777777" w:rsidTr="1797D1E5">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28ADCEA8" w14:textId="0CBB199A" w:rsidR="00EB463D" w:rsidRPr="00350BF3" w:rsidRDefault="00EB463D" w:rsidP="00862762">
            <w:pPr>
              <w:pStyle w:val="Tabletext0"/>
              <w:keepNext/>
              <w:keepLines/>
              <w:rPr>
                <w:b/>
                <w:szCs w:val="20"/>
              </w:rPr>
            </w:pPr>
            <w:r w:rsidRPr="00350BF3">
              <w:rPr>
                <w:b/>
                <w:szCs w:val="20"/>
              </w:rPr>
              <w:t>Total cost infusion bag changes (MBS)</w:t>
            </w:r>
            <w:r w:rsidRPr="00EB463D">
              <w:rPr>
                <w:b/>
                <w:szCs w:val="20"/>
                <w:vertAlign w:val="superscript"/>
              </w:rPr>
              <w:t>d</w:t>
            </w:r>
          </w:p>
        </w:tc>
        <w:tc>
          <w:tcPr>
            <w:tcW w:w="992" w:type="dxa"/>
            <w:tcBorders>
              <w:top w:val="single" w:sz="4" w:space="0" w:color="auto"/>
              <w:left w:val="nil"/>
              <w:bottom w:val="single" w:sz="4" w:space="0" w:color="auto"/>
              <w:right w:val="single" w:sz="4" w:space="0" w:color="auto"/>
            </w:tcBorders>
            <w:shd w:val="clear" w:color="auto" w:fill="auto"/>
            <w:vAlign w:val="center"/>
          </w:tcPr>
          <w:p w14:paraId="2EDDCF4F" w14:textId="4099A58E" w:rsidR="00EB463D" w:rsidRPr="00327E8F" w:rsidRDefault="00AF1BA2" w:rsidP="00862762">
            <w:pPr>
              <w:pStyle w:val="Tabletext0"/>
              <w:keepNext/>
              <w:keepLines/>
              <w:jc w:val="center"/>
              <w:rPr>
                <w:b/>
                <w:bCs/>
                <w:szCs w:val="20"/>
                <w:highlight w:val="lightGray"/>
              </w:rPr>
            </w:pPr>
            <w:r w:rsidRPr="001A0FFE">
              <w:rPr>
                <w:b/>
                <w:bCs/>
                <w:color w:val="000000"/>
                <w:spacing w:val="54"/>
                <w:szCs w:val="20"/>
                <w:shd w:val="solid" w:color="000000" w:fill="000000"/>
                <w:fitText w:val="350" w:id="-894171377"/>
                <w14:textFill>
                  <w14:solidFill>
                    <w14:srgbClr w14:val="000000">
                      <w14:alpha w14:val="100000"/>
                    </w14:srgbClr>
                  </w14:solidFill>
                </w14:textFill>
              </w:rPr>
              <w:t>|||</w:t>
            </w:r>
            <w:r w:rsidRPr="001A0FFE">
              <w:rPr>
                <w:b/>
                <w:bCs/>
                <w:color w:val="000000"/>
                <w:spacing w:val="14"/>
                <w:szCs w:val="20"/>
                <w:shd w:val="solid" w:color="000000" w:fill="000000"/>
                <w:fitText w:val="350" w:id="-894171377"/>
                <w14:textFill>
                  <w14:solidFill>
                    <w14:srgbClr w14:val="000000">
                      <w14:alpha w14:val="100000"/>
                    </w14:srgbClr>
                  </w14:solidFill>
                </w14:textFill>
              </w:rPr>
              <w:t>|</w:t>
            </w:r>
            <w:r w:rsidR="00173F79" w:rsidRPr="005C269B">
              <w:rPr>
                <w:bCs/>
                <w:szCs w:val="20"/>
                <w:vertAlign w:val="superscript"/>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66E018" w14:textId="11F7A663" w:rsidR="00EB463D" w:rsidRPr="00327E8F" w:rsidRDefault="00AF1BA2" w:rsidP="00862762">
            <w:pPr>
              <w:pStyle w:val="Tabletext0"/>
              <w:keepNext/>
              <w:keepLines/>
              <w:jc w:val="center"/>
              <w:rPr>
                <w:b/>
                <w:bCs/>
                <w:szCs w:val="20"/>
                <w:highlight w:val="lightGray"/>
              </w:rPr>
            </w:pPr>
            <w:r w:rsidRPr="001A0FFE">
              <w:rPr>
                <w:b/>
                <w:bCs/>
                <w:color w:val="000000"/>
                <w:spacing w:val="54"/>
                <w:szCs w:val="20"/>
                <w:shd w:val="solid" w:color="000000" w:fill="000000"/>
                <w:fitText w:val="350" w:id="-894171376"/>
                <w14:textFill>
                  <w14:solidFill>
                    <w14:srgbClr w14:val="000000">
                      <w14:alpha w14:val="100000"/>
                    </w14:srgbClr>
                  </w14:solidFill>
                </w14:textFill>
              </w:rPr>
              <w:t>|||</w:t>
            </w:r>
            <w:r w:rsidRPr="001A0FFE">
              <w:rPr>
                <w:b/>
                <w:bCs/>
                <w:color w:val="000000"/>
                <w:spacing w:val="14"/>
                <w:szCs w:val="20"/>
                <w:shd w:val="solid" w:color="000000" w:fill="000000"/>
                <w:fitText w:val="350" w:id="-894171376"/>
                <w14:textFill>
                  <w14:solidFill>
                    <w14:srgbClr w14:val="000000">
                      <w14:alpha w14:val="100000"/>
                    </w14:srgbClr>
                  </w14:solidFill>
                </w14:textFill>
              </w:rPr>
              <w:t>|</w:t>
            </w:r>
            <w:r w:rsidR="00173F79" w:rsidRPr="005C269B">
              <w:rPr>
                <w:bCs/>
                <w:szCs w:val="20"/>
                <w:vertAlign w:val="superscript"/>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AFBCC2" w14:textId="763E0D4E" w:rsidR="00EB463D" w:rsidRPr="00327E8F" w:rsidRDefault="00AF1BA2" w:rsidP="00862762">
            <w:pPr>
              <w:pStyle w:val="Tabletext0"/>
              <w:keepNext/>
              <w:keepLines/>
              <w:jc w:val="center"/>
              <w:rPr>
                <w:b/>
                <w:bCs/>
                <w:szCs w:val="20"/>
                <w:highlight w:val="lightGray"/>
              </w:rPr>
            </w:pPr>
            <w:r w:rsidRPr="001A0FFE">
              <w:rPr>
                <w:b/>
                <w:bCs/>
                <w:color w:val="000000"/>
                <w:spacing w:val="54"/>
                <w:szCs w:val="20"/>
                <w:shd w:val="solid" w:color="000000" w:fill="000000"/>
                <w:fitText w:val="350" w:id="-894171392"/>
                <w14:textFill>
                  <w14:solidFill>
                    <w14:srgbClr w14:val="000000">
                      <w14:alpha w14:val="100000"/>
                    </w14:srgbClr>
                  </w14:solidFill>
                </w14:textFill>
              </w:rPr>
              <w:t>|||</w:t>
            </w:r>
            <w:r w:rsidRPr="001A0FFE">
              <w:rPr>
                <w:b/>
                <w:bCs/>
                <w:color w:val="000000"/>
                <w:spacing w:val="14"/>
                <w:szCs w:val="20"/>
                <w:shd w:val="solid" w:color="000000" w:fill="000000"/>
                <w:fitText w:val="350" w:id="-894171392"/>
                <w14:textFill>
                  <w14:solidFill>
                    <w14:srgbClr w14:val="000000">
                      <w14:alpha w14:val="100000"/>
                    </w14:srgbClr>
                  </w14:solidFill>
                </w14:textFill>
              </w:rPr>
              <w:t>|</w:t>
            </w:r>
            <w:r w:rsidR="00173F79" w:rsidRPr="005C269B">
              <w:rPr>
                <w:bCs/>
                <w:szCs w:val="20"/>
                <w:vertAlign w:val="superscript"/>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FE90F41" w14:textId="7C4EC724" w:rsidR="00EB463D" w:rsidRPr="00327E8F" w:rsidRDefault="00AF1BA2" w:rsidP="00862762">
            <w:pPr>
              <w:pStyle w:val="Tabletext0"/>
              <w:keepNext/>
              <w:keepLines/>
              <w:jc w:val="center"/>
              <w:rPr>
                <w:b/>
                <w:bCs/>
                <w:szCs w:val="20"/>
                <w:highlight w:val="lightGray"/>
              </w:rPr>
            </w:pPr>
            <w:r w:rsidRPr="001A0FFE">
              <w:rPr>
                <w:b/>
                <w:bCs/>
                <w:color w:val="000000"/>
                <w:spacing w:val="54"/>
                <w:szCs w:val="20"/>
                <w:shd w:val="solid" w:color="000000" w:fill="000000"/>
                <w:fitText w:val="350" w:id="-894171391"/>
                <w14:textFill>
                  <w14:solidFill>
                    <w14:srgbClr w14:val="000000">
                      <w14:alpha w14:val="100000"/>
                    </w14:srgbClr>
                  </w14:solidFill>
                </w14:textFill>
              </w:rPr>
              <w:t>|||</w:t>
            </w:r>
            <w:r w:rsidRPr="001A0FFE">
              <w:rPr>
                <w:b/>
                <w:bCs/>
                <w:color w:val="000000"/>
                <w:spacing w:val="14"/>
                <w:szCs w:val="20"/>
                <w:shd w:val="solid" w:color="000000" w:fill="000000"/>
                <w:fitText w:val="350" w:id="-894171391"/>
                <w14:textFill>
                  <w14:solidFill>
                    <w14:srgbClr w14:val="000000">
                      <w14:alpha w14:val="100000"/>
                    </w14:srgbClr>
                  </w14:solidFill>
                </w14:textFill>
              </w:rPr>
              <w:t>|</w:t>
            </w:r>
            <w:r w:rsidR="00173F79" w:rsidRPr="005C269B">
              <w:rPr>
                <w:bCs/>
                <w:szCs w:val="20"/>
                <w:vertAlign w:val="superscript"/>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FB13F7" w14:textId="21BF11D2" w:rsidR="00EB463D" w:rsidRPr="00327E8F" w:rsidRDefault="00AF1BA2" w:rsidP="00862762">
            <w:pPr>
              <w:pStyle w:val="Tabletext0"/>
              <w:keepNext/>
              <w:keepLines/>
              <w:jc w:val="center"/>
              <w:rPr>
                <w:b/>
                <w:bCs/>
                <w:szCs w:val="20"/>
                <w:highlight w:val="lightGray"/>
              </w:rPr>
            </w:pPr>
            <w:r w:rsidRPr="001A0FFE">
              <w:rPr>
                <w:b/>
                <w:bCs/>
                <w:color w:val="000000"/>
                <w:spacing w:val="54"/>
                <w:szCs w:val="20"/>
                <w:shd w:val="solid" w:color="000000" w:fill="000000"/>
                <w:fitText w:val="350" w:id="-894171390"/>
                <w14:textFill>
                  <w14:solidFill>
                    <w14:srgbClr w14:val="000000">
                      <w14:alpha w14:val="100000"/>
                    </w14:srgbClr>
                  </w14:solidFill>
                </w14:textFill>
              </w:rPr>
              <w:t>|||</w:t>
            </w:r>
            <w:r w:rsidRPr="001A0FFE">
              <w:rPr>
                <w:b/>
                <w:bCs/>
                <w:color w:val="000000"/>
                <w:spacing w:val="14"/>
                <w:szCs w:val="20"/>
                <w:shd w:val="solid" w:color="000000" w:fill="000000"/>
                <w:fitText w:val="350" w:id="-894171390"/>
                <w14:textFill>
                  <w14:solidFill>
                    <w14:srgbClr w14:val="000000">
                      <w14:alpha w14:val="100000"/>
                    </w14:srgbClr>
                  </w14:solidFill>
                </w14:textFill>
              </w:rPr>
              <w:t>|</w:t>
            </w:r>
            <w:r w:rsidR="00173F79" w:rsidRPr="005C269B">
              <w:rPr>
                <w:bCs/>
                <w:szCs w:val="20"/>
                <w:vertAlign w:val="superscript"/>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39E563" w14:textId="008A11C3" w:rsidR="00EB463D" w:rsidRPr="00327E8F" w:rsidRDefault="00AF1BA2" w:rsidP="00862762">
            <w:pPr>
              <w:pStyle w:val="Tabletext0"/>
              <w:keepNext/>
              <w:keepLines/>
              <w:jc w:val="center"/>
              <w:rPr>
                <w:b/>
                <w:bCs/>
                <w:szCs w:val="20"/>
                <w:highlight w:val="lightGray"/>
              </w:rPr>
            </w:pPr>
            <w:r w:rsidRPr="001A0FFE">
              <w:rPr>
                <w:b/>
                <w:bCs/>
                <w:color w:val="000000"/>
                <w:spacing w:val="54"/>
                <w:szCs w:val="20"/>
                <w:shd w:val="solid" w:color="000000" w:fill="000000"/>
                <w:fitText w:val="350" w:id="-894171389"/>
                <w14:textFill>
                  <w14:solidFill>
                    <w14:srgbClr w14:val="000000">
                      <w14:alpha w14:val="100000"/>
                    </w14:srgbClr>
                  </w14:solidFill>
                </w14:textFill>
              </w:rPr>
              <w:t>|||</w:t>
            </w:r>
            <w:r w:rsidRPr="001A0FFE">
              <w:rPr>
                <w:b/>
                <w:bCs/>
                <w:color w:val="000000"/>
                <w:spacing w:val="14"/>
                <w:szCs w:val="20"/>
                <w:shd w:val="solid" w:color="000000" w:fill="000000"/>
                <w:fitText w:val="350" w:id="-894171389"/>
                <w14:textFill>
                  <w14:solidFill>
                    <w14:srgbClr w14:val="000000">
                      <w14:alpha w14:val="100000"/>
                    </w14:srgbClr>
                  </w14:solidFill>
                </w14:textFill>
              </w:rPr>
              <w:t>|</w:t>
            </w:r>
            <w:r w:rsidR="00173F79" w:rsidRPr="005C269B">
              <w:rPr>
                <w:bCs/>
                <w:szCs w:val="20"/>
                <w:vertAlign w:val="superscript"/>
              </w:rPr>
              <w:t>4</w:t>
            </w:r>
          </w:p>
        </w:tc>
      </w:tr>
      <w:tr w:rsidR="00EB463D" w:rsidRPr="00350BF3" w14:paraId="62C66F35" w14:textId="77777777" w:rsidTr="1797D1E5">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78F39C5E" w14:textId="2E43D639" w:rsidR="00EB463D" w:rsidRPr="00350BF3" w:rsidRDefault="00EB463D" w:rsidP="00862762">
            <w:pPr>
              <w:pStyle w:val="Tabletext0"/>
              <w:keepNext/>
              <w:keepLines/>
              <w:rPr>
                <w:b/>
                <w:szCs w:val="20"/>
              </w:rPr>
            </w:pPr>
            <w:r w:rsidRPr="00350BF3">
              <w:rPr>
                <w:b/>
                <w:szCs w:val="20"/>
              </w:rPr>
              <w:t xml:space="preserve">Total net </w:t>
            </w:r>
            <w:r>
              <w:rPr>
                <w:b/>
                <w:szCs w:val="20"/>
              </w:rPr>
              <w:t xml:space="preserve">cost to </w:t>
            </w:r>
            <w:r w:rsidRPr="00350BF3">
              <w:rPr>
                <w:b/>
                <w:szCs w:val="20"/>
              </w:rPr>
              <w:t>PBS/RPBS</w:t>
            </w:r>
            <w:r>
              <w:rPr>
                <w:b/>
                <w:szCs w:val="20"/>
              </w:rPr>
              <w:t>/MBS</w:t>
            </w:r>
          </w:p>
        </w:tc>
        <w:tc>
          <w:tcPr>
            <w:tcW w:w="992" w:type="dxa"/>
            <w:tcBorders>
              <w:top w:val="single" w:sz="4" w:space="0" w:color="auto"/>
              <w:left w:val="nil"/>
              <w:bottom w:val="single" w:sz="4" w:space="0" w:color="auto"/>
              <w:right w:val="single" w:sz="4" w:space="0" w:color="auto"/>
            </w:tcBorders>
            <w:shd w:val="clear" w:color="auto" w:fill="auto"/>
            <w:vAlign w:val="center"/>
          </w:tcPr>
          <w:p w14:paraId="34C2C6D9" w14:textId="44DABE76" w:rsidR="00EB463D" w:rsidRPr="00327E8F" w:rsidRDefault="00AF1BA2" w:rsidP="00862762">
            <w:pPr>
              <w:pStyle w:val="Tabletext0"/>
              <w:keepNext/>
              <w:keepLines/>
              <w:jc w:val="center"/>
              <w:rPr>
                <w:b/>
                <w:bCs/>
                <w:szCs w:val="20"/>
                <w:highlight w:val="lightGray"/>
              </w:rPr>
            </w:pPr>
            <w:r w:rsidRPr="001A0FFE">
              <w:rPr>
                <w:b/>
                <w:bCs/>
                <w:color w:val="000000"/>
                <w:spacing w:val="54"/>
                <w:szCs w:val="20"/>
                <w:shd w:val="solid" w:color="000000" w:fill="000000"/>
                <w:fitText w:val="350" w:id="-894171388"/>
                <w14:textFill>
                  <w14:solidFill>
                    <w14:srgbClr w14:val="000000">
                      <w14:alpha w14:val="100000"/>
                    </w14:srgbClr>
                  </w14:solidFill>
                </w14:textFill>
              </w:rPr>
              <w:t>|||</w:t>
            </w:r>
            <w:r w:rsidRPr="001A0FFE">
              <w:rPr>
                <w:b/>
                <w:bCs/>
                <w:color w:val="000000"/>
                <w:spacing w:val="14"/>
                <w:szCs w:val="20"/>
                <w:shd w:val="solid" w:color="000000" w:fill="000000"/>
                <w:fitText w:val="350" w:id="-894171388"/>
                <w14:textFill>
                  <w14:solidFill>
                    <w14:srgbClr w14:val="000000">
                      <w14:alpha w14:val="100000"/>
                    </w14:srgbClr>
                  </w14:solidFill>
                </w14:textFill>
              </w:rPr>
              <w:t>|</w:t>
            </w:r>
            <w:r w:rsidR="003D24D7" w:rsidRPr="005C269B">
              <w:rPr>
                <w:szCs w:val="20"/>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5340AF" w14:textId="159535DB" w:rsidR="00EB463D" w:rsidRPr="00327E8F" w:rsidRDefault="00AF1BA2" w:rsidP="00862762">
            <w:pPr>
              <w:pStyle w:val="Tabletext0"/>
              <w:keepNext/>
              <w:keepLines/>
              <w:jc w:val="center"/>
              <w:rPr>
                <w:b/>
                <w:bCs/>
                <w:szCs w:val="20"/>
                <w:highlight w:val="lightGray"/>
              </w:rPr>
            </w:pPr>
            <w:r w:rsidRPr="001A0FFE">
              <w:rPr>
                <w:b/>
                <w:bCs/>
                <w:color w:val="000000"/>
                <w:spacing w:val="54"/>
                <w:szCs w:val="20"/>
                <w:shd w:val="solid" w:color="000000" w:fill="000000"/>
                <w:fitText w:val="350" w:id="-894171387"/>
                <w14:textFill>
                  <w14:solidFill>
                    <w14:srgbClr w14:val="000000">
                      <w14:alpha w14:val="100000"/>
                    </w14:srgbClr>
                  </w14:solidFill>
                </w14:textFill>
              </w:rPr>
              <w:t>|||</w:t>
            </w:r>
            <w:r w:rsidRPr="001A0FFE">
              <w:rPr>
                <w:b/>
                <w:bCs/>
                <w:color w:val="000000"/>
                <w:spacing w:val="14"/>
                <w:szCs w:val="20"/>
                <w:shd w:val="solid" w:color="000000" w:fill="000000"/>
                <w:fitText w:val="350" w:id="-894171387"/>
                <w14:textFill>
                  <w14:solidFill>
                    <w14:srgbClr w14:val="000000">
                      <w14:alpha w14:val="100000"/>
                    </w14:srgbClr>
                  </w14:solidFill>
                </w14:textFill>
              </w:rPr>
              <w:t>|</w:t>
            </w:r>
            <w:r w:rsidR="003D24D7" w:rsidRPr="005C269B">
              <w:rPr>
                <w:szCs w:val="20"/>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E548DA" w14:textId="6889DE8F" w:rsidR="00EB463D" w:rsidRPr="00327E8F" w:rsidRDefault="00AF1BA2" w:rsidP="00862762">
            <w:pPr>
              <w:pStyle w:val="Tabletext0"/>
              <w:keepNext/>
              <w:keepLines/>
              <w:jc w:val="center"/>
              <w:rPr>
                <w:b/>
                <w:bCs/>
                <w:szCs w:val="20"/>
                <w:highlight w:val="lightGray"/>
              </w:rPr>
            </w:pPr>
            <w:r w:rsidRPr="001A0FFE">
              <w:rPr>
                <w:b/>
                <w:bCs/>
                <w:color w:val="000000"/>
                <w:spacing w:val="54"/>
                <w:szCs w:val="20"/>
                <w:shd w:val="solid" w:color="000000" w:fill="000000"/>
                <w:fitText w:val="350" w:id="-894171386"/>
                <w14:textFill>
                  <w14:solidFill>
                    <w14:srgbClr w14:val="000000">
                      <w14:alpha w14:val="100000"/>
                    </w14:srgbClr>
                  </w14:solidFill>
                </w14:textFill>
              </w:rPr>
              <w:t>|||</w:t>
            </w:r>
            <w:r w:rsidRPr="001A0FFE">
              <w:rPr>
                <w:b/>
                <w:bCs/>
                <w:color w:val="000000"/>
                <w:spacing w:val="14"/>
                <w:szCs w:val="20"/>
                <w:shd w:val="solid" w:color="000000" w:fill="000000"/>
                <w:fitText w:val="350" w:id="-894171386"/>
                <w14:textFill>
                  <w14:solidFill>
                    <w14:srgbClr w14:val="000000">
                      <w14:alpha w14:val="100000"/>
                    </w14:srgbClr>
                  </w14:solidFill>
                </w14:textFill>
              </w:rPr>
              <w:t>|</w:t>
            </w:r>
            <w:r w:rsidR="003D24D7" w:rsidRPr="005C269B">
              <w:rPr>
                <w:szCs w:val="20"/>
                <w:vertAlign w:val="superscript"/>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2288D6B" w14:textId="6CB856AD" w:rsidR="00EB463D" w:rsidRPr="00327E8F" w:rsidRDefault="00AF1BA2" w:rsidP="00862762">
            <w:pPr>
              <w:pStyle w:val="Tabletext0"/>
              <w:keepNext/>
              <w:keepLines/>
              <w:jc w:val="center"/>
              <w:rPr>
                <w:b/>
                <w:bCs/>
                <w:szCs w:val="20"/>
                <w:highlight w:val="lightGray"/>
              </w:rPr>
            </w:pPr>
            <w:r w:rsidRPr="001A0FFE">
              <w:rPr>
                <w:b/>
                <w:bCs/>
                <w:color w:val="000000"/>
                <w:spacing w:val="54"/>
                <w:szCs w:val="20"/>
                <w:shd w:val="solid" w:color="000000" w:fill="000000"/>
                <w:fitText w:val="350" w:id="-894171385"/>
                <w14:textFill>
                  <w14:solidFill>
                    <w14:srgbClr w14:val="000000">
                      <w14:alpha w14:val="100000"/>
                    </w14:srgbClr>
                  </w14:solidFill>
                </w14:textFill>
              </w:rPr>
              <w:t>|||</w:t>
            </w:r>
            <w:r w:rsidRPr="001A0FFE">
              <w:rPr>
                <w:b/>
                <w:bCs/>
                <w:color w:val="000000"/>
                <w:spacing w:val="14"/>
                <w:szCs w:val="20"/>
                <w:shd w:val="solid" w:color="000000" w:fill="000000"/>
                <w:fitText w:val="350" w:id="-894171385"/>
                <w14:textFill>
                  <w14:solidFill>
                    <w14:srgbClr w14:val="000000">
                      <w14:alpha w14:val="100000"/>
                    </w14:srgbClr>
                  </w14:solidFill>
                </w14:textFill>
              </w:rPr>
              <w:t>|</w:t>
            </w:r>
            <w:r w:rsidR="003D24D7" w:rsidRPr="005C269B">
              <w:rPr>
                <w:szCs w:val="20"/>
                <w:vertAlign w:val="superscript"/>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C5FA85" w14:textId="55F4E992" w:rsidR="00EB463D" w:rsidRPr="00327E8F" w:rsidRDefault="00AF1BA2" w:rsidP="00862762">
            <w:pPr>
              <w:pStyle w:val="Tabletext0"/>
              <w:keepNext/>
              <w:keepLines/>
              <w:jc w:val="center"/>
              <w:rPr>
                <w:b/>
                <w:bCs/>
                <w:szCs w:val="20"/>
                <w:highlight w:val="lightGray"/>
              </w:rPr>
            </w:pPr>
            <w:r w:rsidRPr="001A0FFE">
              <w:rPr>
                <w:b/>
                <w:bCs/>
                <w:color w:val="000000"/>
                <w:spacing w:val="54"/>
                <w:szCs w:val="20"/>
                <w:shd w:val="solid" w:color="000000" w:fill="000000"/>
                <w:fitText w:val="350" w:id="-894171384"/>
                <w14:textFill>
                  <w14:solidFill>
                    <w14:srgbClr w14:val="000000">
                      <w14:alpha w14:val="100000"/>
                    </w14:srgbClr>
                  </w14:solidFill>
                </w14:textFill>
              </w:rPr>
              <w:t>|||</w:t>
            </w:r>
            <w:r w:rsidRPr="001A0FFE">
              <w:rPr>
                <w:b/>
                <w:bCs/>
                <w:color w:val="000000"/>
                <w:spacing w:val="14"/>
                <w:szCs w:val="20"/>
                <w:shd w:val="solid" w:color="000000" w:fill="000000"/>
                <w:fitText w:val="350" w:id="-894171384"/>
                <w14:textFill>
                  <w14:solidFill>
                    <w14:srgbClr w14:val="000000">
                      <w14:alpha w14:val="100000"/>
                    </w14:srgbClr>
                  </w14:solidFill>
                </w14:textFill>
              </w:rPr>
              <w:t>|</w:t>
            </w:r>
            <w:r w:rsidR="003D24D7" w:rsidRPr="005C269B">
              <w:rPr>
                <w:szCs w:val="20"/>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288015" w14:textId="39420B53" w:rsidR="00EB463D" w:rsidRPr="00327E8F" w:rsidRDefault="00AF1BA2" w:rsidP="00862762">
            <w:pPr>
              <w:pStyle w:val="Tabletext0"/>
              <w:keepNext/>
              <w:keepLines/>
              <w:jc w:val="center"/>
              <w:rPr>
                <w:b/>
                <w:bCs/>
                <w:szCs w:val="20"/>
                <w:highlight w:val="lightGray"/>
              </w:rPr>
            </w:pPr>
            <w:r w:rsidRPr="001A0FFE">
              <w:rPr>
                <w:b/>
                <w:bCs/>
                <w:color w:val="000000"/>
                <w:spacing w:val="54"/>
                <w:szCs w:val="20"/>
                <w:shd w:val="solid" w:color="000000" w:fill="000000"/>
                <w:fitText w:val="350" w:id="-894171383"/>
                <w14:textFill>
                  <w14:solidFill>
                    <w14:srgbClr w14:val="000000">
                      <w14:alpha w14:val="100000"/>
                    </w14:srgbClr>
                  </w14:solidFill>
                </w14:textFill>
              </w:rPr>
              <w:t>|||</w:t>
            </w:r>
            <w:r w:rsidRPr="001A0FFE">
              <w:rPr>
                <w:b/>
                <w:bCs/>
                <w:color w:val="000000"/>
                <w:spacing w:val="14"/>
                <w:szCs w:val="20"/>
                <w:shd w:val="solid" w:color="000000" w:fill="000000"/>
                <w:fitText w:val="350" w:id="-894171383"/>
                <w14:textFill>
                  <w14:solidFill>
                    <w14:srgbClr w14:val="000000">
                      <w14:alpha w14:val="100000"/>
                    </w14:srgbClr>
                  </w14:solidFill>
                </w14:textFill>
              </w:rPr>
              <w:t>|</w:t>
            </w:r>
            <w:r w:rsidR="003D24D7" w:rsidRPr="005C269B">
              <w:rPr>
                <w:szCs w:val="20"/>
                <w:vertAlign w:val="superscript"/>
              </w:rPr>
              <w:t>2</w:t>
            </w:r>
          </w:p>
        </w:tc>
      </w:tr>
    </w:tbl>
    <w:p w14:paraId="72F93C65" w14:textId="3EBA7ED6" w:rsidR="0022309B" w:rsidRPr="00350BF3" w:rsidRDefault="0022309B" w:rsidP="00862762">
      <w:pPr>
        <w:pStyle w:val="TableFooter"/>
        <w:keepNext/>
        <w:keepLines/>
        <w:widowControl/>
        <w:spacing w:after="120"/>
        <w:contextualSpacing/>
      </w:pPr>
      <w:r w:rsidRPr="00350BF3">
        <w:t>Source: Tables 4-5, 4-6, 4-8, 4-10, 4-11, of the submission.</w:t>
      </w:r>
    </w:p>
    <w:p w14:paraId="5E8EE1B4" w14:textId="109E64C4" w:rsidR="0022309B" w:rsidRPr="00350BF3" w:rsidRDefault="0022309B" w:rsidP="00862762">
      <w:pPr>
        <w:pStyle w:val="TableFooter"/>
        <w:keepNext/>
        <w:keepLines/>
        <w:widowControl/>
        <w:spacing w:after="120"/>
        <w:contextualSpacing/>
      </w:pPr>
      <w:r w:rsidRPr="00350BF3">
        <w:t>Abbreviations: PBS, Pharmaceutical Benefits Scheme; RPBS, Repatriation Pharmaceutical Benefits Scheme</w:t>
      </w:r>
      <w:r>
        <w:t>; R/R, relapsed/refractory</w:t>
      </w:r>
      <w:r w:rsidRPr="00350BF3">
        <w:t>.</w:t>
      </w:r>
    </w:p>
    <w:p w14:paraId="26291447" w14:textId="364B1A9F" w:rsidR="0022309B" w:rsidRPr="00350BF3" w:rsidRDefault="00B35B98" w:rsidP="00862762">
      <w:pPr>
        <w:pStyle w:val="TableFooter"/>
        <w:keepNext/>
        <w:keepLines/>
        <w:widowControl/>
        <w:spacing w:after="120"/>
        <w:contextualSpacing/>
      </w:pPr>
      <w:r>
        <w:rPr>
          <w:vertAlign w:val="superscript"/>
        </w:rPr>
        <w:t>a</w:t>
      </w:r>
      <w:r w:rsidR="0022309B" w:rsidRPr="00350BF3">
        <w:t xml:space="preserve"> Assumed adults received 82.6 vials over 2.95 cycles of treatment (2.95 scripts per course of treatment), and paediatric patients received 60% of adult dose (1.77 scripts per course of treatment).</w:t>
      </w:r>
    </w:p>
    <w:p w14:paraId="10FBB9FE" w14:textId="2099D477" w:rsidR="0022309B" w:rsidRPr="00350BF3" w:rsidRDefault="00B35B98" w:rsidP="00862762">
      <w:pPr>
        <w:pStyle w:val="TableFooter"/>
        <w:keepNext/>
        <w:keepLines/>
        <w:widowControl/>
        <w:spacing w:after="120"/>
        <w:contextualSpacing/>
      </w:pPr>
      <w:r>
        <w:rPr>
          <w:vertAlign w:val="superscript"/>
        </w:rPr>
        <w:t>b</w:t>
      </w:r>
      <w:r w:rsidR="0022309B" w:rsidRPr="00350BF3">
        <w:t xml:space="preserve"> Estimated </w:t>
      </w:r>
      <w:r w:rsidR="0022309B">
        <w:t>weighted public/private cost per script $</w:t>
      </w:r>
      <w:r w:rsidR="00AF1BA2" w:rsidRPr="001A0FFE">
        <w:rPr>
          <w:color w:val="000000"/>
          <w:spacing w:val="37"/>
          <w:shd w:val="solid" w:color="000000" w:fill="000000"/>
          <w:fitText w:val="270" w:id="-894171382"/>
          <w14:textFill>
            <w14:solidFill>
              <w14:srgbClr w14:val="000000">
                <w14:alpha w14:val="100000"/>
              </w14:srgbClr>
            </w14:solidFill>
          </w14:textFill>
        </w:rPr>
        <w:t xml:space="preserve">|  </w:t>
      </w:r>
      <w:r w:rsidR="00AF1BA2" w:rsidRPr="001A0FFE">
        <w:rPr>
          <w:color w:val="000000"/>
          <w:spacing w:val="1"/>
          <w:shd w:val="solid" w:color="000000" w:fill="000000"/>
          <w:fitText w:val="270" w:id="-894171382"/>
          <w14:textFill>
            <w14:solidFill>
              <w14:srgbClr w14:val="000000">
                <w14:alpha w14:val="100000"/>
              </w14:srgbClr>
            </w14:solidFill>
          </w14:textFill>
        </w:rPr>
        <w:t>|</w:t>
      </w:r>
      <w:r w:rsidR="0022309B">
        <w:t xml:space="preserve"> based on an effective AEMP per vial of $</w:t>
      </w:r>
      <w:r w:rsidR="00AF1BA2" w:rsidRPr="001A0FFE">
        <w:rPr>
          <w:color w:val="000000"/>
          <w:spacing w:val="37"/>
          <w:shd w:val="solid" w:color="000000" w:fill="000000"/>
          <w:fitText w:val="270" w:id="-894171381"/>
          <w14:textFill>
            <w14:solidFill>
              <w14:srgbClr w14:val="000000">
                <w14:alpha w14:val="100000"/>
              </w14:srgbClr>
            </w14:solidFill>
          </w14:textFill>
        </w:rPr>
        <w:t xml:space="preserve">|  </w:t>
      </w:r>
      <w:r w:rsidR="00AF1BA2" w:rsidRPr="001A0FFE">
        <w:rPr>
          <w:color w:val="000000"/>
          <w:spacing w:val="1"/>
          <w:shd w:val="solid" w:color="000000" w:fill="000000"/>
          <w:fitText w:val="270" w:id="-894171381"/>
          <w14:textFill>
            <w14:solidFill>
              <w14:srgbClr w14:val="000000">
                <w14:alpha w14:val="100000"/>
              </w14:srgbClr>
            </w14:solidFill>
          </w14:textFill>
        </w:rPr>
        <w:t>|</w:t>
      </w:r>
      <w:r w:rsidR="00862762">
        <w:t xml:space="preserve"> a</w:t>
      </w:r>
      <w:r w:rsidR="0022309B">
        <w:t>nd 57.3% public/42.7% public use (distribution of use of blinatumomab in the R/R and MRD-positive settings (2024)).</w:t>
      </w:r>
      <w:r w:rsidR="0022309B" w:rsidRPr="00350BF3" w:rsidDel="00E20438">
        <w:t xml:space="preserve"> </w:t>
      </w:r>
    </w:p>
    <w:p w14:paraId="22EE8FFF" w14:textId="3A775E19" w:rsidR="0022309B" w:rsidRDefault="00B35B98" w:rsidP="00862762">
      <w:pPr>
        <w:pStyle w:val="TableFooter"/>
        <w:keepNext/>
        <w:keepLines/>
        <w:widowControl/>
        <w:spacing w:after="120"/>
        <w:contextualSpacing/>
      </w:pPr>
      <w:r>
        <w:rPr>
          <w:vertAlign w:val="superscript"/>
        </w:rPr>
        <w:t>c</w:t>
      </w:r>
      <w:r w:rsidR="0022309B" w:rsidRPr="00350BF3">
        <w:t xml:space="preserve"> Weighted copayments PBS $19.35; RPBS $7.70</w:t>
      </w:r>
      <w:r w:rsidR="0022309B">
        <w:t xml:space="preserve">, based on </w:t>
      </w:r>
      <w:r w:rsidR="0022309B" w:rsidRPr="00D13011">
        <w:t xml:space="preserve">utilisation </w:t>
      </w:r>
      <w:r w:rsidR="0022309B">
        <w:t>by beneficiary type for</w:t>
      </w:r>
      <w:r w:rsidR="0022309B" w:rsidRPr="00D13011">
        <w:t xml:space="preserve"> blinatumomab in the R/R </w:t>
      </w:r>
      <w:r w:rsidR="0022309B">
        <w:t>and MRD-positive settings (2024); applied for each original script (1 for every 2 dispensings)</w:t>
      </w:r>
      <w:r w:rsidR="0022309B" w:rsidRPr="00350BF3">
        <w:t>.</w:t>
      </w:r>
    </w:p>
    <w:p w14:paraId="21A52298" w14:textId="56D149DC" w:rsidR="00171BB7" w:rsidRDefault="00781FD2" w:rsidP="00862762">
      <w:pPr>
        <w:pStyle w:val="TableFooter"/>
        <w:keepNext/>
        <w:keepLines/>
        <w:widowControl/>
        <w:spacing w:after="120"/>
        <w:contextualSpacing/>
      </w:pPr>
      <w:r w:rsidRPr="00781FD2">
        <w:rPr>
          <w:vertAlign w:val="superscript"/>
        </w:rPr>
        <w:t xml:space="preserve">d </w:t>
      </w:r>
      <w:r>
        <w:t xml:space="preserve">Based on the </w:t>
      </w:r>
      <w:r w:rsidRPr="00781FD2">
        <w:t>average frequency of bag changes in the E1910 trial (one bag change every 3.0 days, equating to 9.4 bag changes per 28</w:t>
      </w:r>
      <w:r w:rsidR="00862762">
        <w:t> </w:t>
      </w:r>
      <w:r w:rsidRPr="00781FD2">
        <w:t>day</w:t>
      </w:r>
      <w:r>
        <w:t>s</w:t>
      </w:r>
      <w:r w:rsidRPr="00781FD2">
        <w:t>). A unit cost of $57.80 (MBS item 14221; accessing long-term implanted device for delivery of therapeutic agents) with an 80% benefit of $46.24, was applied for each bag change</w:t>
      </w:r>
    </w:p>
    <w:p w14:paraId="64D96C0A" w14:textId="0618B366" w:rsidR="00171BB7" w:rsidRPr="00862762" w:rsidRDefault="00171BB7" w:rsidP="00862762">
      <w:pPr>
        <w:pStyle w:val="TableFooter"/>
        <w:keepNext/>
        <w:keepLines/>
        <w:widowControl/>
        <w:spacing w:after="120"/>
        <w:contextualSpacing/>
        <w:rPr>
          <w:i/>
          <w:iCs/>
        </w:rPr>
      </w:pPr>
      <w:r w:rsidRPr="00862762">
        <w:rPr>
          <w:i/>
          <w:iCs/>
        </w:rPr>
        <w:t>The redacted values correspond to the following ranges</w:t>
      </w:r>
    </w:p>
    <w:p w14:paraId="2C146D35" w14:textId="77777777" w:rsidR="00171BB7" w:rsidRPr="00862762" w:rsidRDefault="00171BB7" w:rsidP="00862762">
      <w:pPr>
        <w:pStyle w:val="TableFooter"/>
        <w:keepNext/>
        <w:keepLines/>
        <w:widowControl/>
        <w:spacing w:after="120"/>
        <w:contextualSpacing/>
        <w:rPr>
          <w:i/>
          <w:iCs/>
        </w:rPr>
      </w:pPr>
      <w:r w:rsidRPr="00862762">
        <w:rPr>
          <w:i/>
          <w:iCs/>
        </w:rPr>
        <w:t>1 &lt; 500</w:t>
      </w:r>
    </w:p>
    <w:p w14:paraId="4E511A36" w14:textId="1C706C82" w:rsidR="00171BB7" w:rsidRPr="00862762" w:rsidRDefault="00171BB7" w:rsidP="00862762">
      <w:pPr>
        <w:pStyle w:val="TableFooter"/>
        <w:keepNext/>
        <w:keepLines/>
        <w:widowControl/>
        <w:spacing w:after="120"/>
        <w:contextualSpacing/>
        <w:rPr>
          <w:i/>
          <w:iCs/>
        </w:rPr>
      </w:pPr>
      <w:r w:rsidRPr="00862762">
        <w:rPr>
          <w:i/>
          <w:iCs/>
        </w:rPr>
        <w:t>2 $10 million to &lt; $20 million</w:t>
      </w:r>
    </w:p>
    <w:p w14:paraId="504941F9" w14:textId="216B37DA" w:rsidR="00171BB7" w:rsidRPr="00862762" w:rsidRDefault="00171BB7" w:rsidP="00862762">
      <w:pPr>
        <w:pStyle w:val="TableFooter"/>
        <w:keepNext/>
        <w:keepLines/>
        <w:widowControl/>
        <w:spacing w:after="120"/>
        <w:contextualSpacing/>
        <w:rPr>
          <w:i/>
          <w:iCs/>
        </w:rPr>
      </w:pPr>
      <w:r w:rsidRPr="00862762">
        <w:rPr>
          <w:i/>
          <w:iCs/>
        </w:rPr>
        <w:t>3 net cost saving</w:t>
      </w:r>
    </w:p>
    <w:p w14:paraId="2574CA12" w14:textId="4260DC36" w:rsidR="00171BB7" w:rsidRPr="00862762" w:rsidRDefault="00171BB7" w:rsidP="00171BB7">
      <w:pPr>
        <w:pStyle w:val="TableFooter"/>
        <w:spacing w:after="120"/>
        <w:contextualSpacing/>
        <w:rPr>
          <w:i/>
          <w:iCs/>
        </w:rPr>
      </w:pPr>
      <w:r w:rsidRPr="00862762">
        <w:rPr>
          <w:i/>
          <w:iCs/>
        </w:rPr>
        <w:t>4 $0 to &lt; $10 million</w:t>
      </w:r>
    </w:p>
    <w:p w14:paraId="64517979" w14:textId="6A78F330" w:rsidR="00655CF9" w:rsidRPr="008C335E" w:rsidRDefault="00B35B98" w:rsidP="001E7C76">
      <w:pPr>
        <w:pStyle w:val="COMexecsumnumberedpara"/>
      </w:pPr>
      <w:r w:rsidRPr="008C335E">
        <w:t xml:space="preserve">The estimated net cost of blinatumomab to the PBS/RPBS was </w:t>
      </w:r>
      <w:r w:rsidR="001709AC" w:rsidRPr="001709AC">
        <w:t>$10 million to &lt;</w:t>
      </w:r>
      <w:r w:rsidR="004B4F68">
        <w:t> </w:t>
      </w:r>
      <w:r w:rsidR="001709AC" w:rsidRPr="001709AC">
        <w:t>$20</w:t>
      </w:r>
      <w:r w:rsidR="004B4F68">
        <w:t> </w:t>
      </w:r>
      <w:r w:rsidR="001709AC" w:rsidRPr="001709AC">
        <w:t>million</w:t>
      </w:r>
      <w:r w:rsidR="00810911">
        <w:t xml:space="preserve"> </w:t>
      </w:r>
      <w:r w:rsidRPr="008C335E">
        <w:t xml:space="preserve">in Year 1, increasing to </w:t>
      </w:r>
      <w:r w:rsidR="001709AC" w:rsidRPr="001709AC">
        <w:t>$10 million to &lt; $20 million</w:t>
      </w:r>
      <w:r w:rsidR="00810911">
        <w:t xml:space="preserve"> </w:t>
      </w:r>
      <w:r w:rsidRPr="008C335E">
        <w:t xml:space="preserve">in Year 6, a total of </w:t>
      </w:r>
      <w:r w:rsidR="003A2EE6" w:rsidRPr="003A2EE6">
        <w:t>$80 million to &lt; $90 million</w:t>
      </w:r>
      <w:r w:rsidR="00810911">
        <w:t xml:space="preserve"> </w:t>
      </w:r>
      <w:r w:rsidRPr="008C335E">
        <w:t>over 6 years</w:t>
      </w:r>
      <w:r w:rsidR="0083253F" w:rsidRPr="008C335E">
        <w:t>.</w:t>
      </w:r>
    </w:p>
    <w:p w14:paraId="5885088B" w14:textId="222A7CBC" w:rsidR="0083253F" w:rsidRPr="008C335E" w:rsidRDefault="0083253F" w:rsidP="001E7C76">
      <w:pPr>
        <w:pStyle w:val="COMexecsumnumberedpara"/>
      </w:pPr>
      <w:r w:rsidRPr="008C335E">
        <w:t xml:space="preserve">The estimated net cost of blinatumomab to the PBS/RBPS/MBS was </w:t>
      </w:r>
      <w:r w:rsidR="001709AC" w:rsidRPr="001709AC">
        <w:t>$10 million to &lt;</w:t>
      </w:r>
      <w:r w:rsidR="004B4F68">
        <w:t> </w:t>
      </w:r>
      <w:r w:rsidR="001709AC" w:rsidRPr="001709AC">
        <w:t>$20 million</w:t>
      </w:r>
      <w:r w:rsidR="00810911">
        <w:t xml:space="preserve"> </w:t>
      </w:r>
      <w:r w:rsidRPr="008C335E">
        <w:t xml:space="preserve">in Year 1, increasing to </w:t>
      </w:r>
      <w:r w:rsidR="001709AC" w:rsidRPr="001709AC">
        <w:t>$10 million to &lt; $20 million</w:t>
      </w:r>
      <w:r w:rsidR="00810911">
        <w:t xml:space="preserve"> </w:t>
      </w:r>
      <w:r w:rsidRPr="008C335E">
        <w:t xml:space="preserve">in Year 6, a total of </w:t>
      </w:r>
      <w:r w:rsidR="003A2EE6" w:rsidRPr="003A2EE6">
        <w:t>$80 million to &lt; $90 million</w:t>
      </w:r>
      <w:r w:rsidR="00AF1BA2">
        <w:t xml:space="preserve"> </w:t>
      </w:r>
      <w:r w:rsidRPr="008C335E">
        <w:t>over 6 years.</w:t>
      </w:r>
    </w:p>
    <w:p w14:paraId="13DB448B" w14:textId="298B87E6" w:rsidR="009F6192" w:rsidRPr="008C335E" w:rsidRDefault="009F6192" w:rsidP="001E7C76">
      <w:pPr>
        <w:pStyle w:val="COMexecsumnumberedpara"/>
      </w:pPr>
      <w:r w:rsidRPr="008C335E">
        <w:t>The estimated eligible population was highly uncertain, given concerns with the applicability of acute lymphoblastic leukaemia incidence based on older data, as well as multiple sources used to determine the various disease- and treatment-related criteria that are unlikely to be mutually exclusive. The uptake of blinatumomab in the adult and paediatric populations was assumed, and highly uncertain.</w:t>
      </w:r>
      <w:r w:rsidR="00AD39ED" w:rsidRPr="008C335E">
        <w:t xml:space="preserve"> The PSCR argued that the approach to the financial estimates was the same as that accepted by the </w:t>
      </w:r>
      <w:r w:rsidR="00AD39ED" w:rsidRPr="008C335E">
        <w:lastRenderedPageBreak/>
        <w:t xml:space="preserve">PBAC for the complementary MRD-positive population. The PSCR noted that, as per </w:t>
      </w:r>
      <w:r w:rsidR="00AD39ED" w:rsidRPr="008C335E">
        <w:fldChar w:fldCharType="begin" w:fldLock="1"/>
      </w:r>
      <w:r w:rsidR="00AD39ED" w:rsidRPr="008C335E">
        <w:instrText xml:space="preserve"> REF _Ref166499844 \h  \* MERGEFORMAT </w:instrText>
      </w:r>
      <w:r w:rsidR="00AD39ED" w:rsidRPr="008C335E">
        <w:fldChar w:fldCharType="separate"/>
      </w:r>
      <w:r w:rsidR="0081004E" w:rsidRPr="00225248">
        <w:t xml:space="preserve">Table </w:t>
      </w:r>
      <w:r w:rsidR="0081004E">
        <w:t>18</w:t>
      </w:r>
      <w:r w:rsidR="00AD39ED" w:rsidRPr="008C335E">
        <w:fldChar w:fldCharType="end"/>
      </w:r>
      <w:r w:rsidR="00AD39ED" w:rsidRPr="008C335E">
        <w:t xml:space="preserve"> </w:t>
      </w:r>
      <w:r w:rsidR="004D608E" w:rsidRPr="008C335E">
        <w:t>the parameter values were either unchanged or updated (if appropriate); or the complement of the value from the July 2019 MRD-positive submission was used. The ESC considered that uptake will be very high and considered the rates applied in the submission appropriate.</w:t>
      </w:r>
      <w:r w:rsidR="0033011F">
        <w:t xml:space="preserve"> The pre-PBAC response noted that the financial estimates could represent an underestimate due to the conservative assumption of a low uptake in paediatric patients. </w:t>
      </w:r>
    </w:p>
    <w:p w14:paraId="2589BBF6" w14:textId="167E64DF" w:rsidR="00936031" w:rsidRPr="008C335E" w:rsidRDefault="00936031" w:rsidP="009F6192">
      <w:pPr>
        <w:pStyle w:val="COMexecsumnumberedpara"/>
      </w:pPr>
      <w:r w:rsidRPr="008C335E">
        <w:t xml:space="preserve">Cost offsets associated with the reduced use of blinatumomab and inotuzumab </w:t>
      </w:r>
      <w:r w:rsidR="002074A6" w:rsidRPr="002074A6">
        <w:t xml:space="preserve">ozogamicin </w:t>
      </w:r>
      <w:r w:rsidRPr="008C335E">
        <w:t xml:space="preserve">in the relapsed/refractory setting based on economic model outputs are uncertain, and </w:t>
      </w:r>
      <w:r w:rsidR="000936FD">
        <w:t xml:space="preserve">were considered by the evaluators as </w:t>
      </w:r>
      <w:r w:rsidRPr="008C335E">
        <w:t>not reliable.</w:t>
      </w:r>
      <w:r w:rsidR="004D608E" w:rsidRPr="008C335E">
        <w:t xml:space="preserve"> </w:t>
      </w:r>
    </w:p>
    <w:p w14:paraId="71058B9D" w14:textId="77777777" w:rsidR="00827696" w:rsidRPr="00225248" w:rsidRDefault="00827696" w:rsidP="00827696">
      <w:pPr>
        <w:pStyle w:val="COMH2-non-numbered"/>
      </w:pPr>
      <w:bookmarkStart w:id="78" w:name="_Toc22897648"/>
      <w:bookmarkStart w:id="79" w:name="_Toc167265614"/>
      <w:bookmarkStart w:id="80" w:name="_Toc22897650"/>
      <w:r w:rsidRPr="00225248">
        <w:t>Quality Use of Medicines</w:t>
      </w:r>
      <w:bookmarkEnd w:id="78"/>
      <w:bookmarkEnd w:id="79"/>
    </w:p>
    <w:p w14:paraId="7CC9F7C6" w14:textId="54027A4D" w:rsidR="00827696" w:rsidRPr="00225248" w:rsidRDefault="00827696" w:rsidP="001E7C76">
      <w:pPr>
        <w:pStyle w:val="COMexecsumnumberedpara"/>
      </w:pPr>
      <w:r w:rsidRPr="00350BF3">
        <w:t>The submission noted that the sponsor currently provides educational programs and resources for haematologists, nurses and pharmacists involved in the care of patients with B-cell precursor acute lymphoblastic leukaemia (B-ALL), and that these educational resources will be updated with a focus on the use of blinatumomab in combination with SOC chemotherapy as consolidation therapy in B-ALL.</w:t>
      </w:r>
    </w:p>
    <w:p w14:paraId="6B335CF0" w14:textId="77777777" w:rsidR="00827696" w:rsidRDefault="00827696" w:rsidP="00827696">
      <w:pPr>
        <w:pStyle w:val="COMH2-non-numbered"/>
      </w:pPr>
      <w:bookmarkStart w:id="81" w:name="_Toc22897649"/>
      <w:bookmarkStart w:id="82" w:name="_Toc167265615"/>
      <w:r w:rsidRPr="00225248">
        <w:t>Financial Management – Risk Sharing Arrangements</w:t>
      </w:r>
      <w:bookmarkEnd w:id="81"/>
      <w:bookmarkEnd w:id="82"/>
    </w:p>
    <w:p w14:paraId="4C68AAC0" w14:textId="423AF79D" w:rsidR="00827696" w:rsidRDefault="00827696" w:rsidP="001E7C76">
      <w:pPr>
        <w:pStyle w:val="COMexecsumnumberedpara"/>
      </w:pPr>
      <w:r>
        <w:t>The sponsor did not propose a risk sharing arrangement (RSA), but noted that the existing Deed of Agreement, which includes an RSA for blinatumomab and inotuzumab</w:t>
      </w:r>
      <w:r w:rsidR="002074A6" w:rsidRPr="002074A6">
        <w:t xml:space="preserve"> ozogamicin</w:t>
      </w:r>
      <w:r>
        <w:t xml:space="preserve"> in the treatment of B-ALL, reached the end of its term on 1</w:t>
      </w:r>
      <w:r w:rsidR="004B4F68">
        <w:t> </w:t>
      </w:r>
      <w:r>
        <w:t xml:space="preserve">May 2022, and that the current expenditure cap applies to both blinatumomab and inotuzumab </w:t>
      </w:r>
      <w:r w:rsidR="002074A6" w:rsidRPr="002074A6">
        <w:t xml:space="preserve">ozogamicin </w:t>
      </w:r>
      <w:r>
        <w:t>until the deed is renegotiated.</w:t>
      </w:r>
      <w:r w:rsidRPr="00827696">
        <w:t xml:space="preserve"> </w:t>
      </w:r>
    </w:p>
    <w:p w14:paraId="51CAA419" w14:textId="142E4253" w:rsidR="00827696" w:rsidRDefault="00827696" w:rsidP="001E7C76">
      <w:pPr>
        <w:pStyle w:val="COMexecsumnumberedpara"/>
      </w:pPr>
      <w:r>
        <w:t>The sponsor proposed no continuing RSA for the blinatumomab and inotuzumab</w:t>
      </w:r>
      <w:r w:rsidR="002074A6">
        <w:t xml:space="preserve"> </w:t>
      </w:r>
      <w:r w:rsidR="002074A6" w:rsidRPr="002074A6">
        <w:t>ozogamicin</w:t>
      </w:r>
      <w:r>
        <w:t xml:space="preserve"> listings for the treatment of B-ALL, for the following reasons:</w:t>
      </w:r>
    </w:p>
    <w:p w14:paraId="1FE67D31" w14:textId="21F11AC8" w:rsidR="00827696" w:rsidRDefault="00827696" w:rsidP="004B4F68">
      <w:pPr>
        <w:pStyle w:val="COMexecsummbulletlist"/>
        <w:ind w:left="1077" w:hanging="357"/>
      </w:pPr>
      <w:r>
        <w:t xml:space="preserve">The financial risk associated with blinatumomab and inotuzumab </w:t>
      </w:r>
      <w:r w:rsidR="002074A6">
        <w:t xml:space="preserve">ozogamicin </w:t>
      </w:r>
      <w:r>
        <w:t>has not been realised over the 7 year duration of current Deed of Agreement.</w:t>
      </w:r>
    </w:p>
    <w:p w14:paraId="685D855C" w14:textId="77777777" w:rsidR="00827696" w:rsidRDefault="00827696" w:rsidP="004B4F68">
      <w:pPr>
        <w:pStyle w:val="COMexecsummbulletlist"/>
        <w:ind w:left="1077" w:hanging="357"/>
      </w:pPr>
      <w:r>
        <w:t xml:space="preserve">There is no risk of leakage due to the nature of the reimbursement criteria, given initial access is by written authority and access is once-in-a-lifetime under each restriction. </w:t>
      </w:r>
    </w:p>
    <w:p w14:paraId="66D1FBFA" w14:textId="77777777" w:rsidR="00827696" w:rsidRDefault="00827696" w:rsidP="004B4F68">
      <w:pPr>
        <w:pStyle w:val="COMexecsummbulletlist"/>
        <w:ind w:left="1077" w:hanging="357"/>
      </w:pPr>
      <w:r>
        <w:t>Blinatumomab is judiciously used by Australian haematologists.</w:t>
      </w:r>
    </w:p>
    <w:p w14:paraId="7B4D3F62" w14:textId="18D8F16A" w:rsidR="00827696" w:rsidRDefault="00827696" w:rsidP="004B4F68">
      <w:pPr>
        <w:pStyle w:val="COMexecsummbulletlist"/>
        <w:ind w:left="1077" w:hanging="357"/>
      </w:pPr>
      <w:r>
        <w:t>The expansion of the exist</w:t>
      </w:r>
      <w:r w:rsidR="00963D43">
        <w:t>ing</w:t>
      </w:r>
      <w:r>
        <w:t xml:space="preserve"> restriction to allow access for MRD-negative patients, utilisation and financial impact are predictable.</w:t>
      </w:r>
    </w:p>
    <w:p w14:paraId="3C02CCEE" w14:textId="772F3475" w:rsidR="00454662" w:rsidRDefault="00410714" w:rsidP="00410714">
      <w:pPr>
        <w:pStyle w:val="COMexecsumnumberedpara"/>
      </w:pPr>
      <w:r w:rsidRPr="00DF0226">
        <w:t xml:space="preserve">The requested listing for blinatumomab is MRD-agnostic and allows for use of blinatumomab in both MRD-directed and non-MRD-directed settings. An RSA may be appropriate given uncertainties with the estimated size of the treated population and potential impact on the use of blinatumomab and inotuzumab </w:t>
      </w:r>
      <w:r w:rsidR="002074A6" w:rsidRPr="002074A6">
        <w:t xml:space="preserve">ozogamicin </w:t>
      </w:r>
      <w:r w:rsidRPr="00DF0226">
        <w:t>as subsequent therapies.</w:t>
      </w:r>
    </w:p>
    <w:p w14:paraId="0FDD7325" w14:textId="2EDD6084" w:rsidR="00632204" w:rsidRDefault="008C335E" w:rsidP="002D5832">
      <w:pPr>
        <w:pStyle w:val="COMexecsumnumberedpara"/>
        <w:numPr>
          <w:ilvl w:val="0"/>
          <w:numId w:val="0"/>
        </w:numPr>
        <w:ind w:left="720"/>
        <w:rPr>
          <w:rFonts w:eastAsia="Calibri"/>
        </w:rPr>
      </w:pPr>
      <w:r w:rsidRPr="008C335E">
        <w:rPr>
          <w:i/>
          <w:iCs/>
        </w:rPr>
        <w:t>For more detail on PBAC’s view, see section 7 PBAC outcome.</w:t>
      </w:r>
      <w:bookmarkEnd w:id="80"/>
    </w:p>
    <w:p w14:paraId="202FD6E1" w14:textId="77777777" w:rsidR="008C335E" w:rsidRPr="0090150D" w:rsidRDefault="008C335E" w:rsidP="008C335E">
      <w:pPr>
        <w:pStyle w:val="2-SectionHeading"/>
        <w:numPr>
          <w:ilvl w:val="0"/>
          <w:numId w:val="1"/>
        </w:numPr>
      </w:pPr>
      <w:bookmarkStart w:id="83" w:name="_Hlk76381249"/>
      <w:bookmarkStart w:id="84" w:name="_Hlk76377955"/>
      <w:r w:rsidRPr="0090150D">
        <w:lastRenderedPageBreak/>
        <w:t>PBAC Outcome</w:t>
      </w:r>
    </w:p>
    <w:p w14:paraId="3F74C4E9" w14:textId="087D5811" w:rsidR="00C970BF" w:rsidRDefault="00C970BF" w:rsidP="008C335E">
      <w:pPr>
        <w:widowControl w:val="0"/>
        <w:numPr>
          <w:ilvl w:val="1"/>
          <w:numId w:val="1"/>
        </w:numPr>
        <w:spacing w:after="120"/>
        <w:ind w:left="720"/>
        <w:rPr>
          <w:rFonts w:asciiTheme="minorHAnsi" w:hAnsiTheme="minorHAnsi"/>
          <w:snapToGrid w:val="0"/>
          <w:lang w:val="en-GB"/>
        </w:rPr>
      </w:pPr>
      <w:bookmarkStart w:id="85" w:name="_Hlk111543188"/>
      <w:r w:rsidRPr="00C970BF">
        <w:rPr>
          <w:rFonts w:asciiTheme="minorHAnsi" w:hAnsiTheme="minorHAnsi"/>
          <w:snapToGrid w:val="0"/>
          <w:lang w:val="en-GB"/>
        </w:rPr>
        <w:t xml:space="preserve">The PBAC deferred blinatumomab for the treatment of patients with B-cell precursor acute lymphoblastic leukaemia (B-ALL) who are measurable residual disease (MRD)-negative following induction chemotherapy. The PBAC was of a mind to recommend blinatumomab, pending advice from the Therapeutic Goods Administration Delegate. The PBAC noted that blinatumomab plus standard of care </w:t>
      </w:r>
      <w:r w:rsidR="007B543B">
        <w:rPr>
          <w:rFonts w:asciiTheme="minorHAnsi" w:hAnsiTheme="minorHAnsi"/>
          <w:snapToGrid w:val="0"/>
          <w:lang w:val="en-GB"/>
        </w:rPr>
        <w:t xml:space="preserve">consolidation </w:t>
      </w:r>
      <w:r w:rsidR="00041EBE">
        <w:rPr>
          <w:rFonts w:asciiTheme="minorHAnsi" w:hAnsiTheme="minorHAnsi"/>
          <w:snapToGrid w:val="0"/>
          <w:lang w:val="en-GB"/>
        </w:rPr>
        <w:t>chemo</w:t>
      </w:r>
      <w:r w:rsidRPr="00C970BF">
        <w:rPr>
          <w:rFonts w:asciiTheme="minorHAnsi" w:hAnsiTheme="minorHAnsi"/>
          <w:snapToGrid w:val="0"/>
          <w:lang w:val="en-GB"/>
        </w:rPr>
        <w:t xml:space="preserve">therapy provided a significant improvement in overall survival and relapse-free survival over standard of care </w:t>
      </w:r>
      <w:r w:rsidR="007B543B">
        <w:rPr>
          <w:rFonts w:asciiTheme="minorHAnsi" w:hAnsiTheme="minorHAnsi"/>
          <w:snapToGrid w:val="0"/>
          <w:lang w:val="en-GB"/>
        </w:rPr>
        <w:t xml:space="preserve">consolidation </w:t>
      </w:r>
      <w:r w:rsidR="00041EBE">
        <w:rPr>
          <w:rFonts w:asciiTheme="minorHAnsi" w:hAnsiTheme="minorHAnsi"/>
          <w:snapToGrid w:val="0"/>
          <w:lang w:val="en-GB"/>
        </w:rPr>
        <w:t>chemo</w:t>
      </w:r>
      <w:r w:rsidRPr="00C970BF">
        <w:rPr>
          <w:rFonts w:asciiTheme="minorHAnsi" w:hAnsiTheme="minorHAnsi"/>
          <w:snapToGrid w:val="0"/>
          <w:lang w:val="en-GB"/>
        </w:rPr>
        <w:t xml:space="preserve">therapy alone but considered the magnitude of benefit in the proposed PBS population was uncertain. The PBAC noted the revised base case and price in the pre-PBAC response and considered that based upon this the cost-effectiveness of blinatumomab was acceptable. </w:t>
      </w:r>
      <w:r w:rsidR="000D0A24">
        <w:rPr>
          <w:lang w:eastAsia="en-GB"/>
        </w:rPr>
        <w:t xml:space="preserve">The PBAC considered that a risk sharing arrangement (RSA) would be appropriate to address the </w:t>
      </w:r>
      <w:r w:rsidR="000D0A24" w:rsidRPr="00837DFE">
        <w:rPr>
          <w:lang w:val="en-GB"/>
        </w:rPr>
        <w:t xml:space="preserve">uncertainty regarding the </w:t>
      </w:r>
      <w:r w:rsidR="000D0A24">
        <w:rPr>
          <w:lang w:val="en-GB"/>
        </w:rPr>
        <w:t xml:space="preserve">magnitude of benefit in the proposed PBS population and around the cost offsets associated with the reduced use of </w:t>
      </w:r>
      <w:r w:rsidR="000D0A24" w:rsidRPr="008C335E">
        <w:t xml:space="preserve">blinatumomab and inotuzumab </w:t>
      </w:r>
      <w:r w:rsidR="002074A6" w:rsidRPr="002074A6">
        <w:t xml:space="preserve">ozogamicin </w:t>
      </w:r>
      <w:r w:rsidR="000D0A24" w:rsidRPr="008C335E">
        <w:t>in the relapsed/refractory</w:t>
      </w:r>
      <w:r w:rsidR="000D0A24">
        <w:t xml:space="preserve"> setting</w:t>
      </w:r>
      <w:r w:rsidR="000D0A24">
        <w:rPr>
          <w:lang w:val="en-GB"/>
        </w:rPr>
        <w:t>.</w:t>
      </w:r>
    </w:p>
    <w:p w14:paraId="023D9C73" w14:textId="66AD6826" w:rsidR="00C970BF" w:rsidRPr="00727CC4" w:rsidRDefault="00727CC4" w:rsidP="008C335E">
      <w:pPr>
        <w:widowControl w:val="0"/>
        <w:numPr>
          <w:ilvl w:val="1"/>
          <w:numId w:val="1"/>
        </w:numPr>
        <w:spacing w:after="120"/>
        <w:ind w:left="720"/>
        <w:rPr>
          <w:rFonts w:asciiTheme="minorHAnsi" w:hAnsiTheme="minorHAnsi"/>
          <w:snapToGrid w:val="0"/>
          <w:lang w:val="en-GB"/>
        </w:rPr>
      </w:pPr>
      <w:r>
        <w:rPr>
          <w:rFonts w:asciiTheme="minorHAnsi" w:hAnsiTheme="minorHAnsi"/>
          <w:snapToGrid w:val="0"/>
          <w:lang w:val="en-GB"/>
        </w:rPr>
        <w:t xml:space="preserve">The PBAC noted consumer comments from health care professionals, the </w:t>
      </w:r>
      <w:r>
        <w:rPr>
          <w:rFonts w:asciiTheme="minorHAnsi" w:hAnsiTheme="minorHAnsi"/>
          <w:bCs/>
          <w:snapToGrid w:val="0"/>
        </w:rPr>
        <w:t xml:space="preserve">Leukaemia Foundation and the Australian &amp; New Zealand </w:t>
      </w:r>
      <w:proofErr w:type="spellStart"/>
      <w:r>
        <w:rPr>
          <w:rFonts w:asciiTheme="minorHAnsi" w:hAnsiTheme="minorHAnsi"/>
          <w:bCs/>
          <w:snapToGrid w:val="0"/>
        </w:rPr>
        <w:t>Childrens</w:t>
      </w:r>
      <w:proofErr w:type="spellEnd"/>
      <w:r>
        <w:rPr>
          <w:rFonts w:asciiTheme="minorHAnsi" w:hAnsiTheme="minorHAnsi"/>
          <w:bCs/>
          <w:snapToGrid w:val="0"/>
        </w:rPr>
        <w:t xml:space="preserve"> </w:t>
      </w:r>
      <w:r w:rsidRPr="00852E4F">
        <w:rPr>
          <w:rFonts w:asciiTheme="minorHAnsi" w:hAnsiTheme="minorHAnsi"/>
          <w:bCs/>
          <w:snapToGrid w:val="0"/>
        </w:rPr>
        <w:t>Haematology</w:t>
      </w:r>
      <w:r>
        <w:rPr>
          <w:rFonts w:asciiTheme="minorHAnsi" w:hAnsiTheme="minorHAnsi"/>
          <w:bCs/>
          <w:snapToGrid w:val="0"/>
        </w:rPr>
        <w:t xml:space="preserve"> </w:t>
      </w:r>
      <w:r w:rsidRPr="00852E4F">
        <w:rPr>
          <w:rFonts w:asciiTheme="minorHAnsi" w:hAnsiTheme="minorHAnsi"/>
          <w:bCs/>
          <w:snapToGrid w:val="0"/>
        </w:rPr>
        <w:t>/Oncology Group (ANZCHOG)</w:t>
      </w:r>
      <w:r>
        <w:rPr>
          <w:rFonts w:asciiTheme="minorHAnsi" w:hAnsiTheme="minorHAnsi"/>
          <w:bCs/>
          <w:snapToGrid w:val="0"/>
        </w:rPr>
        <w:t xml:space="preserve"> which highlighted the need for new frontline therapy in the treatment of B-ALL. The PBAC agreed with health care professional and ANZCHOG arguments that an age agnostic listing would be appropriate. </w:t>
      </w:r>
    </w:p>
    <w:p w14:paraId="072CD256" w14:textId="40458706" w:rsidR="00727CC4" w:rsidRPr="00727CC4" w:rsidRDefault="00727CC4" w:rsidP="008C335E">
      <w:pPr>
        <w:widowControl w:val="0"/>
        <w:numPr>
          <w:ilvl w:val="1"/>
          <w:numId w:val="1"/>
        </w:numPr>
        <w:spacing w:after="120"/>
        <w:ind w:left="720"/>
        <w:rPr>
          <w:rFonts w:asciiTheme="minorHAnsi" w:hAnsiTheme="minorHAnsi"/>
          <w:snapToGrid w:val="0"/>
          <w:lang w:val="en-GB"/>
        </w:rPr>
      </w:pPr>
      <w:proofErr w:type="gramStart"/>
      <w:r>
        <w:rPr>
          <w:rFonts w:asciiTheme="minorHAnsi" w:hAnsiTheme="minorHAnsi"/>
          <w:bCs/>
          <w:snapToGrid w:val="0"/>
        </w:rPr>
        <w:t>With regard to</w:t>
      </w:r>
      <w:proofErr w:type="gramEnd"/>
      <w:r>
        <w:rPr>
          <w:rFonts w:asciiTheme="minorHAnsi" w:hAnsiTheme="minorHAnsi"/>
          <w:bCs/>
          <w:snapToGrid w:val="0"/>
        </w:rPr>
        <w:t xml:space="preserve"> the requested listing and restriction, the PBAC advised that</w:t>
      </w:r>
      <w:r w:rsidR="00D25915">
        <w:rPr>
          <w:rFonts w:asciiTheme="minorHAnsi" w:hAnsiTheme="minorHAnsi"/>
          <w:bCs/>
          <w:snapToGrid w:val="0"/>
        </w:rPr>
        <w:t xml:space="preserve"> it was appropriate for</w:t>
      </w:r>
      <w:r>
        <w:rPr>
          <w:rFonts w:asciiTheme="minorHAnsi" w:hAnsiTheme="minorHAnsi"/>
          <w:bCs/>
          <w:snapToGrid w:val="0"/>
        </w:rPr>
        <w:t xml:space="preserve">: </w:t>
      </w:r>
    </w:p>
    <w:p w14:paraId="07B9265D" w14:textId="3664B331" w:rsidR="00C65F4C" w:rsidRDefault="00C65F4C" w:rsidP="004B4F68">
      <w:pPr>
        <w:pStyle w:val="COMexecsummbulletlist"/>
        <w:ind w:left="1077" w:hanging="357"/>
        <w:rPr>
          <w:lang w:val="en-GB"/>
        </w:rPr>
      </w:pPr>
      <w:r>
        <w:rPr>
          <w:lang w:val="en-GB"/>
        </w:rPr>
        <w:t>An Authority Required – Written listing for the initial treatment restriction and an Authority Required – Telephone/Electronic listing for the continuing treatment restriction.</w:t>
      </w:r>
    </w:p>
    <w:p w14:paraId="05449F20" w14:textId="5086A440" w:rsidR="00727CC4" w:rsidRDefault="00D25915" w:rsidP="004B4F68">
      <w:pPr>
        <w:pStyle w:val="COMexecsummbulletlist"/>
        <w:ind w:left="1077" w:hanging="357"/>
        <w:rPr>
          <w:lang w:val="en-GB"/>
        </w:rPr>
      </w:pPr>
      <w:r>
        <w:rPr>
          <w:lang w:val="en-GB"/>
        </w:rPr>
        <w:t>MRD-positive and MRD-negative patients</w:t>
      </w:r>
      <w:r w:rsidR="00C65F4C">
        <w:rPr>
          <w:lang w:val="en-GB"/>
        </w:rPr>
        <w:t xml:space="preserve"> to be covered in the same listing</w:t>
      </w:r>
      <w:r w:rsidR="00B14B63">
        <w:rPr>
          <w:lang w:val="en-GB"/>
        </w:rPr>
        <w:t xml:space="preserve">. </w:t>
      </w:r>
      <w:r w:rsidR="001A5F5C">
        <w:rPr>
          <w:lang w:val="en-GB"/>
        </w:rPr>
        <w:t>With t</w:t>
      </w:r>
      <w:r w:rsidR="00B14B63">
        <w:rPr>
          <w:lang w:val="en-GB"/>
        </w:rPr>
        <w:t xml:space="preserve">he inclusion of both MRD-positive and MRD-negative patients </w:t>
      </w:r>
      <w:r w:rsidR="001A5F5C">
        <w:rPr>
          <w:lang w:val="en-GB"/>
        </w:rPr>
        <w:t>it is appropriate to include the following clinical criterion in the continuing treatment restriction ‘The condition must be negative for measurable residual disease using the same method used to establish initial MRD status.’</w:t>
      </w:r>
    </w:p>
    <w:p w14:paraId="60051E1C" w14:textId="4039BA23" w:rsidR="00D25915" w:rsidRDefault="00C65F4C" w:rsidP="004B4F68">
      <w:pPr>
        <w:pStyle w:val="COMexecsummbulletlist"/>
        <w:ind w:left="1077" w:hanging="357"/>
        <w:rPr>
          <w:lang w:val="en-GB"/>
        </w:rPr>
      </w:pPr>
      <w:r>
        <w:rPr>
          <w:lang w:val="en-GB"/>
        </w:rPr>
        <w:t>I</w:t>
      </w:r>
      <w:r w:rsidR="00D25915">
        <w:rPr>
          <w:lang w:val="en-GB"/>
        </w:rPr>
        <w:t xml:space="preserve">nclusion of patients irrespective of Philadelphia (Ph) chromosome status or age. </w:t>
      </w:r>
    </w:p>
    <w:p w14:paraId="290F586D" w14:textId="3C92C24F" w:rsidR="00B14B63" w:rsidRPr="00B14B63" w:rsidRDefault="00C65F4C" w:rsidP="004B4F68">
      <w:pPr>
        <w:pStyle w:val="COMexecsummbulletlist"/>
        <w:ind w:left="1077" w:hanging="357"/>
        <w:rPr>
          <w:lang w:val="en-GB"/>
        </w:rPr>
      </w:pPr>
      <w:r>
        <w:rPr>
          <w:lang w:val="en-GB"/>
        </w:rPr>
        <w:t>The initial treatment restriction to limit use to patients with an ECOG performance status of 0 or 1</w:t>
      </w:r>
      <w:r w:rsidR="00E24CB7">
        <w:rPr>
          <w:lang w:val="en-GB"/>
        </w:rPr>
        <w:t xml:space="preserve"> and for a limit of 2 cycles per lifetime for each of the initial and continuing restrictions. </w:t>
      </w:r>
    </w:p>
    <w:p w14:paraId="40EC0978" w14:textId="0B54246F" w:rsidR="00C65F4C" w:rsidRDefault="001A5F5C" w:rsidP="004B4F68">
      <w:pPr>
        <w:pStyle w:val="COMexecsummbulletlist"/>
        <w:ind w:left="1077" w:hanging="357"/>
        <w:rPr>
          <w:lang w:val="en-GB"/>
        </w:rPr>
      </w:pPr>
      <w:r>
        <w:rPr>
          <w:lang w:val="en-GB"/>
        </w:rPr>
        <w:t>Flow on changes to allow r</w:t>
      </w:r>
      <w:r w:rsidR="00B14B63">
        <w:rPr>
          <w:lang w:val="en-GB"/>
        </w:rPr>
        <w:t xml:space="preserve">etreatment in the relapsed/refractory setting for patients who have responded to blinatumomab. </w:t>
      </w:r>
    </w:p>
    <w:p w14:paraId="6BC1C09C" w14:textId="4B687D25" w:rsidR="001A5F5C" w:rsidRDefault="001A5F5C" w:rsidP="00727CC4">
      <w:pPr>
        <w:widowControl w:val="0"/>
        <w:numPr>
          <w:ilvl w:val="1"/>
          <w:numId w:val="1"/>
        </w:numPr>
        <w:spacing w:after="120"/>
        <w:ind w:left="720"/>
        <w:rPr>
          <w:rFonts w:asciiTheme="minorHAnsi" w:hAnsiTheme="minorHAnsi"/>
          <w:bCs/>
          <w:snapToGrid w:val="0"/>
        </w:rPr>
      </w:pPr>
      <w:r>
        <w:rPr>
          <w:rFonts w:asciiTheme="minorHAnsi" w:hAnsiTheme="minorHAnsi"/>
          <w:bCs/>
          <w:snapToGrid w:val="0"/>
        </w:rPr>
        <w:t xml:space="preserve">The PBAC considered standard of care chemotherapy, with or without </w:t>
      </w:r>
      <w:r w:rsidRPr="001A5F5C">
        <w:rPr>
          <w:rFonts w:asciiTheme="minorHAnsi" w:hAnsiTheme="minorHAnsi"/>
          <w:bCs/>
          <w:snapToGrid w:val="0"/>
        </w:rPr>
        <w:t>allogeneic stem cell transplant (ASCT)</w:t>
      </w:r>
      <w:r>
        <w:rPr>
          <w:rFonts w:asciiTheme="minorHAnsi" w:hAnsiTheme="minorHAnsi"/>
          <w:bCs/>
          <w:snapToGrid w:val="0"/>
        </w:rPr>
        <w:t xml:space="preserve">, was appropriate as the main comparator. </w:t>
      </w:r>
    </w:p>
    <w:p w14:paraId="78EBD3EC" w14:textId="7B5D529F" w:rsidR="003D5B62" w:rsidRPr="009A231C" w:rsidRDefault="001A5F5C" w:rsidP="009A231C">
      <w:pPr>
        <w:widowControl w:val="0"/>
        <w:numPr>
          <w:ilvl w:val="1"/>
          <w:numId w:val="1"/>
        </w:numPr>
        <w:spacing w:after="120"/>
        <w:ind w:left="720"/>
        <w:rPr>
          <w:rFonts w:asciiTheme="minorHAnsi" w:hAnsiTheme="minorHAnsi"/>
          <w:bCs/>
          <w:snapToGrid w:val="0"/>
        </w:rPr>
      </w:pPr>
      <w:r>
        <w:rPr>
          <w:bCs/>
        </w:rPr>
        <w:t>The E1910 trial provided the key evidence for blinatumomab</w:t>
      </w:r>
      <w:r w:rsidR="00E82780">
        <w:rPr>
          <w:bCs/>
        </w:rPr>
        <w:t xml:space="preserve"> with the PBAC noting the </w:t>
      </w:r>
      <w:r w:rsidR="00E82780">
        <w:rPr>
          <w:bCs/>
        </w:rPr>
        <w:lastRenderedPageBreak/>
        <w:t>risk of bias in the MRD-negative population was high given the open-label trial design</w:t>
      </w:r>
      <w:r w:rsidR="006B5A85">
        <w:rPr>
          <w:bCs/>
        </w:rPr>
        <w:t>.</w:t>
      </w:r>
      <w:r w:rsidR="00833291">
        <w:rPr>
          <w:bCs/>
        </w:rPr>
        <w:t xml:space="preserve"> The trial used a </w:t>
      </w:r>
      <w:r w:rsidR="00833291" w:rsidRPr="00DF0226">
        <w:t>4-step study design to identify eligible patients with B-ALL who achieve complete haematological remission after initial induction chemotherapy and induction intensification</w:t>
      </w:r>
      <w:r w:rsidR="00833291">
        <w:t>.</w:t>
      </w:r>
      <w:r w:rsidR="006B5A85">
        <w:rPr>
          <w:bCs/>
        </w:rPr>
        <w:t xml:space="preserve"> The PBAC noted that</w:t>
      </w:r>
      <w:r w:rsidR="00833291">
        <w:rPr>
          <w:bCs/>
        </w:rPr>
        <w:t xml:space="preserve"> only</w:t>
      </w:r>
      <w:r w:rsidR="006B5A85">
        <w:rPr>
          <w:bCs/>
        </w:rPr>
        <w:t xml:space="preserve"> 5</w:t>
      </w:r>
      <w:r w:rsidR="001A4B6D">
        <w:rPr>
          <w:bCs/>
        </w:rPr>
        <w:t>8.6</w:t>
      </w:r>
      <w:r w:rsidR="006B5A85">
        <w:rPr>
          <w:bCs/>
        </w:rPr>
        <w:t xml:space="preserve">% (286/488) of patients enrolled in the trial progressed to the randomised treatment phase </w:t>
      </w:r>
      <w:r w:rsidR="00833291">
        <w:rPr>
          <w:bCs/>
        </w:rPr>
        <w:t xml:space="preserve">(Step 3) </w:t>
      </w:r>
      <w:r w:rsidR="006B5A85">
        <w:rPr>
          <w:bCs/>
        </w:rPr>
        <w:t xml:space="preserve">where they received blinatumomab plus standard of care </w:t>
      </w:r>
      <w:r w:rsidR="007B543B">
        <w:rPr>
          <w:bCs/>
        </w:rPr>
        <w:t xml:space="preserve">consolidation </w:t>
      </w:r>
      <w:r w:rsidR="006B5A85">
        <w:rPr>
          <w:bCs/>
        </w:rPr>
        <w:t xml:space="preserve">chemotherapy or standard of care </w:t>
      </w:r>
      <w:r w:rsidR="007B543B">
        <w:rPr>
          <w:bCs/>
        </w:rPr>
        <w:t xml:space="preserve">consolidation </w:t>
      </w:r>
      <w:r w:rsidR="006B5A85">
        <w:rPr>
          <w:bCs/>
        </w:rPr>
        <w:t xml:space="preserve">chemotherapy alone (see paragraph </w:t>
      </w:r>
      <w:r w:rsidR="006B5A85">
        <w:rPr>
          <w:bCs/>
        </w:rPr>
        <w:fldChar w:fldCharType="begin" w:fldLock="1"/>
      </w:r>
      <w:r w:rsidR="006B5A85">
        <w:rPr>
          <w:bCs/>
        </w:rPr>
        <w:instrText xml:space="preserve"> REF _Ref173919497 \r \h </w:instrText>
      </w:r>
      <w:r w:rsidR="006B5A85">
        <w:rPr>
          <w:bCs/>
        </w:rPr>
      </w:r>
      <w:r w:rsidR="006B5A85">
        <w:rPr>
          <w:bCs/>
        </w:rPr>
        <w:fldChar w:fldCharType="separate"/>
      </w:r>
      <w:r w:rsidR="0021273F">
        <w:rPr>
          <w:bCs/>
        </w:rPr>
        <w:t>6.6</w:t>
      </w:r>
      <w:r w:rsidR="006B5A85">
        <w:rPr>
          <w:bCs/>
        </w:rPr>
        <w:fldChar w:fldCharType="end"/>
      </w:r>
      <w:r w:rsidR="006B5A85">
        <w:rPr>
          <w:bCs/>
        </w:rPr>
        <w:t>)</w:t>
      </w:r>
      <w:r w:rsidR="0094581C">
        <w:rPr>
          <w:bCs/>
        </w:rPr>
        <w:t>.</w:t>
      </w:r>
      <w:r w:rsidR="00315AD7">
        <w:rPr>
          <w:bCs/>
        </w:rPr>
        <w:t xml:space="preserve"> </w:t>
      </w:r>
      <w:r w:rsidR="00FF55A0">
        <w:rPr>
          <w:bCs/>
        </w:rPr>
        <w:t>The PBAC noted that the standard of care c</w:t>
      </w:r>
      <w:r w:rsidR="00FF55A0" w:rsidRPr="00281BD9">
        <w:rPr>
          <w:bCs/>
        </w:rPr>
        <w:t xml:space="preserve">hemotherapy </w:t>
      </w:r>
      <w:r w:rsidR="00FF55A0">
        <w:rPr>
          <w:bCs/>
        </w:rPr>
        <w:t xml:space="preserve">regimens </w:t>
      </w:r>
      <w:r w:rsidR="00FF55A0" w:rsidRPr="00281BD9">
        <w:rPr>
          <w:bCs/>
        </w:rPr>
        <w:t xml:space="preserve">used </w:t>
      </w:r>
      <w:r w:rsidR="00FF55A0">
        <w:rPr>
          <w:bCs/>
        </w:rPr>
        <w:t xml:space="preserve">in the trial </w:t>
      </w:r>
      <w:r w:rsidR="00FF55A0" w:rsidRPr="00281BD9">
        <w:rPr>
          <w:bCs/>
        </w:rPr>
        <w:t>were not commonly used in Australia</w:t>
      </w:r>
      <w:r w:rsidR="00FF55A0">
        <w:rPr>
          <w:bCs/>
        </w:rPr>
        <w:t xml:space="preserve"> but agreed with t</w:t>
      </w:r>
      <w:r w:rsidR="00FF55A0" w:rsidRPr="00281BD9">
        <w:rPr>
          <w:bCs/>
        </w:rPr>
        <w:t xml:space="preserve">he ESC that </w:t>
      </w:r>
      <w:r w:rsidR="00FF55A0">
        <w:rPr>
          <w:bCs/>
        </w:rPr>
        <w:t>this</w:t>
      </w:r>
      <w:r w:rsidR="00FF55A0" w:rsidRPr="00281BD9">
        <w:rPr>
          <w:bCs/>
        </w:rPr>
        <w:t xml:space="preserve"> was not an issue for the applicability of the E1910 trial </w:t>
      </w:r>
      <w:r w:rsidR="00FF55A0" w:rsidRPr="008C335E">
        <w:t xml:space="preserve">(see paragraph </w:t>
      </w:r>
      <w:r w:rsidR="00FF55A0" w:rsidRPr="008C335E">
        <w:fldChar w:fldCharType="begin" w:fldLock="1"/>
      </w:r>
      <w:r w:rsidR="00FF55A0" w:rsidRPr="008C335E">
        <w:instrText xml:space="preserve"> REF _Ref169636173 \r \h  \* MERGEFORMAT </w:instrText>
      </w:r>
      <w:r w:rsidR="00FF55A0" w:rsidRPr="008C335E">
        <w:fldChar w:fldCharType="separate"/>
      </w:r>
      <w:r w:rsidR="0021273F">
        <w:t>6.18</w:t>
      </w:r>
      <w:r w:rsidR="00FF55A0" w:rsidRPr="008C335E">
        <w:fldChar w:fldCharType="end"/>
      </w:r>
      <w:r w:rsidR="00FF55A0" w:rsidRPr="008C335E">
        <w:t>)</w:t>
      </w:r>
      <w:r w:rsidR="00FF55A0" w:rsidRPr="00281BD9">
        <w:rPr>
          <w:bCs/>
        </w:rPr>
        <w:t>.</w:t>
      </w:r>
      <w:r w:rsidR="00FF55A0">
        <w:rPr>
          <w:bCs/>
        </w:rPr>
        <w:t xml:space="preserve"> </w:t>
      </w:r>
      <w:r w:rsidR="00CF0584">
        <w:rPr>
          <w:bCs/>
        </w:rPr>
        <w:t xml:space="preserve">While </w:t>
      </w:r>
      <w:r w:rsidR="00E27684" w:rsidRPr="00FF55A0">
        <w:rPr>
          <w:bCs/>
        </w:rPr>
        <w:t xml:space="preserve">median overall </w:t>
      </w:r>
      <w:r w:rsidR="00810911" w:rsidRPr="00FF55A0">
        <w:rPr>
          <w:bCs/>
        </w:rPr>
        <w:t>survival was</w:t>
      </w:r>
      <w:r w:rsidR="00E27684" w:rsidRPr="00FF55A0">
        <w:rPr>
          <w:bCs/>
        </w:rPr>
        <w:t xml:space="preserve"> </w:t>
      </w:r>
      <w:r w:rsidR="00DF5137">
        <w:rPr>
          <w:bCs/>
        </w:rPr>
        <w:t xml:space="preserve">not </w:t>
      </w:r>
      <w:r w:rsidR="00E27684" w:rsidRPr="00FF55A0">
        <w:rPr>
          <w:bCs/>
        </w:rPr>
        <w:t>reached in either treatment arm</w:t>
      </w:r>
      <w:r w:rsidR="00DF5137">
        <w:rPr>
          <w:bCs/>
        </w:rPr>
        <w:t>, the PBAC noted overall survival was</w:t>
      </w:r>
      <w:r w:rsidR="00E27684" w:rsidRPr="00FF55A0">
        <w:rPr>
          <w:bCs/>
        </w:rPr>
        <w:t xml:space="preserve"> statistically significantly improved in the blinatumomab plus standard of care arm compared to the standard of care arm (HR =</w:t>
      </w:r>
      <w:r w:rsidR="007608E3">
        <w:rPr>
          <w:bCs/>
        </w:rPr>
        <w:t xml:space="preserve"> </w:t>
      </w:r>
      <w:r w:rsidR="00E27684" w:rsidRPr="00FF55A0">
        <w:rPr>
          <w:bCs/>
        </w:rPr>
        <w:t>0.44; 95% CI: 0.25, 0.76</w:t>
      </w:r>
      <w:r w:rsidR="00DF5137">
        <w:rPr>
          <w:bCs/>
        </w:rPr>
        <w:t xml:space="preserve">). </w:t>
      </w:r>
      <w:r w:rsidR="00CF0584">
        <w:rPr>
          <w:bCs/>
        </w:rPr>
        <w:t>Similarly, the PBAC noted median relapse-free survival with also not reached in either treatment arm, but a statistically significantly improvement in relapse-free survival favouring blinatumomab was reported (</w:t>
      </w:r>
      <w:r w:rsidR="00E27684" w:rsidRPr="00FF55A0">
        <w:rPr>
          <w:bCs/>
        </w:rPr>
        <w:t xml:space="preserve">HR = 0.53; 95% CI: 0.32, 0.88). </w:t>
      </w:r>
      <w:r w:rsidR="00836E2F">
        <w:rPr>
          <w:bCs/>
        </w:rPr>
        <w:t>The PBAC considered that the magnitude of benefit in the proposed PBS population</w:t>
      </w:r>
      <w:r w:rsidR="00AA6404">
        <w:rPr>
          <w:bCs/>
        </w:rPr>
        <w:t>,</w:t>
      </w:r>
      <w:r w:rsidR="00836E2F">
        <w:rPr>
          <w:bCs/>
        </w:rPr>
        <w:t xml:space="preserve"> which is broader than the E1910 trial </w:t>
      </w:r>
      <w:r w:rsidR="00A33D07">
        <w:rPr>
          <w:bCs/>
        </w:rPr>
        <w:t xml:space="preserve">(e.g. in age and Ph </w:t>
      </w:r>
      <w:r w:rsidR="00E82780">
        <w:rPr>
          <w:bCs/>
        </w:rPr>
        <w:t xml:space="preserve">chromosome </w:t>
      </w:r>
      <w:r w:rsidR="00A33D07">
        <w:rPr>
          <w:bCs/>
        </w:rPr>
        <w:t>status)</w:t>
      </w:r>
      <w:r w:rsidR="00AA6404">
        <w:rPr>
          <w:bCs/>
        </w:rPr>
        <w:t>,</w:t>
      </w:r>
      <w:r w:rsidR="00A33D07">
        <w:rPr>
          <w:bCs/>
        </w:rPr>
        <w:t xml:space="preserve"> </w:t>
      </w:r>
      <w:r w:rsidR="00836E2F">
        <w:rPr>
          <w:bCs/>
        </w:rPr>
        <w:t xml:space="preserve">was uncertain. </w:t>
      </w:r>
      <w:r w:rsidR="009B3FE7" w:rsidRPr="00FF55A0">
        <w:rPr>
          <w:bCs/>
        </w:rPr>
        <w:t xml:space="preserve">The PBAC considered the submission claim that the treatment effects observed in the outcomes of overall survival and relapse-free survival in E1910 were independent of ASCT was uncertain but likely reasonable. </w:t>
      </w:r>
      <w:r w:rsidR="009A231C">
        <w:rPr>
          <w:bCs/>
        </w:rPr>
        <w:t>In addition</w:t>
      </w:r>
      <w:r w:rsidR="00CF0584">
        <w:rPr>
          <w:bCs/>
        </w:rPr>
        <w:t xml:space="preserve">, the PBAC considered the long term survival benefits </w:t>
      </w:r>
      <w:r w:rsidR="003D5B62">
        <w:rPr>
          <w:bCs/>
        </w:rPr>
        <w:t xml:space="preserve">and magnitude of patients achieving a cure </w:t>
      </w:r>
      <w:r w:rsidR="00AA6404">
        <w:rPr>
          <w:bCs/>
        </w:rPr>
        <w:t>wa</w:t>
      </w:r>
      <w:r w:rsidR="003D5B62">
        <w:rPr>
          <w:bCs/>
        </w:rPr>
        <w:t xml:space="preserve">s </w:t>
      </w:r>
      <w:r w:rsidR="00CF0584">
        <w:rPr>
          <w:bCs/>
        </w:rPr>
        <w:t xml:space="preserve">uncertain given the </w:t>
      </w:r>
      <w:r w:rsidR="003D5B62">
        <w:rPr>
          <w:bCs/>
        </w:rPr>
        <w:t xml:space="preserve">relatively small numbers of patients remaining at risk beyond 4.5 years in the trial. </w:t>
      </w:r>
      <w:r w:rsidR="00833291" w:rsidRPr="009A231C">
        <w:rPr>
          <w:bCs/>
        </w:rPr>
        <w:t xml:space="preserve">Overall, the PBAC </w:t>
      </w:r>
      <w:r w:rsidR="007B543B" w:rsidRPr="009A231C">
        <w:rPr>
          <w:bCs/>
        </w:rPr>
        <w:t>advised that</w:t>
      </w:r>
      <w:r w:rsidR="00833291" w:rsidRPr="009A231C">
        <w:rPr>
          <w:bCs/>
        </w:rPr>
        <w:t xml:space="preserve"> the claim of superior comparative effectiveness was adequately supported by the clinical evidence presented. </w:t>
      </w:r>
    </w:p>
    <w:p w14:paraId="28253358" w14:textId="503B34AB" w:rsidR="00C60DA9" w:rsidRPr="00C60DA9" w:rsidRDefault="009D1D95" w:rsidP="009D1D95">
      <w:pPr>
        <w:pStyle w:val="COMexecsumnumberedpara"/>
        <w:rPr>
          <w:i/>
          <w:iCs/>
          <w:lang w:eastAsia="en-GB"/>
        </w:rPr>
      </w:pPr>
      <w:r>
        <w:rPr>
          <w:lang w:val="en-GB"/>
        </w:rPr>
        <w:t xml:space="preserve">The PBAC noted the frequency of Grade </w:t>
      </w:r>
      <w:r w:rsidRPr="009D1D95">
        <w:rPr>
          <w:lang w:val="en-GB"/>
        </w:rPr>
        <w:t xml:space="preserve">≥3 </w:t>
      </w:r>
      <w:r w:rsidR="00C60DA9">
        <w:rPr>
          <w:lang w:val="en-GB"/>
        </w:rPr>
        <w:t xml:space="preserve">and Grade </w:t>
      </w:r>
      <w:r w:rsidR="00C60DA9" w:rsidRPr="009D1D95">
        <w:rPr>
          <w:lang w:val="en-GB"/>
        </w:rPr>
        <w:t>≥</w:t>
      </w:r>
      <w:r w:rsidR="00C60DA9">
        <w:rPr>
          <w:lang w:val="en-GB"/>
        </w:rPr>
        <w:t xml:space="preserve">4 </w:t>
      </w:r>
      <w:r w:rsidRPr="009D1D95">
        <w:rPr>
          <w:lang w:val="en-GB"/>
        </w:rPr>
        <w:t>adverse event</w:t>
      </w:r>
      <w:r w:rsidR="00C60DA9">
        <w:rPr>
          <w:lang w:val="en-GB"/>
        </w:rPr>
        <w:t xml:space="preserve">s were similar in the </w:t>
      </w:r>
      <w:r w:rsidR="00C60DA9" w:rsidRPr="00DF0226">
        <w:t xml:space="preserve">blinatumomab plus standard of care arm compared to the standard of care arm of the </w:t>
      </w:r>
      <w:r w:rsidR="00C60DA9">
        <w:t xml:space="preserve">E1910 </w:t>
      </w:r>
      <w:r w:rsidR="00C60DA9" w:rsidRPr="00DF0226">
        <w:t>trial</w:t>
      </w:r>
      <w:r w:rsidR="00C60DA9">
        <w:t xml:space="preserve">. </w:t>
      </w:r>
      <w:r w:rsidR="00C60DA9">
        <w:rPr>
          <w:lang w:val="en-GB"/>
        </w:rPr>
        <w:t xml:space="preserve">However, the </w:t>
      </w:r>
      <w:r w:rsidRPr="00DF0226">
        <w:t>incidences of</w:t>
      </w:r>
      <w:r>
        <w:t xml:space="preserve"> neurologic events, </w:t>
      </w:r>
      <w:r w:rsidRPr="00DF0226">
        <w:t>cytokine release syndrome,</w:t>
      </w:r>
      <w:r>
        <w:t xml:space="preserve"> and</w:t>
      </w:r>
      <w:r w:rsidRPr="00DF0226">
        <w:t xml:space="preserve"> infection (sepsis, device related infections)</w:t>
      </w:r>
      <w:r>
        <w:t xml:space="preserve"> </w:t>
      </w:r>
      <w:r w:rsidR="00C60DA9">
        <w:t xml:space="preserve">were higher </w:t>
      </w:r>
      <w:r w:rsidRPr="00DF0226">
        <w:t>in the blinatumomab plus standard of care arm compared to the standard of care arm</w:t>
      </w:r>
      <w:r>
        <w:t xml:space="preserve"> (see </w:t>
      </w:r>
      <w:r>
        <w:fldChar w:fldCharType="begin" w:fldLock="1"/>
      </w:r>
      <w:r>
        <w:instrText xml:space="preserve"> REF _Ref166236130 \h </w:instrText>
      </w:r>
      <w:r>
        <w:fldChar w:fldCharType="separate"/>
      </w:r>
      <w:r w:rsidR="0021273F" w:rsidRPr="000F4C1C">
        <w:t xml:space="preserve">Table </w:t>
      </w:r>
      <w:r w:rsidR="0021273F">
        <w:rPr>
          <w:noProof/>
        </w:rPr>
        <w:t>11</w:t>
      </w:r>
      <w:r>
        <w:fldChar w:fldCharType="end"/>
      </w:r>
      <w:r>
        <w:t>)</w:t>
      </w:r>
      <w:r w:rsidRPr="00DF0226">
        <w:t>.</w:t>
      </w:r>
      <w:r>
        <w:t xml:space="preserve"> The PBAC also noted </w:t>
      </w:r>
      <w:r>
        <w:rPr>
          <w:lang w:eastAsia="en-GB"/>
        </w:rPr>
        <w:t>a higher proportion of patients in the blinatumomab plus standard of care arm discontinued treatment due to adverse events (10.7%) compared to the standard of care arm (4.5%).</w:t>
      </w:r>
      <w:r w:rsidR="00C60DA9">
        <w:rPr>
          <w:lang w:eastAsia="en-GB"/>
        </w:rPr>
        <w:t xml:space="preserve"> The PBAC agreed with the ESC that the adverse event profile from E1910 was consistent with the known safety profile of blinatumomab in other indications. Overall, the PBAC considered that the submissions claim of non-inferior comparative safety was not adequately supported.</w:t>
      </w:r>
    </w:p>
    <w:p w14:paraId="4C41E0CF" w14:textId="048213BA" w:rsidR="0080089E" w:rsidRPr="000A4005" w:rsidRDefault="00B0469B" w:rsidP="0080089E">
      <w:pPr>
        <w:pStyle w:val="COMexecsumnumberedpara"/>
      </w:pPr>
      <w:r w:rsidRPr="00B0469B">
        <w:rPr>
          <w:lang w:eastAsia="en-GB"/>
        </w:rPr>
        <w:t xml:space="preserve">The </w:t>
      </w:r>
      <w:r>
        <w:rPr>
          <w:lang w:eastAsia="en-GB"/>
        </w:rPr>
        <w:t xml:space="preserve">PBAC noted the submission </w:t>
      </w:r>
      <w:r w:rsidR="00B31FCB">
        <w:rPr>
          <w:lang w:eastAsia="en-GB"/>
        </w:rPr>
        <w:t>provided</w:t>
      </w:r>
      <w:r>
        <w:rPr>
          <w:lang w:eastAsia="en-GB"/>
        </w:rPr>
        <w:t xml:space="preserve"> a</w:t>
      </w:r>
      <w:r w:rsidRPr="00B0469B">
        <w:rPr>
          <w:lang w:eastAsia="en-GB"/>
        </w:rPr>
        <w:t xml:space="preserve"> 6-state partitioned survival model (that modelled multiple concurrent health states) </w:t>
      </w:r>
      <w:r w:rsidR="00B31FCB">
        <w:rPr>
          <w:lang w:eastAsia="en-GB"/>
        </w:rPr>
        <w:t xml:space="preserve">as its economic model base case </w:t>
      </w:r>
      <w:r>
        <w:rPr>
          <w:lang w:eastAsia="en-GB"/>
        </w:rPr>
        <w:t xml:space="preserve">with a simplified </w:t>
      </w:r>
      <w:r w:rsidR="00A86C02" w:rsidRPr="00B0469B">
        <w:rPr>
          <w:lang w:eastAsia="en-GB"/>
        </w:rPr>
        <w:t>3-state model supplied as a sensitivity analysis.</w:t>
      </w:r>
      <w:r w:rsidR="00A86C02">
        <w:rPr>
          <w:lang w:eastAsia="en-GB"/>
        </w:rPr>
        <w:t xml:space="preserve"> </w:t>
      </w:r>
      <w:r w:rsidR="007F5C82">
        <w:rPr>
          <w:lang w:eastAsia="en-GB"/>
        </w:rPr>
        <w:t xml:space="preserve">The PBAC agreed with the ESC that the 6-state model </w:t>
      </w:r>
      <w:r w:rsidRPr="00B0469B">
        <w:rPr>
          <w:lang w:eastAsia="en-GB"/>
        </w:rPr>
        <w:t>introduced unnecessary complexity without improving the usefulness for decision making compared to the</w:t>
      </w:r>
      <w:r w:rsidR="007F5C82">
        <w:rPr>
          <w:lang w:eastAsia="en-GB"/>
        </w:rPr>
        <w:t xml:space="preserve"> 3-state model.</w:t>
      </w:r>
      <w:r w:rsidRPr="00B0469B">
        <w:rPr>
          <w:lang w:eastAsia="en-GB"/>
        </w:rPr>
        <w:t xml:space="preserve"> </w:t>
      </w:r>
      <w:r w:rsidR="007F5C82">
        <w:rPr>
          <w:lang w:eastAsia="en-GB"/>
        </w:rPr>
        <w:t xml:space="preserve">While a </w:t>
      </w:r>
      <w:r w:rsidRPr="00B0469B">
        <w:rPr>
          <w:lang w:eastAsia="en-GB"/>
        </w:rPr>
        <w:t>Markov state transition model structure would be a more robust approach (</w:t>
      </w:r>
      <w:r w:rsidR="007F5C82">
        <w:rPr>
          <w:lang w:eastAsia="en-GB"/>
        </w:rPr>
        <w:t xml:space="preserve">see paragraph </w:t>
      </w:r>
      <w:r w:rsidR="007F5C82">
        <w:rPr>
          <w:lang w:eastAsia="en-GB"/>
        </w:rPr>
        <w:fldChar w:fldCharType="begin" w:fldLock="1"/>
      </w:r>
      <w:r w:rsidR="007F5C82">
        <w:rPr>
          <w:lang w:eastAsia="en-GB"/>
        </w:rPr>
        <w:instrText xml:space="preserve"> REF _Ref173932939 \r \h </w:instrText>
      </w:r>
      <w:r w:rsidR="007F5C82">
        <w:rPr>
          <w:lang w:eastAsia="en-GB"/>
        </w:rPr>
      </w:r>
      <w:r w:rsidR="007F5C82">
        <w:rPr>
          <w:lang w:eastAsia="en-GB"/>
        </w:rPr>
        <w:fldChar w:fldCharType="separate"/>
      </w:r>
      <w:r w:rsidR="0021273F">
        <w:rPr>
          <w:lang w:eastAsia="en-GB"/>
        </w:rPr>
        <w:t>6.52</w:t>
      </w:r>
      <w:r w:rsidR="007F5C82">
        <w:rPr>
          <w:lang w:eastAsia="en-GB"/>
        </w:rPr>
        <w:fldChar w:fldCharType="end"/>
      </w:r>
      <w:r w:rsidRPr="00B0469B">
        <w:rPr>
          <w:lang w:eastAsia="en-GB"/>
        </w:rPr>
        <w:t xml:space="preserve">), </w:t>
      </w:r>
      <w:r w:rsidRPr="00B0469B">
        <w:rPr>
          <w:lang w:eastAsia="en-GB"/>
        </w:rPr>
        <w:lastRenderedPageBreak/>
        <w:t xml:space="preserve">the </w:t>
      </w:r>
      <w:r w:rsidR="007F5C82">
        <w:rPr>
          <w:lang w:eastAsia="en-GB"/>
        </w:rPr>
        <w:t xml:space="preserve">PBAC agreed with the ESC that the </w:t>
      </w:r>
      <w:r w:rsidRPr="00B0469B">
        <w:rPr>
          <w:lang w:eastAsia="en-GB"/>
        </w:rPr>
        <w:t>structure of the simplified 3-state model was reliable for decision-making.</w:t>
      </w:r>
      <w:r w:rsidR="007F5C82">
        <w:rPr>
          <w:lang w:eastAsia="en-GB"/>
        </w:rPr>
        <w:t xml:space="preserve"> </w:t>
      </w:r>
      <w:r w:rsidR="00CA119A">
        <w:rPr>
          <w:lang w:eastAsia="en-GB"/>
        </w:rPr>
        <w:t>The PBAC noted the 30 year time horizon was consistent with the economic evaluation of blinatumomab in the MRD-positive setting and considered this was appropriate. However, t</w:t>
      </w:r>
      <w:r w:rsidR="00E82780">
        <w:rPr>
          <w:lang w:eastAsia="en-GB"/>
        </w:rPr>
        <w:t xml:space="preserve">he PBAC considered the long-term survival benefits of blinatumomab in the MRD-negative setting </w:t>
      </w:r>
      <w:r w:rsidR="00CA119A">
        <w:rPr>
          <w:lang w:eastAsia="en-GB"/>
        </w:rPr>
        <w:t xml:space="preserve">over the 30 year time horizon </w:t>
      </w:r>
      <w:r w:rsidR="00E82780">
        <w:rPr>
          <w:lang w:eastAsia="en-GB"/>
        </w:rPr>
        <w:t>were uncertain. As such, and in the context of the high risk of bias in the E1910 trial, the PBAC agreed with the ESC that it would be appropriately conservative for the overall survival curves to converge over time. In addition, the PBAC agreed with the ESC that the</w:t>
      </w:r>
      <w:r w:rsidR="00E82780" w:rsidRPr="00E82780">
        <w:t xml:space="preserve"> </w:t>
      </w:r>
      <w:r w:rsidR="00E82780" w:rsidRPr="00E82780">
        <w:rPr>
          <w:lang w:eastAsia="en-GB"/>
        </w:rPr>
        <w:t xml:space="preserve">use of a higher utility estimate for relapse-free disease in MRD-negative patients </w:t>
      </w:r>
      <w:r w:rsidR="00AA6404">
        <w:rPr>
          <w:lang w:eastAsia="en-GB"/>
        </w:rPr>
        <w:t xml:space="preserve">compared to MRD-positive patients </w:t>
      </w:r>
      <w:r w:rsidR="00E82780" w:rsidRPr="00E82780">
        <w:rPr>
          <w:lang w:eastAsia="en-GB"/>
        </w:rPr>
        <w:t>was inadequately justified</w:t>
      </w:r>
      <w:r w:rsidR="00B31FCB">
        <w:rPr>
          <w:lang w:eastAsia="en-GB"/>
        </w:rPr>
        <w:t xml:space="preserve">. The PBAC </w:t>
      </w:r>
      <w:r w:rsidR="0080089E">
        <w:rPr>
          <w:lang w:eastAsia="en-GB"/>
        </w:rPr>
        <w:t>considered</w:t>
      </w:r>
      <w:r w:rsidR="00B31FCB">
        <w:rPr>
          <w:lang w:eastAsia="en-GB"/>
        </w:rPr>
        <w:t xml:space="preserve"> that </w:t>
      </w:r>
      <w:r w:rsidR="00E82780" w:rsidRPr="00E82780">
        <w:rPr>
          <w:lang w:eastAsia="en-GB"/>
        </w:rPr>
        <w:t>the utility estimate for relapse-free disease in MRD-positive patients (0.806) should be applied.</w:t>
      </w:r>
      <w:r w:rsidR="00B31FCB">
        <w:rPr>
          <w:lang w:eastAsia="en-GB"/>
        </w:rPr>
        <w:t xml:space="preserve"> </w:t>
      </w:r>
      <w:r w:rsidR="00B31FCB">
        <w:t>The PBAC noted the pre-PBAC response provided a revised base case that incorporated</w:t>
      </w:r>
      <w:r w:rsidR="009D6350">
        <w:t xml:space="preserve"> the</w:t>
      </w:r>
      <w:r w:rsidR="00B31FCB">
        <w:t xml:space="preserve"> 3-state model structure</w:t>
      </w:r>
      <w:r w:rsidR="009D6350">
        <w:t xml:space="preserve"> with </w:t>
      </w:r>
      <w:r w:rsidR="0080089E">
        <w:t xml:space="preserve">overall survival linear convergence from 10 to 30 years and a utility estimate of 0.806 applied to MRD-negative patients in the relapse-free disease health state. </w:t>
      </w:r>
      <w:r w:rsidR="0080089E" w:rsidRPr="0067744B">
        <w:t xml:space="preserve">The pre-PBAC response </w:t>
      </w:r>
      <w:r w:rsidR="0080089E">
        <w:t xml:space="preserve">also </w:t>
      </w:r>
      <w:r w:rsidR="0080089E" w:rsidRPr="0067744B">
        <w:t xml:space="preserve">offered a </w:t>
      </w:r>
      <w:r w:rsidR="0080089E">
        <w:t xml:space="preserve">reduced </w:t>
      </w:r>
      <w:r w:rsidR="0080089E" w:rsidRPr="0067744B">
        <w:t>blinatumomab ex-manufacturer price of $</w:t>
      </w:r>
      <w:r w:rsidR="00AF1BA2" w:rsidRPr="00E30FFC">
        <w:rPr>
          <w:color w:val="000000"/>
          <w:w w:val="15"/>
          <w:shd w:val="solid" w:color="000000" w:fill="000000"/>
          <w:fitText w:val="-20" w:id="-894171380"/>
          <w14:textFill>
            <w14:solidFill>
              <w14:srgbClr w14:val="000000">
                <w14:alpha w14:val="100000"/>
              </w14:srgbClr>
            </w14:solidFill>
          </w14:textFill>
        </w:rPr>
        <w:t xml:space="preserve">|  </w:t>
      </w:r>
      <w:r w:rsidR="00AF1BA2" w:rsidRPr="00E30FFC">
        <w:rPr>
          <w:color w:val="000000"/>
          <w:spacing w:val="-69"/>
          <w:w w:val="15"/>
          <w:shd w:val="solid" w:color="000000" w:fill="000000"/>
          <w:fitText w:val="-20" w:id="-894171380"/>
          <w14:textFill>
            <w14:solidFill>
              <w14:srgbClr w14:val="000000">
                <w14:alpha w14:val="100000"/>
              </w14:srgbClr>
            </w14:solidFill>
          </w14:textFill>
        </w:rPr>
        <w:t>|</w:t>
      </w:r>
      <w:r w:rsidR="0080089E" w:rsidRPr="0067744B">
        <w:t xml:space="preserve"> per vial. </w:t>
      </w:r>
      <w:r w:rsidR="0080089E" w:rsidRPr="0080089E">
        <w:t xml:space="preserve">The PBAC </w:t>
      </w:r>
      <w:r w:rsidR="00CA119A">
        <w:t xml:space="preserve">considered that based upon </w:t>
      </w:r>
      <w:r w:rsidR="0080089E" w:rsidRPr="0080089E">
        <w:t>the revised base case and price in the pre-PBAC response the cost-effectiveness of blinatumomab was acceptable.</w:t>
      </w:r>
    </w:p>
    <w:p w14:paraId="1F0035CC" w14:textId="579F1658" w:rsidR="00837DFE" w:rsidRPr="00733142" w:rsidRDefault="00A521A3" w:rsidP="00733142">
      <w:pPr>
        <w:pStyle w:val="COMexecsumnumberedpara"/>
        <w:rPr>
          <w:lang w:eastAsia="en-GB"/>
        </w:rPr>
      </w:pPr>
      <w:r w:rsidRPr="00A521A3">
        <w:rPr>
          <w:lang w:eastAsia="en-GB"/>
        </w:rPr>
        <w:t xml:space="preserve">The </w:t>
      </w:r>
      <w:r>
        <w:rPr>
          <w:lang w:eastAsia="en-GB"/>
        </w:rPr>
        <w:t xml:space="preserve">PBAC noted the </w:t>
      </w:r>
      <w:r w:rsidRPr="00A521A3">
        <w:rPr>
          <w:lang w:eastAsia="en-GB"/>
        </w:rPr>
        <w:t xml:space="preserve">submission </w:t>
      </w:r>
      <w:r>
        <w:rPr>
          <w:lang w:eastAsia="en-GB"/>
        </w:rPr>
        <w:t xml:space="preserve">used </w:t>
      </w:r>
      <w:r w:rsidRPr="00A521A3">
        <w:rPr>
          <w:lang w:eastAsia="en-GB"/>
        </w:rPr>
        <w:t xml:space="preserve">the same financial model </w:t>
      </w:r>
      <w:r>
        <w:rPr>
          <w:lang w:eastAsia="en-GB"/>
        </w:rPr>
        <w:t>as</w:t>
      </w:r>
      <w:r w:rsidRPr="00A521A3">
        <w:rPr>
          <w:lang w:eastAsia="en-GB"/>
        </w:rPr>
        <w:t xml:space="preserve"> the July 2019 submission for the use of blinatumomab in MRD-positive population, </w:t>
      </w:r>
      <w:r>
        <w:rPr>
          <w:lang w:eastAsia="en-GB"/>
        </w:rPr>
        <w:t>presenting</w:t>
      </w:r>
      <w:r w:rsidRPr="00A521A3">
        <w:rPr>
          <w:lang w:eastAsia="en-GB"/>
        </w:rPr>
        <w:t xml:space="preserve"> the complement population and updated estimates.</w:t>
      </w:r>
      <w:r>
        <w:rPr>
          <w:lang w:eastAsia="en-GB"/>
        </w:rPr>
        <w:t xml:space="preserve"> The PBAC acknowledged the </w:t>
      </w:r>
      <w:r w:rsidR="0081004E">
        <w:rPr>
          <w:lang w:eastAsia="en-GB"/>
        </w:rPr>
        <w:t>concerns</w:t>
      </w:r>
      <w:r>
        <w:rPr>
          <w:lang w:eastAsia="en-GB"/>
        </w:rPr>
        <w:t xml:space="preserve"> </w:t>
      </w:r>
      <w:r w:rsidR="0081004E">
        <w:rPr>
          <w:lang w:eastAsia="en-GB"/>
        </w:rPr>
        <w:t xml:space="preserve">raised by the evaluation and considered the eligible population uncertain. </w:t>
      </w:r>
      <w:r w:rsidR="00574B95">
        <w:rPr>
          <w:lang w:eastAsia="en-GB"/>
        </w:rPr>
        <w:t xml:space="preserve">Specifically, </w:t>
      </w:r>
      <w:r w:rsidR="001A4B6D">
        <w:rPr>
          <w:lang w:eastAsia="en-GB"/>
        </w:rPr>
        <w:t>the PBAC noted the proportion of adult patients with complete remission after initial induction treatment used in the financial estimate was higher than reported in the E1910 trial (88% versus 58.6%)</w:t>
      </w:r>
      <w:r w:rsidR="00367B54">
        <w:rPr>
          <w:lang w:eastAsia="en-GB"/>
        </w:rPr>
        <w:t xml:space="preserve"> </w:t>
      </w:r>
      <w:r w:rsidR="001A4B6D">
        <w:rPr>
          <w:lang w:eastAsia="en-GB"/>
        </w:rPr>
        <w:t xml:space="preserve">(see </w:t>
      </w:r>
      <w:r w:rsidR="001A4B6D">
        <w:rPr>
          <w:lang w:eastAsia="en-GB"/>
        </w:rPr>
        <w:fldChar w:fldCharType="begin" w:fldLock="1"/>
      </w:r>
      <w:r w:rsidR="001A4B6D">
        <w:rPr>
          <w:lang w:eastAsia="en-GB"/>
        </w:rPr>
        <w:instrText xml:space="preserve"> REF _Ref166499844 \h </w:instrText>
      </w:r>
      <w:r w:rsidR="001A4B6D">
        <w:rPr>
          <w:lang w:eastAsia="en-GB"/>
        </w:rPr>
      </w:r>
      <w:r w:rsidR="001A4B6D">
        <w:rPr>
          <w:lang w:eastAsia="en-GB"/>
        </w:rPr>
        <w:fldChar w:fldCharType="separate"/>
      </w:r>
      <w:r w:rsidR="0021273F" w:rsidRPr="00225248">
        <w:t xml:space="preserve">Table </w:t>
      </w:r>
      <w:r w:rsidR="0021273F">
        <w:rPr>
          <w:noProof/>
        </w:rPr>
        <w:t>18</w:t>
      </w:r>
      <w:r w:rsidR="001A4B6D">
        <w:rPr>
          <w:lang w:eastAsia="en-GB"/>
        </w:rPr>
        <w:fldChar w:fldCharType="end"/>
      </w:r>
      <w:r w:rsidR="001A4B6D">
        <w:rPr>
          <w:lang w:eastAsia="en-GB"/>
        </w:rPr>
        <w:t xml:space="preserve">). </w:t>
      </w:r>
      <w:r w:rsidR="00AA20B1">
        <w:rPr>
          <w:lang w:eastAsia="en-GB"/>
        </w:rPr>
        <w:t xml:space="preserve">However, </w:t>
      </w:r>
      <w:r w:rsidR="00574B95">
        <w:rPr>
          <w:lang w:eastAsia="en-GB"/>
        </w:rPr>
        <w:t xml:space="preserve">the PBAC noted the E1910 trial was conducted in patients aged 30-70 years and advised that </w:t>
      </w:r>
      <w:r w:rsidR="00AA6404">
        <w:rPr>
          <w:lang w:eastAsia="en-GB"/>
        </w:rPr>
        <w:t>the proportion</w:t>
      </w:r>
      <w:r w:rsidR="00574B95">
        <w:rPr>
          <w:lang w:eastAsia="en-GB"/>
        </w:rPr>
        <w:t xml:space="preserve"> of complete remission after initial induction treatment was likely higher than 58.6% in younger adults. </w:t>
      </w:r>
      <w:r w:rsidR="00BD08E9">
        <w:rPr>
          <w:lang w:eastAsia="en-GB"/>
        </w:rPr>
        <w:t xml:space="preserve">The PBAC also noted the uptake rate for paediatric patients was assumed to be </w:t>
      </w:r>
      <w:r w:rsidR="001A0FFE" w:rsidRPr="001A0FFE">
        <w:rPr>
          <w:color w:val="000000"/>
          <w:w w:val="61"/>
          <w:shd w:val="solid" w:color="000000" w:fill="000000"/>
          <w:fitText w:val="474" w:id="-764127998"/>
          <w:lang w:eastAsia="en-GB"/>
          <w14:textFill>
            <w14:solidFill>
              <w14:srgbClr w14:val="000000">
                <w14:alpha w14:val="100000"/>
              </w14:srgbClr>
            </w14:solidFill>
          </w14:textFill>
        </w:rPr>
        <w:t>|||  ||</w:t>
      </w:r>
      <w:r w:rsidR="001A0FFE" w:rsidRPr="001A0FFE">
        <w:rPr>
          <w:color w:val="000000"/>
          <w:spacing w:val="4"/>
          <w:w w:val="61"/>
          <w:shd w:val="solid" w:color="000000" w:fill="000000"/>
          <w:fitText w:val="474" w:id="-764127998"/>
          <w:lang w:eastAsia="en-GB"/>
          <w14:textFill>
            <w14:solidFill>
              <w14:srgbClr w14:val="000000">
                <w14:alpha w14:val="100000"/>
              </w14:srgbClr>
            </w14:solidFill>
          </w14:textFill>
        </w:rPr>
        <w:t>|</w:t>
      </w:r>
      <w:r w:rsidR="00BD08E9">
        <w:rPr>
          <w:lang w:eastAsia="en-GB"/>
        </w:rPr>
        <w:t>% based on the assumption that most of these patients would be offered treatment in a clinical trial. The PBAC considered th</w:t>
      </w:r>
      <w:r w:rsidR="00837DFE">
        <w:rPr>
          <w:lang w:eastAsia="en-GB"/>
        </w:rPr>
        <w:t xml:space="preserve">is assumption </w:t>
      </w:r>
      <w:r w:rsidR="00893D49">
        <w:rPr>
          <w:lang w:eastAsia="en-GB"/>
        </w:rPr>
        <w:t xml:space="preserve">uncertain and noted it </w:t>
      </w:r>
      <w:r w:rsidR="00194D08">
        <w:rPr>
          <w:lang w:eastAsia="en-GB"/>
        </w:rPr>
        <w:t xml:space="preserve">may </w:t>
      </w:r>
      <w:r w:rsidR="00837DFE">
        <w:rPr>
          <w:lang w:eastAsia="en-GB"/>
        </w:rPr>
        <w:t xml:space="preserve">be </w:t>
      </w:r>
      <w:r w:rsidR="006E57C8">
        <w:rPr>
          <w:lang w:eastAsia="en-GB"/>
        </w:rPr>
        <w:t xml:space="preserve">marginally </w:t>
      </w:r>
      <w:r w:rsidR="00733142">
        <w:rPr>
          <w:lang w:eastAsia="en-GB"/>
        </w:rPr>
        <w:t>underestimate</w:t>
      </w:r>
      <w:r w:rsidR="006E57C8">
        <w:rPr>
          <w:lang w:eastAsia="en-GB"/>
        </w:rPr>
        <w:t>d</w:t>
      </w:r>
      <w:r w:rsidR="00733142">
        <w:rPr>
          <w:lang w:eastAsia="en-GB"/>
        </w:rPr>
        <w:t xml:space="preserve"> </w:t>
      </w:r>
      <w:r w:rsidR="00837DFE">
        <w:rPr>
          <w:lang w:eastAsia="en-GB"/>
        </w:rPr>
        <w:t>d</w:t>
      </w:r>
      <w:r w:rsidR="00BD08E9">
        <w:rPr>
          <w:lang w:eastAsia="en-GB"/>
        </w:rPr>
        <w:t>ue to the recent closure of some paediatric clinical trials for this indication</w:t>
      </w:r>
      <w:r w:rsidR="00733142">
        <w:rPr>
          <w:lang w:eastAsia="en-GB"/>
        </w:rPr>
        <w:t xml:space="preserve">. </w:t>
      </w:r>
      <w:r w:rsidR="00CD66A3">
        <w:rPr>
          <w:lang w:eastAsia="en-GB"/>
        </w:rPr>
        <w:t xml:space="preserve">The PBAC agreed with the ESC that an uptake rate of </w:t>
      </w:r>
      <w:r w:rsidR="001A0FFE" w:rsidRPr="001A0FFE">
        <w:rPr>
          <w:color w:val="000000"/>
          <w:w w:val="60"/>
          <w:shd w:val="solid" w:color="000000" w:fill="000000"/>
          <w:fitText w:val="466" w:id="-764127997"/>
          <w:lang w:eastAsia="en-GB"/>
          <w14:textFill>
            <w14:solidFill>
              <w14:srgbClr w14:val="000000">
                <w14:alpha w14:val="100000"/>
              </w14:srgbClr>
            </w14:solidFill>
          </w14:textFill>
        </w:rPr>
        <w:t>|||  ||</w:t>
      </w:r>
      <w:r w:rsidR="001A0FFE" w:rsidRPr="001A0FFE">
        <w:rPr>
          <w:color w:val="000000"/>
          <w:spacing w:val="2"/>
          <w:w w:val="60"/>
          <w:shd w:val="solid" w:color="000000" w:fill="000000"/>
          <w:fitText w:val="466" w:id="-764127997"/>
          <w:lang w:eastAsia="en-GB"/>
          <w14:textFill>
            <w14:solidFill>
              <w14:srgbClr w14:val="000000">
                <w14:alpha w14:val="100000"/>
              </w14:srgbClr>
            </w14:solidFill>
          </w14:textFill>
        </w:rPr>
        <w:t>|</w:t>
      </w:r>
      <w:r w:rsidR="00CD66A3">
        <w:rPr>
          <w:lang w:eastAsia="en-GB"/>
        </w:rPr>
        <w:t xml:space="preserve">% in the adult population was appropriate. </w:t>
      </w:r>
      <w:r w:rsidR="00733142" w:rsidRPr="00733142">
        <w:rPr>
          <w:lang w:eastAsia="en-GB"/>
        </w:rPr>
        <w:t xml:space="preserve">The PBAC considered that updated financial estimates </w:t>
      </w:r>
      <w:r w:rsidR="00733142">
        <w:rPr>
          <w:lang w:eastAsia="en-GB"/>
        </w:rPr>
        <w:t xml:space="preserve">should </w:t>
      </w:r>
      <w:r w:rsidR="00733142" w:rsidRPr="00733142">
        <w:rPr>
          <w:lang w:eastAsia="en-GB"/>
        </w:rPr>
        <w:t>be provided with the projected number of new cases of ALL informed by AIHW 2022 data</w:t>
      </w:r>
      <w:r w:rsidR="006C5428">
        <w:rPr>
          <w:lang w:eastAsia="en-GB"/>
        </w:rPr>
        <w:t>,</w:t>
      </w:r>
      <w:r w:rsidR="00733142" w:rsidRPr="00733142">
        <w:rPr>
          <w:lang w:eastAsia="en-GB"/>
        </w:rPr>
        <w:t xml:space="preserve"> rather than AIHW 2017 data</w:t>
      </w:r>
      <w:r w:rsidR="006C5428">
        <w:rPr>
          <w:lang w:eastAsia="en-GB"/>
        </w:rPr>
        <w:t>,</w:t>
      </w:r>
      <w:r w:rsidR="000F4FB4">
        <w:rPr>
          <w:lang w:eastAsia="en-GB"/>
        </w:rPr>
        <w:t xml:space="preserve"> using the same extrapolation approach as the original extrapolation</w:t>
      </w:r>
      <w:r w:rsidR="00733142" w:rsidRPr="00733142">
        <w:rPr>
          <w:lang w:eastAsia="en-GB"/>
        </w:rPr>
        <w:t xml:space="preserve"> (see Table 18)</w:t>
      </w:r>
      <w:r w:rsidR="00733142">
        <w:rPr>
          <w:lang w:eastAsia="en-GB"/>
        </w:rPr>
        <w:t xml:space="preserve">. The updated financial estimates should also include the </w:t>
      </w:r>
      <w:r w:rsidR="00837DFE">
        <w:rPr>
          <w:lang w:eastAsia="en-GB"/>
        </w:rPr>
        <w:t xml:space="preserve">revised blinatumomab price offered in the pre-PBAC response. </w:t>
      </w:r>
    </w:p>
    <w:p w14:paraId="1AA3DFA6" w14:textId="0A60641C" w:rsidR="008C335E" w:rsidRDefault="00837DFE" w:rsidP="00643EFD">
      <w:pPr>
        <w:pStyle w:val="COMexecsumnumberedpara"/>
        <w:rPr>
          <w:lang w:val="en-GB"/>
        </w:rPr>
      </w:pPr>
      <w:r>
        <w:rPr>
          <w:lang w:eastAsia="en-GB"/>
        </w:rPr>
        <w:t>The PBAC noted the</w:t>
      </w:r>
      <w:r w:rsidR="00E47F52">
        <w:rPr>
          <w:lang w:eastAsia="en-GB"/>
        </w:rPr>
        <w:t xml:space="preserve"> submission</w:t>
      </w:r>
      <w:r w:rsidR="00A62083">
        <w:rPr>
          <w:lang w:eastAsia="en-GB"/>
        </w:rPr>
        <w:t xml:space="preserve"> did not propose a RSA and proposed no continuing RSA for blinatumomab and</w:t>
      </w:r>
      <w:r w:rsidR="00655548">
        <w:rPr>
          <w:lang w:eastAsia="en-GB"/>
        </w:rPr>
        <w:t xml:space="preserve"> inotuzumab ozogamicin for the treatment of</w:t>
      </w:r>
      <w:r w:rsidR="00655548" w:rsidRPr="00655548">
        <w:t xml:space="preserve"> </w:t>
      </w:r>
      <w:r w:rsidR="00655548">
        <w:t>a</w:t>
      </w:r>
      <w:r w:rsidR="00655548" w:rsidRPr="008C335E">
        <w:t>cute lymphoblastic leukaemia</w:t>
      </w:r>
      <w:r w:rsidR="00655548">
        <w:rPr>
          <w:lang w:eastAsia="en-GB"/>
        </w:rPr>
        <w:t>.</w:t>
      </w:r>
      <w:r w:rsidR="00A62083">
        <w:rPr>
          <w:lang w:eastAsia="en-GB"/>
        </w:rPr>
        <w:t xml:space="preserve"> </w:t>
      </w:r>
      <w:r>
        <w:rPr>
          <w:lang w:eastAsia="en-GB"/>
        </w:rPr>
        <w:t xml:space="preserve">The PBAC considered that a </w:t>
      </w:r>
      <w:r w:rsidR="004B14B4">
        <w:rPr>
          <w:lang w:eastAsia="en-GB"/>
        </w:rPr>
        <w:t>RSA</w:t>
      </w:r>
      <w:r>
        <w:rPr>
          <w:lang w:eastAsia="en-GB"/>
        </w:rPr>
        <w:t xml:space="preserve"> would be appropriate to address </w:t>
      </w:r>
      <w:r w:rsidR="00733142">
        <w:rPr>
          <w:lang w:eastAsia="en-GB"/>
        </w:rPr>
        <w:t xml:space="preserve">the </w:t>
      </w:r>
      <w:r w:rsidR="00733142" w:rsidRPr="00837DFE">
        <w:rPr>
          <w:lang w:val="en-GB"/>
        </w:rPr>
        <w:t>uncertainty</w:t>
      </w:r>
      <w:r w:rsidR="006B1B2C" w:rsidRPr="00837DFE">
        <w:rPr>
          <w:lang w:val="en-GB"/>
        </w:rPr>
        <w:t xml:space="preserve"> regarding the </w:t>
      </w:r>
      <w:r w:rsidR="000D0A24">
        <w:rPr>
          <w:lang w:val="en-GB"/>
        </w:rPr>
        <w:t xml:space="preserve">magnitude of benefit in the proposed PBS </w:t>
      </w:r>
      <w:r w:rsidR="000D0A24">
        <w:rPr>
          <w:lang w:val="en-GB"/>
        </w:rPr>
        <w:lastRenderedPageBreak/>
        <w:t xml:space="preserve">population and around the cost offsets associated with the reduced use of </w:t>
      </w:r>
      <w:r w:rsidR="000D0A24" w:rsidRPr="008C335E">
        <w:t>blinatumomab and inotuzumab</w:t>
      </w:r>
      <w:r w:rsidR="002074A6">
        <w:t xml:space="preserve"> </w:t>
      </w:r>
      <w:r w:rsidR="002074A6" w:rsidRPr="002074A6">
        <w:t>ozogamicin</w:t>
      </w:r>
      <w:r w:rsidR="000D0A24" w:rsidRPr="008C335E">
        <w:t xml:space="preserve"> in the relapsed/refractory</w:t>
      </w:r>
      <w:bookmarkEnd w:id="85"/>
      <w:r w:rsidR="00D64C7E">
        <w:t xml:space="preserve"> </w:t>
      </w:r>
      <w:r w:rsidR="00D64C7E" w:rsidRPr="0094490B">
        <w:rPr>
          <w:lang w:val="en-GB"/>
        </w:rPr>
        <w:t>setting</w:t>
      </w:r>
      <w:r w:rsidR="000D0A24">
        <w:rPr>
          <w:lang w:val="en-GB"/>
        </w:rPr>
        <w:t>.</w:t>
      </w:r>
      <w:r w:rsidR="0094490B">
        <w:rPr>
          <w:lang w:val="en-GB"/>
        </w:rPr>
        <w:t xml:space="preserve"> The PBAC considered it appropriate for the </w:t>
      </w:r>
      <w:r w:rsidR="0094490B" w:rsidRPr="0094490B">
        <w:rPr>
          <w:lang w:val="en-GB"/>
        </w:rPr>
        <w:t xml:space="preserve">existing RSA to be increased based on revised financial estimates for </w:t>
      </w:r>
      <w:r w:rsidR="0094490B">
        <w:rPr>
          <w:lang w:val="en-GB"/>
        </w:rPr>
        <w:t xml:space="preserve">the total </w:t>
      </w:r>
      <w:r w:rsidR="0094490B" w:rsidRPr="0094490B">
        <w:rPr>
          <w:lang w:val="en-GB"/>
        </w:rPr>
        <w:t>net</w:t>
      </w:r>
      <w:r w:rsidR="0094490B">
        <w:rPr>
          <w:lang w:val="en-GB"/>
        </w:rPr>
        <w:t xml:space="preserve"> PBS/RPBS</w:t>
      </w:r>
      <w:r w:rsidR="0094490B" w:rsidRPr="0094490B">
        <w:rPr>
          <w:lang w:val="en-GB"/>
        </w:rPr>
        <w:t xml:space="preserve"> cost</w:t>
      </w:r>
      <w:r w:rsidR="0094490B">
        <w:rPr>
          <w:lang w:val="en-GB"/>
        </w:rPr>
        <w:t xml:space="preserve">. </w:t>
      </w:r>
    </w:p>
    <w:p w14:paraId="1BC792BD" w14:textId="77777777" w:rsidR="008C335E" w:rsidRDefault="008C335E" w:rsidP="008C335E">
      <w:pPr>
        <w:spacing w:before="240"/>
        <w:rPr>
          <w:rFonts w:asciiTheme="minorHAnsi" w:hAnsiTheme="minorHAnsi"/>
          <w:b/>
          <w:bCs/>
          <w:snapToGrid w:val="0"/>
          <w:lang w:val="en-GB"/>
        </w:rPr>
      </w:pPr>
      <w:r w:rsidRPr="00C970BF">
        <w:rPr>
          <w:rFonts w:asciiTheme="minorHAnsi" w:hAnsiTheme="minorHAnsi"/>
          <w:b/>
          <w:bCs/>
          <w:snapToGrid w:val="0"/>
          <w:lang w:val="en-GB"/>
        </w:rPr>
        <w:t>Outcome:</w:t>
      </w:r>
    </w:p>
    <w:p w14:paraId="0A98DE3A" w14:textId="628F505F" w:rsidR="00445FC3" w:rsidRPr="00C970BF" w:rsidRDefault="00445FC3" w:rsidP="008C0FD4">
      <w:pPr>
        <w:rPr>
          <w:rFonts w:asciiTheme="minorHAnsi" w:hAnsiTheme="minorHAnsi"/>
          <w:b/>
          <w:bCs/>
          <w:snapToGrid w:val="0"/>
          <w:lang w:val="en-GB"/>
        </w:rPr>
      </w:pPr>
      <w:r w:rsidRPr="00C970BF">
        <w:rPr>
          <w:rFonts w:asciiTheme="minorHAnsi" w:hAnsiTheme="minorHAnsi"/>
          <w:bCs/>
          <w:snapToGrid w:val="0"/>
          <w:lang w:val="en-GB"/>
        </w:rPr>
        <w:t>Deferred</w:t>
      </w:r>
    </w:p>
    <w:bookmarkEnd w:id="83"/>
    <w:bookmarkEnd w:id="84"/>
    <w:p w14:paraId="0F3300CD" w14:textId="47CAC105" w:rsidR="006E0923" w:rsidRPr="006E0923" w:rsidRDefault="006E0923" w:rsidP="006E0923">
      <w:pPr>
        <w:keepNext/>
        <w:numPr>
          <w:ilvl w:val="0"/>
          <w:numId w:val="1"/>
        </w:numPr>
        <w:spacing w:before="240" w:after="120"/>
        <w:jc w:val="left"/>
        <w:outlineLvl w:val="0"/>
        <w:rPr>
          <w:rFonts w:asciiTheme="minorHAnsi" w:hAnsiTheme="minorHAnsi"/>
          <w:b/>
          <w:snapToGrid w:val="0"/>
          <w:sz w:val="32"/>
          <w:szCs w:val="32"/>
        </w:rPr>
      </w:pPr>
      <w:r w:rsidRPr="006E0923">
        <w:rPr>
          <w:rFonts w:asciiTheme="minorHAnsi" w:hAnsiTheme="minorHAnsi"/>
          <w:b/>
          <w:snapToGrid w:val="0"/>
          <w:sz w:val="32"/>
          <w:szCs w:val="32"/>
        </w:rPr>
        <w:t>Context for Decision</w:t>
      </w:r>
    </w:p>
    <w:p w14:paraId="32B2661B" w14:textId="77777777" w:rsidR="006E0923" w:rsidRPr="006E0923" w:rsidRDefault="006E0923" w:rsidP="006E0923">
      <w:pPr>
        <w:spacing w:after="120"/>
        <w:ind w:left="720"/>
        <w:rPr>
          <w:rFonts w:asciiTheme="minorHAnsi" w:hAnsiTheme="minorHAnsi"/>
          <w:bCs/>
          <w:lang w:val="en-GB"/>
        </w:rPr>
      </w:pPr>
      <w:r w:rsidRPr="006E0923">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0103E50A" w14:textId="77777777" w:rsidR="006E0923" w:rsidRPr="006E0923" w:rsidRDefault="006E0923" w:rsidP="006E0923">
      <w:pPr>
        <w:keepNext/>
        <w:numPr>
          <w:ilvl w:val="0"/>
          <w:numId w:val="1"/>
        </w:numPr>
        <w:spacing w:before="240" w:after="120"/>
        <w:jc w:val="left"/>
        <w:outlineLvl w:val="0"/>
        <w:rPr>
          <w:rFonts w:asciiTheme="minorHAnsi" w:hAnsiTheme="minorHAnsi"/>
          <w:b/>
          <w:snapToGrid w:val="0"/>
          <w:sz w:val="32"/>
          <w:szCs w:val="32"/>
        </w:rPr>
      </w:pPr>
      <w:r w:rsidRPr="006E0923">
        <w:rPr>
          <w:rFonts w:asciiTheme="minorHAnsi" w:hAnsiTheme="minorHAnsi"/>
          <w:b/>
          <w:snapToGrid w:val="0"/>
          <w:sz w:val="32"/>
          <w:szCs w:val="32"/>
        </w:rPr>
        <w:t>Sponsor’s Comment</w:t>
      </w:r>
    </w:p>
    <w:p w14:paraId="7EDACD1D" w14:textId="7F6A347F" w:rsidR="008C335E" w:rsidRDefault="00F51CE8" w:rsidP="00445FC3">
      <w:pPr>
        <w:spacing w:after="120" w:line="276" w:lineRule="auto"/>
        <w:ind w:left="720"/>
        <w:rPr>
          <w:rFonts w:asciiTheme="minorHAnsi" w:hAnsiTheme="minorHAnsi"/>
          <w:bCs/>
          <w:lang w:val="en-GB"/>
        </w:rPr>
      </w:pPr>
      <w:r w:rsidRPr="004B4F68">
        <w:rPr>
          <w:rFonts w:asciiTheme="minorHAnsi" w:hAnsiTheme="minorHAnsi"/>
          <w:bCs/>
          <w:lang w:val="en-GB"/>
        </w:rPr>
        <w:t xml:space="preserve">Amgen is committed to working with the PBAC and Department of Health to facilitate timely access to blinatumomab for patients with MRD-negative B-ALL. </w:t>
      </w:r>
    </w:p>
    <w:p w14:paraId="23F19ABE" w14:textId="77777777" w:rsidR="00A94C5C" w:rsidRDefault="00A94C5C" w:rsidP="1797D1E5">
      <w:pPr>
        <w:jc w:val="left"/>
        <w:rPr>
          <w:rFonts w:asciiTheme="minorHAnsi" w:hAnsiTheme="minorHAnsi"/>
          <w:b/>
          <w:bCs/>
          <w:snapToGrid w:val="0"/>
          <w:color w:val="FF0000"/>
          <w:lang w:val="en-GB"/>
        </w:rPr>
      </w:pPr>
      <w:r w:rsidRPr="1797D1E5">
        <w:rPr>
          <w:rFonts w:asciiTheme="minorHAnsi" w:hAnsiTheme="minorHAnsi"/>
          <w:b/>
          <w:bCs/>
          <w:color w:val="FF0000"/>
          <w:lang w:val="en-GB"/>
        </w:rPr>
        <w:br w:type="page"/>
      </w:r>
    </w:p>
    <w:p w14:paraId="5AF688B1" w14:textId="4235A3BD" w:rsidR="00B31A07" w:rsidRPr="00B31A07" w:rsidRDefault="00B31A07" w:rsidP="1797D1E5">
      <w:pPr>
        <w:keepNext/>
        <w:spacing w:before="240" w:after="120"/>
        <w:ind w:left="720" w:hanging="720"/>
        <w:jc w:val="left"/>
        <w:outlineLvl w:val="0"/>
        <w:rPr>
          <w:rFonts w:asciiTheme="minorHAnsi" w:hAnsiTheme="minorHAnsi"/>
          <w:b/>
          <w:bCs/>
          <w:snapToGrid w:val="0"/>
          <w:color w:val="FF0000"/>
          <w:lang w:val="en-GB"/>
        </w:rPr>
      </w:pPr>
      <w:r w:rsidRPr="1797D1E5">
        <w:rPr>
          <w:rFonts w:asciiTheme="minorHAnsi" w:hAnsiTheme="minorHAnsi"/>
          <w:b/>
          <w:bCs/>
          <w:snapToGrid w:val="0"/>
          <w:color w:val="FF0000"/>
          <w:lang w:val="en-GB"/>
        </w:rPr>
        <w:lastRenderedPageBreak/>
        <w:t xml:space="preserve">Addendum to the July 2024 PBAC </w:t>
      </w:r>
      <w:r w:rsidR="00A94C5C" w:rsidRPr="1797D1E5">
        <w:rPr>
          <w:rFonts w:asciiTheme="minorHAnsi" w:hAnsiTheme="minorHAnsi"/>
          <w:b/>
          <w:bCs/>
          <w:snapToGrid w:val="0"/>
          <w:color w:val="FF0000"/>
          <w:lang w:val="en-GB"/>
        </w:rPr>
        <w:t>public summary document</w:t>
      </w:r>
      <w:r w:rsidRPr="1797D1E5">
        <w:rPr>
          <w:rFonts w:asciiTheme="minorHAnsi" w:hAnsiTheme="minorHAnsi"/>
          <w:b/>
          <w:bCs/>
          <w:snapToGrid w:val="0"/>
          <w:color w:val="FF0000"/>
          <w:lang w:val="en-GB"/>
        </w:rPr>
        <w:t>:</w:t>
      </w:r>
    </w:p>
    <w:p w14:paraId="5D192B6D" w14:textId="77777777" w:rsidR="00B31A07" w:rsidRPr="00B31A07" w:rsidRDefault="00B31A07" w:rsidP="004D5C66">
      <w:pPr>
        <w:keepNext/>
        <w:spacing w:before="120" w:after="160"/>
        <w:ind w:left="851" w:hanging="851"/>
        <w:jc w:val="left"/>
        <w:rPr>
          <w:rFonts w:asciiTheme="minorHAnsi" w:eastAsiaTheme="majorEastAsia" w:hAnsiTheme="minorHAnsi" w:cstheme="majorBidi"/>
          <w:b/>
          <w:bCs/>
          <w:spacing w:val="5"/>
          <w:kern w:val="28"/>
          <w:sz w:val="36"/>
          <w:szCs w:val="36"/>
        </w:rPr>
      </w:pPr>
      <w:r w:rsidRPr="1797D1E5">
        <w:rPr>
          <w:rFonts w:asciiTheme="minorHAnsi" w:eastAsiaTheme="majorEastAsia" w:hAnsiTheme="minorHAnsi" w:cstheme="majorBidi"/>
          <w:b/>
          <w:bCs/>
          <w:spacing w:val="5"/>
          <w:kern w:val="28"/>
          <w:sz w:val="36"/>
          <w:szCs w:val="36"/>
        </w:rPr>
        <w:t>4.01</w:t>
      </w:r>
      <w:r w:rsidRPr="00B31A07">
        <w:rPr>
          <w:rFonts w:asciiTheme="minorHAnsi" w:eastAsiaTheme="majorEastAsia" w:hAnsiTheme="minorHAnsi" w:cstheme="majorBidi"/>
          <w:b/>
          <w:spacing w:val="5"/>
          <w:kern w:val="28"/>
          <w:sz w:val="36"/>
          <w:szCs w:val="36"/>
        </w:rPr>
        <w:tab/>
      </w:r>
      <w:r w:rsidRPr="1797D1E5">
        <w:rPr>
          <w:rFonts w:asciiTheme="minorHAnsi" w:eastAsiaTheme="majorEastAsia" w:hAnsiTheme="minorHAnsi" w:cstheme="majorBidi"/>
          <w:b/>
          <w:bCs/>
          <w:spacing w:val="5"/>
          <w:kern w:val="28"/>
          <w:sz w:val="36"/>
          <w:szCs w:val="36"/>
        </w:rPr>
        <w:t>BLINATUMOMAB,</w:t>
      </w:r>
      <w:r w:rsidRPr="00B31A07">
        <w:rPr>
          <w:rFonts w:asciiTheme="minorHAnsi" w:eastAsiaTheme="majorEastAsia" w:hAnsiTheme="minorHAnsi" w:cstheme="majorBidi"/>
          <w:b/>
          <w:spacing w:val="5"/>
          <w:kern w:val="28"/>
          <w:sz w:val="36"/>
          <w:szCs w:val="36"/>
        </w:rPr>
        <w:br/>
      </w:r>
      <w:r w:rsidRPr="1797D1E5">
        <w:rPr>
          <w:rFonts w:asciiTheme="minorHAnsi" w:eastAsiaTheme="majorEastAsia" w:hAnsiTheme="minorHAnsi" w:cstheme="majorBidi"/>
          <w:b/>
          <w:bCs/>
          <w:spacing w:val="5"/>
          <w:kern w:val="28"/>
          <w:sz w:val="36"/>
          <w:szCs w:val="36"/>
        </w:rPr>
        <w:t>Powder for I.V. infusion 38.5 micrograms,</w:t>
      </w:r>
      <w:r w:rsidRPr="00B31A07">
        <w:rPr>
          <w:rFonts w:asciiTheme="minorHAnsi" w:eastAsiaTheme="majorEastAsia" w:hAnsiTheme="minorHAnsi" w:cstheme="majorBidi"/>
          <w:b/>
          <w:spacing w:val="5"/>
          <w:kern w:val="28"/>
          <w:sz w:val="36"/>
          <w:szCs w:val="36"/>
        </w:rPr>
        <w:br/>
      </w:r>
      <w:r w:rsidRPr="1797D1E5">
        <w:rPr>
          <w:rFonts w:asciiTheme="minorHAnsi" w:eastAsiaTheme="majorEastAsia" w:hAnsiTheme="minorHAnsi" w:cstheme="majorBidi"/>
          <w:b/>
          <w:bCs/>
          <w:spacing w:val="5"/>
          <w:kern w:val="28"/>
          <w:sz w:val="36"/>
          <w:szCs w:val="36"/>
        </w:rPr>
        <w:t>Blincyto</w:t>
      </w:r>
      <w:r w:rsidRPr="1797D1E5">
        <w:rPr>
          <w:rFonts w:asciiTheme="minorHAnsi" w:eastAsiaTheme="majorEastAsia" w:hAnsiTheme="minorHAnsi" w:cstheme="majorBidi"/>
          <w:b/>
          <w:bCs/>
          <w:spacing w:val="5"/>
          <w:kern w:val="28"/>
          <w:sz w:val="36"/>
          <w:szCs w:val="36"/>
          <w:vertAlign w:val="superscript"/>
        </w:rPr>
        <w:t>®</w:t>
      </w:r>
      <w:r w:rsidRPr="1797D1E5">
        <w:rPr>
          <w:rFonts w:asciiTheme="minorHAnsi" w:eastAsiaTheme="majorEastAsia" w:hAnsiTheme="minorHAnsi" w:cstheme="majorBidi"/>
          <w:b/>
          <w:bCs/>
          <w:spacing w:val="5"/>
          <w:kern w:val="28"/>
          <w:sz w:val="36"/>
          <w:szCs w:val="36"/>
        </w:rPr>
        <w:t>,</w:t>
      </w:r>
      <w:r w:rsidRPr="00B31A07">
        <w:rPr>
          <w:rFonts w:asciiTheme="minorHAnsi" w:eastAsiaTheme="majorEastAsia" w:hAnsiTheme="minorHAnsi" w:cstheme="majorBidi"/>
          <w:b/>
          <w:spacing w:val="5"/>
          <w:kern w:val="28"/>
          <w:sz w:val="36"/>
          <w:szCs w:val="36"/>
        </w:rPr>
        <w:br/>
      </w:r>
      <w:r w:rsidRPr="1797D1E5">
        <w:rPr>
          <w:rFonts w:asciiTheme="minorHAnsi" w:eastAsiaTheme="majorEastAsia" w:hAnsiTheme="minorHAnsi" w:cstheme="majorBidi"/>
          <w:b/>
          <w:bCs/>
          <w:spacing w:val="5"/>
          <w:kern w:val="28"/>
          <w:sz w:val="36"/>
          <w:szCs w:val="36"/>
        </w:rPr>
        <w:t>Amgen Australia Pty Limited.</w:t>
      </w:r>
    </w:p>
    <w:p w14:paraId="29A3CED0" w14:textId="77777777" w:rsidR="00B31A07" w:rsidRPr="00B31A07" w:rsidRDefault="00B31A07" w:rsidP="00B31A07">
      <w:pPr>
        <w:keepNext/>
        <w:numPr>
          <w:ilvl w:val="0"/>
          <w:numId w:val="5"/>
        </w:numPr>
        <w:spacing w:before="240" w:after="120"/>
        <w:jc w:val="left"/>
        <w:outlineLvl w:val="0"/>
        <w:rPr>
          <w:rFonts w:asciiTheme="minorHAnsi" w:eastAsiaTheme="majorEastAsia" w:hAnsiTheme="minorHAnsi"/>
          <w:b/>
          <w:snapToGrid w:val="0"/>
          <w:sz w:val="32"/>
          <w:szCs w:val="32"/>
        </w:rPr>
      </w:pPr>
      <w:r w:rsidRPr="00B31A07">
        <w:rPr>
          <w:rFonts w:asciiTheme="minorHAnsi" w:eastAsiaTheme="majorEastAsia" w:hAnsiTheme="minorHAnsi"/>
          <w:b/>
          <w:snapToGrid w:val="0"/>
          <w:sz w:val="32"/>
          <w:szCs w:val="32"/>
        </w:rPr>
        <w:t>Background</w:t>
      </w:r>
    </w:p>
    <w:p w14:paraId="0C41CFB7" w14:textId="77777777" w:rsidR="00B31A07" w:rsidRPr="00B31A07" w:rsidRDefault="00B31A07" w:rsidP="00B31A07">
      <w:pPr>
        <w:numPr>
          <w:ilvl w:val="1"/>
          <w:numId w:val="5"/>
        </w:numPr>
        <w:spacing w:after="120"/>
        <w:ind w:left="720"/>
        <w:rPr>
          <w:rFonts w:asciiTheme="minorHAnsi" w:hAnsiTheme="minorHAnsi"/>
          <w:snapToGrid w:val="0"/>
        </w:rPr>
      </w:pPr>
      <w:r w:rsidRPr="00B31A07">
        <w:rPr>
          <w:rFonts w:asciiTheme="minorHAnsi" w:hAnsiTheme="minorHAnsi"/>
          <w:snapToGrid w:val="0"/>
        </w:rPr>
        <w:t>At the July 2024 meeting, the PBAC deferred blinatumomab for minimal residual disease (MRD) negative patients with B-cell precursor acute lymphoblastic leukaemia (B-ALL), but was of a mind to recommend, pending advice from the TGA Delegate.</w:t>
      </w:r>
    </w:p>
    <w:p w14:paraId="53CA6444" w14:textId="77777777" w:rsidR="00B31A07" w:rsidRPr="00B31A07" w:rsidRDefault="00B31A07" w:rsidP="00B31A07">
      <w:pPr>
        <w:numPr>
          <w:ilvl w:val="1"/>
          <w:numId w:val="5"/>
        </w:numPr>
        <w:spacing w:after="120"/>
        <w:ind w:left="720"/>
        <w:rPr>
          <w:rFonts w:asciiTheme="minorHAnsi" w:hAnsiTheme="minorHAnsi"/>
          <w:snapToGrid w:val="0"/>
        </w:rPr>
      </w:pPr>
      <w:r w:rsidRPr="00B31A07">
        <w:rPr>
          <w:rFonts w:asciiTheme="minorHAnsi" w:hAnsiTheme="minorHAnsi"/>
          <w:snapToGrid w:val="0"/>
        </w:rPr>
        <w:t xml:space="preserve">Further, following the recent closure of a large clinical trial in the paediatric population (see paragraph </w:t>
      </w:r>
      <w:r w:rsidRPr="00B31A07">
        <w:rPr>
          <w:rFonts w:asciiTheme="minorHAnsi" w:hAnsiTheme="minorHAnsi"/>
          <w:snapToGrid w:val="0"/>
        </w:rPr>
        <w:fldChar w:fldCharType="begin" w:fldLock="1"/>
      </w:r>
      <w:r w:rsidRPr="00B31A07">
        <w:rPr>
          <w:rFonts w:asciiTheme="minorHAnsi" w:hAnsiTheme="minorHAnsi"/>
          <w:snapToGrid w:val="0"/>
        </w:rPr>
        <w:instrText xml:space="preserve"> REF _Ref183514410 \r \h </w:instrText>
      </w:r>
      <w:r w:rsidRPr="00B31A07">
        <w:rPr>
          <w:rFonts w:asciiTheme="minorHAnsi" w:hAnsiTheme="minorHAnsi"/>
          <w:snapToGrid w:val="0"/>
        </w:rPr>
      </w:r>
      <w:r w:rsidRPr="00B31A07">
        <w:rPr>
          <w:rFonts w:asciiTheme="minorHAnsi" w:hAnsiTheme="minorHAnsi"/>
          <w:snapToGrid w:val="0"/>
        </w:rPr>
        <w:fldChar w:fldCharType="separate"/>
      </w:r>
      <w:r w:rsidRPr="00B31A07">
        <w:rPr>
          <w:rFonts w:asciiTheme="minorHAnsi" w:hAnsiTheme="minorHAnsi"/>
          <w:snapToGrid w:val="0"/>
        </w:rPr>
        <w:t>7.8</w:t>
      </w:r>
      <w:r w:rsidRPr="00B31A07">
        <w:rPr>
          <w:rFonts w:asciiTheme="minorHAnsi" w:hAnsiTheme="minorHAnsi"/>
          <w:snapToGrid w:val="0"/>
        </w:rPr>
        <w:fldChar w:fldCharType="end"/>
      </w:r>
      <w:r w:rsidRPr="00B31A07">
        <w:rPr>
          <w:rFonts w:asciiTheme="minorHAnsi" w:hAnsiTheme="minorHAnsi"/>
          <w:snapToGrid w:val="0"/>
        </w:rPr>
        <w:t>), the sponsor proposed revised financial estimates and a revised risk sharing arrangement (RSA).</w:t>
      </w:r>
    </w:p>
    <w:p w14:paraId="167554CE" w14:textId="77777777" w:rsidR="00B31A07" w:rsidRPr="00B31A07" w:rsidRDefault="00B31A07" w:rsidP="00B31A07">
      <w:pPr>
        <w:keepNext/>
        <w:spacing w:before="120" w:after="120"/>
        <w:jc w:val="left"/>
        <w:outlineLvl w:val="1"/>
        <w:rPr>
          <w:rFonts w:asciiTheme="minorHAnsi" w:eastAsiaTheme="majorEastAsia" w:hAnsiTheme="minorHAnsi" w:cstheme="majorBidi"/>
          <w:b/>
          <w:i/>
          <w:spacing w:val="5"/>
          <w:kern w:val="28"/>
          <w:sz w:val="28"/>
          <w:szCs w:val="36"/>
        </w:rPr>
      </w:pPr>
      <w:r w:rsidRPr="00B31A07">
        <w:rPr>
          <w:rFonts w:asciiTheme="minorHAnsi" w:eastAsiaTheme="majorEastAsia" w:hAnsiTheme="minorHAnsi" w:cstheme="majorBidi"/>
          <w:b/>
          <w:i/>
          <w:spacing w:val="5"/>
          <w:kern w:val="28"/>
          <w:sz w:val="28"/>
          <w:szCs w:val="36"/>
        </w:rPr>
        <w:t>Registration status</w:t>
      </w:r>
    </w:p>
    <w:p w14:paraId="2E431CFB" w14:textId="77777777" w:rsidR="00B31A07" w:rsidRPr="00B31A07" w:rsidRDefault="00B31A07" w:rsidP="00B31A07">
      <w:pPr>
        <w:numPr>
          <w:ilvl w:val="1"/>
          <w:numId w:val="5"/>
        </w:numPr>
        <w:spacing w:after="120"/>
        <w:ind w:left="720"/>
        <w:rPr>
          <w:rFonts w:asciiTheme="minorHAnsi" w:hAnsiTheme="minorHAnsi"/>
          <w:snapToGrid w:val="0"/>
        </w:rPr>
      </w:pPr>
      <w:r w:rsidRPr="00B31A07">
        <w:rPr>
          <w:rFonts w:asciiTheme="minorHAnsi" w:hAnsiTheme="minorHAnsi"/>
          <w:snapToGrid w:val="0"/>
        </w:rPr>
        <w:t>The TGA Delegate’s Overview became available on 30 October 2024. It was proposed that blinatumomab be registered for the following indication:</w:t>
      </w:r>
    </w:p>
    <w:p w14:paraId="5FBBA139" w14:textId="77777777" w:rsidR="00B31A07" w:rsidRPr="00B31A07" w:rsidRDefault="00B31A07" w:rsidP="00B31A07">
      <w:pPr>
        <w:spacing w:after="120"/>
        <w:ind w:left="1080"/>
        <w:rPr>
          <w:rFonts w:asciiTheme="minorHAnsi" w:hAnsiTheme="minorHAnsi"/>
          <w:snapToGrid w:val="0"/>
        </w:rPr>
      </w:pPr>
      <w:r w:rsidRPr="00B31A07">
        <w:rPr>
          <w:rFonts w:asciiTheme="minorHAnsi" w:hAnsiTheme="minorHAnsi"/>
          <w:snapToGrid w:val="0"/>
        </w:rPr>
        <w:t>“The treatment of B-cell precursor acute lymphoblastic leukaemia (ALL) in the consolidation phase:</w:t>
      </w:r>
    </w:p>
    <w:p w14:paraId="3C24F1F5" w14:textId="77777777" w:rsidR="00B31A07" w:rsidRPr="00B31A07" w:rsidRDefault="00B31A07" w:rsidP="00B31A07">
      <w:pPr>
        <w:numPr>
          <w:ilvl w:val="0"/>
          <w:numId w:val="45"/>
        </w:numPr>
        <w:spacing w:after="120"/>
        <w:rPr>
          <w:rFonts w:asciiTheme="minorHAnsi" w:hAnsiTheme="minorHAnsi"/>
          <w:snapToGrid w:val="0"/>
        </w:rPr>
      </w:pPr>
      <w:r w:rsidRPr="00B31A07">
        <w:rPr>
          <w:rFonts w:asciiTheme="minorHAnsi" w:hAnsiTheme="minorHAnsi"/>
          <w:snapToGrid w:val="0"/>
        </w:rPr>
        <w:t>In combination with chemotherapy in subjects with Philadelphia (Ph) chromosome negative disease;</w:t>
      </w:r>
    </w:p>
    <w:p w14:paraId="70630D35" w14:textId="77777777" w:rsidR="00B31A07" w:rsidRPr="00B31A07" w:rsidRDefault="00B31A07" w:rsidP="00B31A07">
      <w:pPr>
        <w:numPr>
          <w:ilvl w:val="0"/>
          <w:numId w:val="45"/>
        </w:numPr>
        <w:spacing w:after="120"/>
        <w:rPr>
          <w:rFonts w:asciiTheme="minorHAnsi" w:hAnsiTheme="minorHAnsi"/>
          <w:snapToGrid w:val="0"/>
        </w:rPr>
      </w:pPr>
      <w:r w:rsidRPr="00B31A07">
        <w:rPr>
          <w:rFonts w:asciiTheme="minorHAnsi" w:hAnsiTheme="minorHAnsi"/>
          <w:snapToGrid w:val="0"/>
        </w:rPr>
        <w:t>In combination with a tyrosine kinase inhibitor in subjects with Ph chromosome positive disease, who are unable to receive chemotherapy.”</w:t>
      </w:r>
    </w:p>
    <w:p w14:paraId="22FE95DA" w14:textId="77777777" w:rsidR="00B31A07" w:rsidRPr="00B31A07" w:rsidRDefault="00B31A07" w:rsidP="00B31A07">
      <w:pPr>
        <w:spacing w:after="120"/>
        <w:ind w:left="720"/>
        <w:rPr>
          <w:rFonts w:asciiTheme="minorHAnsi" w:hAnsiTheme="minorHAnsi"/>
          <w:snapToGrid w:val="0"/>
        </w:rPr>
      </w:pPr>
      <w:r w:rsidRPr="00B31A07">
        <w:rPr>
          <w:rFonts w:asciiTheme="minorHAnsi" w:hAnsiTheme="minorHAnsi"/>
          <w:snapToGrid w:val="0"/>
        </w:rPr>
        <w:t>The TGA Delegate stated that the evidence appeared favourable for blinatumomab as a component of consolidation therapy for adults with newly diagnosed Ph chromosome negative, MRD-negative B-ALL. The TGA Delegate noted that there were outstanding issues relating to the use in patients with Ph chromosome positive disease and for newly diagnosed and/or low risk disease in paediatric patients for which advice from the ACM was being sought.</w:t>
      </w:r>
    </w:p>
    <w:p w14:paraId="1BC79FBE" w14:textId="77777777" w:rsidR="00B31A07" w:rsidRPr="00B31A07" w:rsidRDefault="00B31A07" w:rsidP="00B31A07">
      <w:pPr>
        <w:keepNext/>
        <w:numPr>
          <w:ilvl w:val="0"/>
          <w:numId w:val="5"/>
        </w:numPr>
        <w:spacing w:before="240" w:after="120"/>
        <w:jc w:val="left"/>
        <w:outlineLvl w:val="0"/>
        <w:rPr>
          <w:rFonts w:asciiTheme="minorHAnsi" w:hAnsiTheme="minorHAnsi"/>
          <w:b/>
          <w:snapToGrid w:val="0"/>
          <w:sz w:val="32"/>
          <w:szCs w:val="32"/>
        </w:rPr>
      </w:pPr>
      <w:r w:rsidRPr="00B31A07">
        <w:rPr>
          <w:rFonts w:asciiTheme="minorHAnsi" w:hAnsiTheme="minorHAnsi"/>
          <w:b/>
          <w:snapToGrid w:val="0"/>
          <w:sz w:val="32"/>
          <w:szCs w:val="32"/>
        </w:rPr>
        <w:t>Consideration of the evidence</w:t>
      </w:r>
    </w:p>
    <w:p w14:paraId="544803CE" w14:textId="77777777" w:rsidR="00B31A07" w:rsidRPr="00B31A07" w:rsidRDefault="00B31A07" w:rsidP="00B31A07">
      <w:pPr>
        <w:keepNext/>
        <w:spacing w:after="120"/>
        <w:jc w:val="left"/>
        <w:outlineLvl w:val="1"/>
        <w:rPr>
          <w:b/>
          <w:i/>
          <w:sz w:val="28"/>
        </w:rPr>
      </w:pPr>
      <w:r w:rsidRPr="00B31A07">
        <w:rPr>
          <w:b/>
          <w:i/>
          <w:sz w:val="28"/>
        </w:rPr>
        <w:t>Consumer comments</w:t>
      </w:r>
    </w:p>
    <w:p w14:paraId="69C6D01F" w14:textId="77777777" w:rsidR="00B31A07" w:rsidRPr="00B31A07" w:rsidRDefault="00B31A07" w:rsidP="00B31A07">
      <w:pPr>
        <w:numPr>
          <w:ilvl w:val="1"/>
          <w:numId w:val="5"/>
        </w:numPr>
        <w:spacing w:after="120"/>
        <w:ind w:left="720"/>
        <w:rPr>
          <w:rFonts w:asciiTheme="minorHAnsi" w:hAnsiTheme="minorHAnsi"/>
          <w:snapToGrid w:val="0"/>
        </w:rPr>
      </w:pPr>
      <w:bookmarkStart w:id="86" w:name="_Ref183619852"/>
      <w:r w:rsidRPr="00B31A07">
        <w:rPr>
          <w:rFonts w:asciiTheme="minorHAnsi" w:hAnsiTheme="minorHAnsi"/>
          <w:snapToGrid w:val="0"/>
        </w:rPr>
        <w:t xml:space="preserve">The PBAC noted the sponsor provided input from the Australian &amp; New Zealand Children’s Haematology/Oncology Group (ANZCHOG). In addition to the comments provided by ANZCHOG in July 2024 (see paragraph </w:t>
      </w:r>
      <w:r w:rsidRPr="00B31A07">
        <w:rPr>
          <w:rFonts w:asciiTheme="minorHAnsi" w:hAnsiTheme="minorHAnsi"/>
          <w:snapToGrid w:val="0"/>
        </w:rPr>
        <w:fldChar w:fldCharType="begin" w:fldLock="1"/>
      </w:r>
      <w:r w:rsidRPr="00B31A07">
        <w:rPr>
          <w:rFonts w:asciiTheme="minorHAnsi" w:hAnsiTheme="minorHAnsi"/>
          <w:snapToGrid w:val="0"/>
        </w:rPr>
        <w:instrText xml:space="preserve"> REF _Ref183618810 \r \h </w:instrText>
      </w:r>
      <w:r w:rsidRPr="00B31A07">
        <w:rPr>
          <w:rFonts w:asciiTheme="minorHAnsi" w:hAnsiTheme="minorHAnsi"/>
          <w:snapToGrid w:val="0"/>
        </w:rPr>
      </w:r>
      <w:r w:rsidRPr="00B31A07">
        <w:rPr>
          <w:rFonts w:asciiTheme="minorHAnsi" w:hAnsiTheme="minorHAnsi"/>
          <w:snapToGrid w:val="0"/>
        </w:rPr>
        <w:fldChar w:fldCharType="separate"/>
      </w:r>
      <w:r w:rsidRPr="00B31A07">
        <w:rPr>
          <w:rFonts w:asciiTheme="minorHAnsi" w:hAnsiTheme="minorHAnsi"/>
          <w:snapToGrid w:val="0"/>
        </w:rPr>
        <w:t>6.2</w:t>
      </w:r>
      <w:r w:rsidRPr="00B31A07">
        <w:rPr>
          <w:rFonts w:asciiTheme="minorHAnsi" w:hAnsiTheme="minorHAnsi"/>
          <w:snapToGrid w:val="0"/>
        </w:rPr>
        <w:fldChar w:fldCharType="end"/>
      </w:r>
      <w:r w:rsidRPr="00B31A07">
        <w:rPr>
          <w:rFonts w:asciiTheme="minorHAnsi" w:hAnsiTheme="minorHAnsi"/>
          <w:snapToGrid w:val="0"/>
        </w:rPr>
        <w:t xml:space="preserve">) the group noted the current PBS listing enabling access to two cycles of blinatumomab in the setting of measurable residual disease of precursor B-cell acute lymphoblastic leukaemia (Pre-B-cell ALL) if </w:t>
      </w:r>
      <w:r w:rsidRPr="00B31A07">
        <w:rPr>
          <w:rFonts w:asciiTheme="minorHAnsi" w:hAnsiTheme="minorHAnsi"/>
          <w:snapToGrid w:val="0"/>
        </w:rPr>
        <w:lastRenderedPageBreak/>
        <w:t>certain clinical criteria are met. ANZCHOG noted that one of the clinical criteria is ‘Patient must have measurable residual disease based on measurement in bone marrow, documented after an interval of at least 2 weeks from the last course of systemic chemotherapy given as intensive combination chemotherapy treatment of ALL/as subsequent salvage therapy, whichever was the later, measured using flow cytometry/molecular methods</w:t>
      </w:r>
      <w:r w:rsidRPr="00B31A07">
        <w:rPr>
          <w:rFonts w:asciiTheme="minorHAnsi" w:hAnsiTheme="minorHAnsi" w:cs="Calibri"/>
          <w:snapToGrid w:val="0"/>
          <w:sz w:val="22"/>
          <w:szCs w:val="22"/>
        </w:rPr>
        <w:t>’</w:t>
      </w:r>
      <w:r w:rsidRPr="00B31A07">
        <w:rPr>
          <w:rFonts w:asciiTheme="minorHAnsi" w:hAnsiTheme="minorHAnsi"/>
          <w:snapToGrid w:val="0"/>
        </w:rPr>
        <w:t>. ANZCHOG requested the removal of the requirement for a ‘two week gap between treatment and the MRD test’ from all PBS blinatumomab listings. ANZCHOG stated that it is inconsistent with current treatment practices in both paediatric and adult ALL patients.</w:t>
      </w:r>
      <w:bookmarkEnd w:id="86"/>
      <w:r w:rsidRPr="00B31A07">
        <w:rPr>
          <w:rFonts w:asciiTheme="minorHAnsi" w:hAnsiTheme="minorHAnsi"/>
          <w:snapToGrid w:val="0"/>
        </w:rPr>
        <w:t xml:space="preserve"> The PBAC noted the requirement for a ‘two week gap between treatment and the MRD test’ was specified in the current measurable residual disease of Pre-B-cell ALL listings.</w:t>
      </w:r>
    </w:p>
    <w:p w14:paraId="0B2B30BF" w14:textId="77777777" w:rsidR="00B31A07" w:rsidRPr="00B31A07" w:rsidRDefault="00B31A07" w:rsidP="00B31A07">
      <w:pPr>
        <w:keepNext/>
        <w:spacing w:after="120"/>
        <w:jc w:val="left"/>
        <w:outlineLvl w:val="1"/>
        <w:rPr>
          <w:b/>
          <w:i/>
          <w:sz w:val="28"/>
        </w:rPr>
      </w:pPr>
      <w:r w:rsidRPr="00B31A07">
        <w:rPr>
          <w:b/>
          <w:i/>
          <w:sz w:val="28"/>
        </w:rPr>
        <w:t>Estimated PBS usage &amp; financial implications</w:t>
      </w:r>
    </w:p>
    <w:p w14:paraId="12F9D00E" w14:textId="28C88336" w:rsidR="00B31A07" w:rsidRPr="00B31A07" w:rsidRDefault="00B31A07" w:rsidP="1797D1E5">
      <w:pPr>
        <w:numPr>
          <w:ilvl w:val="1"/>
          <w:numId w:val="5"/>
        </w:numPr>
        <w:spacing w:after="120"/>
        <w:ind w:left="720"/>
        <w:rPr>
          <w:rFonts w:asciiTheme="minorHAnsi" w:hAnsiTheme="minorHAnsi"/>
          <w:snapToGrid w:val="0"/>
        </w:rPr>
      </w:pPr>
      <w:r w:rsidRPr="1797D1E5">
        <w:rPr>
          <w:rFonts w:asciiTheme="minorHAnsi" w:hAnsiTheme="minorHAnsi"/>
          <w:snapToGrid w:val="0"/>
        </w:rPr>
        <w:t xml:space="preserve">In July 2024, the PBAC considered that new financial estimates should be provided with: (i) the projected number of new cases of ALL informed by AIHW 2022 data, rather than AIHW 2017 data, and (ii) the revised blinatumomab price offered in the July 2024 pre-PBAC response (see paragraph </w:t>
      </w:r>
      <w:r w:rsidRPr="1797D1E5">
        <w:rPr>
          <w:rFonts w:asciiTheme="minorHAnsi" w:hAnsiTheme="minorHAnsi"/>
          <w:snapToGrid w:val="0"/>
        </w:rPr>
        <w:fldChar w:fldCharType="begin" w:fldLock="1"/>
      </w:r>
      <w:r w:rsidRPr="1797D1E5">
        <w:rPr>
          <w:rFonts w:asciiTheme="minorHAnsi" w:hAnsiTheme="minorHAnsi"/>
          <w:snapToGrid w:val="0"/>
        </w:rPr>
        <w:instrText xml:space="preserve"> REF _Ref183514410 \r \h </w:instrText>
      </w:r>
      <w:r w:rsidRPr="1797D1E5">
        <w:rPr>
          <w:rFonts w:asciiTheme="minorHAnsi" w:hAnsiTheme="minorHAnsi"/>
          <w:snapToGrid w:val="0"/>
        </w:rPr>
      </w:r>
      <w:r w:rsidRPr="1797D1E5">
        <w:rPr>
          <w:rFonts w:asciiTheme="minorHAnsi" w:hAnsiTheme="minorHAnsi"/>
          <w:snapToGrid w:val="0"/>
        </w:rPr>
        <w:fldChar w:fldCharType="separate"/>
      </w:r>
      <w:r w:rsidRPr="1797D1E5">
        <w:rPr>
          <w:rFonts w:asciiTheme="minorHAnsi" w:hAnsiTheme="minorHAnsi"/>
          <w:snapToGrid w:val="0"/>
        </w:rPr>
        <w:t>7.8</w:t>
      </w:r>
      <w:r w:rsidRPr="1797D1E5">
        <w:rPr>
          <w:rFonts w:asciiTheme="minorHAnsi" w:hAnsiTheme="minorHAnsi"/>
          <w:snapToGrid w:val="0"/>
        </w:rPr>
        <w:fldChar w:fldCharType="end"/>
      </w:r>
      <w:r w:rsidRPr="1797D1E5">
        <w:rPr>
          <w:rFonts w:asciiTheme="minorHAnsi" w:hAnsiTheme="minorHAnsi"/>
          <w:snapToGrid w:val="0"/>
        </w:rPr>
        <w:t xml:space="preserve">). At that time, the PBAC also noted that </w:t>
      </w:r>
      <w:r w:rsidRPr="1797D1E5">
        <w:rPr>
          <w:rFonts w:asciiTheme="minorHAnsi" w:hAnsiTheme="minorHAnsi"/>
          <w:snapToGrid w:val="0"/>
          <w:lang w:eastAsia="en-GB"/>
        </w:rPr>
        <w:t xml:space="preserve">the uptake rate for paediatric patients was assumed to be </w:t>
      </w:r>
      <w:r w:rsidR="001A0FFE" w:rsidRPr="001A0FFE">
        <w:rPr>
          <w:rFonts w:asciiTheme="minorHAnsi" w:hAnsiTheme="minorHAnsi"/>
          <w:snapToGrid w:val="0"/>
          <w:color w:val="000000"/>
          <w:w w:val="61"/>
          <w:shd w:val="solid" w:color="000000" w:fill="000000"/>
          <w:fitText w:val="474" w:id="-764127996"/>
          <w:lang w:eastAsia="en-GB"/>
          <w14:textFill>
            <w14:solidFill>
              <w14:srgbClr w14:val="000000">
                <w14:alpha w14:val="100000"/>
              </w14:srgbClr>
            </w14:solidFill>
          </w14:textFill>
        </w:rPr>
        <w:t>|||  ||</w:t>
      </w:r>
      <w:r w:rsidR="001A0FFE" w:rsidRPr="001A0FFE">
        <w:rPr>
          <w:rFonts w:asciiTheme="minorHAnsi" w:hAnsiTheme="minorHAnsi"/>
          <w:snapToGrid w:val="0"/>
          <w:color w:val="000000"/>
          <w:spacing w:val="4"/>
          <w:w w:val="61"/>
          <w:shd w:val="solid" w:color="000000" w:fill="000000"/>
          <w:fitText w:val="474" w:id="-764127996"/>
          <w:lang w:eastAsia="en-GB"/>
          <w14:textFill>
            <w14:solidFill>
              <w14:srgbClr w14:val="000000">
                <w14:alpha w14:val="100000"/>
              </w14:srgbClr>
            </w14:solidFill>
          </w14:textFill>
        </w:rPr>
        <w:t>|</w:t>
      </w:r>
      <w:r w:rsidRPr="1797D1E5">
        <w:rPr>
          <w:rFonts w:asciiTheme="minorHAnsi" w:hAnsiTheme="minorHAnsi"/>
          <w:snapToGrid w:val="0"/>
          <w:lang w:eastAsia="en-GB"/>
        </w:rPr>
        <w:t xml:space="preserve">% based on the assumption that most of these patients would be offered treatment in a clinical trial. In July 2024, the PBAC considered this assumption uncertain and noted it may be marginally underestimated due to the recent closure of some paediatric clinical trials for this indication (see paragraph </w:t>
      </w:r>
      <w:r w:rsidRPr="1797D1E5">
        <w:rPr>
          <w:rFonts w:asciiTheme="minorHAnsi" w:hAnsiTheme="minorHAnsi"/>
          <w:snapToGrid w:val="0"/>
        </w:rPr>
        <w:fldChar w:fldCharType="begin" w:fldLock="1"/>
      </w:r>
      <w:r w:rsidRPr="1797D1E5">
        <w:rPr>
          <w:rFonts w:asciiTheme="minorHAnsi" w:hAnsiTheme="minorHAnsi"/>
          <w:snapToGrid w:val="0"/>
        </w:rPr>
        <w:instrText xml:space="preserve"> REF _Ref183514410 \r \h </w:instrText>
      </w:r>
      <w:r w:rsidRPr="1797D1E5">
        <w:rPr>
          <w:rFonts w:asciiTheme="minorHAnsi" w:hAnsiTheme="minorHAnsi"/>
          <w:snapToGrid w:val="0"/>
        </w:rPr>
      </w:r>
      <w:r w:rsidRPr="1797D1E5">
        <w:rPr>
          <w:rFonts w:asciiTheme="minorHAnsi" w:hAnsiTheme="minorHAnsi"/>
          <w:snapToGrid w:val="0"/>
        </w:rPr>
        <w:fldChar w:fldCharType="separate"/>
      </w:r>
      <w:r w:rsidRPr="1797D1E5">
        <w:rPr>
          <w:rFonts w:asciiTheme="minorHAnsi" w:hAnsiTheme="minorHAnsi"/>
          <w:snapToGrid w:val="0"/>
        </w:rPr>
        <w:t>7.8</w:t>
      </w:r>
      <w:r w:rsidRPr="1797D1E5">
        <w:rPr>
          <w:rFonts w:asciiTheme="minorHAnsi" w:hAnsiTheme="minorHAnsi"/>
          <w:snapToGrid w:val="0"/>
        </w:rPr>
        <w:fldChar w:fldCharType="end"/>
      </w:r>
      <w:r w:rsidRPr="1797D1E5">
        <w:rPr>
          <w:rFonts w:asciiTheme="minorHAnsi" w:hAnsiTheme="minorHAnsi"/>
          <w:snapToGrid w:val="0"/>
        </w:rPr>
        <w:t>)</w:t>
      </w:r>
      <w:r w:rsidRPr="1797D1E5">
        <w:rPr>
          <w:rFonts w:asciiTheme="minorHAnsi" w:hAnsiTheme="minorHAnsi"/>
          <w:snapToGrid w:val="0"/>
          <w:lang w:eastAsia="en-GB"/>
        </w:rPr>
        <w:t xml:space="preserve">. </w:t>
      </w:r>
    </w:p>
    <w:p w14:paraId="14AF5333" w14:textId="77777777" w:rsidR="00B31A07" w:rsidRPr="00B31A07" w:rsidRDefault="00B31A07" w:rsidP="00B31A07">
      <w:pPr>
        <w:numPr>
          <w:ilvl w:val="1"/>
          <w:numId w:val="5"/>
        </w:numPr>
        <w:spacing w:after="120"/>
        <w:ind w:left="720"/>
        <w:rPr>
          <w:rFonts w:asciiTheme="minorHAnsi" w:hAnsiTheme="minorHAnsi"/>
          <w:snapToGrid w:val="0"/>
        </w:rPr>
      </w:pPr>
      <w:r w:rsidRPr="00B31A07">
        <w:rPr>
          <w:rFonts w:asciiTheme="minorHAnsi" w:hAnsiTheme="minorHAnsi"/>
          <w:snapToGrid w:val="0"/>
        </w:rPr>
        <w:fldChar w:fldCharType="begin" w:fldLock="1"/>
      </w:r>
      <w:r w:rsidRPr="00B31A07">
        <w:rPr>
          <w:rFonts w:asciiTheme="minorHAnsi" w:hAnsiTheme="minorHAnsi"/>
          <w:snapToGrid w:val="0"/>
        </w:rPr>
        <w:instrText xml:space="preserve"> REF _Ref183514448 \h </w:instrText>
      </w:r>
      <w:r w:rsidRPr="00B31A07">
        <w:rPr>
          <w:rFonts w:asciiTheme="minorHAnsi" w:hAnsiTheme="minorHAnsi"/>
          <w:snapToGrid w:val="0"/>
        </w:rPr>
      </w:r>
      <w:r w:rsidRPr="00B31A07">
        <w:rPr>
          <w:rFonts w:asciiTheme="minorHAnsi" w:hAnsiTheme="minorHAnsi"/>
          <w:snapToGrid w:val="0"/>
        </w:rPr>
        <w:fldChar w:fldCharType="separate"/>
      </w:r>
      <w:r w:rsidRPr="00B31A07">
        <w:rPr>
          <w:rFonts w:asciiTheme="minorHAnsi" w:hAnsiTheme="minorHAnsi"/>
          <w:snapToGrid w:val="0"/>
        </w:rPr>
        <w:t xml:space="preserve">Table </w:t>
      </w:r>
      <w:r w:rsidRPr="00B31A07">
        <w:rPr>
          <w:rFonts w:asciiTheme="minorHAnsi" w:hAnsiTheme="minorHAnsi"/>
          <w:noProof/>
          <w:snapToGrid w:val="0"/>
        </w:rPr>
        <w:t>20</w:t>
      </w:r>
      <w:r w:rsidRPr="00B31A07">
        <w:rPr>
          <w:rFonts w:asciiTheme="minorHAnsi" w:hAnsiTheme="minorHAnsi"/>
          <w:snapToGrid w:val="0"/>
        </w:rPr>
        <w:fldChar w:fldCharType="end"/>
      </w:r>
      <w:r w:rsidRPr="00B31A07">
        <w:rPr>
          <w:rFonts w:asciiTheme="minorHAnsi" w:hAnsiTheme="minorHAnsi"/>
          <w:snapToGrid w:val="0"/>
        </w:rPr>
        <w:t xml:space="preserve"> provides a summary of the changes to financial estimates proposed by the sponsor. As more recent AIHW data had become available, data from 2024 were used (rather than 2022 data as requested).</w:t>
      </w:r>
    </w:p>
    <w:p w14:paraId="25178227" w14:textId="77777777" w:rsidR="00B31A07" w:rsidRPr="00B31A07" w:rsidRDefault="00B31A07" w:rsidP="1797D1E5">
      <w:pPr>
        <w:keepNext/>
        <w:keepLines/>
        <w:jc w:val="left"/>
        <w:rPr>
          <w:rFonts w:ascii="Arial Narrow" w:eastAsiaTheme="majorEastAsia" w:hAnsi="Arial Narrow" w:cstheme="majorBidi"/>
          <w:b/>
          <w:bCs/>
          <w:sz w:val="20"/>
          <w:szCs w:val="20"/>
        </w:rPr>
      </w:pPr>
      <w:bookmarkStart w:id="87" w:name="_Ref183514448"/>
      <w:r w:rsidRPr="1797D1E5">
        <w:rPr>
          <w:rFonts w:ascii="Arial Narrow" w:eastAsiaTheme="majorEastAsia" w:hAnsi="Arial Narrow" w:cstheme="majorBidi"/>
          <w:b/>
          <w:bCs/>
          <w:sz w:val="20"/>
          <w:szCs w:val="20"/>
        </w:rPr>
        <w:lastRenderedPageBreak/>
        <w:t xml:space="preserve">Table </w:t>
      </w:r>
      <w:r w:rsidRPr="1797D1E5">
        <w:rPr>
          <w:rFonts w:ascii="Arial Narrow" w:eastAsiaTheme="majorEastAsia" w:hAnsi="Arial Narrow" w:cstheme="majorBidi"/>
          <w:b/>
          <w:bCs/>
          <w:sz w:val="20"/>
          <w:szCs w:val="20"/>
        </w:rPr>
        <w:fldChar w:fldCharType="begin" w:fldLock="1"/>
      </w:r>
      <w:r w:rsidRPr="1797D1E5">
        <w:rPr>
          <w:rFonts w:ascii="Arial Narrow" w:eastAsiaTheme="majorEastAsia" w:hAnsi="Arial Narrow" w:cstheme="majorBidi"/>
          <w:b/>
          <w:bCs/>
          <w:sz w:val="20"/>
          <w:szCs w:val="20"/>
        </w:rPr>
        <w:instrText xml:space="preserve"> SEQ Table \* ARABIC </w:instrText>
      </w:r>
      <w:r w:rsidRPr="1797D1E5">
        <w:rPr>
          <w:rFonts w:ascii="Arial Narrow" w:eastAsiaTheme="majorEastAsia" w:hAnsi="Arial Narrow" w:cstheme="majorBidi"/>
          <w:b/>
          <w:bCs/>
          <w:sz w:val="20"/>
          <w:szCs w:val="20"/>
        </w:rPr>
        <w:fldChar w:fldCharType="separate"/>
      </w:r>
      <w:r w:rsidRPr="1797D1E5">
        <w:rPr>
          <w:rFonts w:ascii="Arial Narrow" w:eastAsiaTheme="majorEastAsia" w:hAnsi="Arial Narrow" w:cstheme="majorBidi"/>
          <w:b/>
          <w:bCs/>
          <w:noProof/>
          <w:sz w:val="20"/>
          <w:szCs w:val="20"/>
        </w:rPr>
        <w:t>20</w:t>
      </w:r>
      <w:r w:rsidRPr="1797D1E5">
        <w:rPr>
          <w:rFonts w:ascii="Arial Narrow" w:eastAsiaTheme="majorEastAsia" w:hAnsi="Arial Narrow" w:cstheme="majorBidi"/>
          <w:b/>
          <w:bCs/>
          <w:noProof/>
          <w:sz w:val="20"/>
          <w:szCs w:val="20"/>
        </w:rPr>
        <w:fldChar w:fldCharType="end"/>
      </w:r>
      <w:bookmarkEnd w:id="87"/>
      <w:r w:rsidRPr="1797D1E5">
        <w:rPr>
          <w:rFonts w:ascii="Arial Narrow" w:eastAsiaTheme="majorEastAsia" w:hAnsi="Arial Narrow" w:cstheme="majorBidi"/>
          <w:b/>
          <w:bCs/>
          <w:sz w:val="20"/>
          <w:szCs w:val="20"/>
        </w:rPr>
        <w:t>: Summary of changes to the financial estimates</w:t>
      </w:r>
    </w:p>
    <w:tbl>
      <w:tblPr>
        <w:tblStyle w:val="TableGrid"/>
        <w:tblW w:w="9115" w:type="dxa"/>
        <w:tblLook w:val="04A0" w:firstRow="1" w:lastRow="0" w:firstColumn="1" w:lastColumn="0" w:noHBand="0" w:noVBand="1"/>
        <w:tblCaption w:val="Table 20: Summary of changes to the financial estimates"/>
      </w:tblPr>
      <w:tblGrid>
        <w:gridCol w:w="1795"/>
        <w:gridCol w:w="2040"/>
        <w:gridCol w:w="2760"/>
        <w:gridCol w:w="2520"/>
      </w:tblGrid>
      <w:tr w:rsidR="00B31A07" w:rsidRPr="00B31A07" w14:paraId="69D63F00" w14:textId="77777777" w:rsidTr="1797D1E5">
        <w:tc>
          <w:tcPr>
            <w:tcW w:w="1795" w:type="dxa"/>
            <w:tcMar>
              <w:left w:w="20" w:type="dxa"/>
              <w:right w:w="20" w:type="dxa"/>
            </w:tcMar>
          </w:tcPr>
          <w:p w14:paraId="11E8D59B" w14:textId="77777777" w:rsidR="00B31A07" w:rsidRPr="00B31A07" w:rsidRDefault="00B31A07" w:rsidP="1797D1E5">
            <w:pPr>
              <w:keepNext/>
              <w:keepLines/>
              <w:rPr>
                <w:rFonts w:ascii="Arial Narrow" w:hAnsi="Arial Narrow"/>
                <w:snapToGrid w:val="0"/>
                <w:sz w:val="20"/>
                <w:szCs w:val="20"/>
                <w:lang w:val="en-GB"/>
              </w:rPr>
            </w:pPr>
          </w:p>
        </w:tc>
        <w:tc>
          <w:tcPr>
            <w:tcW w:w="2040" w:type="dxa"/>
            <w:tcMar>
              <w:left w:w="20" w:type="dxa"/>
              <w:right w:w="20" w:type="dxa"/>
            </w:tcMar>
          </w:tcPr>
          <w:p w14:paraId="2C576112" w14:textId="77777777" w:rsidR="00B31A07" w:rsidRPr="00B31A07" w:rsidRDefault="00B31A07" w:rsidP="1797D1E5">
            <w:pPr>
              <w:keepNext/>
              <w:keepLines/>
              <w:rPr>
                <w:rFonts w:ascii="Arial Narrow" w:hAnsi="Arial Narrow"/>
                <w:b/>
                <w:bCs/>
                <w:snapToGrid w:val="0"/>
                <w:sz w:val="20"/>
                <w:szCs w:val="20"/>
                <w:lang w:val="en-GB"/>
              </w:rPr>
            </w:pPr>
            <w:r w:rsidRPr="00B31A07">
              <w:rPr>
                <w:rFonts w:ascii="Arial Narrow" w:hAnsi="Arial Narrow"/>
                <w:b/>
                <w:bCs/>
                <w:snapToGrid w:val="0"/>
                <w:sz w:val="20"/>
                <w:szCs w:val="20"/>
                <w:lang w:val="en-GB"/>
              </w:rPr>
              <w:t>Change</w:t>
            </w:r>
          </w:p>
        </w:tc>
        <w:tc>
          <w:tcPr>
            <w:tcW w:w="2760" w:type="dxa"/>
            <w:tcMar>
              <w:left w:w="20" w:type="dxa"/>
              <w:right w:w="20" w:type="dxa"/>
            </w:tcMar>
          </w:tcPr>
          <w:p w14:paraId="2F33A723" w14:textId="77777777" w:rsidR="00B31A07" w:rsidRPr="00B31A07" w:rsidRDefault="00B31A07" w:rsidP="1797D1E5">
            <w:pPr>
              <w:keepNext/>
              <w:keepLines/>
              <w:rPr>
                <w:rFonts w:ascii="Arial Narrow" w:hAnsi="Arial Narrow"/>
                <w:b/>
                <w:bCs/>
                <w:snapToGrid w:val="0"/>
                <w:sz w:val="20"/>
                <w:szCs w:val="20"/>
                <w:lang w:val="en-GB"/>
              </w:rPr>
            </w:pPr>
            <w:r w:rsidRPr="00B31A07">
              <w:rPr>
                <w:rFonts w:ascii="Arial Narrow" w:hAnsi="Arial Narrow"/>
                <w:b/>
                <w:bCs/>
                <w:snapToGrid w:val="0"/>
                <w:sz w:val="20"/>
                <w:szCs w:val="20"/>
                <w:lang w:val="en-GB"/>
              </w:rPr>
              <w:t>Source</w:t>
            </w:r>
          </w:p>
        </w:tc>
        <w:tc>
          <w:tcPr>
            <w:tcW w:w="2520" w:type="dxa"/>
            <w:tcMar>
              <w:left w:w="20" w:type="dxa"/>
              <w:right w:w="20" w:type="dxa"/>
            </w:tcMar>
          </w:tcPr>
          <w:p w14:paraId="6B9FBB02" w14:textId="77777777" w:rsidR="00B31A07" w:rsidRPr="00B31A07" w:rsidRDefault="00B31A07" w:rsidP="1797D1E5">
            <w:pPr>
              <w:keepNext/>
              <w:keepLines/>
              <w:rPr>
                <w:rFonts w:ascii="Arial Narrow" w:hAnsi="Arial Narrow"/>
                <w:b/>
                <w:bCs/>
                <w:snapToGrid w:val="0"/>
                <w:sz w:val="20"/>
                <w:szCs w:val="20"/>
                <w:lang w:val="en-GB"/>
              </w:rPr>
            </w:pPr>
            <w:r w:rsidRPr="00B31A07">
              <w:rPr>
                <w:rFonts w:ascii="Arial Narrow" w:hAnsi="Arial Narrow"/>
                <w:b/>
                <w:bCs/>
                <w:snapToGrid w:val="0"/>
                <w:sz w:val="20"/>
                <w:szCs w:val="20"/>
                <w:lang w:val="en-GB"/>
              </w:rPr>
              <w:t>Revised inputs</w:t>
            </w:r>
          </w:p>
        </w:tc>
      </w:tr>
      <w:tr w:rsidR="00B31A07" w:rsidRPr="00B31A07" w14:paraId="727A474F" w14:textId="77777777" w:rsidTr="1797D1E5">
        <w:tc>
          <w:tcPr>
            <w:tcW w:w="1795" w:type="dxa"/>
            <w:tcMar>
              <w:left w:w="20" w:type="dxa"/>
              <w:right w:w="20" w:type="dxa"/>
            </w:tcMar>
          </w:tcPr>
          <w:p w14:paraId="5B3BC5D4" w14:textId="77777777" w:rsidR="00B31A07" w:rsidRPr="00B31A07" w:rsidRDefault="00B31A07" w:rsidP="1797D1E5">
            <w:pPr>
              <w:keepNext/>
              <w:keepLines/>
              <w:jc w:val="left"/>
              <w:rPr>
                <w:rFonts w:ascii="Arial Narrow" w:hAnsi="Arial Narrow"/>
                <w:snapToGrid w:val="0"/>
                <w:sz w:val="20"/>
                <w:szCs w:val="20"/>
                <w:lang w:val="en-GB"/>
              </w:rPr>
            </w:pPr>
            <w:r w:rsidRPr="00B31A07">
              <w:rPr>
                <w:rFonts w:ascii="Arial Narrow" w:hAnsi="Arial Narrow"/>
                <w:snapToGrid w:val="0"/>
                <w:sz w:val="20"/>
                <w:szCs w:val="20"/>
                <w:lang w:val="en-GB"/>
              </w:rPr>
              <w:t>Updated AIHW data</w:t>
            </w:r>
          </w:p>
        </w:tc>
        <w:tc>
          <w:tcPr>
            <w:tcW w:w="2040" w:type="dxa"/>
            <w:tcMar>
              <w:left w:w="20" w:type="dxa"/>
              <w:right w:w="20" w:type="dxa"/>
            </w:tcMar>
          </w:tcPr>
          <w:p w14:paraId="1F214643" w14:textId="77777777" w:rsidR="00B31A07" w:rsidRPr="00B31A07" w:rsidRDefault="00B31A07" w:rsidP="1797D1E5">
            <w:pPr>
              <w:keepNext/>
              <w:keepLines/>
              <w:jc w:val="left"/>
              <w:rPr>
                <w:rFonts w:ascii="Arial Narrow" w:hAnsi="Arial Narrow"/>
                <w:snapToGrid w:val="0"/>
                <w:sz w:val="20"/>
                <w:szCs w:val="20"/>
                <w:lang w:val="en-GB"/>
              </w:rPr>
            </w:pPr>
            <w:r w:rsidRPr="00B31A07">
              <w:rPr>
                <w:rFonts w:ascii="Arial Narrow" w:hAnsi="Arial Narrow"/>
                <w:snapToGrid w:val="0"/>
                <w:sz w:val="20"/>
                <w:szCs w:val="20"/>
                <w:lang w:val="en-GB"/>
              </w:rPr>
              <w:t>Data from 2024, rather than 2017, used</w:t>
            </w:r>
          </w:p>
        </w:tc>
        <w:tc>
          <w:tcPr>
            <w:tcW w:w="2760" w:type="dxa"/>
            <w:tcMar>
              <w:left w:w="20" w:type="dxa"/>
              <w:right w:w="20" w:type="dxa"/>
            </w:tcMar>
          </w:tcPr>
          <w:p w14:paraId="5A912F90" w14:textId="77777777" w:rsidR="00B31A07" w:rsidRPr="00B31A07" w:rsidRDefault="00B31A07" w:rsidP="1797D1E5">
            <w:pPr>
              <w:keepNext/>
              <w:keepLines/>
              <w:jc w:val="left"/>
              <w:rPr>
                <w:rFonts w:ascii="Arial Narrow" w:hAnsi="Arial Narrow"/>
                <w:snapToGrid w:val="0"/>
                <w:sz w:val="20"/>
                <w:szCs w:val="20"/>
                <w:lang w:val="en-GB"/>
              </w:rPr>
            </w:pPr>
            <w:r w:rsidRPr="00B31A07">
              <w:rPr>
                <w:rFonts w:ascii="Arial Narrow" w:hAnsi="Arial Narrow"/>
                <w:snapToGrid w:val="0"/>
                <w:sz w:val="20"/>
                <w:szCs w:val="20"/>
                <w:lang w:val="en-GB"/>
              </w:rPr>
              <w:t xml:space="preserve">Requested by PBAC in July 2024 (paragraph </w:t>
            </w:r>
            <w:r w:rsidRPr="00B31A07">
              <w:rPr>
                <w:rFonts w:ascii="Arial Narrow" w:hAnsi="Arial Narrow"/>
                <w:snapToGrid w:val="0"/>
                <w:sz w:val="20"/>
                <w:szCs w:val="20"/>
                <w:lang w:val="en-GB"/>
              </w:rPr>
              <w:fldChar w:fldCharType="begin" w:fldLock="1"/>
            </w:r>
            <w:r w:rsidRPr="00B31A07">
              <w:rPr>
                <w:rFonts w:ascii="Arial Narrow" w:hAnsi="Arial Narrow"/>
                <w:snapToGrid w:val="0"/>
                <w:sz w:val="20"/>
                <w:szCs w:val="20"/>
                <w:lang w:val="en-GB"/>
              </w:rPr>
              <w:instrText xml:space="preserve"> REF _Ref183514410 \r \h </w:instrText>
            </w:r>
            <w:r w:rsidRPr="00B31A07">
              <w:rPr>
                <w:rFonts w:ascii="Arial Narrow" w:hAnsi="Arial Narrow"/>
                <w:snapToGrid w:val="0"/>
                <w:sz w:val="20"/>
                <w:szCs w:val="20"/>
                <w:lang w:val="en-GB"/>
              </w:rPr>
            </w:r>
            <w:r w:rsidRPr="00B31A07">
              <w:rPr>
                <w:rFonts w:ascii="Arial Narrow" w:hAnsi="Arial Narrow"/>
                <w:snapToGrid w:val="0"/>
                <w:sz w:val="20"/>
                <w:szCs w:val="20"/>
                <w:lang w:val="en-GB"/>
              </w:rPr>
              <w:fldChar w:fldCharType="separate"/>
            </w:r>
            <w:r w:rsidRPr="00B31A07">
              <w:rPr>
                <w:rFonts w:ascii="Arial Narrow" w:hAnsi="Arial Narrow"/>
                <w:snapToGrid w:val="0"/>
                <w:sz w:val="20"/>
                <w:szCs w:val="20"/>
                <w:lang w:val="en-GB"/>
              </w:rPr>
              <w:t>7.8</w:t>
            </w:r>
            <w:r w:rsidRPr="00B31A07">
              <w:rPr>
                <w:rFonts w:ascii="Arial Narrow" w:hAnsi="Arial Narrow"/>
                <w:snapToGrid w:val="0"/>
                <w:sz w:val="20"/>
                <w:szCs w:val="20"/>
                <w:lang w:val="en-GB"/>
              </w:rPr>
              <w:fldChar w:fldCharType="end"/>
            </w:r>
            <w:r w:rsidRPr="00B31A07">
              <w:rPr>
                <w:rFonts w:ascii="Arial Narrow" w:hAnsi="Arial Narrow"/>
                <w:snapToGrid w:val="0"/>
                <w:sz w:val="20"/>
                <w:szCs w:val="20"/>
                <w:lang w:val="en-GB"/>
              </w:rPr>
              <w:t>)</w:t>
            </w:r>
          </w:p>
        </w:tc>
        <w:tc>
          <w:tcPr>
            <w:tcW w:w="2520" w:type="dxa"/>
            <w:tcMar>
              <w:left w:w="20" w:type="dxa"/>
              <w:right w:w="20" w:type="dxa"/>
            </w:tcMar>
          </w:tcPr>
          <w:p w14:paraId="0EDA7C22" w14:textId="77777777" w:rsidR="00B31A07" w:rsidRPr="00B31A07" w:rsidRDefault="00B31A07" w:rsidP="1797D1E5">
            <w:pPr>
              <w:keepNext/>
              <w:keepLines/>
              <w:rPr>
                <w:rFonts w:ascii="Arial Narrow" w:hAnsi="Arial Narrow"/>
                <w:snapToGrid w:val="0"/>
                <w:sz w:val="20"/>
                <w:szCs w:val="20"/>
                <w:lang w:val="en-GB"/>
              </w:rPr>
            </w:pPr>
            <w:r w:rsidRPr="00B31A07">
              <w:rPr>
                <w:rFonts w:ascii="Arial Narrow" w:hAnsi="Arial Narrow"/>
                <w:snapToGrid w:val="0"/>
                <w:sz w:val="20"/>
                <w:szCs w:val="20"/>
                <w:lang w:val="en-GB"/>
              </w:rPr>
              <w:t>Adult patients:</w:t>
            </w:r>
          </w:p>
          <w:p w14:paraId="6ED8EF81" w14:textId="77777777" w:rsidR="00B31A07" w:rsidRPr="00B31A07" w:rsidRDefault="00B31A07" w:rsidP="1797D1E5">
            <w:pPr>
              <w:keepNext/>
              <w:keepLines/>
              <w:rPr>
                <w:rFonts w:ascii="Arial Narrow" w:hAnsi="Arial Narrow"/>
                <w:b/>
                <w:bCs/>
                <w:snapToGrid w:val="0"/>
                <w:sz w:val="20"/>
                <w:szCs w:val="20"/>
                <w:lang w:val="en-GB"/>
              </w:rPr>
            </w:pPr>
            <w:r w:rsidRPr="00B31A07">
              <w:rPr>
                <w:rFonts w:ascii="Arial Narrow" w:hAnsi="Arial Narrow"/>
                <w:b/>
                <w:bCs/>
                <w:snapToGrid w:val="0"/>
                <w:sz w:val="20"/>
                <w:szCs w:val="20"/>
                <w:lang w:val="en-GB"/>
              </w:rPr>
              <w:t xml:space="preserve">         July 2024        Nov 2024</w:t>
            </w:r>
          </w:p>
          <w:p w14:paraId="136908D3" w14:textId="1B0BE9C9" w:rsidR="00B31A07" w:rsidRPr="00B31A07" w:rsidRDefault="00B31A07" w:rsidP="1797D1E5">
            <w:pPr>
              <w:keepNext/>
              <w:keepLines/>
              <w:rPr>
                <w:rFonts w:ascii="Arial Narrow" w:hAnsi="Arial Narrow"/>
                <w:snapToGrid w:val="0"/>
                <w:sz w:val="20"/>
                <w:szCs w:val="20"/>
                <w:lang w:val="en-GB"/>
              </w:rPr>
            </w:pPr>
            <w:r w:rsidRPr="00B31A07">
              <w:rPr>
                <w:rFonts w:ascii="Arial Narrow" w:hAnsi="Arial Narrow"/>
                <w:snapToGrid w:val="0"/>
                <w:sz w:val="20"/>
                <w:szCs w:val="20"/>
                <w:lang w:val="en-GB"/>
              </w:rPr>
              <w:t xml:space="preserve">2025:      </w:t>
            </w:r>
            <w:r w:rsidR="001A0FFE" w:rsidRPr="001A0FFE">
              <w:rPr>
                <w:rFonts w:ascii="Arial Narrow" w:hAnsi="Arial Narrow"/>
                <w:snapToGrid w:val="0"/>
                <w:color w:val="000000"/>
                <w:spacing w:val="8"/>
                <w:sz w:val="20"/>
                <w:szCs w:val="20"/>
                <w:shd w:val="solid" w:color="000000" w:fill="000000"/>
                <w:fitText w:val="306" w:id="-764127995"/>
                <w:lang w:val="en-GB"/>
                <w14:textFill>
                  <w14:solidFill>
                    <w14:srgbClr w14:val="000000">
                      <w14:alpha w14:val="100000"/>
                    </w14:srgbClr>
                  </w14:solidFill>
                </w14:textFill>
              </w:rPr>
              <w:t>|</w:t>
            </w:r>
            <w:proofErr w:type="gramStart"/>
            <w:r w:rsidR="001A0FFE" w:rsidRPr="001A0FFE">
              <w:rPr>
                <w:rFonts w:ascii="Arial Narrow" w:hAnsi="Arial Narrow"/>
                <w:snapToGrid w:val="0"/>
                <w:color w:val="000000"/>
                <w:spacing w:val="8"/>
                <w:sz w:val="20"/>
                <w:szCs w:val="20"/>
                <w:shd w:val="solid" w:color="000000" w:fill="000000"/>
                <w:fitText w:val="306" w:id="-764127995"/>
                <w:lang w:val="en-GB"/>
                <w14:textFill>
                  <w14:solidFill>
                    <w14:srgbClr w14:val="000000">
                      <w14:alpha w14:val="100000"/>
                    </w14:srgbClr>
                  </w14:solidFill>
                </w14:textFill>
              </w:rPr>
              <w:t>|  |</w:t>
            </w:r>
            <w:proofErr w:type="gramEnd"/>
            <w:r w:rsidR="001A0FFE" w:rsidRPr="001A0FFE">
              <w:rPr>
                <w:rFonts w:ascii="Arial Narrow" w:hAnsi="Arial Narrow"/>
                <w:snapToGrid w:val="0"/>
                <w:color w:val="000000"/>
                <w:spacing w:val="5"/>
                <w:sz w:val="20"/>
                <w:szCs w:val="20"/>
                <w:shd w:val="solid" w:color="000000" w:fill="000000"/>
                <w:fitText w:val="306" w:id="-764127995"/>
                <w:lang w:val="en-GB"/>
                <w14:textFill>
                  <w14:solidFill>
                    <w14:srgbClr w14:val="000000">
                      <w14:alpha w14:val="100000"/>
                    </w14:srgbClr>
                  </w14:solidFill>
                </w14:textFill>
              </w:rPr>
              <w:t>|</w:t>
            </w:r>
            <w:r w:rsidR="008D2BAE" w:rsidRPr="007776C6">
              <w:rPr>
                <w:rFonts w:ascii="Arial Narrow" w:hAnsi="Arial Narrow"/>
                <w:snapToGrid w:val="0"/>
                <w:sz w:val="20"/>
                <w:szCs w:val="20"/>
                <w:vertAlign w:val="superscript"/>
                <w:lang w:val="en-GB"/>
              </w:rPr>
              <w:t>1</w:t>
            </w:r>
            <w:r w:rsidRPr="00B31A07">
              <w:rPr>
                <w:rFonts w:ascii="Arial Narrow" w:hAnsi="Arial Narrow"/>
                <w:snapToGrid w:val="0"/>
                <w:sz w:val="20"/>
                <w:szCs w:val="20"/>
                <w:lang w:val="en-GB"/>
              </w:rPr>
              <w:t xml:space="preserve">                    </w:t>
            </w:r>
            <w:r w:rsidR="001A0FFE" w:rsidRPr="001A0FFE">
              <w:rPr>
                <w:rFonts w:ascii="Arial Narrow" w:hAnsi="Arial Narrow"/>
                <w:snapToGrid w:val="0"/>
                <w:color w:val="000000"/>
                <w:spacing w:val="10"/>
                <w:sz w:val="20"/>
                <w:szCs w:val="20"/>
                <w:shd w:val="solid" w:color="000000" w:fill="000000"/>
                <w:fitText w:val="316" w:id="-764127994"/>
                <w:lang w:val="en-GB"/>
                <w14:textFill>
                  <w14:solidFill>
                    <w14:srgbClr w14:val="000000">
                      <w14:alpha w14:val="100000"/>
                    </w14:srgbClr>
                  </w14:solidFill>
                </w14:textFill>
              </w:rPr>
              <w:t>||  |</w:t>
            </w:r>
            <w:r w:rsidR="001A0FFE" w:rsidRPr="001A0FFE">
              <w:rPr>
                <w:rFonts w:ascii="Arial Narrow" w:hAnsi="Arial Narrow"/>
                <w:snapToGrid w:val="0"/>
                <w:color w:val="000000"/>
                <w:spacing w:val="5"/>
                <w:sz w:val="20"/>
                <w:szCs w:val="20"/>
                <w:shd w:val="solid" w:color="000000" w:fill="000000"/>
                <w:fitText w:val="316" w:id="-764127994"/>
                <w:lang w:val="en-GB"/>
                <w14:textFill>
                  <w14:solidFill>
                    <w14:srgbClr w14:val="000000">
                      <w14:alpha w14:val="100000"/>
                    </w14:srgbClr>
                  </w14:solidFill>
                </w14:textFill>
              </w:rPr>
              <w:t>|</w:t>
            </w:r>
            <w:r w:rsidR="004B3FD7" w:rsidRPr="00736A0A">
              <w:rPr>
                <w:rFonts w:ascii="Arial Narrow" w:hAnsi="Arial Narrow"/>
                <w:snapToGrid w:val="0"/>
                <w:sz w:val="20"/>
                <w:szCs w:val="20"/>
                <w:vertAlign w:val="superscript"/>
                <w:lang w:val="en-GB"/>
              </w:rPr>
              <w:t>1</w:t>
            </w:r>
          </w:p>
          <w:p w14:paraId="3F843BED" w14:textId="54F13A7F" w:rsidR="00B31A07" w:rsidRPr="00B31A07" w:rsidRDefault="00B31A07" w:rsidP="1797D1E5">
            <w:pPr>
              <w:keepNext/>
              <w:keepLines/>
              <w:rPr>
                <w:rFonts w:ascii="Arial Narrow" w:hAnsi="Arial Narrow"/>
                <w:snapToGrid w:val="0"/>
                <w:sz w:val="20"/>
                <w:szCs w:val="20"/>
                <w:lang w:val="en-GB"/>
              </w:rPr>
            </w:pPr>
            <w:r w:rsidRPr="00B31A07">
              <w:rPr>
                <w:rFonts w:ascii="Arial Narrow" w:hAnsi="Arial Narrow"/>
                <w:snapToGrid w:val="0"/>
                <w:sz w:val="20"/>
                <w:szCs w:val="20"/>
                <w:lang w:val="en-GB"/>
              </w:rPr>
              <w:t xml:space="preserve">2026:      </w:t>
            </w:r>
            <w:r w:rsidR="001A0FFE" w:rsidRPr="001A0FFE">
              <w:rPr>
                <w:rFonts w:ascii="Arial Narrow" w:hAnsi="Arial Narrow"/>
                <w:snapToGrid w:val="0"/>
                <w:color w:val="000000"/>
                <w:spacing w:val="8"/>
                <w:sz w:val="20"/>
                <w:szCs w:val="20"/>
                <w:shd w:val="solid" w:color="000000" w:fill="000000"/>
                <w:fitText w:val="306" w:id="-764127993"/>
                <w:lang w:val="en-GB"/>
                <w14:textFill>
                  <w14:solidFill>
                    <w14:srgbClr w14:val="000000">
                      <w14:alpha w14:val="100000"/>
                    </w14:srgbClr>
                  </w14:solidFill>
                </w14:textFill>
              </w:rPr>
              <w:t>|</w:t>
            </w:r>
            <w:proofErr w:type="gramStart"/>
            <w:r w:rsidR="001A0FFE" w:rsidRPr="001A0FFE">
              <w:rPr>
                <w:rFonts w:ascii="Arial Narrow" w:hAnsi="Arial Narrow"/>
                <w:snapToGrid w:val="0"/>
                <w:color w:val="000000"/>
                <w:spacing w:val="8"/>
                <w:sz w:val="20"/>
                <w:szCs w:val="20"/>
                <w:shd w:val="solid" w:color="000000" w:fill="000000"/>
                <w:fitText w:val="306" w:id="-764127993"/>
                <w:lang w:val="en-GB"/>
                <w14:textFill>
                  <w14:solidFill>
                    <w14:srgbClr w14:val="000000">
                      <w14:alpha w14:val="100000"/>
                    </w14:srgbClr>
                  </w14:solidFill>
                </w14:textFill>
              </w:rPr>
              <w:t>|  |</w:t>
            </w:r>
            <w:proofErr w:type="gramEnd"/>
            <w:r w:rsidR="001A0FFE" w:rsidRPr="001A0FFE">
              <w:rPr>
                <w:rFonts w:ascii="Arial Narrow" w:hAnsi="Arial Narrow"/>
                <w:snapToGrid w:val="0"/>
                <w:color w:val="000000"/>
                <w:spacing w:val="5"/>
                <w:sz w:val="20"/>
                <w:szCs w:val="20"/>
                <w:shd w:val="solid" w:color="000000" w:fill="000000"/>
                <w:fitText w:val="306" w:id="-764127993"/>
                <w:lang w:val="en-GB"/>
                <w14:textFill>
                  <w14:solidFill>
                    <w14:srgbClr w14:val="000000">
                      <w14:alpha w14:val="100000"/>
                    </w14:srgbClr>
                  </w14:solidFill>
                </w14:textFill>
              </w:rPr>
              <w:t>|</w:t>
            </w:r>
            <w:r w:rsidR="004B3FD7" w:rsidRPr="00736A0A">
              <w:rPr>
                <w:rFonts w:ascii="Arial Narrow" w:hAnsi="Arial Narrow"/>
                <w:snapToGrid w:val="0"/>
                <w:sz w:val="20"/>
                <w:szCs w:val="20"/>
                <w:vertAlign w:val="superscript"/>
                <w:lang w:val="en-GB"/>
              </w:rPr>
              <w:t>1</w:t>
            </w:r>
            <w:r w:rsidRPr="00B31A07">
              <w:rPr>
                <w:rFonts w:ascii="Arial Narrow" w:hAnsi="Arial Narrow"/>
                <w:snapToGrid w:val="0"/>
                <w:sz w:val="20"/>
                <w:szCs w:val="20"/>
                <w:lang w:val="en-GB"/>
              </w:rPr>
              <w:t xml:space="preserve">                    </w:t>
            </w:r>
            <w:r w:rsidR="001A0FFE" w:rsidRPr="001A0FFE">
              <w:rPr>
                <w:rFonts w:ascii="Arial Narrow" w:hAnsi="Arial Narrow"/>
                <w:snapToGrid w:val="0"/>
                <w:color w:val="000000"/>
                <w:spacing w:val="10"/>
                <w:sz w:val="20"/>
                <w:szCs w:val="20"/>
                <w:shd w:val="solid" w:color="000000" w:fill="000000"/>
                <w:fitText w:val="316" w:id="-764127992"/>
                <w:lang w:val="en-GB"/>
                <w14:textFill>
                  <w14:solidFill>
                    <w14:srgbClr w14:val="000000">
                      <w14:alpha w14:val="100000"/>
                    </w14:srgbClr>
                  </w14:solidFill>
                </w14:textFill>
              </w:rPr>
              <w:t>||  |</w:t>
            </w:r>
            <w:r w:rsidR="001A0FFE" w:rsidRPr="001A0FFE">
              <w:rPr>
                <w:rFonts w:ascii="Arial Narrow" w:hAnsi="Arial Narrow"/>
                <w:snapToGrid w:val="0"/>
                <w:color w:val="000000"/>
                <w:spacing w:val="5"/>
                <w:sz w:val="20"/>
                <w:szCs w:val="20"/>
                <w:shd w:val="solid" w:color="000000" w:fill="000000"/>
                <w:fitText w:val="316" w:id="-764127992"/>
                <w:lang w:val="en-GB"/>
                <w14:textFill>
                  <w14:solidFill>
                    <w14:srgbClr w14:val="000000">
                      <w14:alpha w14:val="100000"/>
                    </w14:srgbClr>
                  </w14:solidFill>
                </w14:textFill>
              </w:rPr>
              <w:t>|</w:t>
            </w:r>
            <w:r w:rsidR="00E90D75" w:rsidRPr="00736A0A">
              <w:rPr>
                <w:rFonts w:ascii="Arial Narrow" w:hAnsi="Arial Narrow"/>
                <w:snapToGrid w:val="0"/>
                <w:sz w:val="20"/>
                <w:szCs w:val="20"/>
                <w:vertAlign w:val="superscript"/>
                <w:lang w:val="en-GB"/>
              </w:rPr>
              <w:t>1</w:t>
            </w:r>
          </w:p>
          <w:p w14:paraId="4EFBD28E" w14:textId="2C411048" w:rsidR="00B31A07" w:rsidRPr="00B31A07" w:rsidRDefault="00B31A07" w:rsidP="1797D1E5">
            <w:pPr>
              <w:keepNext/>
              <w:keepLines/>
              <w:rPr>
                <w:rFonts w:ascii="Arial Narrow" w:hAnsi="Arial Narrow"/>
                <w:snapToGrid w:val="0"/>
                <w:sz w:val="20"/>
                <w:szCs w:val="20"/>
                <w:lang w:val="en-GB"/>
              </w:rPr>
            </w:pPr>
            <w:r w:rsidRPr="00B31A07">
              <w:rPr>
                <w:rFonts w:ascii="Arial Narrow" w:hAnsi="Arial Narrow"/>
                <w:snapToGrid w:val="0"/>
                <w:sz w:val="20"/>
                <w:szCs w:val="20"/>
                <w:lang w:val="en-GB"/>
              </w:rPr>
              <w:t xml:space="preserve">2027:      </w:t>
            </w:r>
            <w:r w:rsidR="001A0FFE" w:rsidRPr="001A0FFE">
              <w:rPr>
                <w:rFonts w:ascii="Arial Narrow" w:hAnsi="Arial Narrow"/>
                <w:snapToGrid w:val="0"/>
                <w:color w:val="000000"/>
                <w:spacing w:val="8"/>
                <w:sz w:val="20"/>
                <w:szCs w:val="20"/>
                <w:shd w:val="solid" w:color="000000" w:fill="000000"/>
                <w:fitText w:val="306" w:id="-764127991"/>
                <w:lang w:val="en-GB"/>
                <w14:textFill>
                  <w14:solidFill>
                    <w14:srgbClr w14:val="000000">
                      <w14:alpha w14:val="100000"/>
                    </w14:srgbClr>
                  </w14:solidFill>
                </w14:textFill>
              </w:rPr>
              <w:t>|</w:t>
            </w:r>
            <w:proofErr w:type="gramStart"/>
            <w:r w:rsidR="001A0FFE" w:rsidRPr="001A0FFE">
              <w:rPr>
                <w:rFonts w:ascii="Arial Narrow" w:hAnsi="Arial Narrow"/>
                <w:snapToGrid w:val="0"/>
                <w:color w:val="000000"/>
                <w:spacing w:val="8"/>
                <w:sz w:val="20"/>
                <w:szCs w:val="20"/>
                <w:shd w:val="solid" w:color="000000" w:fill="000000"/>
                <w:fitText w:val="306" w:id="-764127991"/>
                <w:lang w:val="en-GB"/>
                <w14:textFill>
                  <w14:solidFill>
                    <w14:srgbClr w14:val="000000">
                      <w14:alpha w14:val="100000"/>
                    </w14:srgbClr>
                  </w14:solidFill>
                </w14:textFill>
              </w:rPr>
              <w:t>|  |</w:t>
            </w:r>
            <w:proofErr w:type="gramEnd"/>
            <w:r w:rsidR="001A0FFE" w:rsidRPr="001A0FFE">
              <w:rPr>
                <w:rFonts w:ascii="Arial Narrow" w:hAnsi="Arial Narrow"/>
                <w:snapToGrid w:val="0"/>
                <w:color w:val="000000"/>
                <w:spacing w:val="5"/>
                <w:sz w:val="20"/>
                <w:szCs w:val="20"/>
                <w:shd w:val="solid" w:color="000000" w:fill="000000"/>
                <w:fitText w:val="306" w:id="-764127991"/>
                <w:lang w:val="en-GB"/>
                <w14:textFill>
                  <w14:solidFill>
                    <w14:srgbClr w14:val="000000">
                      <w14:alpha w14:val="100000"/>
                    </w14:srgbClr>
                  </w14:solidFill>
                </w14:textFill>
              </w:rPr>
              <w:t>|</w:t>
            </w:r>
            <w:r w:rsidR="004B3FD7" w:rsidRPr="00736A0A">
              <w:rPr>
                <w:rFonts w:ascii="Arial Narrow" w:hAnsi="Arial Narrow"/>
                <w:snapToGrid w:val="0"/>
                <w:sz w:val="20"/>
                <w:szCs w:val="20"/>
                <w:vertAlign w:val="superscript"/>
                <w:lang w:val="en-GB"/>
              </w:rPr>
              <w:t>1</w:t>
            </w:r>
            <w:r w:rsidRPr="00B31A07">
              <w:rPr>
                <w:rFonts w:ascii="Arial Narrow" w:hAnsi="Arial Narrow"/>
                <w:snapToGrid w:val="0"/>
                <w:sz w:val="20"/>
                <w:szCs w:val="20"/>
                <w:lang w:val="en-GB"/>
              </w:rPr>
              <w:t xml:space="preserve">                    </w:t>
            </w:r>
            <w:r w:rsidR="001A0FFE" w:rsidRPr="001A0FFE">
              <w:rPr>
                <w:rFonts w:ascii="Arial Narrow" w:hAnsi="Arial Narrow"/>
                <w:snapToGrid w:val="0"/>
                <w:color w:val="000000"/>
                <w:spacing w:val="10"/>
                <w:sz w:val="20"/>
                <w:szCs w:val="20"/>
                <w:shd w:val="solid" w:color="000000" w:fill="000000"/>
                <w:fitText w:val="316" w:id="-764127990"/>
                <w:lang w:val="en-GB"/>
                <w14:textFill>
                  <w14:solidFill>
                    <w14:srgbClr w14:val="000000">
                      <w14:alpha w14:val="100000"/>
                    </w14:srgbClr>
                  </w14:solidFill>
                </w14:textFill>
              </w:rPr>
              <w:t>||  |</w:t>
            </w:r>
            <w:r w:rsidR="001A0FFE" w:rsidRPr="001A0FFE">
              <w:rPr>
                <w:rFonts w:ascii="Arial Narrow" w:hAnsi="Arial Narrow"/>
                <w:snapToGrid w:val="0"/>
                <w:color w:val="000000"/>
                <w:spacing w:val="5"/>
                <w:sz w:val="20"/>
                <w:szCs w:val="20"/>
                <w:shd w:val="solid" w:color="000000" w:fill="000000"/>
                <w:fitText w:val="316" w:id="-764127990"/>
                <w:lang w:val="en-GB"/>
                <w14:textFill>
                  <w14:solidFill>
                    <w14:srgbClr w14:val="000000">
                      <w14:alpha w14:val="100000"/>
                    </w14:srgbClr>
                  </w14:solidFill>
                </w14:textFill>
              </w:rPr>
              <w:t>|</w:t>
            </w:r>
            <w:r w:rsidR="00E90D75" w:rsidRPr="00736A0A">
              <w:rPr>
                <w:rFonts w:ascii="Arial Narrow" w:hAnsi="Arial Narrow"/>
                <w:snapToGrid w:val="0"/>
                <w:sz w:val="20"/>
                <w:szCs w:val="20"/>
                <w:vertAlign w:val="superscript"/>
                <w:lang w:val="en-GB"/>
              </w:rPr>
              <w:t>1</w:t>
            </w:r>
          </w:p>
          <w:p w14:paraId="2DC97B29" w14:textId="3CA1C4F0" w:rsidR="00B31A07" w:rsidRPr="00B31A07" w:rsidRDefault="00B31A07" w:rsidP="1797D1E5">
            <w:pPr>
              <w:keepNext/>
              <w:keepLines/>
              <w:rPr>
                <w:rFonts w:ascii="Arial Narrow" w:hAnsi="Arial Narrow"/>
                <w:snapToGrid w:val="0"/>
                <w:sz w:val="20"/>
                <w:szCs w:val="20"/>
                <w:lang w:val="en-GB"/>
              </w:rPr>
            </w:pPr>
            <w:r w:rsidRPr="00B31A07">
              <w:rPr>
                <w:rFonts w:ascii="Arial Narrow" w:hAnsi="Arial Narrow"/>
                <w:snapToGrid w:val="0"/>
                <w:sz w:val="20"/>
                <w:szCs w:val="20"/>
                <w:lang w:val="en-GB"/>
              </w:rPr>
              <w:t xml:space="preserve">2028:      </w:t>
            </w:r>
            <w:r w:rsidR="001A0FFE" w:rsidRPr="001A0FFE">
              <w:rPr>
                <w:rFonts w:ascii="Arial Narrow" w:hAnsi="Arial Narrow"/>
                <w:snapToGrid w:val="0"/>
                <w:color w:val="000000"/>
                <w:spacing w:val="8"/>
                <w:sz w:val="20"/>
                <w:szCs w:val="20"/>
                <w:shd w:val="solid" w:color="000000" w:fill="000000"/>
                <w:fitText w:val="306" w:id="-764127989"/>
                <w:lang w:val="en-GB"/>
                <w14:textFill>
                  <w14:solidFill>
                    <w14:srgbClr w14:val="000000">
                      <w14:alpha w14:val="100000"/>
                    </w14:srgbClr>
                  </w14:solidFill>
                </w14:textFill>
              </w:rPr>
              <w:t>|</w:t>
            </w:r>
            <w:proofErr w:type="gramStart"/>
            <w:r w:rsidR="001A0FFE" w:rsidRPr="001A0FFE">
              <w:rPr>
                <w:rFonts w:ascii="Arial Narrow" w:hAnsi="Arial Narrow"/>
                <w:snapToGrid w:val="0"/>
                <w:color w:val="000000"/>
                <w:spacing w:val="8"/>
                <w:sz w:val="20"/>
                <w:szCs w:val="20"/>
                <w:shd w:val="solid" w:color="000000" w:fill="000000"/>
                <w:fitText w:val="306" w:id="-764127989"/>
                <w:lang w:val="en-GB"/>
                <w14:textFill>
                  <w14:solidFill>
                    <w14:srgbClr w14:val="000000">
                      <w14:alpha w14:val="100000"/>
                    </w14:srgbClr>
                  </w14:solidFill>
                </w14:textFill>
              </w:rPr>
              <w:t>|  |</w:t>
            </w:r>
            <w:proofErr w:type="gramEnd"/>
            <w:r w:rsidR="001A0FFE" w:rsidRPr="001A0FFE">
              <w:rPr>
                <w:rFonts w:ascii="Arial Narrow" w:hAnsi="Arial Narrow"/>
                <w:snapToGrid w:val="0"/>
                <w:color w:val="000000"/>
                <w:spacing w:val="5"/>
                <w:sz w:val="20"/>
                <w:szCs w:val="20"/>
                <w:shd w:val="solid" w:color="000000" w:fill="000000"/>
                <w:fitText w:val="306" w:id="-764127989"/>
                <w:lang w:val="en-GB"/>
                <w14:textFill>
                  <w14:solidFill>
                    <w14:srgbClr w14:val="000000">
                      <w14:alpha w14:val="100000"/>
                    </w14:srgbClr>
                  </w14:solidFill>
                </w14:textFill>
              </w:rPr>
              <w:t>|</w:t>
            </w:r>
            <w:r w:rsidR="004B3FD7" w:rsidRPr="00736A0A">
              <w:rPr>
                <w:rFonts w:ascii="Arial Narrow" w:hAnsi="Arial Narrow"/>
                <w:snapToGrid w:val="0"/>
                <w:sz w:val="20"/>
                <w:szCs w:val="20"/>
                <w:vertAlign w:val="superscript"/>
                <w:lang w:val="en-GB"/>
              </w:rPr>
              <w:t>1</w:t>
            </w:r>
            <w:r w:rsidRPr="00B31A07">
              <w:rPr>
                <w:rFonts w:ascii="Arial Narrow" w:hAnsi="Arial Narrow"/>
                <w:snapToGrid w:val="0"/>
                <w:sz w:val="20"/>
                <w:szCs w:val="20"/>
                <w:lang w:val="en-GB"/>
              </w:rPr>
              <w:t xml:space="preserve">                    </w:t>
            </w:r>
            <w:r w:rsidR="001A0FFE" w:rsidRPr="001A0FFE">
              <w:rPr>
                <w:rFonts w:ascii="Arial Narrow" w:hAnsi="Arial Narrow"/>
                <w:snapToGrid w:val="0"/>
                <w:color w:val="000000"/>
                <w:spacing w:val="10"/>
                <w:sz w:val="20"/>
                <w:szCs w:val="20"/>
                <w:shd w:val="solid" w:color="000000" w:fill="000000"/>
                <w:fitText w:val="316" w:id="-764127988"/>
                <w:lang w:val="en-GB"/>
                <w14:textFill>
                  <w14:solidFill>
                    <w14:srgbClr w14:val="000000">
                      <w14:alpha w14:val="100000"/>
                    </w14:srgbClr>
                  </w14:solidFill>
                </w14:textFill>
              </w:rPr>
              <w:t>||  |</w:t>
            </w:r>
            <w:r w:rsidR="001A0FFE" w:rsidRPr="001A0FFE">
              <w:rPr>
                <w:rFonts w:ascii="Arial Narrow" w:hAnsi="Arial Narrow"/>
                <w:snapToGrid w:val="0"/>
                <w:color w:val="000000"/>
                <w:spacing w:val="5"/>
                <w:sz w:val="20"/>
                <w:szCs w:val="20"/>
                <w:shd w:val="solid" w:color="000000" w:fill="000000"/>
                <w:fitText w:val="316" w:id="-764127988"/>
                <w:lang w:val="en-GB"/>
                <w14:textFill>
                  <w14:solidFill>
                    <w14:srgbClr w14:val="000000">
                      <w14:alpha w14:val="100000"/>
                    </w14:srgbClr>
                  </w14:solidFill>
                </w14:textFill>
              </w:rPr>
              <w:t>|</w:t>
            </w:r>
            <w:r w:rsidR="00E90D75" w:rsidRPr="00736A0A">
              <w:rPr>
                <w:rFonts w:ascii="Arial Narrow" w:hAnsi="Arial Narrow"/>
                <w:snapToGrid w:val="0"/>
                <w:sz w:val="20"/>
                <w:szCs w:val="20"/>
                <w:vertAlign w:val="superscript"/>
                <w:lang w:val="en-GB"/>
              </w:rPr>
              <w:t>1</w:t>
            </w:r>
          </w:p>
          <w:p w14:paraId="2586AB1D" w14:textId="45F976B8" w:rsidR="00B31A07" w:rsidRPr="00B31A07" w:rsidRDefault="00B31A07" w:rsidP="1797D1E5">
            <w:pPr>
              <w:keepNext/>
              <w:keepLines/>
              <w:rPr>
                <w:rFonts w:ascii="Arial Narrow" w:hAnsi="Arial Narrow"/>
                <w:snapToGrid w:val="0"/>
                <w:sz w:val="20"/>
                <w:szCs w:val="20"/>
                <w:lang w:val="en-GB"/>
              </w:rPr>
            </w:pPr>
            <w:r w:rsidRPr="00B31A07">
              <w:rPr>
                <w:rFonts w:ascii="Arial Narrow" w:hAnsi="Arial Narrow"/>
                <w:snapToGrid w:val="0"/>
                <w:sz w:val="20"/>
                <w:szCs w:val="20"/>
                <w:lang w:val="en-GB"/>
              </w:rPr>
              <w:t xml:space="preserve">2029:      </w:t>
            </w:r>
            <w:r w:rsidR="001A0FFE" w:rsidRPr="001A0FFE">
              <w:rPr>
                <w:rFonts w:ascii="Arial Narrow" w:hAnsi="Arial Narrow"/>
                <w:snapToGrid w:val="0"/>
                <w:color w:val="000000"/>
                <w:spacing w:val="8"/>
                <w:sz w:val="20"/>
                <w:szCs w:val="20"/>
                <w:shd w:val="solid" w:color="000000" w:fill="000000"/>
                <w:fitText w:val="306" w:id="-764127987"/>
                <w:lang w:val="en-GB"/>
                <w14:textFill>
                  <w14:solidFill>
                    <w14:srgbClr w14:val="000000">
                      <w14:alpha w14:val="100000"/>
                    </w14:srgbClr>
                  </w14:solidFill>
                </w14:textFill>
              </w:rPr>
              <w:t>|</w:t>
            </w:r>
            <w:proofErr w:type="gramStart"/>
            <w:r w:rsidR="001A0FFE" w:rsidRPr="001A0FFE">
              <w:rPr>
                <w:rFonts w:ascii="Arial Narrow" w:hAnsi="Arial Narrow"/>
                <w:snapToGrid w:val="0"/>
                <w:color w:val="000000"/>
                <w:spacing w:val="8"/>
                <w:sz w:val="20"/>
                <w:szCs w:val="20"/>
                <w:shd w:val="solid" w:color="000000" w:fill="000000"/>
                <w:fitText w:val="306" w:id="-764127987"/>
                <w:lang w:val="en-GB"/>
                <w14:textFill>
                  <w14:solidFill>
                    <w14:srgbClr w14:val="000000">
                      <w14:alpha w14:val="100000"/>
                    </w14:srgbClr>
                  </w14:solidFill>
                </w14:textFill>
              </w:rPr>
              <w:t>|  |</w:t>
            </w:r>
            <w:proofErr w:type="gramEnd"/>
            <w:r w:rsidR="001A0FFE" w:rsidRPr="001A0FFE">
              <w:rPr>
                <w:rFonts w:ascii="Arial Narrow" w:hAnsi="Arial Narrow"/>
                <w:snapToGrid w:val="0"/>
                <w:color w:val="000000"/>
                <w:spacing w:val="5"/>
                <w:sz w:val="20"/>
                <w:szCs w:val="20"/>
                <w:shd w:val="solid" w:color="000000" w:fill="000000"/>
                <w:fitText w:val="306" w:id="-764127987"/>
                <w:lang w:val="en-GB"/>
                <w14:textFill>
                  <w14:solidFill>
                    <w14:srgbClr w14:val="000000">
                      <w14:alpha w14:val="100000"/>
                    </w14:srgbClr>
                  </w14:solidFill>
                </w14:textFill>
              </w:rPr>
              <w:t>|</w:t>
            </w:r>
            <w:r w:rsidR="004B3FD7" w:rsidRPr="00736A0A">
              <w:rPr>
                <w:rFonts w:ascii="Arial Narrow" w:hAnsi="Arial Narrow"/>
                <w:snapToGrid w:val="0"/>
                <w:sz w:val="20"/>
                <w:szCs w:val="20"/>
                <w:vertAlign w:val="superscript"/>
                <w:lang w:val="en-GB"/>
              </w:rPr>
              <w:t>1</w:t>
            </w:r>
            <w:r w:rsidRPr="00B31A07">
              <w:rPr>
                <w:rFonts w:ascii="Arial Narrow" w:hAnsi="Arial Narrow"/>
                <w:snapToGrid w:val="0"/>
                <w:sz w:val="20"/>
                <w:szCs w:val="20"/>
                <w:lang w:val="en-GB"/>
              </w:rPr>
              <w:t xml:space="preserve">                    </w:t>
            </w:r>
            <w:r w:rsidR="001A0FFE" w:rsidRPr="001A0FFE">
              <w:rPr>
                <w:rFonts w:ascii="Arial Narrow" w:hAnsi="Arial Narrow"/>
                <w:snapToGrid w:val="0"/>
                <w:color w:val="000000"/>
                <w:spacing w:val="10"/>
                <w:sz w:val="20"/>
                <w:szCs w:val="20"/>
                <w:shd w:val="solid" w:color="000000" w:fill="000000"/>
                <w:fitText w:val="316" w:id="-764127986"/>
                <w:lang w:val="en-GB"/>
                <w14:textFill>
                  <w14:solidFill>
                    <w14:srgbClr w14:val="000000">
                      <w14:alpha w14:val="100000"/>
                    </w14:srgbClr>
                  </w14:solidFill>
                </w14:textFill>
              </w:rPr>
              <w:t>||  |</w:t>
            </w:r>
            <w:r w:rsidR="001A0FFE" w:rsidRPr="001A0FFE">
              <w:rPr>
                <w:rFonts w:ascii="Arial Narrow" w:hAnsi="Arial Narrow"/>
                <w:snapToGrid w:val="0"/>
                <w:color w:val="000000"/>
                <w:spacing w:val="5"/>
                <w:sz w:val="20"/>
                <w:szCs w:val="20"/>
                <w:shd w:val="solid" w:color="000000" w:fill="000000"/>
                <w:fitText w:val="316" w:id="-764127986"/>
                <w:lang w:val="en-GB"/>
                <w14:textFill>
                  <w14:solidFill>
                    <w14:srgbClr w14:val="000000">
                      <w14:alpha w14:val="100000"/>
                    </w14:srgbClr>
                  </w14:solidFill>
                </w14:textFill>
              </w:rPr>
              <w:t>|</w:t>
            </w:r>
            <w:r w:rsidR="00E90D75" w:rsidRPr="00736A0A">
              <w:rPr>
                <w:rFonts w:ascii="Arial Narrow" w:hAnsi="Arial Narrow"/>
                <w:snapToGrid w:val="0"/>
                <w:sz w:val="20"/>
                <w:szCs w:val="20"/>
                <w:vertAlign w:val="superscript"/>
                <w:lang w:val="en-GB"/>
              </w:rPr>
              <w:t>1</w:t>
            </w:r>
          </w:p>
          <w:p w14:paraId="3A5F3B7F" w14:textId="2BF034B5" w:rsidR="00B31A07" w:rsidRPr="00B31A07" w:rsidRDefault="00B31A07" w:rsidP="1797D1E5">
            <w:pPr>
              <w:keepNext/>
              <w:keepLines/>
              <w:rPr>
                <w:rFonts w:ascii="Arial Narrow" w:hAnsi="Arial Narrow"/>
                <w:snapToGrid w:val="0"/>
                <w:sz w:val="20"/>
                <w:szCs w:val="20"/>
                <w:lang w:val="en-GB"/>
              </w:rPr>
            </w:pPr>
            <w:r w:rsidRPr="00B31A07">
              <w:rPr>
                <w:rFonts w:ascii="Arial Narrow" w:hAnsi="Arial Narrow"/>
                <w:snapToGrid w:val="0"/>
                <w:sz w:val="20"/>
                <w:szCs w:val="20"/>
                <w:lang w:val="en-GB"/>
              </w:rPr>
              <w:t xml:space="preserve">2030:      </w:t>
            </w:r>
            <w:r w:rsidR="001A0FFE" w:rsidRPr="001A0FFE">
              <w:rPr>
                <w:rFonts w:ascii="Arial Narrow" w:hAnsi="Arial Narrow"/>
                <w:snapToGrid w:val="0"/>
                <w:color w:val="000000"/>
                <w:spacing w:val="8"/>
                <w:sz w:val="20"/>
                <w:szCs w:val="20"/>
                <w:shd w:val="solid" w:color="000000" w:fill="000000"/>
                <w:fitText w:val="306" w:id="-764127985"/>
                <w:lang w:val="en-GB"/>
                <w14:textFill>
                  <w14:solidFill>
                    <w14:srgbClr w14:val="000000">
                      <w14:alpha w14:val="100000"/>
                    </w14:srgbClr>
                  </w14:solidFill>
                </w14:textFill>
              </w:rPr>
              <w:t>|</w:t>
            </w:r>
            <w:proofErr w:type="gramStart"/>
            <w:r w:rsidR="001A0FFE" w:rsidRPr="001A0FFE">
              <w:rPr>
                <w:rFonts w:ascii="Arial Narrow" w:hAnsi="Arial Narrow"/>
                <w:snapToGrid w:val="0"/>
                <w:color w:val="000000"/>
                <w:spacing w:val="8"/>
                <w:sz w:val="20"/>
                <w:szCs w:val="20"/>
                <w:shd w:val="solid" w:color="000000" w:fill="000000"/>
                <w:fitText w:val="306" w:id="-764127985"/>
                <w:lang w:val="en-GB"/>
                <w14:textFill>
                  <w14:solidFill>
                    <w14:srgbClr w14:val="000000">
                      <w14:alpha w14:val="100000"/>
                    </w14:srgbClr>
                  </w14:solidFill>
                </w14:textFill>
              </w:rPr>
              <w:t>|  |</w:t>
            </w:r>
            <w:proofErr w:type="gramEnd"/>
            <w:r w:rsidR="001A0FFE" w:rsidRPr="001A0FFE">
              <w:rPr>
                <w:rFonts w:ascii="Arial Narrow" w:hAnsi="Arial Narrow"/>
                <w:snapToGrid w:val="0"/>
                <w:color w:val="000000"/>
                <w:spacing w:val="5"/>
                <w:sz w:val="20"/>
                <w:szCs w:val="20"/>
                <w:shd w:val="solid" w:color="000000" w:fill="000000"/>
                <w:fitText w:val="306" w:id="-764127985"/>
                <w:lang w:val="en-GB"/>
                <w14:textFill>
                  <w14:solidFill>
                    <w14:srgbClr w14:val="000000">
                      <w14:alpha w14:val="100000"/>
                    </w14:srgbClr>
                  </w14:solidFill>
                </w14:textFill>
              </w:rPr>
              <w:t>|</w:t>
            </w:r>
            <w:r w:rsidR="004B3FD7" w:rsidRPr="00736A0A">
              <w:rPr>
                <w:rFonts w:ascii="Arial Narrow" w:hAnsi="Arial Narrow"/>
                <w:snapToGrid w:val="0"/>
                <w:sz w:val="20"/>
                <w:szCs w:val="20"/>
                <w:vertAlign w:val="superscript"/>
                <w:lang w:val="en-GB"/>
              </w:rPr>
              <w:t>1</w:t>
            </w:r>
            <w:r w:rsidRPr="00B31A07">
              <w:rPr>
                <w:rFonts w:ascii="Arial Narrow" w:hAnsi="Arial Narrow"/>
                <w:snapToGrid w:val="0"/>
                <w:sz w:val="20"/>
                <w:szCs w:val="20"/>
                <w:lang w:val="en-GB"/>
              </w:rPr>
              <w:t xml:space="preserve">                    </w:t>
            </w:r>
            <w:r w:rsidR="001A0FFE" w:rsidRPr="001A0FFE">
              <w:rPr>
                <w:rFonts w:ascii="Arial Narrow" w:hAnsi="Arial Narrow"/>
                <w:snapToGrid w:val="0"/>
                <w:color w:val="000000"/>
                <w:spacing w:val="10"/>
                <w:sz w:val="20"/>
                <w:szCs w:val="20"/>
                <w:shd w:val="solid" w:color="000000" w:fill="000000"/>
                <w:fitText w:val="316" w:id="-764127984"/>
                <w:lang w:val="en-GB"/>
                <w14:textFill>
                  <w14:solidFill>
                    <w14:srgbClr w14:val="000000">
                      <w14:alpha w14:val="100000"/>
                    </w14:srgbClr>
                  </w14:solidFill>
                </w14:textFill>
              </w:rPr>
              <w:t>||  ||</w:t>
            </w:r>
            <w:r w:rsidR="00E90D75" w:rsidRPr="00736A0A">
              <w:rPr>
                <w:rFonts w:ascii="Arial Narrow" w:hAnsi="Arial Narrow"/>
                <w:snapToGrid w:val="0"/>
                <w:sz w:val="20"/>
                <w:szCs w:val="20"/>
                <w:vertAlign w:val="superscript"/>
                <w:lang w:val="en-GB"/>
              </w:rPr>
              <w:t>1</w:t>
            </w:r>
          </w:p>
        </w:tc>
      </w:tr>
      <w:tr w:rsidR="00B31A07" w:rsidRPr="00B31A07" w14:paraId="39D66220" w14:textId="77777777" w:rsidTr="1797D1E5">
        <w:tc>
          <w:tcPr>
            <w:tcW w:w="1795" w:type="dxa"/>
            <w:tcMar>
              <w:left w:w="20" w:type="dxa"/>
              <w:right w:w="20" w:type="dxa"/>
            </w:tcMar>
          </w:tcPr>
          <w:p w14:paraId="580E892D" w14:textId="77777777" w:rsidR="00B31A07" w:rsidRPr="00B31A07" w:rsidRDefault="00B31A07" w:rsidP="1797D1E5">
            <w:pPr>
              <w:keepNext/>
              <w:keepLines/>
              <w:jc w:val="left"/>
              <w:rPr>
                <w:rFonts w:ascii="Arial Narrow" w:hAnsi="Arial Narrow"/>
                <w:snapToGrid w:val="0"/>
                <w:sz w:val="20"/>
                <w:szCs w:val="20"/>
                <w:lang w:val="en-GB"/>
              </w:rPr>
            </w:pPr>
            <w:r w:rsidRPr="00B31A07">
              <w:rPr>
                <w:rFonts w:ascii="Arial Narrow" w:hAnsi="Arial Narrow"/>
                <w:snapToGrid w:val="0"/>
                <w:sz w:val="20"/>
                <w:szCs w:val="20"/>
                <w:lang w:val="en-GB"/>
              </w:rPr>
              <w:t>Revised uptake in paediatric patients</w:t>
            </w:r>
          </w:p>
        </w:tc>
        <w:tc>
          <w:tcPr>
            <w:tcW w:w="2040" w:type="dxa"/>
            <w:tcMar>
              <w:left w:w="20" w:type="dxa"/>
              <w:right w:w="20" w:type="dxa"/>
            </w:tcMar>
          </w:tcPr>
          <w:p w14:paraId="40B15758" w14:textId="2E6AB809" w:rsidR="00B31A07" w:rsidRPr="00B31A07" w:rsidRDefault="00B31A07" w:rsidP="1797D1E5">
            <w:pPr>
              <w:keepNext/>
              <w:keepLines/>
              <w:jc w:val="left"/>
              <w:rPr>
                <w:rFonts w:ascii="Arial Narrow" w:hAnsi="Arial Narrow"/>
                <w:snapToGrid w:val="0"/>
                <w:sz w:val="20"/>
                <w:szCs w:val="20"/>
                <w:lang w:val="en-GB"/>
              </w:rPr>
            </w:pPr>
            <w:r w:rsidRPr="00B31A07">
              <w:rPr>
                <w:rFonts w:ascii="Arial Narrow" w:hAnsi="Arial Narrow"/>
                <w:snapToGrid w:val="0"/>
                <w:sz w:val="20"/>
                <w:szCs w:val="20"/>
                <w:lang w:val="en-GB"/>
              </w:rPr>
              <w:t xml:space="preserve">Following the closure of the COG study AALL1731 in paediatric patients, the uptake was increased </w:t>
            </w:r>
            <w:proofErr w:type="gramStart"/>
            <w:r w:rsidRPr="00B31A07">
              <w:rPr>
                <w:rFonts w:ascii="Arial Narrow" w:hAnsi="Arial Narrow"/>
                <w:snapToGrid w:val="0"/>
                <w:sz w:val="20"/>
                <w:szCs w:val="20"/>
                <w:lang w:val="en-GB"/>
              </w:rPr>
              <w:t xml:space="preserve">from  </w:t>
            </w:r>
            <w:r w:rsidR="001A0FFE" w:rsidRPr="001A0FFE">
              <w:rPr>
                <w:rFonts w:ascii="Arial Narrow" w:hAnsi="Arial Narrow"/>
                <w:snapToGrid w:val="0"/>
                <w:color w:val="000000"/>
                <w:spacing w:val="55"/>
                <w:sz w:val="20"/>
                <w:szCs w:val="20"/>
                <w:shd w:val="solid" w:color="000000" w:fill="000000"/>
                <w:fitText w:val="336" w:id="-764128000"/>
                <w:lang w:val="en-GB"/>
                <w14:textFill>
                  <w14:solidFill>
                    <w14:srgbClr w14:val="000000">
                      <w14:alpha w14:val="100000"/>
                    </w14:srgbClr>
                  </w14:solidFill>
                </w14:textFill>
              </w:rPr>
              <w:t>|</w:t>
            </w:r>
            <w:proofErr w:type="gramEnd"/>
            <w:r w:rsidR="001A0FFE" w:rsidRPr="001A0FFE">
              <w:rPr>
                <w:rFonts w:ascii="Arial Narrow" w:hAnsi="Arial Narrow"/>
                <w:snapToGrid w:val="0"/>
                <w:color w:val="000000"/>
                <w:spacing w:val="55"/>
                <w:sz w:val="20"/>
                <w:szCs w:val="20"/>
                <w:shd w:val="solid" w:color="000000" w:fill="000000"/>
                <w:fitText w:val="336" w:id="-764128000"/>
                <w:lang w:val="en-GB"/>
                <w14:textFill>
                  <w14:solidFill>
                    <w14:srgbClr w14:val="000000">
                      <w14:alpha w14:val="100000"/>
                    </w14:srgbClr>
                  </w14:solidFill>
                </w14:textFill>
              </w:rPr>
              <w:t>||</w:t>
            </w:r>
            <w:r w:rsidR="001A0FFE" w:rsidRPr="001A0FFE">
              <w:rPr>
                <w:rFonts w:ascii="Arial Narrow" w:hAnsi="Arial Narrow"/>
                <w:snapToGrid w:val="0"/>
                <w:color w:val="000000"/>
                <w:spacing w:val="1"/>
                <w:sz w:val="20"/>
                <w:szCs w:val="20"/>
                <w:shd w:val="solid" w:color="000000" w:fill="000000"/>
                <w:fitText w:val="336" w:id="-764128000"/>
                <w:lang w:val="en-GB"/>
                <w14:textFill>
                  <w14:solidFill>
                    <w14:srgbClr w14:val="000000">
                      <w14:alpha w14:val="100000"/>
                    </w14:srgbClr>
                  </w14:solidFill>
                </w14:textFill>
              </w:rPr>
              <w:t>|</w:t>
            </w:r>
            <w:r w:rsidRPr="00B31A07">
              <w:rPr>
                <w:rFonts w:ascii="Arial Narrow" w:hAnsi="Arial Narrow"/>
                <w:snapToGrid w:val="0"/>
                <w:sz w:val="20"/>
                <w:szCs w:val="20"/>
                <w:lang w:val="en-GB"/>
              </w:rPr>
              <w:t>%</w:t>
            </w:r>
            <w:r w:rsidRPr="474491D2">
              <w:rPr>
                <w:rFonts w:ascii="Arial Narrow" w:eastAsia="Arial Narrow" w:hAnsi="Arial Narrow" w:cs="Arial Narrow"/>
                <w:snapToGrid w:val="0"/>
                <w:sz w:val="20"/>
                <w:szCs w:val="20"/>
                <w:lang w:val="en-GB"/>
              </w:rPr>
              <w:t xml:space="preserve"> to </w:t>
            </w:r>
            <w:r w:rsidR="001A0FFE" w:rsidRPr="001A0FFE">
              <w:rPr>
                <w:rFonts w:ascii="Arial Narrow" w:hAnsi="Arial Narrow"/>
                <w:snapToGrid w:val="0"/>
                <w:color w:val="000000"/>
                <w:spacing w:val="52"/>
                <w:sz w:val="20"/>
                <w:szCs w:val="20"/>
                <w:shd w:val="solid" w:color="000000" w:fill="000000"/>
                <w:fitText w:val="327" w:id="-764127999"/>
                <w:lang w:val="en-GB"/>
                <w14:textFill>
                  <w14:solidFill>
                    <w14:srgbClr w14:val="000000">
                      <w14:alpha w14:val="100000"/>
                    </w14:srgbClr>
                  </w14:solidFill>
                </w14:textFill>
              </w:rPr>
              <w:t>|||</w:t>
            </w:r>
            <w:r w:rsidR="001A0FFE" w:rsidRPr="001A0FFE">
              <w:rPr>
                <w:rFonts w:ascii="Arial Narrow" w:hAnsi="Arial Narrow"/>
                <w:snapToGrid w:val="0"/>
                <w:color w:val="000000"/>
                <w:spacing w:val="1"/>
                <w:sz w:val="20"/>
                <w:szCs w:val="20"/>
                <w:shd w:val="solid" w:color="000000" w:fill="000000"/>
                <w:fitText w:val="327" w:id="-764127999"/>
                <w:lang w:val="en-GB"/>
                <w14:textFill>
                  <w14:solidFill>
                    <w14:srgbClr w14:val="000000">
                      <w14:alpha w14:val="100000"/>
                    </w14:srgbClr>
                  </w14:solidFill>
                </w14:textFill>
              </w:rPr>
              <w:t>|</w:t>
            </w:r>
            <w:r w:rsidRPr="00B31A07">
              <w:rPr>
                <w:rFonts w:ascii="Arial Narrow" w:hAnsi="Arial Narrow"/>
                <w:snapToGrid w:val="0"/>
                <w:sz w:val="20"/>
                <w:szCs w:val="20"/>
                <w:lang w:val="en-GB"/>
              </w:rPr>
              <w:t>%</w:t>
            </w:r>
          </w:p>
        </w:tc>
        <w:tc>
          <w:tcPr>
            <w:tcW w:w="2760" w:type="dxa"/>
            <w:tcMar>
              <w:left w:w="20" w:type="dxa"/>
              <w:right w:w="20" w:type="dxa"/>
            </w:tcMar>
          </w:tcPr>
          <w:p w14:paraId="6E709632" w14:textId="77777777" w:rsidR="00B31A07" w:rsidRPr="00B31A07" w:rsidRDefault="00B31A07" w:rsidP="1797D1E5">
            <w:pPr>
              <w:keepNext/>
              <w:keepLines/>
              <w:jc w:val="left"/>
              <w:rPr>
                <w:rFonts w:ascii="Arial Narrow" w:hAnsi="Arial Narrow"/>
                <w:snapToGrid w:val="0"/>
                <w:sz w:val="20"/>
                <w:szCs w:val="20"/>
                <w:lang w:val="en-GB"/>
              </w:rPr>
            </w:pPr>
            <w:r w:rsidRPr="00B31A07">
              <w:rPr>
                <w:rFonts w:ascii="Arial Narrow" w:hAnsi="Arial Narrow"/>
                <w:snapToGrid w:val="0"/>
                <w:sz w:val="20"/>
                <w:szCs w:val="20"/>
                <w:lang w:val="en-GB"/>
              </w:rPr>
              <w:t xml:space="preserve">In July 2024 PBAC stated that uptake in the paediatric population may be marginally underestimated due to closure of clinical trials in this population (paragraph </w:t>
            </w:r>
            <w:r w:rsidRPr="00B31A07">
              <w:rPr>
                <w:rFonts w:ascii="Arial Narrow" w:hAnsi="Arial Narrow"/>
                <w:snapToGrid w:val="0"/>
                <w:sz w:val="20"/>
                <w:szCs w:val="20"/>
                <w:lang w:val="en-GB"/>
              </w:rPr>
              <w:fldChar w:fldCharType="begin" w:fldLock="1"/>
            </w:r>
            <w:r w:rsidRPr="00B31A07">
              <w:rPr>
                <w:rFonts w:ascii="Arial Narrow" w:hAnsi="Arial Narrow"/>
                <w:snapToGrid w:val="0"/>
                <w:sz w:val="20"/>
                <w:szCs w:val="20"/>
                <w:lang w:val="en-GB"/>
              </w:rPr>
              <w:instrText xml:space="preserve"> REF _Ref183514410 \r \h </w:instrText>
            </w:r>
            <w:r w:rsidRPr="00B31A07">
              <w:rPr>
                <w:rFonts w:ascii="Arial Narrow" w:hAnsi="Arial Narrow"/>
                <w:snapToGrid w:val="0"/>
                <w:sz w:val="20"/>
                <w:szCs w:val="20"/>
                <w:lang w:val="en-GB"/>
              </w:rPr>
            </w:r>
            <w:r w:rsidRPr="00B31A07">
              <w:rPr>
                <w:rFonts w:ascii="Arial Narrow" w:hAnsi="Arial Narrow"/>
                <w:snapToGrid w:val="0"/>
                <w:sz w:val="20"/>
                <w:szCs w:val="20"/>
                <w:lang w:val="en-GB"/>
              </w:rPr>
              <w:fldChar w:fldCharType="separate"/>
            </w:r>
            <w:r w:rsidRPr="00B31A07">
              <w:rPr>
                <w:rFonts w:ascii="Arial Narrow" w:hAnsi="Arial Narrow"/>
                <w:snapToGrid w:val="0"/>
                <w:sz w:val="20"/>
                <w:szCs w:val="20"/>
                <w:lang w:val="en-GB"/>
              </w:rPr>
              <w:t>7.8</w:t>
            </w:r>
            <w:r w:rsidRPr="00B31A07">
              <w:rPr>
                <w:rFonts w:ascii="Arial Narrow" w:hAnsi="Arial Narrow"/>
                <w:snapToGrid w:val="0"/>
                <w:sz w:val="20"/>
                <w:szCs w:val="20"/>
                <w:lang w:val="en-GB"/>
              </w:rPr>
              <w:fldChar w:fldCharType="end"/>
            </w:r>
            <w:r w:rsidRPr="00B31A07">
              <w:rPr>
                <w:rFonts w:ascii="Arial Narrow" w:hAnsi="Arial Narrow"/>
                <w:snapToGrid w:val="0"/>
                <w:sz w:val="20"/>
                <w:szCs w:val="20"/>
                <w:lang w:val="en-GB"/>
              </w:rPr>
              <w:t>)</w:t>
            </w:r>
          </w:p>
        </w:tc>
        <w:tc>
          <w:tcPr>
            <w:tcW w:w="2520" w:type="dxa"/>
            <w:tcMar>
              <w:left w:w="20" w:type="dxa"/>
              <w:right w:w="20" w:type="dxa"/>
            </w:tcMar>
          </w:tcPr>
          <w:p w14:paraId="703EE416" w14:textId="77777777" w:rsidR="00B31A07" w:rsidRPr="00B31A07" w:rsidRDefault="00B31A07" w:rsidP="1797D1E5">
            <w:pPr>
              <w:keepNext/>
              <w:keepLines/>
              <w:rPr>
                <w:rFonts w:ascii="Arial Narrow" w:hAnsi="Arial Narrow"/>
                <w:snapToGrid w:val="0"/>
                <w:sz w:val="20"/>
                <w:szCs w:val="20"/>
                <w:lang w:val="en-GB"/>
              </w:rPr>
            </w:pPr>
            <w:r w:rsidRPr="00B31A07">
              <w:rPr>
                <w:rFonts w:ascii="Arial Narrow" w:hAnsi="Arial Narrow"/>
                <w:snapToGrid w:val="0"/>
                <w:sz w:val="20"/>
                <w:szCs w:val="20"/>
                <w:lang w:val="en-GB"/>
              </w:rPr>
              <w:t>Paediatric patients</w:t>
            </w:r>
          </w:p>
          <w:p w14:paraId="37C11DCC" w14:textId="77777777" w:rsidR="00B31A07" w:rsidRPr="00B31A07" w:rsidRDefault="00B31A07" w:rsidP="1797D1E5">
            <w:pPr>
              <w:keepNext/>
              <w:keepLines/>
              <w:rPr>
                <w:rFonts w:ascii="Arial Narrow" w:hAnsi="Arial Narrow"/>
                <w:b/>
                <w:bCs/>
                <w:snapToGrid w:val="0"/>
                <w:sz w:val="20"/>
                <w:szCs w:val="20"/>
                <w:lang w:val="en-GB"/>
              </w:rPr>
            </w:pPr>
            <w:r w:rsidRPr="00B31A07">
              <w:rPr>
                <w:rFonts w:ascii="Arial Narrow" w:hAnsi="Arial Narrow"/>
                <w:b/>
                <w:bCs/>
                <w:snapToGrid w:val="0"/>
                <w:sz w:val="20"/>
                <w:szCs w:val="20"/>
                <w:lang w:val="en-GB"/>
              </w:rPr>
              <w:t xml:space="preserve">         July 2024        Nov 2024</w:t>
            </w:r>
          </w:p>
          <w:p w14:paraId="06A0F40E" w14:textId="7D61F166" w:rsidR="00B31A07" w:rsidRPr="00B31A07" w:rsidRDefault="00B31A07" w:rsidP="1797D1E5">
            <w:pPr>
              <w:keepNext/>
              <w:keepLines/>
              <w:rPr>
                <w:rFonts w:ascii="Arial Narrow" w:hAnsi="Arial Narrow"/>
                <w:snapToGrid w:val="0"/>
                <w:sz w:val="20"/>
                <w:szCs w:val="20"/>
                <w:lang w:val="en-GB"/>
              </w:rPr>
            </w:pPr>
            <w:r w:rsidRPr="00B31A07">
              <w:rPr>
                <w:rFonts w:ascii="Arial Narrow" w:hAnsi="Arial Narrow"/>
                <w:snapToGrid w:val="0"/>
                <w:sz w:val="20"/>
                <w:szCs w:val="20"/>
                <w:lang w:val="en-GB"/>
              </w:rPr>
              <w:t xml:space="preserve">2025:      </w:t>
            </w:r>
            <w:r w:rsidR="001A0FFE" w:rsidRPr="001A0FFE">
              <w:rPr>
                <w:rFonts w:ascii="Arial Narrow" w:hAnsi="Arial Narrow"/>
                <w:snapToGrid w:val="0"/>
                <w:color w:val="000000"/>
                <w:spacing w:val="8"/>
                <w:sz w:val="20"/>
                <w:szCs w:val="20"/>
                <w:shd w:val="solid" w:color="000000" w:fill="000000"/>
                <w:fitText w:val="306" w:id="-764127998"/>
                <w:lang w:val="en-GB"/>
                <w14:textFill>
                  <w14:solidFill>
                    <w14:srgbClr w14:val="000000">
                      <w14:alpha w14:val="100000"/>
                    </w14:srgbClr>
                  </w14:solidFill>
                </w14:textFill>
              </w:rPr>
              <w:t>|</w:t>
            </w:r>
            <w:proofErr w:type="gramStart"/>
            <w:r w:rsidR="001A0FFE" w:rsidRPr="001A0FFE">
              <w:rPr>
                <w:rFonts w:ascii="Arial Narrow" w:hAnsi="Arial Narrow"/>
                <w:snapToGrid w:val="0"/>
                <w:color w:val="000000"/>
                <w:spacing w:val="8"/>
                <w:sz w:val="20"/>
                <w:szCs w:val="20"/>
                <w:shd w:val="solid" w:color="000000" w:fill="000000"/>
                <w:fitText w:val="306" w:id="-764127998"/>
                <w:lang w:val="en-GB"/>
                <w14:textFill>
                  <w14:solidFill>
                    <w14:srgbClr w14:val="000000">
                      <w14:alpha w14:val="100000"/>
                    </w14:srgbClr>
                  </w14:solidFill>
                </w14:textFill>
              </w:rPr>
              <w:t>|  |</w:t>
            </w:r>
            <w:proofErr w:type="gramEnd"/>
            <w:r w:rsidR="001A0FFE" w:rsidRPr="001A0FFE">
              <w:rPr>
                <w:rFonts w:ascii="Arial Narrow" w:hAnsi="Arial Narrow"/>
                <w:snapToGrid w:val="0"/>
                <w:color w:val="000000"/>
                <w:spacing w:val="5"/>
                <w:sz w:val="20"/>
                <w:szCs w:val="20"/>
                <w:shd w:val="solid" w:color="000000" w:fill="000000"/>
                <w:fitText w:val="306" w:id="-764127998"/>
                <w:lang w:val="en-GB"/>
                <w14:textFill>
                  <w14:solidFill>
                    <w14:srgbClr w14:val="000000">
                      <w14:alpha w14:val="100000"/>
                    </w14:srgbClr>
                  </w14:solidFill>
                </w14:textFill>
              </w:rPr>
              <w:t>|</w:t>
            </w:r>
            <w:r w:rsidR="00E90D75" w:rsidRPr="00736A0A">
              <w:rPr>
                <w:rFonts w:ascii="Arial Narrow" w:hAnsi="Arial Narrow"/>
                <w:snapToGrid w:val="0"/>
                <w:sz w:val="20"/>
                <w:szCs w:val="20"/>
                <w:vertAlign w:val="superscript"/>
                <w:lang w:val="en-GB"/>
              </w:rPr>
              <w:t>1</w:t>
            </w:r>
            <w:r w:rsidRPr="00B31A07">
              <w:rPr>
                <w:rFonts w:ascii="Arial Narrow" w:hAnsi="Arial Narrow"/>
                <w:snapToGrid w:val="0"/>
                <w:sz w:val="20"/>
                <w:szCs w:val="20"/>
                <w:lang w:val="en-GB"/>
              </w:rPr>
              <w:t xml:space="preserve">                    </w:t>
            </w:r>
            <w:r w:rsidR="001A0FFE" w:rsidRPr="001A0FFE">
              <w:rPr>
                <w:rFonts w:ascii="Arial Narrow" w:hAnsi="Arial Narrow"/>
                <w:snapToGrid w:val="0"/>
                <w:color w:val="000000"/>
                <w:spacing w:val="10"/>
                <w:sz w:val="20"/>
                <w:szCs w:val="20"/>
                <w:shd w:val="solid" w:color="000000" w:fill="000000"/>
                <w:fitText w:val="316" w:id="-764127997"/>
                <w:lang w:val="en-GB"/>
                <w14:textFill>
                  <w14:solidFill>
                    <w14:srgbClr w14:val="000000">
                      <w14:alpha w14:val="100000"/>
                    </w14:srgbClr>
                  </w14:solidFill>
                </w14:textFill>
              </w:rPr>
              <w:t>||  |</w:t>
            </w:r>
            <w:r w:rsidR="001A0FFE" w:rsidRPr="001A0FFE">
              <w:rPr>
                <w:rFonts w:ascii="Arial Narrow" w:hAnsi="Arial Narrow"/>
                <w:snapToGrid w:val="0"/>
                <w:color w:val="000000"/>
                <w:spacing w:val="5"/>
                <w:sz w:val="20"/>
                <w:szCs w:val="20"/>
                <w:shd w:val="solid" w:color="000000" w:fill="000000"/>
                <w:fitText w:val="316" w:id="-764127997"/>
                <w:lang w:val="en-GB"/>
                <w14:textFill>
                  <w14:solidFill>
                    <w14:srgbClr w14:val="000000">
                      <w14:alpha w14:val="100000"/>
                    </w14:srgbClr>
                  </w14:solidFill>
                </w14:textFill>
              </w:rPr>
              <w:t>|</w:t>
            </w:r>
            <w:r w:rsidR="004D4983" w:rsidRPr="00736A0A">
              <w:rPr>
                <w:rFonts w:ascii="Arial Narrow" w:hAnsi="Arial Narrow"/>
                <w:snapToGrid w:val="0"/>
                <w:sz w:val="20"/>
                <w:szCs w:val="20"/>
                <w:vertAlign w:val="superscript"/>
                <w:lang w:val="en-GB"/>
              </w:rPr>
              <w:t>1</w:t>
            </w:r>
          </w:p>
          <w:p w14:paraId="67BF6180" w14:textId="0AD2EF90" w:rsidR="00B31A07" w:rsidRPr="00B31A07" w:rsidRDefault="00B31A07" w:rsidP="1797D1E5">
            <w:pPr>
              <w:keepNext/>
              <w:keepLines/>
              <w:rPr>
                <w:rFonts w:ascii="Arial Narrow" w:hAnsi="Arial Narrow"/>
                <w:snapToGrid w:val="0"/>
                <w:sz w:val="20"/>
                <w:szCs w:val="20"/>
                <w:lang w:val="en-GB"/>
              </w:rPr>
            </w:pPr>
            <w:r w:rsidRPr="00B31A07">
              <w:rPr>
                <w:rFonts w:ascii="Arial Narrow" w:hAnsi="Arial Narrow"/>
                <w:snapToGrid w:val="0"/>
                <w:sz w:val="20"/>
                <w:szCs w:val="20"/>
                <w:lang w:val="en-GB"/>
              </w:rPr>
              <w:t xml:space="preserve">2026:      </w:t>
            </w:r>
            <w:r w:rsidR="001A0FFE" w:rsidRPr="001A0FFE">
              <w:rPr>
                <w:rFonts w:ascii="Arial Narrow" w:hAnsi="Arial Narrow"/>
                <w:snapToGrid w:val="0"/>
                <w:color w:val="000000"/>
                <w:spacing w:val="8"/>
                <w:sz w:val="20"/>
                <w:szCs w:val="20"/>
                <w:shd w:val="solid" w:color="000000" w:fill="000000"/>
                <w:fitText w:val="306" w:id="-764127996"/>
                <w:lang w:val="en-GB"/>
                <w14:textFill>
                  <w14:solidFill>
                    <w14:srgbClr w14:val="000000">
                      <w14:alpha w14:val="100000"/>
                    </w14:srgbClr>
                  </w14:solidFill>
                </w14:textFill>
              </w:rPr>
              <w:t>|</w:t>
            </w:r>
            <w:proofErr w:type="gramStart"/>
            <w:r w:rsidR="001A0FFE" w:rsidRPr="001A0FFE">
              <w:rPr>
                <w:rFonts w:ascii="Arial Narrow" w:hAnsi="Arial Narrow"/>
                <w:snapToGrid w:val="0"/>
                <w:color w:val="000000"/>
                <w:spacing w:val="8"/>
                <w:sz w:val="20"/>
                <w:szCs w:val="20"/>
                <w:shd w:val="solid" w:color="000000" w:fill="000000"/>
                <w:fitText w:val="306" w:id="-764127996"/>
                <w:lang w:val="en-GB"/>
                <w14:textFill>
                  <w14:solidFill>
                    <w14:srgbClr w14:val="000000">
                      <w14:alpha w14:val="100000"/>
                    </w14:srgbClr>
                  </w14:solidFill>
                </w14:textFill>
              </w:rPr>
              <w:t>|  |</w:t>
            </w:r>
            <w:proofErr w:type="gramEnd"/>
            <w:r w:rsidR="001A0FFE" w:rsidRPr="001A0FFE">
              <w:rPr>
                <w:rFonts w:ascii="Arial Narrow" w:hAnsi="Arial Narrow"/>
                <w:snapToGrid w:val="0"/>
                <w:color w:val="000000"/>
                <w:spacing w:val="5"/>
                <w:sz w:val="20"/>
                <w:szCs w:val="20"/>
                <w:shd w:val="solid" w:color="000000" w:fill="000000"/>
                <w:fitText w:val="306" w:id="-764127996"/>
                <w:lang w:val="en-GB"/>
                <w14:textFill>
                  <w14:solidFill>
                    <w14:srgbClr w14:val="000000">
                      <w14:alpha w14:val="100000"/>
                    </w14:srgbClr>
                  </w14:solidFill>
                </w14:textFill>
              </w:rPr>
              <w:t>|</w:t>
            </w:r>
            <w:r w:rsidRPr="00B31A07">
              <w:rPr>
                <w:rFonts w:ascii="Arial Narrow" w:hAnsi="Arial Narrow"/>
                <w:snapToGrid w:val="0"/>
                <w:sz w:val="20"/>
                <w:szCs w:val="20"/>
                <w:lang w:val="en-GB"/>
              </w:rPr>
              <w:t xml:space="preserve"> </w:t>
            </w:r>
            <w:r w:rsidR="004D4983" w:rsidRPr="00736A0A">
              <w:rPr>
                <w:rFonts w:ascii="Arial Narrow" w:hAnsi="Arial Narrow"/>
                <w:snapToGrid w:val="0"/>
                <w:sz w:val="20"/>
                <w:szCs w:val="20"/>
                <w:vertAlign w:val="superscript"/>
                <w:lang w:val="en-GB"/>
              </w:rPr>
              <w:t>1</w:t>
            </w:r>
            <w:r w:rsidRPr="00B31A07">
              <w:rPr>
                <w:rFonts w:ascii="Arial Narrow" w:hAnsi="Arial Narrow"/>
                <w:snapToGrid w:val="0"/>
                <w:sz w:val="20"/>
                <w:szCs w:val="20"/>
                <w:lang w:val="en-GB"/>
              </w:rPr>
              <w:t xml:space="preserve">                   </w:t>
            </w:r>
            <w:r w:rsidR="001A0FFE" w:rsidRPr="001A0FFE">
              <w:rPr>
                <w:rFonts w:ascii="Arial Narrow" w:hAnsi="Arial Narrow"/>
                <w:snapToGrid w:val="0"/>
                <w:color w:val="000000"/>
                <w:spacing w:val="10"/>
                <w:sz w:val="20"/>
                <w:szCs w:val="20"/>
                <w:shd w:val="solid" w:color="000000" w:fill="000000"/>
                <w:fitText w:val="316" w:id="-764127995"/>
                <w:lang w:val="en-GB"/>
                <w14:textFill>
                  <w14:solidFill>
                    <w14:srgbClr w14:val="000000">
                      <w14:alpha w14:val="100000"/>
                    </w14:srgbClr>
                  </w14:solidFill>
                </w14:textFill>
              </w:rPr>
              <w:t>||  |</w:t>
            </w:r>
            <w:r w:rsidR="001A0FFE" w:rsidRPr="001A0FFE">
              <w:rPr>
                <w:rFonts w:ascii="Arial Narrow" w:hAnsi="Arial Narrow"/>
                <w:snapToGrid w:val="0"/>
                <w:color w:val="000000"/>
                <w:spacing w:val="5"/>
                <w:sz w:val="20"/>
                <w:szCs w:val="20"/>
                <w:shd w:val="solid" w:color="000000" w:fill="000000"/>
                <w:fitText w:val="316" w:id="-764127995"/>
                <w:lang w:val="en-GB"/>
                <w14:textFill>
                  <w14:solidFill>
                    <w14:srgbClr w14:val="000000">
                      <w14:alpha w14:val="100000"/>
                    </w14:srgbClr>
                  </w14:solidFill>
                </w14:textFill>
              </w:rPr>
              <w:t>|</w:t>
            </w:r>
            <w:r w:rsidR="004D4983" w:rsidRPr="00736A0A">
              <w:rPr>
                <w:rFonts w:ascii="Arial Narrow" w:hAnsi="Arial Narrow"/>
                <w:snapToGrid w:val="0"/>
                <w:sz w:val="20"/>
                <w:szCs w:val="20"/>
                <w:vertAlign w:val="superscript"/>
                <w:lang w:val="en-GB"/>
              </w:rPr>
              <w:t>1</w:t>
            </w:r>
          </w:p>
          <w:p w14:paraId="340C4FFB" w14:textId="0C96688D" w:rsidR="00B31A07" w:rsidRPr="00B31A07" w:rsidRDefault="00B31A07" w:rsidP="1797D1E5">
            <w:pPr>
              <w:keepNext/>
              <w:keepLines/>
              <w:rPr>
                <w:rFonts w:ascii="Arial Narrow" w:hAnsi="Arial Narrow"/>
                <w:snapToGrid w:val="0"/>
                <w:sz w:val="20"/>
                <w:szCs w:val="20"/>
                <w:lang w:val="en-GB"/>
              </w:rPr>
            </w:pPr>
            <w:r w:rsidRPr="00B31A07">
              <w:rPr>
                <w:rFonts w:ascii="Arial Narrow" w:hAnsi="Arial Narrow"/>
                <w:snapToGrid w:val="0"/>
                <w:sz w:val="20"/>
                <w:szCs w:val="20"/>
                <w:lang w:val="en-GB"/>
              </w:rPr>
              <w:t xml:space="preserve">2027:      </w:t>
            </w:r>
            <w:r w:rsidR="001A0FFE" w:rsidRPr="001A0FFE">
              <w:rPr>
                <w:rFonts w:ascii="Arial Narrow" w:hAnsi="Arial Narrow"/>
                <w:snapToGrid w:val="0"/>
                <w:color w:val="000000"/>
                <w:spacing w:val="8"/>
                <w:sz w:val="20"/>
                <w:szCs w:val="20"/>
                <w:shd w:val="solid" w:color="000000" w:fill="000000"/>
                <w:fitText w:val="306" w:id="-764127994"/>
                <w:lang w:val="en-GB"/>
                <w14:textFill>
                  <w14:solidFill>
                    <w14:srgbClr w14:val="000000">
                      <w14:alpha w14:val="100000"/>
                    </w14:srgbClr>
                  </w14:solidFill>
                </w14:textFill>
              </w:rPr>
              <w:t>|</w:t>
            </w:r>
            <w:proofErr w:type="gramStart"/>
            <w:r w:rsidR="001A0FFE" w:rsidRPr="001A0FFE">
              <w:rPr>
                <w:rFonts w:ascii="Arial Narrow" w:hAnsi="Arial Narrow"/>
                <w:snapToGrid w:val="0"/>
                <w:color w:val="000000"/>
                <w:spacing w:val="8"/>
                <w:sz w:val="20"/>
                <w:szCs w:val="20"/>
                <w:shd w:val="solid" w:color="000000" w:fill="000000"/>
                <w:fitText w:val="306" w:id="-764127994"/>
                <w:lang w:val="en-GB"/>
                <w14:textFill>
                  <w14:solidFill>
                    <w14:srgbClr w14:val="000000">
                      <w14:alpha w14:val="100000"/>
                    </w14:srgbClr>
                  </w14:solidFill>
                </w14:textFill>
              </w:rPr>
              <w:t>|  |</w:t>
            </w:r>
            <w:proofErr w:type="gramEnd"/>
            <w:r w:rsidR="001A0FFE" w:rsidRPr="001A0FFE">
              <w:rPr>
                <w:rFonts w:ascii="Arial Narrow" w:hAnsi="Arial Narrow"/>
                <w:snapToGrid w:val="0"/>
                <w:color w:val="000000"/>
                <w:spacing w:val="5"/>
                <w:sz w:val="20"/>
                <w:szCs w:val="20"/>
                <w:shd w:val="solid" w:color="000000" w:fill="000000"/>
                <w:fitText w:val="306" w:id="-764127994"/>
                <w:lang w:val="en-GB"/>
                <w14:textFill>
                  <w14:solidFill>
                    <w14:srgbClr w14:val="000000">
                      <w14:alpha w14:val="100000"/>
                    </w14:srgbClr>
                  </w14:solidFill>
                </w14:textFill>
              </w:rPr>
              <w:t>|</w:t>
            </w:r>
            <w:r w:rsidRPr="00B31A07">
              <w:rPr>
                <w:rFonts w:ascii="Arial Narrow" w:hAnsi="Arial Narrow"/>
                <w:snapToGrid w:val="0"/>
                <w:sz w:val="20"/>
                <w:szCs w:val="20"/>
                <w:lang w:val="en-GB"/>
              </w:rPr>
              <w:t xml:space="preserve"> </w:t>
            </w:r>
            <w:r w:rsidR="004D4983" w:rsidRPr="00736A0A">
              <w:rPr>
                <w:rFonts w:ascii="Arial Narrow" w:hAnsi="Arial Narrow"/>
                <w:snapToGrid w:val="0"/>
                <w:sz w:val="20"/>
                <w:szCs w:val="20"/>
                <w:vertAlign w:val="superscript"/>
                <w:lang w:val="en-GB"/>
              </w:rPr>
              <w:t>1</w:t>
            </w:r>
            <w:r w:rsidRPr="00B31A07">
              <w:rPr>
                <w:rFonts w:ascii="Arial Narrow" w:hAnsi="Arial Narrow"/>
                <w:snapToGrid w:val="0"/>
                <w:sz w:val="20"/>
                <w:szCs w:val="20"/>
                <w:lang w:val="en-GB"/>
              </w:rPr>
              <w:t xml:space="preserve">                   </w:t>
            </w:r>
            <w:r w:rsidR="001A0FFE" w:rsidRPr="001A0FFE">
              <w:rPr>
                <w:rFonts w:ascii="Arial Narrow" w:hAnsi="Arial Narrow"/>
                <w:snapToGrid w:val="0"/>
                <w:color w:val="000000"/>
                <w:spacing w:val="10"/>
                <w:sz w:val="20"/>
                <w:szCs w:val="20"/>
                <w:shd w:val="solid" w:color="000000" w:fill="000000"/>
                <w:fitText w:val="316" w:id="-764127993"/>
                <w:lang w:val="en-GB"/>
                <w14:textFill>
                  <w14:solidFill>
                    <w14:srgbClr w14:val="000000">
                      <w14:alpha w14:val="100000"/>
                    </w14:srgbClr>
                  </w14:solidFill>
                </w14:textFill>
              </w:rPr>
              <w:t>||  |</w:t>
            </w:r>
            <w:r w:rsidR="001A0FFE" w:rsidRPr="001A0FFE">
              <w:rPr>
                <w:rFonts w:ascii="Arial Narrow" w:hAnsi="Arial Narrow"/>
                <w:snapToGrid w:val="0"/>
                <w:color w:val="000000"/>
                <w:spacing w:val="5"/>
                <w:sz w:val="20"/>
                <w:szCs w:val="20"/>
                <w:shd w:val="solid" w:color="000000" w:fill="000000"/>
                <w:fitText w:val="316" w:id="-764127993"/>
                <w:lang w:val="en-GB"/>
                <w14:textFill>
                  <w14:solidFill>
                    <w14:srgbClr w14:val="000000">
                      <w14:alpha w14:val="100000"/>
                    </w14:srgbClr>
                  </w14:solidFill>
                </w14:textFill>
              </w:rPr>
              <w:t>|</w:t>
            </w:r>
            <w:r w:rsidR="004D4983" w:rsidRPr="00736A0A">
              <w:rPr>
                <w:rFonts w:ascii="Arial Narrow" w:hAnsi="Arial Narrow"/>
                <w:snapToGrid w:val="0"/>
                <w:sz w:val="20"/>
                <w:szCs w:val="20"/>
                <w:vertAlign w:val="superscript"/>
                <w:lang w:val="en-GB"/>
              </w:rPr>
              <w:t>1</w:t>
            </w:r>
          </w:p>
          <w:p w14:paraId="576519E9" w14:textId="4547482B" w:rsidR="00B31A07" w:rsidRPr="00B31A07" w:rsidRDefault="00B31A07" w:rsidP="1797D1E5">
            <w:pPr>
              <w:keepNext/>
              <w:keepLines/>
              <w:rPr>
                <w:rFonts w:ascii="Arial Narrow" w:hAnsi="Arial Narrow"/>
                <w:snapToGrid w:val="0"/>
                <w:sz w:val="20"/>
                <w:szCs w:val="20"/>
                <w:lang w:val="en-GB"/>
              </w:rPr>
            </w:pPr>
            <w:r w:rsidRPr="00B31A07">
              <w:rPr>
                <w:rFonts w:ascii="Arial Narrow" w:hAnsi="Arial Narrow"/>
                <w:snapToGrid w:val="0"/>
                <w:sz w:val="20"/>
                <w:szCs w:val="20"/>
                <w:lang w:val="en-GB"/>
              </w:rPr>
              <w:t xml:space="preserve">2028:      </w:t>
            </w:r>
            <w:r w:rsidR="001A0FFE" w:rsidRPr="001A0FFE">
              <w:rPr>
                <w:rFonts w:ascii="Arial Narrow" w:hAnsi="Arial Narrow"/>
                <w:snapToGrid w:val="0"/>
                <w:color w:val="000000"/>
                <w:spacing w:val="8"/>
                <w:sz w:val="20"/>
                <w:szCs w:val="20"/>
                <w:shd w:val="solid" w:color="000000" w:fill="000000"/>
                <w:fitText w:val="306" w:id="-764127992"/>
                <w:lang w:val="en-GB"/>
                <w14:textFill>
                  <w14:solidFill>
                    <w14:srgbClr w14:val="000000">
                      <w14:alpha w14:val="100000"/>
                    </w14:srgbClr>
                  </w14:solidFill>
                </w14:textFill>
              </w:rPr>
              <w:t>|</w:t>
            </w:r>
            <w:proofErr w:type="gramStart"/>
            <w:r w:rsidR="001A0FFE" w:rsidRPr="001A0FFE">
              <w:rPr>
                <w:rFonts w:ascii="Arial Narrow" w:hAnsi="Arial Narrow"/>
                <w:snapToGrid w:val="0"/>
                <w:color w:val="000000"/>
                <w:spacing w:val="8"/>
                <w:sz w:val="20"/>
                <w:szCs w:val="20"/>
                <w:shd w:val="solid" w:color="000000" w:fill="000000"/>
                <w:fitText w:val="306" w:id="-764127992"/>
                <w:lang w:val="en-GB"/>
                <w14:textFill>
                  <w14:solidFill>
                    <w14:srgbClr w14:val="000000">
                      <w14:alpha w14:val="100000"/>
                    </w14:srgbClr>
                  </w14:solidFill>
                </w14:textFill>
              </w:rPr>
              <w:t>|  |</w:t>
            </w:r>
            <w:proofErr w:type="gramEnd"/>
            <w:r w:rsidR="001A0FFE" w:rsidRPr="001A0FFE">
              <w:rPr>
                <w:rFonts w:ascii="Arial Narrow" w:hAnsi="Arial Narrow"/>
                <w:snapToGrid w:val="0"/>
                <w:color w:val="000000"/>
                <w:spacing w:val="5"/>
                <w:sz w:val="20"/>
                <w:szCs w:val="20"/>
                <w:shd w:val="solid" w:color="000000" w:fill="000000"/>
                <w:fitText w:val="306" w:id="-764127992"/>
                <w:lang w:val="en-GB"/>
                <w14:textFill>
                  <w14:solidFill>
                    <w14:srgbClr w14:val="000000">
                      <w14:alpha w14:val="100000"/>
                    </w14:srgbClr>
                  </w14:solidFill>
                </w14:textFill>
              </w:rPr>
              <w:t>|</w:t>
            </w:r>
            <w:r w:rsidR="004D4983" w:rsidRPr="00736A0A">
              <w:rPr>
                <w:rFonts w:ascii="Arial Narrow" w:hAnsi="Arial Narrow"/>
                <w:snapToGrid w:val="0"/>
                <w:sz w:val="20"/>
                <w:szCs w:val="20"/>
                <w:vertAlign w:val="superscript"/>
                <w:lang w:val="en-GB"/>
              </w:rPr>
              <w:t>1</w:t>
            </w:r>
            <w:r w:rsidRPr="00B31A07">
              <w:rPr>
                <w:rFonts w:ascii="Arial Narrow" w:hAnsi="Arial Narrow"/>
                <w:snapToGrid w:val="0"/>
                <w:sz w:val="20"/>
                <w:szCs w:val="20"/>
                <w:lang w:val="en-GB"/>
              </w:rPr>
              <w:t xml:space="preserve">                    </w:t>
            </w:r>
            <w:r w:rsidR="001A0FFE" w:rsidRPr="001A0FFE">
              <w:rPr>
                <w:rFonts w:ascii="Arial Narrow" w:hAnsi="Arial Narrow"/>
                <w:snapToGrid w:val="0"/>
                <w:color w:val="000000"/>
                <w:spacing w:val="10"/>
                <w:sz w:val="20"/>
                <w:szCs w:val="20"/>
                <w:shd w:val="solid" w:color="000000" w:fill="000000"/>
                <w:fitText w:val="316" w:id="-764127991"/>
                <w:lang w:val="en-GB"/>
                <w14:textFill>
                  <w14:solidFill>
                    <w14:srgbClr w14:val="000000">
                      <w14:alpha w14:val="100000"/>
                    </w14:srgbClr>
                  </w14:solidFill>
                </w14:textFill>
              </w:rPr>
              <w:t>||  |</w:t>
            </w:r>
            <w:r w:rsidR="001A0FFE" w:rsidRPr="001A0FFE">
              <w:rPr>
                <w:rFonts w:ascii="Arial Narrow" w:hAnsi="Arial Narrow"/>
                <w:snapToGrid w:val="0"/>
                <w:color w:val="000000"/>
                <w:spacing w:val="5"/>
                <w:sz w:val="20"/>
                <w:szCs w:val="20"/>
                <w:shd w:val="solid" w:color="000000" w:fill="000000"/>
                <w:fitText w:val="316" w:id="-764127991"/>
                <w:lang w:val="en-GB"/>
                <w14:textFill>
                  <w14:solidFill>
                    <w14:srgbClr w14:val="000000">
                      <w14:alpha w14:val="100000"/>
                    </w14:srgbClr>
                  </w14:solidFill>
                </w14:textFill>
              </w:rPr>
              <w:t>|</w:t>
            </w:r>
            <w:r w:rsidR="004D4983" w:rsidRPr="00736A0A">
              <w:rPr>
                <w:rFonts w:ascii="Arial Narrow" w:hAnsi="Arial Narrow"/>
                <w:snapToGrid w:val="0"/>
                <w:sz w:val="20"/>
                <w:szCs w:val="20"/>
                <w:vertAlign w:val="superscript"/>
                <w:lang w:val="en-GB"/>
              </w:rPr>
              <w:t>1</w:t>
            </w:r>
          </w:p>
          <w:p w14:paraId="5C9FF5A8" w14:textId="3417658C" w:rsidR="00B31A07" w:rsidRPr="00B31A07" w:rsidRDefault="00B31A07" w:rsidP="1797D1E5">
            <w:pPr>
              <w:keepNext/>
              <w:keepLines/>
              <w:rPr>
                <w:rFonts w:ascii="Arial Narrow" w:hAnsi="Arial Narrow"/>
                <w:snapToGrid w:val="0"/>
                <w:sz w:val="20"/>
                <w:szCs w:val="20"/>
                <w:lang w:val="en-GB"/>
              </w:rPr>
            </w:pPr>
            <w:r w:rsidRPr="00B31A07">
              <w:rPr>
                <w:rFonts w:ascii="Arial Narrow" w:hAnsi="Arial Narrow"/>
                <w:snapToGrid w:val="0"/>
                <w:sz w:val="20"/>
                <w:szCs w:val="20"/>
                <w:lang w:val="en-GB"/>
              </w:rPr>
              <w:t xml:space="preserve">2029:      </w:t>
            </w:r>
            <w:r w:rsidR="001A0FFE" w:rsidRPr="001A0FFE">
              <w:rPr>
                <w:rFonts w:ascii="Arial Narrow" w:hAnsi="Arial Narrow"/>
                <w:snapToGrid w:val="0"/>
                <w:color w:val="000000"/>
                <w:spacing w:val="8"/>
                <w:sz w:val="20"/>
                <w:szCs w:val="20"/>
                <w:shd w:val="solid" w:color="000000" w:fill="000000"/>
                <w:fitText w:val="306" w:id="-764127990"/>
                <w:lang w:val="en-GB"/>
                <w14:textFill>
                  <w14:solidFill>
                    <w14:srgbClr w14:val="000000">
                      <w14:alpha w14:val="100000"/>
                    </w14:srgbClr>
                  </w14:solidFill>
                </w14:textFill>
              </w:rPr>
              <w:t>|</w:t>
            </w:r>
            <w:proofErr w:type="gramStart"/>
            <w:r w:rsidR="001A0FFE" w:rsidRPr="001A0FFE">
              <w:rPr>
                <w:rFonts w:ascii="Arial Narrow" w:hAnsi="Arial Narrow"/>
                <w:snapToGrid w:val="0"/>
                <w:color w:val="000000"/>
                <w:spacing w:val="8"/>
                <w:sz w:val="20"/>
                <w:szCs w:val="20"/>
                <w:shd w:val="solid" w:color="000000" w:fill="000000"/>
                <w:fitText w:val="306" w:id="-764127990"/>
                <w:lang w:val="en-GB"/>
                <w14:textFill>
                  <w14:solidFill>
                    <w14:srgbClr w14:val="000000">
                      <w14:alpha w14:val="100000"/>
                    </w14:srgbClr>
                  </w14:solidFill>
                </w14:textFill>
              </w:rPr>
              <w:t>|  |</w:t>
            </w:r>
            <w:proofErr w:type="gramEnd"/>
            <w:r w:rsidR="001A0FFE" w:rsidRPr="001A0FFE">
              <w:rPr>
                <w:rFonts w:ascii="Arial Narrow" w:hAnsi="Arial Narrow"/>
                <w:snapToGrid w:val="0"/>
                <w:color w:val="000000"/>
                <w:spacing w:val="5"/>
                <w:sz w:val="20"/>
                <w:szCs w:val="20"/>
                <w:shd w:val="solid" w:color="000000" w:fill="000000"/>
                <w:fitText w:val="306" w:id="-764127990"/>
                <w:lang w:val="en-GB"/>
                <w14:textFill>
                  <w14:solidFill>
                    <w14:srgbClr w14:val="000000">
                      <w14:alpha w14:val="100000"/>
                    </w14:srgbClr>
                  </w14:solidFill>
                </w14:textFill>
              </w:rPr>
              <w:t>|</w:t>
            </w:r>
            <w:r w:rsidRPr="00B31A07">
              <w:rPr>
                <w:rFonts w:ascii="Arial Narrow" w:hAnsi="Arial Narrow"/>
                <w:snapToGrid w:val="0"/>
                <w:sz w:val="20"/>
                <w:szCs w:val="20"/>
                <w:lang w:val="en-GB"/>
              </w:rPr>
              <w:t xml:space="preserve"> </w:t>
            </w:r>
            <w:r w:rsidR="004D4983" w:rsidRPr="00736A0A">
              <w:rPr>
                <w:rFonts w:ascii="Arial Narrow" w:hAnsi="Arial Narrow"/>
                <w:snapToGrid w:val="0"/>
                <w:sz w:val="20"/>
                <w:szCs w:val="20"/>
                <w:vertAlign w:val="superscript"/>
                <w:lang w:val="en-GB"/>
              </w:rPr>
              <w:t>1</w:t>
            </w:r>
            <w:r w:rsidRPr="00B31A07">
              <w:rPr>
                <w:rFonts w:ascii="Arial Narrow" w:hAnsi="Arial Narrow"/>
                <w:snapToGrid w:val="0"/>
                <w:sz w:val="20"/>
                <w:szCs w:val="20"/>
                <w:lang w:val="en-GB"/>
              </w:rPr>
              <w:t xml:space="preserve">                   </w:t>
            </w:r>
            <w:r w:rsidR="001A0FFE" w:rsidRPr="001A0FFE">
              <w:rPr>
                <w:rFonts w:ascii="Arial Narrow" w:hAnsi="Arial Narrow"/>
                <w:snapToGrid w:val="0"/>
                <w:color w:val="000000"/>
                <w:spacing w:val="10"/>
                <w:sz w:val="20"/>
                <w:szCs w:val="20"/>
                <w:shd w:val="solid" w:color="000000" w:fill="000000"/>
                <w:fitText w:val="316" w:id="-764127989"/>
                <w:lang w:val="en-GB"/>
                <w14:textFill>
                  <w14:solidFill>
                    <w14:srgbClr w14:val="000000">
                      <w14:alpha w14:val="100000"/>
                    </w14:srgbClr>
                  </w14:solidFill>
                </w14:textFill>
              </w:rPr>
              <w:t>||  |</w:t>
            </w:r>
            <w:r w:rsidR="001A0FFE" w:rsidRPr="001A0FFE">
              <w:rPr>
                <w:rFonts w:ascii="Arial Narrow" w:hAnsi="Arial Narrow"/>
                <w:snapToGrid w:val="0"/>
                <w:color w:val="000000"/>
                <w:spacing w:val="5"/>
                <w:sz w:val="20"/>
                <w:szCs w:val="20"/>
                <w:shd w:val="solid" w:color="000000" w:fill="000000"/>
                <w:fitText w:val="316" w:id="-764127989"/>
                <w:lang w:val="en-GB"/>
                <w14:textFill>
                  <w14:solidFill>
                    <w14:srgbClr w14:val="000000">
                      <w14:alpha w14:val="100000"/>
                    </w14:srgbClr>
                  </w14:solidFill>
                </w14:textFill>
              </w:rPr>
              <w:t>|</w:t>
            </w:r>
            <w:r w:rsidR="004D4983" w:rsidRPr="00736A0A">
              <w:rPr>
                <w:rFonts w:ascii="Arial Narrow" w:hAnsi="Arial Narrow"/>
                <w:snapToGrid w:val="0"/>
                <w:sz w:val="20"/>
                <w:szCs w:val="20"/>
                <w:vertAlign w:val="superscript"/>
                <w:lang w:val="en-GB"/>
              </w:rPr>
              <w:t>1</w:t>
            </w:r>
          </w:p>
          <w:p w14:paraId="7FA00B17" w14:textId="129DBF9A" w:rsidR="00B31A07" w:rsidRPr="00B31A07" w:rsidRDefault="00B31A07" w:rsidP="1797D1E5">
            <w:pPr>
              <w:keepNext/>
              <w:keepLines/>
              <w:rPr>
                <w:rFonts w:ascii="Arial Narrow" w:hAnsi="Arial Narrow"/>
                <w:snapToGrid w:val="0"/>
                <w:sz w:val="20"/>
                <w:szCs w:val="20"/>
                <w:lang w:val="en-GB"/>
              </w:rPr>
            </w:pPr>
            <w:r w:rsidRPr="00B31A07">
              <w:rPr>
                <w:rFonts w:ascii="Arial Narrow" w:hAnsi="Arial Narrow"/>
                <w:snapToGrid w:val="0"/>
                <w:sz w:val="20"/>
                <w:szCs w:val="20"/>
                <w:lang w:val="en-GB"/>
              </w:rPr>
              <w:t xml:space="preserve">2030:      </w:t>
            </w:r>
            <w:r w:rsidR="001A0FFE" w:rsidRPr="001A0FFE">
              <w:rPr>
                <w:rFonts w:ascii="Arial Narrow" w:hAnsi="Arial Narrow"/>
                <w:snapToGrid w:val="0"/>
                <w:color w:val="000000"/>
                <w:spacing w:val="8"/>
                <w:sz w:val="20"/>
                <w:szCs w:val="20"/>
                <w:shd w:val="solid" w:color="000000" w:fill="000000"/>
                <w:fitText w:val="306" w:id="-764127988"/>
                <w:lang w:val="en-GB"/>
                <w14:textFill>
                  <w14:solidFill>
                    <w14:srgbClr w14:val="000000">
                      <w14:alpha w14:val="100000"/>
                    </w14:srgbClr>
                  </w14:solidFill>
                </w14:textFill>
              </w:rPr>
              <w:t>|</w:t>
            </w:r>
            <w:proofErr w:type="gramStart"/>
            <w:r w:rsidR="001A0FFE" w:rsidRPr="001A0FFE">
              <w:rPr>
                <w:rFonts w:ascii="Arial Narrow" w:hAnsi="Arial Narrow"/>
                <w:snapToGrid w:val="0"/>
                <w:color w:val="000000"/>
                <w:spacing w:val="8"/>
                <w:sz w:val="20"/>
                <w:szCs w:val="20"/>
                <w:shd w:val="solid" w:color="000000" w:fill="000000"/>
                <w:fitText w:val="306" w:id="-764127988"/>
                <w:lang w:val="en-GB"/>
                <w14:textFill>
                  <w14:solidFill>
                    <w14:srgbClr w14:val="000000">
                      <w14:alpha w14:val="100000"/>
                    </w14:srgbClr>
                  </w14:solidFill>
                </w14:textFill>
              </w:rPr>
              <w:t>|  |</w:t>
            </w:r>
            <w:proofErr w:type="gramEnd"/>
            <w:r w:rsidR="001A0FFE" w:rsidRPr="001A0FFE">
              <w:rPr>
                <w:rFonts w:ascii="Arial Narrow" w:hAnsi="Arial Narrow"/>
                <w:snapToGrid w:val="0"/>
                <w:color w:val="000000"/>
                <w:spacing w:val="5"/>
                <w:sz w:val="20"/>
                <w:szCs w:val="20"/>
                <w:shd w:val="solid" w:color="000000" w:fill="000000"/>
                <w:fitText w:val="306" w:id="-764127988"/>
                <w:lang w:val="en-GB"/>
                <w14:textFill>
                  <w14:solidFill>
                    <w14:srgbClr w14:val="000000">
                      <w14:alpha w14:val="100000"/>
                    </w14:srgbClr>
                  </w14:solidFill>
                </w14:textFill>
              </w:rPr>
              <w:t>|</w:t>
            </w:r>
            <w:r w:rsidRPr="00B31A07">
              <w:rPr>
                <w:rFonts w:ascii="Arial Narrow" w:hAnsi="Arial Narrow"/>
                <w:snapToGrid w:val="0"/>
                <w:sz w:val="20"/>
                <w:szCs w:val="20"/>
                <w:lang w:val="en-GB"/>
              </w:rPr>
              <w:t xml:space="preserve">  </w:t>
            </w:r>
            <w:r w:rsidR="004D4983" w:rsidRPr="00736A0A">
              <w:rPr>
                <w:rFonts w:ascii="Arial Narrow" w:hAnsi="Arial Narrow"/>
                <w:snapToGrid w:val="0"/>
                <w:sz w:val="20"/>
                <w:szCs w:val="20"/>
                <w:vertAlign w:val="superscript"/>
                <w:lang w:val="en-GB"/>
              </w:rPr>
              <w:t>1</w:t>
            </w:r>
            <w:r w:rsidRPr="00B31A07">
              <w:rPr>
                <w:rFonts w:ascii="Arial Narrow" w:hAnsi="Arial Narrow"/>
                <w:snapToGrid w:val="0"/>
                <w:sz w:val="20"/>
                <w:szCs w:val="20"/>
                <w:lang w:val="en-GB"/>
              </w:rPr>
              <w:t xml:space="preserve">                  </w:t>
            </w:r>
            <w:r w:rsidR="001A0FFE" w:rsidRPr="001A0FFE">
              <w:rPr>
                <w:rFonts w:ascii="Arial Narrow" w:hAnsi="Arial Narrow"/>
                <w:snapToGrid w:val="0"/>
                <w:color w:val="000000"/>
                <w:spacing w:val="10"/>
                <w:sz w:val="20"/>
                <w:szCs w:val="20"/>
                <w:shd w:val="solid" w:color="000000" w:fill="000000"/>
                <w:fitText w:val="316" w:id="-764127987"/>
                <w:lang w:val="en-GB"/>
                <w14:textFill>
                  <w14:solidFill>
                    <w14:srgbClr w14:val="000000">
                      <w14:alpha w14:val="100000"/>
                    </w14:srgbClr>
                  </w14:solidFill>
                </w14:textFill>
              </w:rPr>
              <w:t>||  ||</w:t>
            </w:r>
            <w:r w:rsidR="004D4983" w:rsidRPr="00736A0A">
              <w:rPr>
                <w:rFonts w:ascii="Arial Narrow" w:hAnsi="Arial Narrow"/>
                <w:snapToGrid w:val="0"/>
                <w:sz w:val="20"/>
                <w:szCs w:val="20"/>
                <w:vertAlign w:val="superscript"/>
                <w:lang w:val="en-GB"/>
              </w:rPr>
              <w:t>1</w:t>
            </w:r>
          </w:p>
        </w:tc>
      </w:tr>
      <w:tr w:rsidR="00B31A07" w:rsidRPr="00B31A07" w14:paraId="3F06F24D" w14:textId="77777777" w:rsidTr="1797D1E5">
        <w:tc>
          <w:tcPr>
            <w:tcW w:w="1795" w:type="dxa"/>
            <w:tcMar>
              <w:left w:w="20" w:type="dxa"/>
              <w:right w:w="20" w:type="dxa"/>
            </w:tcMar>
          </w:tcPr>
          <w:p w14:paraId="707F2756" w14:textId="77777777" w:rsidR="00B31A07" w:rsidRPr="00B31A07" w:rsidRDefault="00B31A07" w:rsidP="1797D1E5">
            <w:pPr>
              <w:keepNext/>
              <w:keepLines/>
              <w:jc w:val="left"/>
              <w:rPr>
                <w:rFonts w:ascii="Arial Narrow" w:hAnsi="Arial Narrow"/>
                <w:snapToGrid w:val="0"/>
                <w:sz w:val="20"/>
                <w:szCs w:val="20"/>
                <w:lang w:val="en-GB"/>
              </w:rPr>
            </w:pPr>
            <w:r w:rsidRPr="00B31A07">
              <w:rPr>
                <w:rFonts w:ascii="Arial Narrow" w:hAnsi="Arial Narrow"/>
                <w:snapToGrid w:val="0"/>
                <w:sz w:val="20"/>
                <w:szCs w:val="20"/>
                <w:lang w:val="en-GB"/>
              </w:rPr>
              <w:t>Blinatumomab AEMP</w:t>
            </w:r>
          </w:p>
        </w:tc>
        <w:tc>
          <w:tcPr>
            <w:tcW w:w="2040" w:type="dxa"/>
            <w:tcMar>
              <w:left w:w="20" w:type="dxa"/>
              <w:right w:w="20" w:type="dxa"/>
            </w:tcMar>
          </w:tcPr>
          <w:p w14:paraId="5914F38B" w14:textId="77777777" w:rsidR="00B31A07" w:rsidRPr="00B31A07" w:rsidRDefault="00B31A07" w:rsidP="1797D1E5">
            <w:pPr>
              <w:keepNext/>
              <w:keepLines/>
              <w:jc w:val="left"/>
              <w:rPr>
                <w:rFonts w:ascii="Arial Narrow" w:hAnsi="Arial Narrow"/>
                <w:snapToGrid w:val="0"/>
                <w:sz w:val="20"/>
                <w:szCs w:val="20"/>
                <w:lang w:val="en-GB"/>
              </w:rPr>
            </w:pPr>
            <w:r w:rsidRPr="00B31A07">
              <w:rPr>
                <w:rFonts w:ascii="Arial Narrow" w:hAnsi="Arial Narrow"/>
                <w:snapToGrid w:val="0"/>
                <w:sz w:val="20"/>
                <w:szCs w:val="20"/>
                <w:lang w:val="en-GB"/>
              </w:rPr>
              <w:t>Revised to equal that in the MRD-positive population</w:t>
            </w:r>
          </w:p>
        </w:tc>
        <w:tc>
          <w:tcPr>
            <w:tcW w:w="2760" w:type="dxa"/>
            <w:tcMar>
              <w:left w:w="20" w:type="dxa"/>
              <w:right w:w="20" w:type="dxa"/>
            </w:tcMar>
          </w:tcPr>
          <w:p w14:paraId="13D00B84" w14:textId="77777777" w:rsidR="00B31A07" w:rsidRPr="00B31A07" w:rsidRDefault="00B31A07" w:rsidP="1797D1E5">
            <w:pPr>
              <w:keepNext/>
              <w:keepLines/>
              <w:jc w:val="left"/>
              <w:rPr>
                <w:rFonts w:ascii="Arial Narrow" w:hAnsi="Arial Narrow"/>
                <w:snapToGrid w:val="0"/>
                <w:sz w:val="20"/>
                <w:szCs w:val="20"/>
                <w:lang w:val="en-GB"/>
              </w:rPr>
            </w:pPr>
            <w:r w:rsidRPr="00B31A07">
              <w:rPr>
                <w:rFonts w:ascii="Arial Narrow" w:hAnsi="Arial Narrow"/>
                <w:snapToGrid w:val="0"/>
                <w:sz w:val="20"/>
                <w:szCs w:val="20"/>
                <w:lang w:val="en-GB"/>
              </w:rPr>
              <w:t>As per July 2024 pre-PBAC response</w:t>
            </w:r>
          </w:p>
        </w:tc>
        <w:tc>
          <w:tcPr>
            <w:tcW w:w="2520" w:type="dxa"/>
            <w:tcMar>
              <w:left w:w="20" w:type="dxa"/>
              <w:right w:w="20" w:type="dxa"/>
            </w:tcMar>
          </w:tcPr>
          <w:p w14:paraId="2F568FA3" w14:textId="4864ED3A" w:rsidR="00B31A07" w:rsidRPr="00B31A07" w:rsidRDefault="00B31A07" w:rsidP="1797D1E5">
            <w:pPr>
              <w:keepNext/>
              <w:keepLines/>
              <w:rPr>
                <w:rFonts w:ascii="Arial Narrow" w:hAnsi="Arial Narrow"/>
                <w:snapToGrid w:val="0"/>
                <w:sz w:val="20"/>
                <w:szCs w:val="20"/>
                <w:lang w:val="en-GB"/>
              </w:rPr>
            </w:pPr>
            <w:r w:rsidRPr="00B31A07">
              <w:rPr>
                <w:rFonts w:ascii="Arial Narrow" w:hAnsi="Arial Narrow"/>
                <w:snapToGrid w:val="0"/>
                <w:sz w:val="20"/>
                <w:szCs w:val="20"/>
                <w:lang w:val="en-GB"/>
              </w:rPr>
              <w:t>$</w:t>
            </w:r>
            <w:r w:rsidR="001A0FFE" w:rsidRPr="001A0FFE">
              <w:rPr>
                <w:rFonts w:ascii="Arial Narrow" w:hAnsi="Arial Narrow"/>
                <w:snapToGrid w:val="0"/>
                <w:color w:val="000000"/>
                <w:spacing w:val="9"/>
                <w:sz w:val="20"/>
                <w:szCs w:val="20"/>
                <w:shd w:val="solid" w:color="000000" w:fill="000000"/>
                <w:fitText w:val="307" w:id="-764127986"/>
                <w:lang w:val="en-GB"/>
                <w14:textFill>
                  <w14:solidFill>
                    <w14:srgbClr w14:val="000000">
                      <w14:alpha w14:val="100000"/>
                    </w14:srgbClr>
                  </w14:solidFill>
                </w14:textFill>
              </w:rPr>
              <w:t>|</w:t>
            </w:r>
            <w:proofErr w:type="gramStart"/>
            <w:r w:rsidR="001A0FFE" w:rsidRPr="001A0FFE">
              <w:rPr>
                <w:rFonts w:ascii="Arial Narrow" w:hAnsi="Arial Narrow"/>
                <w:snapToGrid w:val="0"/>
                <w:color w:val="000000"/>
                <w:spacing w:val="9"/>
                <w:sz w:val="20"/>
                <w:szCs w:val="20"/>
                <w:shd w:val="solid" w:color="000000" w:fill="000000"/>
                <w:fitText w:val="307" w:id="-764127986"/>
                <w:lang w:val="en-GB"/>
                <w14:textFill>
                  <w14:solidFill>
                    <w14:srgbClr w14:val="000000">
                      <w14:alpha w14:val="100000"/>
                    </w14:srgbClr>
                  </w14:solidFill>
                </w14:textFill>
              </w:rPr>
              <w:t>|  |</w:t>
            </w:r>
            <w:proofErr w:type="gramEnd"/>
            <w:r w:rsidR="001A0FFE" w:rsidRPr="001A0FFE">
              <w:rPr>
                <w:rFonts w:ascii="Arial Narrow" w:hAnsi="Arial Narrow"/>
                <w:snapToGrid w:val="0"/>
                <w:color w:val="000000"/>
                <w:spacing w:val="1"/>
                <w:sz w:val="20"/>
                <w:szCs w:val="20"/>
                <w:shd w:val="solid" w:color="000000" w:fill="000000"/>
                <w:fitText w:val="307" w:id="-764127986"/>
                <w:lang w:val="en-GB"/>
                <w14:textFill>
                  <w14:solidFill>
                    <w14:srgbClr w14:val="000000">
                      <w14:alpha w14:val="100000"/>
                    </w14:srgbClr>
                  </w14:solidFill>
                </w14:textFill>
              </w:rPr>
              <w:t>|</w:t>
            </w:r>
            <w:r w:rsidRPr="00B31A07">
              <w:rPr>
                <w:rFonts w:ascii="Arial Narrow" w:hAnsi="Arial Narrow"/>
                <w:snapToGrid w:val="0"/>
                <w:sz w:val="20"/>
                <w:szCs w:val="20"/>
                <w:lang w:val="en-GB"/>
              </w:rPr>
              <w:t xml:space="preserve"> per vial</w:t>
            </w:r>
          </w:p>
          <w:p w14:paraId="26D11B09" w14:textId="146A678D" w:rsidR="00B31A07" w:rsidRPr="00B31A07" w:rsidRDefault="00B31A07" w:rsidP="1797D1E5">
            <w:pPr>
              <w:keepNext/>
              <w:keepLines/>
              <w:rPr>
                <w:rFonts w:ascii="Arial Narrow" w:hAnsi="Arial Narrow"/>
                <w:snapToGrid w:val="0"/>
                <w:sz w:val="20"/>
                <w:szCs w:val="20"/>
                <w:lang w:val="en-GB"/>
              </w:rPr>
            </w:pPr>
            <w:r w:rsidRPr="00B31A07">
              <w:rPr>
                <w:rFonts w:ascii="Arial Narrow" w:hAnsi="Arial Narrow"/>
                <w:snapToGrid w:val="0"/>
                <w:sz w:val="20"/>
                <w:szCs w:val="20"/>
                <w:lang w:val="en-GB"/>
              </w:rPr>
              <w:t>(reduced from $</w:t>
            </w:r>
            <w:r w:rsidR="001A0FFE" w:rsidRPr="001A0FFE">
              <w:rPr>
                <w:rFonts w:ascii="Arial Narrow" w:hAnsi="Arial Narrow"/>
                <w:snapToGrid w:val="0"/>
                <w:color w:val="000000"/>
                <w:spacing w:val="10"/>
                <w:sz w:val="20"/>
                <w:szCs w:val="20"/>
                <w:shd w:val="solid" w:color="000000" w:fill="000000"/>
                <w:fitText w:val="316" w:id="-764127985"/>
                <w:lang w:val="en-GB"/>
                <w14:textFill>
                  <w14:solidFill>
                    <w14:srgbClr w14:val="000000">
                      <w14:alpha w14:val="100000"/>
                    </w14:srgbClr>
                  </w14:solidFill>
                </w14:textFill>
              </w:rPr>
              <w:t>|</w:t>
            </w:r>
            <w:proofErr w:type="gramStart"/>
            <w:r w:rsidR="001A0FFE" w:rsidRPr="001A0FFE">
              <w:rPr>
                <w:rFonts w:ascii="Arial Narrow" w:hAnsi="Arial Narrow"/>
                <w:snapToGrid w:val="0"/>
                <w:color w:val="000000"/>
                <w:spacing w:val="10"/>
                <w:sz w:val="20"/>
                <w:szCs w:val="20"/>
                <w:shd w:val="solid" w:color="000000" w:fill="000000"/>
                <w:fitText w:val="316" w:id="-764127985"/>
                <w:lang w:val="en-GB"/>
                <w14:textFill>
                  <w14:solidFill>
                    <w14:srgbClr w14:val="000000">
                      <w14:alpha w14:val="100000"/>
                    </w14:srgbClr>
                  </w14:solidFill>
                </w14:textFill>
              </w:rPr>
              <w:t>|  |</w:t>
            </w:r>
            <w:proofErr w:type="gramEnd"/>
            <w:r w:rsidR="001A0FFE" w:rsidRPr="001A0FFE">
              <w:rPr>
                <w:rFonts w:ascii="Arial Narrow" w:hAnsi="Arial Narrow"/>
                <w:snapToGrid w:val="0"/>
                <w:color w:val="000000"/>
                <w:spacing w:val="5"/>
                <w:sz w:val="20"/>
                <w:szCs w:val="20"/>
                <w:shd w:val="solid" w:color="000000" w:fill="000000"/>
                <w:fitText w:val="316" w:id="-764127985"/>
                <w:lang w:val="en-GB"/>
                <w14:textFill>
                  <w14:solidFill>
                    <w14:srgbClr w14:val="000000">
                      <w14:alpha w14:val="100000"/>
                    </w14:srgbClr>
                  </w14:solidFill>
                </w14:textFill>
              </w:rPr>
              <w:t>|</w:t>
            </w:r>
            <w:r w:rsidRPr="00B31A07">
              <w:rPr>
                <w:rFonts w:ascii="Arial Narrow" w:hAnsi="Arial Narrow"/>
                <w:snapToGrid w:val="0"/>
                <w:sz w:val="20"/>
                <w:szCs w:val="20"/>
                <w:lang w:val="en-GB"/>
              </w:rPr>
              <w:t>)</w:t>
            </w:r>
          </w:p>
        </w:tc>
      </w:tr>
    </w:tbl>
    <w:p w14:paraId="088A3923" w14:textId="77777777" w:rsidR="00B31A07" w:rsidRPr="00B31A07" w:rsidRDefault="00B31A07" w:rsidP="1797D1E5">
      <w:pPr>
        <w:keepNext/>
        <w:keepLines/>
        <w:rPr>
          <w:rFonts w:ascii="Arial Narrow" w:hAnsi="Arial Narrow"/>
          <w:snapToGrid w:val="0"/>
          <w:sz w:val="18"/>
          <w:szCs w:val="18"/>
        </w:rPr>
      </w:pPr>
      <w:r w:rsidRPr="00B31A07">
        <w:rPr>
          <w:rFonts w:ascii="Arial Narrow" w:hAnsi="Arial Narrow"/>
          <w:snapToGrid w:val="0"/>
          <w:sz w:val="18"/>
          <w:szCs w:val="18"/>
        </w:rPr>
        <w:t xml:space="preserve">Source: Compiled from sponsor proposal </w:t>
      </w:r>
    </w:p>
    <w:p w14:paraId="558E9BE6" w14:textId="77777777" w:rsidR="008D2BAE" w:rsidRDefault="00B31A07" w:rsidP="1797D1E5">
      <w:pPr>
        <w:pStyle w:val="TableFooter"/>
        <w:keepNext/>
        <w:keepLines/>
        <w:widowControl/>
        <w:spacing w:after="120"/>
        <w:contextualSpacing/>
        <w:rPr>
          <w:i/>
          <w:iCs/>
        </w:rPr>
      </w:pPr>
      <w:r>
        <w:t>AEMP = approved ex-manufacturer price; AIHW = Australian Institute of Health and Welfare; MRD = minimal residual disease</w:t>
      </w:r>
      <w:r w:rsidR="008D2BAE" w:rsidRPr="1797D1E5">
        <w:rPr>
          <w:i/>
          <w:iCs/>
        </w:rPr>
        <w:t xml:space="preserve"> </w:t>
      </w:r>
    </w:p>
    <w:p w14:paraId="686B5E7F" w14:textId="0EFB30DF" w:rsidR="008D2BAE" w:rsidRPr="00862762" w:rsidRDefault="008D2BAE" w:rsidP="1797D1E5">
      <w:pPr>
        <w:pStyle w:val="TableFooter"/>
        <w:keepNext/>
        <w:keepLines/>
        <w:widowControl/>
        <w:spacing w:after="120"/>
        <w:contextualSpacing/>
        <w:rPr>
          <w:i/>
          <w:iCs/>
        </w:rPr>
      </w:pPr>
      <w:r w:rsidRPr="1797D1E5">
        <w:rPr>
          <w:i/>
          <w:iCs/>
        </w:rPr>
        <w:t>The redacted values correspond to the following ranges</w:t>
      </w:r>
    </w:p>
    <w:p w14:paraId="39BE99EE" w14:textId="3B721437" w:rsidR="00B31A07" w:rsidRPr="00B31A07" w:rsidRDefault="008D2BAE" w:rsidP="004D5C66">
      <w:pPr>
        <w:pStyle w:val="TableFooter"/>
        <w:spacing w:after="120"/>
        <w:contextualSpacing/>
        <w:rPr>
          <w:i/>
          <w:iCs/>
        </w:rPr>
      </w:pPr>
      <w:r w:rsidRPr="1797D1E5">
        <w:rPr>
          <w:i/>
          <w:iCs/>
        </w:rPr>
        <w:t>1 &lt; 500</w:t>
      </w:r>
    </w:p>
    <w:p w14:paraId="60240B5D" w14:textId="77777777" w:rsidR="00B31A07" w:rsidRPr="00B31A07" w:rsidRDefault="00B31A07" w:rsidP="00B31A07">
      <w:pPr>
        <w:numPr>
          <w:ilvl w:val="1"/>
          <w:numId w:val="5"/>
        </w:numPr>
        <w:spacing w:after="120"/>
        <w:ind w:left="720"/>
        <w:rPr>
          <w:rFonts w:asciiTheme="minorHAnsi" w:hAnsiTheme="minorHAnsi"/>
          <w:snapToGrid w:val="0"/>
        </w:rPr>
      </w:pPr>
      <w:r w:rsidRPr="00B31A07">
        <w:rPr>
          <w:rFonts w:asciiTheme="minorHAnsi" w:hAnsiTheme="minorHAnsi"/>
          <w:snapToGrid w:val="0"/>
        </w:rPr>
        <w:fldChar w:fldCharType="begin" w:fldLock="1"/>
      </w:r>
      <w:r w:rsidRPr="00B31A07">
        <w:rPr>
          <w:rFonts w:asciiTheme="minorHAnsi" w:hAnsiTheme="minorHAnsi"/>
          <w:snapToGrid w:val="0"/>
        </w:rPr>
        <w:instrText xml:space="preserve"> REF _Ref183525369 \h </w:instrText>
      </w:r>
      <w:r w:rsidRPr="00B31A07">
        <w:rPr>
          <w:rFonts w:asciiTheme="minorHAnsi" w:hAnsiTheme="minorHAnsi"/>
          <w:snapToGrid w:val="0"/>
        </w:rPr>
      </w:r>
      <w:r w:rsidRPr="00B31A07">
        <w:rPr>
          <w:rFonts w:asciiTheme="minorHAnsi" w:hAnsiTheme="minorHAnsi"/>
          <w:snapToGrid w:val="0"/>
        </w:rPr>
        <w:fldChar w:fldCharType="separate"/>
      </w:r>
      <w:r w:rsidRPr="00B31A07">
        <w:rPr>
          <w:rFonts w:asciiTheme="minorHAnsi" w:hAnsiTheme="minorHAnsi"/>
          <w:snapToGrid w:val="0"/>
        </w:rPr>
        <w:t xml:space="preserve">Table </w:t>
      </w:r>
      <w:r w:rsidRPr="00B31A07">
        <w:rPr>
          <w:rFonts w:asciiTheme="minorHAnsi" w:hAnsiTheme="minorHAnsi"/>
          <w:noProof/>
          <w:snapToGrid w:val="0"/>
        </w:rPr>
        <w:t>21</w:t>
      </w:r>
      <w:r w:rsidRPr="00B31A07">
        <w:rPr>
          <w:rFonts w:asciiTheme="minorHAnsi" w:hAnsiTheme="minorHAnsi"/>
          <w:snapToGrid w:val="0"/>
        </w:rPr>
        <w:fldChar w:fldCharType="end"/>
      </w:r>
      <w:r w:rsidRPr="00B31A07">
        <w:rPr>
          <w:rFonts w:asciiTheme="minorHAnsi" w:hAnsiTheme="minorHAnsi"/>
          <w:snapToGrid w:val="0"/>
        </w:rPr>
        <w:t xml:space="preserve"> presents the revised financial estimates.</w:t>
      </w:r>
    </w:p>
    <w:p w14:paraId="61D4C8B3" w14:textId="77777777" w:rsidR="00B31A07" w:rsidRPr="00B31A07" w:rsidRDefault="00B31A07" w:rsidP="00B31A07">
      <w:pPr>
        <w:keepNext/>
        <w:jc w:val="left"/>
        <w:rPr>
          <w:rFonts w:ascii="Arial Narrow" w:eastAsiaTheme="majorEastAsia" w:hAnsi="Arial Narrow" w:cstheme="majorBidi"/>
          <w:b/>
          <w:bCs/>
          <w:snapToGrid w:val="0"/>
          <w:sz w:val="20"/>
          <w:szCs w:val="20"/>
          <w:lang w:val="en-GB"/>
        </w:rPr>
      </w:pPr>
      <w:bookmarkStart w:id="88" w:name="_Ref183525369"/>
      <w:r w:rsidRPr="00B31A07">
        <w:rPr>
          <w:rFonts w:ascii="Arial Narrow" w:eastAsiaTheme="majorEastAsia" w:hAnsi="Arial Narrow" w:cstheme="majorBidi"/>
          <w:b/>
          <w:bCs/>
          <w:sz w:val="20"/>
        </w:rPr>
        <w:lastRenderedPageBreak/>
        <w:t xml:space="preserve">Table </w:t>
      </w:r>
      <w:r w:rsidRPr="00B31A07">
        <w:rPr>
          <w:rFonts w:ascii="Arial Narrow" w:eastAsiaTheme="majorEastAsia" w:hAnsi="Arial Narrow" w:cstheme="majorBidi"/>
          <w:b/>
          <w:bCs/>
          <w:sz w:val="20"/>
        </w:rPr>
        <w:fldChar w:fldCharType="begin" w:fldLock="1"/>
      </w:r>
      <w:r w:rsidRPr="00B31A07">
        <w:rPr>
          <w:rFonts w:ascii="Arial Narrow" w:eastAsiaTheme="majorEastAsia" w:hAnsi="Arial Narrow" w:cstheme="majorBidi"/>
          <w:b/>
          <w:bCs/>
          <w:sz w:val="20"/>
        </w:rPr>
        <w:instrText xml:space="preserve"> SEQ Table \* ARABIC </w:instrText>
      </w:r>
      <w:r w:rsidRPr="00B31A07">
        <w:rPr>
          <w:rFonts w:ascii="Arial Narrow" w:eastAsiaTheme="majorEastAsia" w:hAnsi="Arial Narrow" w:cstheme="majorBidi"/>
          <w:b/>
          <w:bCs/>
          <w:sz w:val="20"/>
        </w:rPr>
        <w:fldChar w:fldCharType="separate"/>
      </w:r>
      <w:r w:rsidRPr="00B31A07">
        <w:rPr>
          <w:rFonts w:ascii="Arial Narrow" w:eastAsiaTheme="majorEastAsia" w:hAnsi="Arial Narrow" w:cstheme="majorBidi"/>
          <w:b/>
          <w:bCs/>
          <w:noProof/>
          <w:sz w:val="20"/>
        </w:rPr>
        <w:t>21</w:t>
      </w:r>
      <w:r w:rsidRPr="00B31A07">
        <w:rPr>
          <w:rFonts w:ascii="Arial Narrow" w:eastAsiaTheme="majorEastAsia" w:hAnsi="Arial Narrow" w:cstheme="majorBidi"/>
          <w:b/>
          <w:bCs/>
          <w:noProof/>
          <w:sz w:val="20"/>
        </w:rPr>
        <w:fldChar w:fldCharType="end"/>
      </w:r>
      <w:bookmarkEnd w:id="88"/>
      <w:r w:rsidRPr="00B31A07">
        <w:rPr>
          <w:rFonts w:ascii="Arial Narrow" w:eastAsiaTheme="majorEastAsia" w:hAnsi="Arial Narrow" w:cstheme="majorBidi"/>
          <w:b/>
          <w:bCs/>
          <w:snapToGrid w:val="0"/>
          <w:sz w:val="20"/>
          <w:szCs w:val="20"/>
          <w:lang w:val="en-GB"/>
        </w:rPr>
        <w:t>: Revised utilisation and financial estimates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21: Revised utilisation and financial estimates"/>
      </w:tblPr>
      <w:tblGrid>
        <w:gridCol w:w="2689"/>
        <w:gridCol w:w="1063"/>
        <w:gridCol w:w="1063"/>
        <w:gridCol w:w="1063"/>
        <w:gridCol w:w="1063"/>
        <w:gridCol w:w="1063"/>
        <w:gridCol w:w="1063"/>
      </w:tblGrid>
      <w:tr w:rsidR="00B31A07" w:rsidRPr="00B31A07" w14:paraId="176004E9" w14:textId="77777777" w:rsidTr="1797D1E5">
        <w:trPr>
          <w:tblHeader/>
        </w:trPr>
        <w:tc>
          <w:tcPr>
            <w:tcW w:w="2689" w:type="dxa"/>
            <w:tcBorders>
              <w:bottom w:val="single" w:sz="4" w:space="0" w:color="auto"/>
            </w:tcBorders>
            <w:shd w:val="clear" w:color="auto" w:fill="auto"/>
            <w:vAlign w:val="center"/>
          </w:tcPr>
          <w:p w14:paraId="3B2453AB" w14:textId="77777777" w:rsidR="00B31A07" w:rsidRPr="00B31A07" w:rsidRDefault="00B31A07" w:rsidP="00B31A07">
            <w:pPr>
              <w:keepNext/>
              <w:keepLines/>
              <w:jc w:val="left"/>
              <w:rPr>
                <w:rFonts w:ascii="Arial Narrow" w:hAnsi="Arial Narrow" w:cs="Times New Roman"/>
                <w:b/>
                <w:sz w:val="20"/>
                <w:szCs w:val="20"/>
                <w:lang w:eastAsia="en-US"/>
              </w:rPr>
            </w:pPr>
          </w:p>
        </w:tc>
        <w:tc>
          <w:tcPr>
            <w:tcW w:w="1063" w:type="dxa"/>
            <w:tcBorders>
              <w:bottom w:val="single" w:sz="4" w:space="0" w:color="auto"/>
            </w:tcBorders>
            <w:shd w:val="clear" w:color="auto" w:fill="auto"/>
            <w:vAlign w:val="center"/>
          </w:tcPr>
          <w:p w14:paraId="7BAA9C63" w14:textId="77777777" w:rsidR="00B31A07" w:rsidRPr="00B31A07" w:rsidRDefault="00B31A07" w:rsidP="00B31A07">
            <w:pPr>
              <w:keepNext/>
              <w:keepLines/>
              <w:jc w:val="center"/>
              <w:rPr>
                <w:rFonts w:ascii="Arial Narrow" w:hAnsi="Arial Narrow" w:cs="Times New Roman"/>
                <w:b/>
                <w:sz w:val="20"/>
                <w:szCs w:val="20"/>
                <w:lang w:eastAsia="en-US"/>
              </w:rPr>
            </w:pPr>
            <w:r w:rsidRPr="00B31A07">
              <w:rPr>
                <w:rFonts w:ascii="Arial Narrow" w:hAnsi="Arial Narrow" w:cs="Times New Roman"/>
                <w:b/>
                <w:sz w:val="20"/>
                <w:szCs w:val="20"/>
                <w:lang w:eastAsia="en-US"/>
              </w:rPr>
              <w:t>Year 1</w:t>
            </w:r>
          </w:p>
          <w:p w14:paraId="5B3E76ED" w14:textId="77777777" w:rsidR="00B31A07" w:rsidRPr="00B31A07" w:rsidRDefault="00B31A07" w:rsidP="00B31A07">
            <w:pPr>
              <w:keepNext/>
              <w:keepLines/>
              <w:jc w:val="center"/>
              <w:rPr>
                <w:rFonts w:ascii="Arial Narrow" w:hAnsi="Arial Narrow" w:cs="Times New Roman"/>
                <w:b/>
                <w:sz w:val="20"/>
                <w:szCs w:val="20"/>
                <w:lang w:eastAsia="en-US"/>
              </w:rPr>
            </w:pPr>
            <w:r w:rsidRPr="00B31A07">
              <w:rPr>
                <w:rFonts w:ascii="Arial Narrow" w:hAnsi="Arial Narrow" w:cs="Times New Roman"/>
                <w:b/>
                <w:sz w:val="20"/>
                <w:szCs w:val="20"/>
                <w:lang w:eastAsia="en-US"/>
              </w:rPr>
              <w:t>(2025)</w:t>
            </w:r>
          </w:p>
        </w:tc>
        <w:tc>
          <w:tcPr>
            <w:tcW w:w="1063" w:type="dxa"/>
            <w:tcBorders>
              <w:bottom w:val="single" w:sz="4" w:space="0" w:color="auto"/>
            </w:tcBorders>
            <w:shd w:val="clear" w:color="auto" w:fill="auto"/>
            <w:vAlign w:val="center"/>
          </w:tcPr>
          <w:p w14:paraId="066550C5" w14:textId="77777777" w:rsidR="00B31A07" w:rsidRPr="00B31A07" w:rsidRDefault="00B31A07" w:rsidP="00B31A07">
            <w:pPr>
              <w:keepNext/>
              <w:keepLines/>
              <w:jc w:val="center"/>
              <w:rPr>
                <w:rFonts w:ascii="Arial Narrow" w:hAnsi="Arial Narrow" w:cs="Times New Roman"/>
                <w:b/>
                <w:sz w:val="20"/>
                <w:szCs w:val="20"/>
                <w:lang w:eastAsia="en-US"/>
              </w:rPr>
            </w:pPr>
            <w:r w:rsidRPr="00B31A07">
              <w:rPr>
                <w:rFonts w:ascii="Arial Narrow" w:hAnsi="Arial Narrow" w:cs="Times New Roman"/>
                <w:b/>
                <w:sz w:val="20"/>
                <w:szCs w:val="20"/>
                <w:lang w:eastAsia="en-US"/>
              </w:rPr>
              <w:t>Year 2</w:t>
            </w:r>
          </w:p>
          <w:p w14:paraId="77D853E7" w14:textId="77777777" w:rsidR="00B31A07" w:rsidRPr="00B31A07" w:rsidRDefault="00B31A07" w:rsidP="00B31A07">
            <w:pPr>
              <w:keepNext/>
              <w:keepLines/>
              <w:jc w:val="center"/>
              <w:rPr>
                <w:rFonts w:ascii="Arial Narrow" w:hAnsi="Arial Narrow" w:cs="Times New Roman"/>
                <w:b/>
                <w:sz w:val="20"/>
                <w:szCs w:val="20"/>
                <w:lang w:eastAsia="en-US"/>
              </w:rPr>
            </w:pPr>
            <w:r w:rsidRPr="00B31A07">
              <w:rPr>
                <w:rFonts w:ascii="Arial Narrow" w:hAnsi="Arial Narrow" w:cs="Times New Roman"/>
                <w:b/>
                <w:sz w:val="20"/>
                <w:szCs w:val="20"/>
                <w:lang w:eastAsia="en-US"/>
              </w:rPr>
              <w:t>(2026)</w:t>
            </w:r>
          </w:p>
        </w:tc>
        <w:tc>
          <w:tcPr>
            <w:tcW w:w="1063" w:type="dxa"/>
            <w:tcBorders>
              <w:bottom w:val="single" w:sz="4" w:space="0" w:color="auto"/>
            </w:tcBorders>
            <w:shd w:val="clear" w:color="auto" w:fill="auto"/>
            <w:vAlign w:val="center"/>
          </w:tcPr>
          <w:p w14:paraId="4117C9EA" w14:textId="77777777" w:rsidR="00B31A07" w:rsidRPr="00B31A07" w:rsidRDefault="00B31A07" w:rsidP="00B31A07">
            <w:pPr>
              <w:keepNext/>
              <w:keepLines/>
              <w:jc w:val="center"/>
              <w:rPr>
                <w:rFonts w:ascii="Arial Narrow" w:hAnsi="Arial Narrow" w:cs="Times New Roman"/>
                <w:b/>
                <w:sz w:val="20"/>
                <w:szCs w:val="20"/>
                <w:lang w:eastAsia="en-US"/>
              </w:rPr>
            </w:pPr>
            <w:r w:rsidRPr="00B31A07">
              <w:rPr>
                <w:rFonts w:ascii="Arial Narrow" w:hAnsi="Arial Narrow" w:cs="Times New Roman"/>
                <w:b/>
                <w:sz w:val="20"/>
                <w:szCs w:val="20"/>
                <w:lang w:eastAsia="en-US"/>
              </w:rPr>
              <w:t>Year 3</w:t>
            </w:r>
          </w:p>
          <w:p w14:paraId="48A9FFBB" w14:textId="77777777" w:rsidR="00B31A07" w:rsidRPr="00B31A07" w:rsidRDefault="00B31A07" w:rsidP="00B31A07">
            <w:pPr>
              <w:keepNext/>
              <w:keepLines/>
              <w:jc w:val="center"/>
              <w:rPr>
                <w:rFonts w:ascii="Arial Narrow" w:hAnsi="Arial Narrow" w:cs="Times New Roman"/>
                <w:b/>
                <w:sz w:val="20"/>
                <w:szCs w:val="20"/>
                <w:lang w:eastAsia="en-US"/>
              </w:rPr>
            </w:pPr>
            <w:r w:rsidRPr="00B31A07">
              <w:rPr>
                <w:rFonts w:ascii="Arial Narrow" w:hAnsi="Arial Narrow" w:cs="Times New Roman"/>
                <w:b/>
                <w:sz w:val="20"/>
                <w:szCs w:val="20"/>
                <w:lang w:eastAsia="en-US"/>
              </w:rPr>
              <w:t>(2027)</w:t>
            </w:r>
          </w:p>
        </w:tc>
        <w:tc>
          <w:tcPr>
            <w:tcW w:w="1063" w:type="dxa"/>
            <w:tcBorders>
              <w:bottom w:val="single" w:sz="4" w:space="0" w:color="auto"/>
            </w:tcBorders>
            <w:shd w:val="clear" w:color="auto" w:fill="auto"/>
            <w:vAlign w:val="center"/>
          </w:tcPr>
          <w:p w14:paraId="3CC48E16" w14:textId="77777777" w:rsidR="00B31A07" w:rsidRPr="00B31A07" w:rsidRDefault="00B31A07" w:rsidP="00B31A07">
            <w:pPr>
              <w:keepNext/>
              <w:keepLines/>
              <w:jc w:val="center"/>
              <w:rPr>
                <w:rFonts w:ascii="Arial Narrow" w:hAnsi="Arial Narrow" w:cs="Times New Roman"/>
                <w:b/>
                <w:sz w:val="20"/>
                <w:szCs w:val="20"/>
                <w:lang w:eastAsia="en-US"/>
              </w:rPr>
            </w:pPr>
            <w:r w:rsidRPr="00B31A07">
              <w:rPr>
                <w:rFonts w:ascii="Arial Narrow" w:hAnsi="Arial Narrow" w:cs="Times New Roman"/>
                <w:b/>
                <w:sz w:val="20"/>
                <w:szCs w:val="20"/>
                <w:lang w:eastAsia="en-US"/>
              </w:rPr>
              <w:t>Year 4</w:t>
            </w:r>
          </w:p>
          <w:p w14:paraId="5B8BC412" w14:textId="77777777" w:rsidR="00B31A07" w:rsidRPr="00B31A07" w:rsidRDefault="00B31A07" w:rsidP="00B31A07">
            <w:pPr>
              <w:keepNext/>
              <w:keepLines/>
              <w:jc w:val="center"/>
              <w:rPr>
                <w:rFonts w:ascii="Arial Narrow" w:hAnsi="Arial Narrow" w:cs="Times New Roman"/>
                <w:b/>
                <w:sz w:val="20"/>
                <w:szCs w:val="20"/>
                <w:lang w:eastAsia="en-US"/>
              </w:rPr>
            </w:pPr>
            <w:r w:rsidRPr="00B31A07">
              <w:rPr>
                <w:rFonts w:ascii="Arial Narrow" w:hAnsi="Arial Narrow" w:cs="Times New Roman"/>
                <w:b/>
                <w:sz w:val="20"/>
                <w:szCs w:val="20"/>
                <w:lang w:eastAsia="en-US"/>
              </w:rPr>
              <w:t>(2028)</w:t>
            </w:r>
          </w:p>
        </w:tc>
        <w:tc>
          <w:tcPr>
            <w:tcW w:w="1063" w:type="dxa"/>
            <w:tcBorders>
              <w:bottom w:val="single" w:sz="4" w:space="0" w:color="auto"/>
            </w:tcBorders>
            <w:shd w:val="clear" w:color="auto" w:fill="auto"/>
            <w:vAlign w:val="center"/>
          </w:tcPr>
          <w:p w14:paraId="1BEDDDD4" w14:textId="77777777" w:rsidR="00B31A07" w:rsidRPr="00B31A07" w:rsidRDefault="00B31A07" w:rsidP="00B31A07">
            <w:pPr>
              <w:keepNext/>
              <w:keepLines/>
              <w:jc w:val="center"/>
              <w:rPr>
                <w:rFonts w:ascii="Arial Narrow" w:hAnsi="Arial Narrow" w:cs="Times New Roman"/>
                <w:b/>
                <w:sz w:val="20"/>
                <w:szCs w:val="20"/>
                <w:lang w:eastAsia="en-US"/>
              </w:rPr>
            </w:pPr>
            <w:r w:rsidRPr="00B31A07">
              <w:rPr>
                <w:rFonts w:ascii="Arial Narrow" w:hAnsi="Arial Narrow" w:cs="Times New Roman"/>
                <w:b/>
                <w:sz w:val="20"/>
                <w:szCs w:val="20"/>
                <w:lang w:eastAsia="en-US"/>
              </w:rPr>
              <w:t>Year 5</w:t>
            </w:r>
          </w:p>
          <w:p w14:paraId="0F63C817" w14:textId="77777777" w:rsidR="00B31A07" w:rsidRPr="00B31A07" w:rsidRDefault="00B31A07" w:rsidP="00B31A07">
            <w:pPr>
              <w:keepNext/>
              <w:keepLines/>
              <w:jc w:val="center"/>
              <w:rPr>
                <w:rFonts w:ascii="Arial Narrow" w:hAnsi="Arial Narrow" w:cs="Times New Roman"/>
                <w:b/>
                <w:sz w:val="20"/>
                <w:szCs w:val="20"/>
                <w:lang w:eastAsia="en-US"/>
              </w:rPr>
            </w:pPr>
            <w:r w:rsidRPr="00B31A07">
              <w:rPr>
                <w:rFonts w:ascii="Arial Narrow" w:hAnsi="Arial Narrow" w:cs="Times New Roman"/>
                <w:b/>
                <w:sz w:val="20"/>
                <w:szCs w:val="20"/>
                <w:lang w:eastAsia="en-US"/>
              </w:rPr>
              <w:t>(2029)</w:t>
            </w:r>
          </w:p>
        </w:tc>
        <w:tc>
          <w:tcPr>
            <w:tcW w:w="1063" w:type="dxa"/>
            <w:tcBorders>
              <w:bottom w:val="single" w:sz="4" w:space="0" w:color="auto"/>
            </w:tcBorders>
            <w:shd w:val="clear" w:color="auto" w:fill="auto"/>
            <w:vAlign w:val="center"/>
          </w:tcPr>
          <w:p w14:paraId="01FFC512" w14:textId="77777777" w:rsidR="00B31A07" w:rsidRPr="00B31A07" w:rsidRDefault="00B31A07" w:rsidP="00B31A07">
            <w:pPr>
              <w:keepNext/>
              <w:keepLines/>
              <w:jc w:val="center"/>
              <w:rPr>
                <w:rFonts w:ascii="Arial Narrow" w:hAnsi="Arial Narrow" w:cs="Times New Roman"/>
                <w:b/>
                <w:sz w:val="20"/>
                <w:szCs w:val="20"/>
                <w:lang w:eastAsia="en-US"/>
              </w:rPr>
            </w:pPr>
            <w:r w:rsidRPr="00B31A07">
              <w:rPr>
                <w:rFonts w:ascii="Arial Narrow" w:hAnsi="Arial Narrow" w:cs="Times New Roman"/>
                <w:b/>
                <w:sz w:val="20"/>
                <w:szCs w:val="20"/>
                <w:lang w:eastAsia="en-US"/>
              </w:rPr>
              <w:t>Year 6</w:t>
            </w:r>
          </w:p>
          <w:p w14:paraId="4C37E52E" w14:textId="77777777" w:rsidR="00B31A07" w:rsidRPr="00B31A07" w:rsidRDefault="00B31A07" w:rsidP="00B31A07">
            <w:pPr>
              <w:keepNext/>
              <w:keepLines/>
              <w:jc w:val="center"/>
              <w:rPr>
                <w:rFonts w:ascii="Arial Narrow" w:hAnsi="Arial Narrow" w:cs="Times New Roman"/>
                <w:b/>
                <w:sz w:val="20"/>
                <w:szCs w:val="20"/>
                <w:lang w:eastAsia="en-US"/>
              </w:rPr>
            </w:pPr>
            <w:r w:rsidRPr="00B31A07">
              <w:rPr>
                <w:rFonts w:ascii="Arial Narrow" w:hAnsi="Arial Narrow" w:cs="Times New Roman"/>
                <w:b/>
                <w:sz w:val="20"/>
                <w:szCs w:val="20"/>
                <w:lang w:eastAsia="en-US"/>
              </w:rPr>
              <w:t>(2030)</w:t>
            </w:r>
          </w:p>
        </w:tc>
      </w:tr>
      <w:tr w:rsidR="00B31A07" w:rsidRPr="00B31A07" w14:paraId="470C16B7" w14:textId="77777777" w:rsidTr="1797D1E5">
        <w:tc>
          <w:tcPr>
            <w:tcW w:w="9067" w:type="dxa"/>
            <w:gridSpan w:val="7"/>
            <w:tcBorders>
              <w:bottom w:val="single" w:sz="4" w:space="0" w:color="auto"/>
            </w:tcBorders>
            <w:shd w:val="clear" w:color="auto" w:fill="auto"/>
            <w:vAlign w:val="center"/>
          </w:tcPr>
          <w:p w14:paraId="59A9180A" w14:textId="77777777" w:rsidR="00B31A07" w:rsidRPr="00B31A07" w:rsidRDefault="00B31A07" w:rsidP="00B31A07">
            <w:pPr>
              <w:keepNext/>
              <w:keepLines/>
              <w:jc w:val="left"/>
              <w:rPr>
                <w:rFonts w:ascii="Arial Narrow" w:hAnsi="Arial Narrow" w:cs="Times New Roman"/>
                <w:b/>
                <w:sz w:val="20"/>
                <w:szCs w:val="20"/>
                <w:lang w:eastAsia="en-US"/>
              </w:rPr>
            </w:pPr>
            <w:r w:rsidRPr="00B31A07">
              <w:rPr>
                <w:rFonts w:ascii="Arial Narrow" w:hAnsi="Arial Narrow" w:cs="Times New Roman"/>
                <w:b/>
                <w:sz w:val="20"/>
                <w:szCs w:val="20"/>
                <w:lang w:eastAsia="en-US"/>
              </w:rPr>
              <w:t>Estimated eligible patient population and extent of use of blinatumomab on the PBS</w:t>
            </w:r>
          </w:p>
        </w:tc>
      </w:tr>
      <w:tr w:rsidR="00B31A07" w:rsidRPr="00B31A07" w14:paraId="2ED7AF5F" w14:textId="77777777" w:rsidTr="1797D1E5">
        <w:tc>
          <w:tcPr>
            <w:tcW w:w="2689" w:type="dxa"/>
            <w:tcBorders>
              <w:bottom w:val="nil"/>
            </w:tcBorders>
            <w:shd w:val="clear" w:color="auto" w:fill="auto"/>
            <w:vAlign w:val="center"/>
          </w:tcPr>
          <w:p w14:paraId="35D05794" w14:textId="77777777" w:rsidR="00B31A07" w:rsidRPr="00B31A07" w:rsidRDefault="00B31A07" w:rsidP="00B31A07">
            <w:pPr>
              <w:keepNext/>
              <w:keepLines/>
              <w:jc w:val="left"/>
              <w:rPr>
                <w:rFonts w:ascii="Arial Narrow" w:hAnsi="Arial Narrow" w:cs="Times New Roman"/>
                <w:sz w:val="20"/>
                <w:szCs w:val="20"/>
                <w:lang w:eastAsia="en-US"/>
              </w:rPr>
            </w:pPr>
            <w:r w:rsidRPr="00B31A07">
              <w:rPr>
                <w:rFonts w:ascii="Arial Narrow" w:hAnsi="Arial Narrow" w:cs="Times New Roman"/>
                <w:sz w:val="20"/>
                <w:szCs w:val="20"/>
                <w:lang w:eastAsia="en-US"/>
              </w:rPr>
              <w:t>Patients treated with blinatumomab</w:t>
            </w:r>
          </w:p>
        </w:tc>
        <w:tc>
          <w:tcPr>
            <w:tcW w:w="1063" w:type="dxa"/>
            <w:tcBorders>
              <w:top w:val="single" w:sz="4" w:space="0" w:color="auto"/>
              <w:left w:val="nil"/>
              <w:bottom w:val="nil"/>
              <w:right w:val="single" w:sz="4" w:space="0" w:color="auto"/>
            </w:tcBorders>
            <w:shd w:val="clear" w:color="auto" w:fill="auto"/>
          </w:tcPr>
          <w:p w14:paraId="14BC8E3A" w14:textId="7B44E7C3" w:rsidR="00B31A07" w:rsidRPr="007776C6" w:rsidRDefault="001A0FFE" w:rsidP="00B31A07">
            <w:pPr>
              <w:keepNext/>
              <w:keepLines/>
              <w:jc w:val="center"/>
              <w:rPr>
                <w:rFonts w:ascii="Arial Narrow" w:hAnsi="Arial Narrow" w:cs="Times New Roman"/>
                <w:sz w:val="20"/>
                <w:szCs w:val="20"/>
                <w:highlight w:val="darkGray"/>
                <w:lang w:eastAsia="en-US"/>
              </w:rPr>
            </w:pPr>
            <w:r w:rsidRPr="001A0FFE">
              <w:rPr>
                <w:rFonts w:ascii="Arial Narrow" w:hAnsi="Arial Narrow" w:cs="Times New Roman"/>
                <w:color w:val="000000"/>
                <w:spacing w:val="52"/>
                <w:sz w:val="20"/>
                <w:szCs w:val="20"/>
                <w:shd w:val="solid" w:color="000000" w:fill="000000"/>
                <w:fitText w:val="327" w:id="-764127984"/>
                <w:lang w:eastAsia="en-US"/>
                <w14:textFill>
                  <w14:solidFill>
                    <w14:srgbClr w14:val="000000">
                      <w14:alpha w14:val="100000"/>
                    </w14:srgbClr>
                  </w14:solidFill>
                </w14:textFill>
              </w:rPr>
              <w:t>|||</w:t>
            </w:r>
            <w:r w:rsidRPr="001A0FFE">
              <w:rPr>
                <w:rFonts w:ascii="Arial Narrow" w:hAnsi="Arial Narrow" w:cs="Times New Roman"/>
                <w:color w:val="000000"/>
                <w:spacing w:val="1"/>
                <w:sz w:val="20"/>
                <w:szCs w:val="20"/>
                <w:shd w:val="solid" w:color="000000" w:fill="000000"/>
                <w:fitText w:val="327" w:id="-764127984"/>
                <w:lang w:eastAsia="en-US"/>
                <w14:textFill>
                  <w14:solidFill>
                    <w14:srgbClr w14:val="000000">
                      <w14:alpha w14:val="100000"/>
                    </w14:srgbClr>
                  </w14:solidFill>
                </w14:textFill>
              </w:rPr>
              <w:t>|</w:t>
            </w:r>
            <w:r w:rsidR="6283160D" w:rsidRPr="1797D1E5">
              <w:rPr>
                <w:rFonts w:ascii="Arial Narrow" w:hAnsi="Arial Narrow" w:cs="Times New Roman"/>
                <w:sz w:val="20"/>
                <w:szCs w:val="20"/>
                <w:vertAlign w:val="superscript"/>
                <w:lang w:eastAsia="en-US"/>
              </w:rPr>
              <w:t>1</w:t>
            </w:r>
          </w:p>
        </w:tc>
        <w:tc>
          <w:tcPr>
            <w:tcW w:w="1063" w:type="dxa"/>
            <w:tcBorders>
              <w:top w:val="single" w:sz="4" w:space="0" w:color="auto"/>
              <w:left w:val="single" w:sz="4" w:space="0" w:color="auto"/>
              <w:bottom w:val="nil"/>
              <w:right w:val="single" w:sz="4" w:space="0" w:color="auto"/>
            </w:tcBorders>
            <w:shd w:val="clear" w:color="auto" w:fill="auto"/>
          </w:tcPr>
          <w:p w14:paraId="20A90929" w14:textId="61AA274E" w:rsidR="00B31A07" w:rsidRPr="007776C6" w:rsidRDefault="001A0FFE" w:rsidP="00B31A07">
            <w:pPr>
              <w:keepNext/>
              <w:keepLines/>
              <w:jc w:val="center"/>
              <w:rPr>
                <w:rFonts w:ascii="Arial Narrow" w:hAnsi="Arial Narrow" w:cs="Times New Roman"/>
                <w:sz w:val="20"/>
                <w:szCs w:val="20"/>
                <w:highlight w:val="darkGray"/>
                <w:lang w:eastAsia="en-US"/>
              </w:rPr>
            </w:pPr>
            <w:r w:rsidRPr="001A0FFE">
              <w:rPr>
                <w:rFonts w:ascii="Arial Narrow" w:hAnsi="Arial Narrow" w:cs="Times New Roman"/>
                <w:color w:val="000000"/>
                <w:spacing w:val="52"/>
                <w:sz w:val="20"/>
                <w:szCs w:val="20"/>
                <w:shd w:val="solid" w:color="000000" w:fill="000000"/>
                <w:fitText w:val="327" w:id="-764128000"/>
                <w:lang w:eastAsia="en-US"/>
                <w14:textFill>
                  <w14:solidFill>
                    <w14:srgbClr w14:val="000000">
                      <w14:alpha w14:val="100000"/>
                    </w14:srgbClr>
                  </w14:solidFill>
                </w14:textFill>
              </w:rPr>
              <w:t>|||</w:t>
            </w:r>
            <w:r w:rsidRPr="001A0FFE">
              <w:rPr>
                <w:rFonts w:ascii="Arial Narrow" w:hAnsi="Arial Narrow" w:cs="Times New Roman"/>
                <w:color w:val="000000"/>
                <w:spacing w:val="1"/>
                <w:sz w:val="20"/>
                <w:szCs w:val="20"/>
                <w:shd w:val="solid" w:color="000000" w:fill="000000"/>
                <w:fitText w:val="327" w:id="-764128000"/>
                <w:lang w:eastAsia="en-US"/>
                <w14:textFill>
                  <w14:solidFill>
                    <w14:srgbClr w14:val="000000">
                      <w14:alpha w14:val="100000"/>
                    </w14:srgbClr>
                  </w14:solidFill>
                </w14:textFill>
              </w:rPr>
              <w:t>|</w:t>
            </w:r>
            <w:r w:rsidR="6283160D" w:rsidRPr="1797D1E5">
              <w:rPr>
                <w:rFonts w:ascii="Arial Narrow" w:hAnsi="Arial Narrow" w:cs="Times New Roman"/>
                <w:sz w:val="20"/>
                <w:szCs w:val="20"/>
                <w:vertAlign w:val="superscript"/>
                <w:lang w:eastAsia="en-US"/>
              </w:rPr>
              <w:t>1</w:t>
            </w:r>
          </w:p>
        </w:tc>
        <w:tc>
          <w:tcPr>
            <w:tcW w:w="1063" w:type="dxa"/>
            <w:tcBorders>
              <w:top w:val="single" w:sz="4" w:space="0" w:color="auto"/>
              <w:left w:val="single" w:sz="4" w:space="0" w:color="auto"/>
              <w:bottom w:val="nil"/>
              <w:right w:val="single" w:sz="4" w:space="0" w:color="auto"/>
            </w:tcBorders>
            <w:shd w:val="clear" w:color="auto" w:fill="auto"/>
          </w:tcPr>
          <w:p w14:paraId="0FD12551" w14:textId="49EDA895" w:rsidR="00B31A07" w:rsidRPr="007776C6" w:rsidRDefault="001A0FFE" w:rsidP="00B31A07">
            <w:pPr>
              <w:keepNext/>
              <w:keepLines/>
              <w:jc w:val="center"/>
              <w:rPr>
                <w:rFonts w:ascii="Arial Narrow" w:hAnsi="Arial Narrow" w:cs="Times New Roman"/>
                <w:sz w:val="20"/>
                <w:szCs w:val="20"/>
                <w:highlight w:val="darkGray"/>
                <w:lang w:eastAsia="en-US"/>
              </w:rPr>
            </w:pPr>
            <w:r w:rsidRPr="001A0FFE">
              <w:rPr>
                <w:rFonts w:ascii="Arial Narrow" w:hAnsi="Arial Narrow" w:cstheme="minorBidi"/>
                <w:color w:val="000000"/>
                <w:spacing w:val="52"/>
                <w:sz w:val="20"/>
                <w:szCs w:val="20"/>
                <w:shd w:val="solid" w:color="000000" w:fill="000000"/>
                <w:fitText w:val="327" w:id="-764127999"/>
                <w:lang w:eastAsia="en-US" w:bidi="hi-IN"/>
                <w14:textFill>
                  <w14:solidFill>
                    <w14:srgbClr w14:val="000000">
                      <w14:alpha w14:val="100000"/>
                    </w14:srgbClr>
                  </w14:solidFill>
                </w14:textFill>
              </w:rPr>
              <w:t>|||</w:t>
            </w:r>
            <w:r w:rsidRPr="001A0FFE">
              <w:rPr>
                <w:rFonts w:ascii="Arial Narrow" w:hAnsi="Arial Narrow" w:cstheme="minorBidi"/>
                <w:color w:val="000000"/>
                <w:spacing w:val="1"/>
                <w:sz w:val="20"/>
                <w:szCs w:val="20"/>
                <w:shd w:val="solid" w:color="000000" w:fill="000000"/>
                <w:fitText w:val="327" w:id="-764127999"/>
                <w:lang w:eastAsia="en-US" w:bidi="hi-IN"/>
                <w14:textFill>
                  <w14:solidFill>
                    <w14:srgbClr w14:val="000000">
                      <w14:alpha w14:val="100000"/>
                    </w14:srgbClr>
                  </w14:solidFill>
                </w14:textFill>
              </w:rPr>
              <w:t>|</w:t>
            </w:r>
            <w:r w:rsidR="6283160D" w:rsidRPr="1797D1E5">
              <w:rPr>
                <w:rFonts w:ascii="Arial Narrow" w:hAnsi="Arial Narrow" w:cs="Times New Roman"/>
                <w:sz w:val="20"/>
                <w:szCs w:val="20"/>
                <w:vertAlign w:val="superscript"/>
                <w:lang w:eastAsia="en-US"/>
              </w:rPr>
              <w:t>1</w:t>
            </w:r>
          </w:p>
        </w:tc>
        <w:tc>
          <w:tcPr>
            <w:tcW w:w="1063" w:type="dxa"/>
            <w:tcBorders>
              <w:top w:val="single" w:sz="4" w:space="0" w:color="auto"/>
              <w:left w:val="single" w:sz="4" w:space="0" w:color="auto"/>
              <w:bottom w:val="nil"/>
              <w:right w:val="single" w:sz="4" w:space="0" w:color="auto"/>
            </w:tcBorders>
            <w:shd w:val="clear" w:color="auto" w:fill="auto"/>
          </w:tcPr>
          <w:p w14:paraId="65914979" w14:textId="14768BC0" w:rsidR="00B31A07" w:rsidRPr="007776C6" w:rsidRDefault="001A0FFE" w:rsidP="00B31A07">
            <w:pPr>
              <w:keepNext/>
              <w:keepLines/>
              <w:jc w:val="center"/>
              <w:rPr>
                <w:rFonts w:ascii="Arial Narrow" w:hAnsi="Arial Narrow" w:cs="Times New Roman"/>
                <w:sz w:val="20"/>
                <w:szCs w:val="20"/>
                <w:highlight w:val="darkGray"/>
                <w:lang w:eastAsia="en-US"/>
              </w:rPr>
            </w:pPr>
            <w:r w:rsidRPr="001A0FFE">
              <w:rPr>
                <w:rFonts w:ascii="Arial Narrow" w:hAnsi="Arial Narrow" w:cs="Times New Roman"/>
                <w:color w:val="000000"/>
                <w:spacing w:val="52"/>
                <w:sz w:val="20"/>
                <w:szCs w:val="20"/>
                <w:shd w:val="solid" w:color="000000" w:fill="000000"/>
                <w:fitText w:val="327" w:id="-764127998"/>
                <w:lang w:eastAsia="en-US"/>
                <w14:textFill>
                  <w14:solidFill>
                    <w14:srgbClr w14:val="000000">
                      <w14:alpha w14:val="100000"/>
                    </w14:srgbClr>
                  </w14:solidFill>
                </w14:textFill>
              </w:rPr>
              <w:t>|||</w:t>
            </w:r>
            <w:r w:rsidRPr="001A0FFE">
              <w:rPr>
                <w:rFonts w:ascii="Arial Narrow" w:hAnsi="Arial Narrow" w:cs="Times New Roman"/>
                <w:color w:val="000000"/>
                <w:spacing w:val="1"/>
                <w:sz w:val="20"/>
                <w:szCs w:val="20"/>
                <w:shd w:val="solid" w:color="000000" w:fill="000000"/>
                <w:fitText w:val="327" w:id="-764127998"/>
                <w:lang w:eastAsia="en-US"/>
                <w14:textFill>
                  <w14:solidFill>
                    <w14:srgbClr w14:val="000000">
                      <w14:alpha w14:val="100000"/>
                    </w14:srgbClr>
                  </w14:solidFill>
                </w14:textFill>
              </w:rPr>
              <w:t>|</w:t>
            </w:r>
            <w:r w:rsidR="6283160D" w:rsidRPr="1797D1E5">
              <w:rPr>
                <w:rFonts w:ascii="Arial Narrow" w:hAnsi="Arial Narrow" w:cs="Times New Roman"/>
                <w:sz w:val="20"/>
                <w:szCs w:val="20"/>
                <w:vertAlign w:val="superscript"/>
                <w:lang w:eastAsia="en-US"/>
              </w:rPr>
              <w:t>1</w:t>
            </w:r>
          </w:p>
        </w:tc>
        <w:tc>
          <w:tcPr>
            <w:tcW w:w="1063" w:type="dxa"/>
            <w:tcBorders>
              <w:top w:val="single" w:sz="4" w:space="0" w:color="auto"/>
              <w:left w:val="single" w:sz="4" w:space="0" w:color="auto"/>
              <w:bottom w:val="nil"/>
              <w:right w:val="single" w:sz="4" w:space="0" w:color="auto"/>
            </w:tcBorders>
            <w:shd w:val="clear" w:color="auto" w:fill="auto"/>
          </w:tcPr>
          <w:p w14:paraId="11BC97E1" w14:textId="18DDE113" w:rsidR="00B31A07" w:rsidRPr="007776C6" w:rsidRDefault="001A0FFE" w:rsidP="00B31A07">
            <w:pPr>
              <w:keepNext/>
              <w:keepLines/>
              <w:jc w:val="center"/>
              <w:rPr>
                <w:rFonts w:ascii="Arial Narrow" w:hAnsi="Arial Narrow" w:cs="Times New Roman"/>
                <w:sz w:val="20"/>
                <w:szCs w:val="20"/>
                <w:highlight w:val="darkGray"/>
                <w:lang w:eastAsia="en-US"/>
              </w:rPr>
            </w:pPr>
            <w:r w:rsidRPr="001A0FFE">
              <w:rPr>
                <w:rFonts w:ascii="Arial Narrow" w:hAnsi="Arial Narrow" w:cs="Times New Roman"/>
                <w:color w:val="000000"/>
                <w:spacing w:val="52"/>
                <w:sz w:val="20"/>
                <w:szCs w:val="20"/>
                <w:shd w:val="solid" w:color="000000" w:fill="000000"/>
                <w:fitText w:val="327" w:id="-764127997"/>
                <w:lang w:eastAsia="en-US"/>
                <w14:textFill>
                  <w14:solidFill>
                    <w14:srgbClr w14:val="000000">
                      <w14:alpha w14:val="100000"/>
                    </w14:srgbClr>
                  </w14:solidFill>
                </w14:textFill>
              </w:rPr>
              <w:t>|||</w:t>
            </w:r>
            <w:r w:rsidRPr="001A0FFE">
              <w:rPr>
                <w:rFonts w:ascii="Arial Narrow" w:hAnsi="Arial Narrow" w:cs="Times New Roman"/>
                <w:color w:val="000000"/>
                <w:spacing w:val="1"/>
                <w:sz w:val="20"/>
                <w:szCs w:val="20"/>
                <w:shd w:val="solid" w:color="000000" w:fill="000000"/>
                <w:fitText w:val="327" w:id="-764127997"/>
                <w:lang w:eastAsia="en-US"/>
                <w14:textFill>
                  <w14:solidFill>
                    <w14:srgbClr w14:val="000000">
                      <w14:alpha w14:val="100000"/>
                    </w14:srgbClr>
                  </w14:solidFill>
                </w14:textFill>
              </w:rPr>
              <w:t>|</w:t>
            </w:r>
            <w:r w:rsidR="6283160D" w:rsidRPr="1797D1E5">
              <w:rPr>
                <w:rFonts w:ascii="Arial Narrow" w:hAnsi="Arial Narrow" w:cs="Times New Roman"/>
                <w:sz w:val="20"/>
                <w:szCs w:val="20"/>
                <w:vertAlign w:val="superscript"/>
                <w:lang w:eastAsia="en-US"/>
              </w:rPr>
              <w:t>1</w:t>
            </w:r>
          </w:p>
        </w:tc>
        <w:tc>
          <w:tcPr>
            <w:tcW w:w="1063" w:type="dxa"/>
            <w:tcBorders>
              <w:top w:val="single" w:sz="4" w:space="0" w:color="auto"/>
              <w:left w:val="single" w:sz="4" w:space="0" w:color="auto"/>
              <w:bottom w:val="nil"/>
              <w:right w:val="single" w:sz="4" w:space="0" w:color="auto"/>
            </w:tcBorders>
            <w:shd w:val="clear" w:color="auto" w:fill="auto"/>
          </w:tcPr>
          <w:p w14:paraId="0B1B3BF4" w14:textId="357F8A28" w:rsidR="00B31A07" w:rsidRPr="007776C6" w:rsidRDefault="001A0FFE" w:rsidP="00B31A07">
            <w:pPr>
              <w:keepNext/>
              <w:keepLines/>
              <w:jc w:val="center"/>
              <w:rPr>
                <w:rFonts w:ascii="Arial Narrow" w:hAnsi="Arial Narrow" w:cs="Times New Roman"/>
                <w:sz w:val="20"/>
                <w:szCs w:val="20"/>
                <w:highlight w:val="darkGray"/>
                <w:lang w:eastAsia="en-US"/>
              </w:rPr>
            </w:pPr>
            <w:r w:rsidRPr="001A0FFE">
              <w:rPr>
                <w:rFonts w:ascii="Arial Narrow" w:hAnsi="Arial Narrow" w:cs="Times New Roman"/>
                <w:color w:val="000000"/>
                <w:spacing w:val="52"/>
                <w:sz w:val="20"/>
                <w:szCs w:val="20"/>
                <w:shd w:val="solid" w:color="000000" w:fill="000000"/>
                <w:fitText w:val="327" w:id="-764127996"/>
                <w:lang w:eastAsia="en-US"/>
                <w14:textFill>
                  <w14:solidFill>
                    <w14:srgbClr w14:val="000000">
                      <w14:alpha w14:val="100000"/>
                    </w14:srgbClr>
                  </w14:solidFill>
                </w14:textFill>
              </w:rPr>
              <w:t>|||</w:t>
            </w:r>
            <w:r w:rsidRPr="001A0FFE">
              <w:rPr>
                <w:rFonts w:ascii="Arial Narrow" w:hAnsi="Arial Narrow" w:cs="Times New Roman"/>
                <w:color w:val="000000"/>
                <w:spacing w:val="1"/>
                <w:sz w:val="20"/>
                <w:szCs w:val="20"/>
                <w:shd w:val="solid" w:color="000000" w:fill="000000"/>
                <w:fitText w:val="327" w:id="-764127996"/>
                <w:lang w:eastAsia="en-US"/>
                <w14:textFill>
                  <w14:solidFill>
                    <w14:srgbClr w14:val="000000">
                      <w14:alpha w14:val="100000"/>
                    </w14:srgbClr>
                  </w14:solidFill>
                </w14:textFill>
              </w:rPr>
              <w:t>|</w:t>
            </w:r>
            <w:r w:rsidR="6283160D" w:rsidRPr="1797D1E5">
              <w:rPr>
                <w:rFonts w:ascii="Arial Narrow" w:hAnsi="Arial Narrow" w:cs="Times New Roman"/>
                <w:sz w:val="20"/>
                <w:szCs w:val="20"/>
                <w:vertAlign w:val="superscript"/>
                <w:lang w:eastAsia="en-US"/>
              </w:rPr>
              <w:t>1</w:t>
            </w:r>
          </w:p>
        </w:tc>
      </w:tr>
      <w:tr w:rsidR="00B31A07" w:rsidRPr="00B31A07" w14:paraId="0C0EA6E6" w14:textId="77777777" w:rsidTr="1797D1E5">
        <w:tc>
          <w:tcPr>
            <w:tcW w:w="9067" w:type="dxa"/>
            <w:gridSpan w:val="7"/>
            <w:tcBorders>
              <w:bottom w:val="single" w:sz="4" w:space="0" w:color="auto"/>
              <w:right w:val="single" w:sz="4" w:space="0" w:color="auto"/>
            </w:tcBorders>
            <w:shd w:val="clear" w:color="auto" w:fill="auto"/>
            <w:vAlign w:val="center"/>
          </w:tcPr>
          <w:p w14:paraId="236F9E0A" w14:textId="77777777" w:rsidR="00B31A07" w:rsidRPr="00B31A07" w:rsidRDefault="00B31A07" w:rsidP="00B31A07">
            <w:pPr>
              <w:keepNext/>
              <w:keepLines/>
              <w:jc w:val="left"/>
              <w:rPr>
                <w:rFonts w:ascii="Arial Narrow" w:hAnsi="Arial Narrow" w:cs="Times New Roman"/>
                <w:b/>
                <w:bCs/>
                <w:sz w:val="20"/>
                <w:szCs w:val="20"/>
                <w:lang w:eastAsia="en-US"/>
              </w:rPr>
            </w:pPr>
            <w:r w:rsidRPr="00B31A07">
              <w:rPr>
                <w:rFonts w:ascii="Arial Narrow" w:hAnsi="Arial Narrow" w:cs="Times New Roman"/>
                <w:b/>
                <w:bCs/>
                <w:sz w:val="20"/>
                <w:szCs w:val="20"/>
                <w:lang w:eastAsia="en-US"/>
              </w:rPr>
              <w:t>Estimated total cost of blinatumomab to the PBS/RPBS</w:t>
            </w:r>
          </w:p>
        </w:tc>
      </w:tr>
      <w:tr w:rsidR="00B31A07" w:rsidRPr="00B31A07" w14:paraId="52798D7C" w14:textId="77777777" w:rsidTr="1797D1E5">
        <w:tc>
          <w:tcPr>
            <w:tcW w:w="2689" w:type="dxa"/>
            <w:shd w:val="clear" w:color="auto" w:fill="auto"/>
            <w:vAlign w:val="center"/>
          </w:tcPr>
          <w:p w14:paraId="2925810D" w14:textId="77777777" w:rsidR="00B31A07" w:rsidRPr="00B31A07" w:rsidRDefault="00B31A07" w:rsidP="00B31A07">
            <w:pPr>
              <w:keepNext/>
              <w:keepLines/>
              <w:jc w:val="left"/>
              <w:rPr>
                <w:rFonts w:ascii="Arial Narrow" w:hAnsi="Arial Narrow" w:cs="Times New Roman"/>
                <w:b/>
                <w:sz w:val="20"/>
                <w:szCs w:val="20"/>
                <w:lang w:eastAsia="en-US"/>
              </w:rPr>
            </w:pPr>
            <w:r w:rsidRPr="00B31A07">
              <w:rPr>
                <w:rFonts w:ascii="Arial Narrow" w:hAnsi="Arial Narrow" w:cs="Times New Roman"/>
                <w:b/>
                <w:sz w:val="20"/>
                <w:szCs w:val="20"/>
                <w:lang w:eastAsia="en-US"/>
              </w:rPr>
              <w:t>Total net PBS/RPBS cost less copayment (effective)</w:t>
            </w:r>
          </w:p>
        </w:tc>
        <w:tc>
          <w:tcPr>
            <w:tcW w:w="1063" w:type="dxa"/>
            <w:tcBorders>
              <w:top w:val="single" w:sz="4" w:space="0" w:color="auto"/>
              <w:left w:val="nil"/>
              <w:bottom w:val="single" w:sz="4" w:space="0" w:color="auto"/>
              <w:right w:val="single" w:sz="4" w:space="0" w:color="auto"/>
            </w:tcBorders>
            <w:shd w:val="clear" w:color="auto" w:fill="auto"/>
            <w:vAlign w:val="center"/>
          </w:tcPr>
          <w:p w14:paraId="1ED48BBE" w14:textId="50BD37BC" w:rsidR="00B31A07" w:rsidRPr="007776C6" w:rsidRDefault="001A0FFE" w:rsidP="00B31A07">
            <w:pPr>
              <w:keepNext/>
              <w:keepLines/>
              <w:jc w:val="center"/>
              <w:rPr>
                <w:rFonts w:ascii="Arial Narrow" w:hAnsi="Arial Narrow" w:cs="Calibri"/>
                <w:b/>
                <w:bCs/>
                <w:sz w:val="20"/>
                <w:szCs w:val="20"/>
                <w:highlight w:val="darkGray"/>
                <w:lang w:eastAsia="en-US"/>
              </w:rPr>
            </w:pPr>
            <w:r w:rsidRPr="007779E7">
              <w:rPr>
                <w:rFonts w:ascii="Arial Narrow" w:hAnsi="Arial Narrow"/>
                <w:b/>
                <w:bCs/>
                <w:color w:val="000000" w:themeColor="text1"/>
                <w:spacing w:val="56"/>
                <w:sz w:val="20"/>
                <w:szCs w:val="20"/>
                <w:shd w:val="solid" w:color="000000" w:fill="000000"/>
                <w:fitText w:val="353" w:id="-764127995"/>
                <w:lang w:eastAsia="en-US"/>
                <w14:textFill>
                  <w14:solidFill>
                    <w14:schemeClr w14:val="tx1">
                      <w14:alpha w14:val="100000"/>
                    </w14:schemeClr>
                  </w14:solidFill>
                </w14:textFill>
              </w:rPr>
              <w:t>|||</w:t>
            </w:r>
            <w:r w:rsidRPr="007779E7">
              <w:rPr>
                <w:rFonts w:ascii="Arial Narrow" w:hAnsi="Arial Narrow"/>
                <w:b/>
                <w:bCs/>
                <w:color w:val="000000" w:themeColor="text1"/>
                <w:spacing w:val="2"/>
                <w:sz w:val="20"/>
                <w:szCs w:val="20"/>
                <w:shd w:val="solid" w:color="000000" w:fill="000000"/>
                <w:fitText w:val="353" w:id="-764127995"/>
                <w:lang w:eastAsia="en-US"/>
                <w14:textFill>
                  <w14:solidFill>
                    <w14:schemeClr w14:val="tx1">
                      <w14:alpha w14:val="100000"/>
                    </w14:schemeClr>
                  </w14:solidFill>
                </w14:textFill>
              </w:rPr>
              <w:t>|</w:t>
            </w:r>
            <w:r w:rsidR="7B6CBC14" w:rsidRPr="1797D1E5">
              <w:rPr>
                <w:rFonts w:ascii="Arial Narrow" w:hAnsi="Arial Narrow"/>
                <w:b/>
                <w:bCs/>
                <w:color w:val="000000" w:themeColor="text1"/>
                <w:sz w:val="20"/>
                <w:szCs w:val="20"/>
                <w:vertAlign w:val="superscript"/>
                <w:lang w:eastAsia="en-US"/>
              </w:rPr>
              <w:t>2</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5B01BE74" w14:textId="43AB6FF4" w:rsidR="00B31A07" w:rsidRPr="007776C6" w:rsidRDefault="001A0FFE" w:rsidP="00B31A07">
            <w:pPr>
              <w:keepNext/>
              <w:keepLines/>
              <w:jc w:val="center"/>
              <w:rPr>
                <w:rFonts w:ascii="Arial Narrow" w:hAnsi="Arial Narrow" w:cs="Calibri"/>
                <w:b/>
                <w:bCs/>
                <w:sz w:val="20"/>
                <w:szCs w:val="20"/>
                <w:highlight w:val="darkGray"/>
                <w:lang w:eastAsia="en-US"/>
              </w:rPr>
            </w:pPr>
            <w:r w:rsidRPr="001A0FFE">
              <w:rPr>
                <w:rFonts w:ascii="Arial Narrow" w:hAnsi="Arial Narrow"/>
                <w:b/>
                <w:bCs/>
                <w:color w:val="000000" w:themeColor="text1"/>
                <w:spacing w:val="56"/>
                <w:sz w:val="20"/>
                <w:szCs w:val="20"/>
                <w:shd w:val="solid" w:color="000000" w:fill="000000"/>
                <w:fitText w:val="353" w:id="-764127994"/>
                <w:lang w:eastAsia="en-US"/>
                <w14:textFill>
                  <w14:solidFill>
                    <w14:schemeClr w14:val="tx1">
                      <w14:alpha w14:val="100000"/>
                    </w14:schemeClr>
                  </w14:solidFill>
                </w14:textFill>
              </w:rPr>
              <w:t>|||</w:t>
            </w:r>
            <w:r w:rsidRPr="001A0FFE">
              <w:rPr>
                <w:rFonts w:ascii="Arial Narrow" w:hAnsi="Arial Narrow"/>
                <w:b/>
                <w:bCs/>
                <w:color w:val="000000" w:themeColor="text1"/>
                <w:spacing w:val="2"/>
                <w:sz w:val="20"/>
                <w:szCs w:val="20"/>
                <w:shd w:val="solid" w:color="000000" w:fill="000000"/>
                <w:fitText w:val="353" w:id="-764127994"/>
                <w:lang w:eastAsia="en-US"/>
                <w14:textFill>
                  <w14:solidFill>
                    <w14:schemeClr w14:val="tx1">
                      <w14:alpha w14:val="100000"/>
                    </w14:schemeClr>
                  </w14:solidFill>
                </w14:textFill>
              </w:rPr>
              <w:t>|</w:t>
            </w:r>
            <w:r w:rsidR="7B6CBC14" w:rsidRPr="1797D1E5">
              <w:rPr>
                <w:rFonts w:ascii="Arial Narrow" w:hAnsi="Arial Narrow"/>
                <w:b/>
                <w:bCs/>
                <w:color w:val="000000" w:themeColor="text1"/>
                <w:sz w:val="20"/>
                <w:szCs w:val="20"/>
                <w:vertAlign w:val="superscript"/>
                <w:lang w:eastAsia="en-US"/>
              </w:rPr>
              <w:t>2</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6CF45E73" w14:textId="5BDCA2A1" w:rsidR="00B31A07" w:rsidRPr="007776C6" w:rsidRDefault="001A0FFE" w:rsidP="00B31A07">
            <w:pPr>
              <w:keepNext/>
              <w:keepLines/>
              <w:jc w:val="center"/>
              <w:rPr>
                <w:rFonts w:ascii="Arial Narrow" w:hAnsi="Arial Narrow" w:cs="Calibri"/>
                <w:b/>
                <w:bCs/>
                <w:sz w:val="20"/>
                <w:szCs w:val="20"/>
                <w:highlight w:val="darkGray"/>
                <w:lang w:eastAsia="en-US"/>
              </w:rPr>
            </w:pPr>
            <w:r w:rsidRPr="001A0FFE">
              <w:rPr>
                <w:rFonts w:ascii="Arial Narrow" w:hAnsi="Arial Narrow"/>
                <w:b/>
                <w:bCs/>
                <w:color w:val="000000" w:themeColor="text1"/>
                <w:spacing w:val="56"/>
                <w:sz w:val="20"/>
                <w:szCs w:val="20"/>
                <w:shd w:val="solid" w:color="000000" w:fill="000000"/>
                <w:fitText w:val="353" w:id="-764127993"/>
                <w:lang w:eastAsia="en-US"/>
                <w14:textFill>
                  <w14:solidFill>
                    <w14:schemeClr w14:val="tx1">
                      <w14:alpha w14:val="100000"/>
                    </w14:schemeClr>
                  </w14:solidFill>
                </w14:textFill>
              </w:rPr>
              <w:t>|||</w:t>
            </w:r>
            <w:r w:rsidRPr="001A0FFE">
              <w:rPr>
                <w:rFonts w:ascii="Arial Narrow" w:hAnsi="Arial Narrow"/>
                <w:b/>
                <w:bCs/>
                <w:color w:val="000000" w:themeColor="text1"/>
                <w:spacing w:val="2"/>
                <w:sz w:val="20"/>
                <w:szCs w:val="20"/>
                <w:shd w:val="solid" w:color="000000" w:fill="000000"/>
                <w:fitText w:val="353" w:id="-764127993"/>
                <w:lang w:eastAsia="en-US"/>
                <w14:textFill>
                  <w14:solidFill>
                    <w14:schemeClr w14:val="tx1">
                      <w14:alpha w14:val="100000"/>
                    </w14:schemeClr>
                  </w14:solidFill>
                </w14:textFill>
              </w:rPr>
              <w:t>|</w:t>
            </w:r>
            <w:r w:rsidR="7B6CBC14" w:rsidRPr="1797D1E5">
              <w:rPr>
                <w:rFonts w:ascii="Arial Narrow" w:hAnsi="Arial Narrow"/>
                <w:b/>
                <w:bCs/>
                <w:color w:val="000000" w:themeColor="text1"/>
                <w:sz w:val="20"/>
                <w:szCs w:val="20"/>
                <w:vertAlign w:val="superscript"/>
                <w:lang w:eastAsia="en-US"/>
              </w:rPr>
              <w:t>2</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75D85AB5" w14:textId="46834853" w:rsidR="00B31A07" w:rsidRPr="007776C6" w:rsidRDefault="001A0FFE" w:rsidP="00B31A07">
            <w:pPr>
              <w:keepNext/>
              <w:keepLines/>
              <w:jc w:val="center"/>
              <w:rPr>
                <w:rFonts w:ascii="Arial Narrow" w:hAnsi="Arial Narrow" w:cs="Calibri"/>
                <w:b/>
                <w:bCs/>
                <w:sz w:val="20"/>
                <w:szCs w:val="20"/>
                <w:highlight w:val="darkGray"/>
                <w:lang w:eastAsia="en-US"/>
              </w:rPr>
            </w:pPr>
            <w:r w:rsidRPr="001A0FFE">
              <w:rPr>
                <w:rFonts w:ascii="Arial Narrow" w:hAnsi="Arial Narrow"/>
                <w:b/>
                <w:bCs/>
                <w:color w:val="000000" w:themeColor="text1"/>
                <w:spacing w:val="56"/>
                <w:sz w:val="20"/>
                <w:szCs w:val="20"/>
                <w:shd w:val="solid" w:color="000000" w:fill="000000"/>
                <w:fitText w:val="353" w:id="-764127992"/>
                <w:lang w:eastAsia="en-US"/>
                <w14:textFill>
                  <w14:solidFill>
                    <w14:schemeClr w14:val="tx1">
                      <w14:alpha w14:val="100000"/>
                    </w14:schemeClr>
                  </w14:solidFill>
                </w14:textFill>
              </w:rPr>
              <w:t>|||</w:t>
            </w:r>
            <w:r w:rsidRPr="001A0FFE">
              <w:rPr>
                <w:rFonts w:ascii="Arial Narrow" w:hAnsi="Arial Narrow"/>
                <w:b/>
                <w:bCs/>
                <w:color w:val="000000" w:themeColor="text1"/>
                <w:spacing w:val="2"/>
                <w:sz w:val="20"/>
                <w:szCs w:val="20"/>
                <w:shd w:val="solid" w:color="000000" w:fill="000000"/>
                <w:fitText w:val="353" w:id="-764127992"/>
                <w:lang w:eastAsia="en-US"/>
                <w14:textFill>
                  <w14:solidFill>
                    <w14:schemeClr w14:val="tx1">
                      <w14:alpha w14:val="100000"/>
                    </w14:schemeClr>
                  </w14:solidFill>
                </w14:textFill>
              </w:rPr>
              <w:t>|</w:t>
            </w:r>
            <w:r w:rsidR="7B6CBC14" w:rsidRPr="1797D1E5">
              <w:rPr>
                <w:rFonts w:ascii="Arial Narrow" w:hAnsi="Arial Narrow"/>
                <w:b/>
                <w:bCs/>
                <w:color w:val="000000" w:themeColor="text1"/>
                <w:sz w:val="20"/>
                <w:szCs w:val="20"/>
                <w:vertAlign w:val="superscript"/>
                <w:lang w:eastAsia="en-US"/>
              </w:rPr>
              <w:t>2</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081CD88E" w14:textId="472DED6F" w:rsidR="00B31A07" w:rsidRPr="007776C6" w:rsidRDefault="001A0FFE" w:rsidP="00B31A07">
            <w:pPr>
              <w:keepNext/>
              <w:keepLines/>
              <w:jc w:val="center"/>
              <w:rPr>
                <w:rFonts w:ascii="Arial Narrow" w:hAnsi="Arial Narrow" w:cs="Calibri"/>
                <w:b/>
                <w:bCs/>
                <w:sz w:val="20"/>
                <w:szCs w:val="20"/>
                <w:highlight w:val="darkGray"/>
                <w:lang w:eastAsia="en-US"/>
              </w:rPr>
            </w:pPr>
            <w:r w:rsidRPr="001A0FFE">
              <w:rPr>
                <w:rFonts w:ascii="Arial Narrow" w:hAnsi="Arial Narrow"/>
                <w:b/>
                <w:bCs/>
                <w:color w:val="000000" w:themeColor="text1"/>
                <w:spacing w:val="56"/>
                <w:sz w:val="20"/>
                <w:szCs w:val="20"/>
                <w:shd w:val="solid" w:color="000000" w:fill="000000"/>
                <w:fitText w:val="354" w:id="-764127991"/>
                <w:lang w:eastAsia="en-US"/>
                <w14:textFill>
                  <w14:solidFill>
                    <w14:schemeClr w14:val="tx1">
                      <w14:alpha w14:val="100000"/>
                    </w14:schemeClr>
                  </w14:solidFill>
                </w14:textFill>
              </w:rPr>
              <w:t>|||</w:t>
            </w:r>
            <w:r w:rsidRPr="001A0FFE">
              <w:rPr>
                <w:rFonts w:ascii="Arial Narrow" w:hAnsi="Arial Narrow"/>
                <w:b/>
                <w:bCs/>
                <w:color w:val="000000" w:themeColor="text1"/>
                <w:spacing w:val="3"/>
                <w:sz w:val="20"/>
                <w:szCs w:val="20"/>
                <w:shd w:val="solid" w:color="000000" w:fill="000000"/>
                <w:fitText w:val="354" w:id="-764127991"/>
                <w:lang w:eastAsia="en-US"/>
                <w14:textFill>
                  <w14:solidFill>
                    <w14:schemeClr w14:val="tx1">
                      <w14:alpha w14:val="100000"/>
                    </w14:schemeClr>
                  </w14:solidFill>
                </w14:textFill>
              </w:rPr>
              <w:t>|</w:t>
            </w:r>
            <w:r w:rsidR="7B6CBC14" w:rsidRPr="1797D1E5">
              <w:rPr>
                <w:rFonts w:ascii="Arial Narrow" w:hAnsi="Arial Narrow"/>
                <w:b/>
                <w:bCs/>
                <w:color w:val="000000" w:themeColor="text1"/>
                <w:sz w:val="20"/>
                <w:szCs w:val="20"/>
                <w:vertAlign w:val="superscript"/>
                <w:lang w:eastAsia="en-US"/>
              </w:rPr>
              <w:t>2</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55AC6A5E" w14:textId="10999412" w:rsidR="00B31A07" w:rsidRPr="007776C6" w:rsidRDefault="001A0FFE" w:rsidP="00B31A07">
            <w:pPr>
              <w:keepNext/>
              <w:keepLines/>
              <w:jc w:val="center"/>
              <w:rPr>
                <w:rFonts w:ascii="Arial Narrow" w:hAnsi="Arial Narrow" w:cs="Calibri"/>
                <w:b/>
                <w:bCs/>
                <w:sz w:val="20"/>
                <w:szCs w:val="20"/>
                <w:highlight w:val="darkGray"/>
                <w:lang w:eastAsia="en-US"/>
              </w:rPr>
            </w:pPr>
            <w:r w:rsidRPr="001A0FFE">
              <w:rPr>
                <w:rFonts w:ascii="Arial Narrow" w:hAnsi="Arial Narrow"/>
                <w:b/>
                <w:bCs/>
                <w:color w:val="000000" w:themeColor="text1"/>
                <w:spacing w:val="56"/>
                <w:sz w:val="20"/>
                <w:szCs w:val="20"/>
                <w:shd w:val="solid" w:color="000000" w:fill="000000"/>
                <w:fitText w:val="353" w:id="-764127990"/>
                <w:lang w:eastAsia="en-US"/>
                <w14:textFill>
                  <w14:solidFill>
                    <w14:schemeClr w14:val="tx1">
                      <w14:alpha w14:val="100000"/>
                    </w14:schemeClr>
                  </w14:solidFill>
                </w14:textFill>
              </w:rPr>
              <w:t>|||</w:t>
            </w:r>
            <w:r w:rsidRPr="001A0FFE">
              <w:rPr>
                <w:rFonts w:ascii="Arial Narrow" w:hAnsi="Arial Narrow"/>
                <w:b/>
                <w:bCs/>
                <w:color w:val="000000" w:themeColor="text1"/>
                <w:spacing w:val="2"/>
                <w:sz w:val="20"/>
                <w:szCs w:val="20"/>
                <w:shd w:val="solid" w:color="000000" w:fill="000000"/>
                <w:fitText w:val="353" w:id="-764127990"/>
                <w:lang w:eastAsia="en-US"/>
                <w14:textFill>
                  <w14:solidFill>
                    <w14:schemeClr w14:val="tx1">
                      <w14:alpha w14:val="100000"/>
                    </w14:schemeClr>
                  </w14:solidFill>
                </w14:textFill>
              </w:rPr>
              <w:t>|</w:t>
            </w:r>
            <w:r w:rsidR="7B6CBC14" w:rsidRPr="1797D1E5">
              <w:rPr>
                <w:rFonts w:ascii="Arial Narrow" w:hAnsi="Arial Narrow"/>
                <w:b/>
                <w:bCs/>
                <w:color w:val="000000" w:themeColor="text1"/>
                <w:sz w:val="20"/>
                <w:szCs w:val="20"/>
                <w:vertAlign w:val="superscript"/>
                <w:lang w:eastAsia="en-US"/>
              </w:rPr>
              <w:t>2</w:t>
            </w:r>
          </w:p>
        </w:tc>
      </w:tr>
      <w:tr w:rsidR="00B31A07" w:rsidRPr="00B31A07" w14:paraId="75BB5C56" w14:textId="77777777" w:rsidTr="1797D1E5">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1C35B91F" w14:textId="77777777" w:rsidR="00B31A07" w:rsidRPr="00B31A07" w:rsidRDefault="00B31A07" w:rsidP="00B31A07">
            <w:pPr>
              <w:keepNext/>
              <w:keepLines/>
              <w:jc w:val="left"/>
              <w:rPr>
                <w:rFonts w:ascii="Arial Narrow" w:hAnsi="Arial Narrow" w:cs="Times New Roman"/>
                <w:bCs/>
                <w:sz w:val="20"/>
                <w:szCs w:val="20"/>
                <w:lang w:eastAsia="en-US"/>
              </w:rPr>
            </w:pPr>
            <w:r w:rsidRPr="00B31A07">
              <w:rPr>
                <w:rFonts w:ascii="Arial Narrow" w:hAnsi="Arial Narrow" w:cs="Times New Roman"/>
                <w:sz w:val="20"/>
                <w:szCs w:val="20"/>
                <w:lang w:eastAsia="en-US"/>
              </w:rPr>
              <w:t>Cost offsets (displaced R/R blinatumomab and inotuzumab)</w:t>
            </w:r>
          </w:p>
        </w:tc>
        <w:tc>
          <w:tcPr>
            <w:tcW w:w="1063" w:type="dxa"/>
            <w:tcBorders>
              <w:top w:val="single" w:sz="4" w:space="0" w:color="auto"/>
              <w:left w:val="nil"/>
              <w:bottom w:val="single" w:sz="4" w:space="0" w:color="auto"/>
              <w:right w:val="single" w:sz="4" w:space="0" w:color="auto"/>
            </w:tcBorders>
            <w:shd w:val="clear" w:color="auto" w:fill="auto"/>
            <w:vAlign w:val="center"/>
          </w:tcPr>
          <w:p w14:paraId="540BA364" w14:textId="72689DDF" w:rsidR="00B31A07" w:rsidRPr="007776C6" w:rsidRDefault="001A0FFE" w:rsidP="00B31A07">
            <w:pPr>
              <w:keepNext/>
              <w:keepLines/>
              <w:jc w:val="center"/>
              <w:rPr>
                <w:rFonts w:ascii="Arial Narrow" w:hAnsi="Arial Narrow" w:cs="Times New Roman"/>
                <w:sz w:val="20"/>
                <w:szCs w:val="20"/>
                <w:highlight w:val="darkGray"/>
                <w:lang w:eastAsia="en-US"/>
              </w:rPr>
            </w:pPr>
            <w:r w:rsidRPr="001A0FFE">
              <w:rPr>
                <w:rFonts w:ascii="Arial Narrow" w:hAnsi="Arial Narrow"/>
                <w:color w:val="000000"/>
                <w:spacing w:val="52"/>
                <w:sz w:val="20"/>
                <w:szCs w:val="20"/>
                <w:shd w:val="solid" w:color="000000" w:fill="000000"/>
                <w:fitText w:val="327" w:id="-764127989"/>
                <w:lang w:eastAsia="en-US"/>
                <w14:textFill>
                  <w14:solidFill>
                    <w14:srgbClr w14:val="000000">
                      <w14:alpha w14:val="100000"/>
                    </w14:srgbClr>
                  </w14:solidFill>
                </w14:textFill>
              </w:rPr>
              <w:t>|||</w:t>
            </w:r>
            <w:r w:rsidRPr="001A0FFE">
              <w:rPr>
                <w:rFonts w:ascii="Arial Narrow" w:hAnsi="Arial Narrow"/>
                <w:color w:val="000000"/>
                <w:spacing w:val="1"/>
                <w:sz w:val="20"/>
                <w:szCs w:val="20"/>
                <w:shd w:val="solid" w:color="000000" w:fill="000000"/>
                <w:fitText w:val="327" w:id="-764127989"/>
                <w:lang w:eastAsia="en-US"/>
                <w14:textFill>
                  <w14:solidFill>
                    <w14:srgbClr w14:val="000000">
                      <w14:alpha w14:val="100000"/>
                    </w14:srgbClr>
                  </w14:solidFill>
                </w14:textFill>
              </w:rPr>
              <w:t>|</w:t>
            </w:r>
            <w:r w:rsidR="3DA19629" w:rsidRPr="1797D1E5">
              <w:rPr>
                <w:rFonts w:ascii="Arial Narrow" w:hAnsi="Arial Narrow"/>
                <w:sz w:val="20"/>
                <w:szCs w:val="20"/>
                <w:vertAlign w:val="superscript"/>
                <w:lang w:eastAsia="en-US"/>
              </w:rPr>
              <w:t>3</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5D8817F5" w14:textId="5570AA1C" w:rsidR="00B31A07" w:rsidRPr="007776C6" w:rsidRDefault="001A0FFE" w:rsidP="00B31A07">
            <w:pPr>
              <w:keepNext/>
              <w:keepLines/>
              <w:jc w:val="center"/>
              <w:rPr>
                <w:rFonts w:ascii="Arial Narrow" w:hAnsi="Arial Narrow" w:cs="Times New Roman"/>
                <w:sz w:val="20"/>
                <w:szCs w:val="20"/>
                <w:highlight w:val="darkGray"/>
                <w:lang w:eastAsia="en-US"/>
              </w:rPr>
            </w:pPr>
            <w:r w:rsidRPr="001A0FFE">
              <w:rPr>
                <w:rFonts w:ascii="Arial Narrow" w:hAnsi="Arial Narrow"/>
                <w:color w:val="000000"/>
                <w:spacing w:val="52"/>
                <w:sz w:val="20"/>
                <w:szCs w:val="20"/>
                <w:shd w:val="solid" w:color="000000" w:fill="000000"/>
                <w:fitText w:val="327" w:id="-764127988"/>
                <w:lang w:eastAsia="en-US"/>
                <w14:textFill>
                  <w14:solidFill>
                    <w14:srgbClr w14:val="000000">
                      <w14:alpha w14:val="100000"/>
                    </w14:srgbClr>
                  </w14:solidFill>
                </w14:textFill>
              </w:rPr>
              <w:t>|||</w:t>
            </w:r>
            <w:r w:rsidRPr="001A0FFE">
              <w:rPr>
                <w:rFonts w:ascii="Arial Narrow" w:hAnsi="Arial Narrow"/>
                <w:color w:val="000000"/>
                <w:spacing w:val="1"/>
                <w:sz w:val="20"/>
                <w:szCs w:val="20"/>
                <w:shd w:val="solid" w:color="000000" w:fill="000000"/>
                <w:fitText w:val="327" w:id="-764127988"/>
                <w:lang w:eastAsia="en-US"/>
                <w14:textFill>
                  <w14:solidFill>
                    <w14:srgbClr w14:val="000000">
                      <w14:alpha w14:val="100000"/>
                    </w14:srgbClr>
                  </w14:solidFill>
                </w14:textFill>
              </w:rPr>
              <w:t>|</w:t>
            </w:r>
            <w:r w:rsidR="2BEF19E9" w:rsidRPr="1797D1E5">
              <w:rPr>
                <w:rFonts w:ascii="Arial Narrow" w:hAnsi="Arial Narrow"/>
                <w:sz w:val="20"/>
                <w:szCs w:val="20"/>
                <w:vertAlign w:val="superscript"/>
                <w:lang w:eastAsia="en-US"/>
              </w:rPr>
              <w:t>3</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490BE9AB" w14:textId="6EF8A19F" w:rsidR="00B31A07" w:rsidRPr="007776C6" w:rsidRDefault="001A0FFE" w:rsidP="00B31A07">
            <w:pPr>
              <w:keepNext/>
              <w:keepLines/>
              <w:jc w:val="center"/>
              <w:rPr>
                <w:rFonts w:ascii="Arial Narrow" w:hAnsi="Arial Narrow" w:cs="Times New Roman"/>
                <w:sz w:val="20"/>
                <w:szCs w:val="20"/>
                <w:highlight w:val="darkGray"/>
                <w:lang w:eastAsia="en-US"/>
              </w:rPr>
            </w:pPr>
            <w:r w:rsidRPr="001A0FFE">
              <w:rPr>
                <w:rFonts w:ascii="Arial Narrow" w:hAnsi="Arial Narrow"/>
                <w:color w:val="000000"/>
                <w:spacing w:val="52"/>
                <w:sz w:val="20"/>
                <w:szCs w:val="20"/>
                <w:shd w:val="solid" w:color="000000" w:fill="000000"/>
                <w:fitText w:val="327" w:id="-764127987"/>
                <w:lang w:eastAsia="en-US"/>
                <w14:textFill>
                  <w14:solidFill>
                    <w14:srgbClr w14:val="000000">
                      <w14:alpha w14:val="100000"/>
                    </w14:srgbClr>
                  </w14:solidFill>
                </w14:textFill>
              </w:rPr>
              <w:t>|||</w:t>
            </w:r>
            <w:r w:rsidRPr="001A0FFE">
              <w:rPr>
                <w:rFonts w:ascii="Arial Narrow" w:hAnsi="Arial Narrow"/>
                <w:color w:val="000000"/>
                <w:spacing w:val="1"/>
                <w:sz w:val="20"/>
                <w:szCs w:val="20"/>
                <w:shd w:val="solid" w:color="000000" w:fill="000000"/>
                <w:fitText w:val="327" w:id="-764127987"/>
                <w:lang w:eastAsia="en-US"/>
                <w14:textFill>
                  <w14:solidFill>
                    <w14:srgbClr w14:val="000000">
                      <w14:alpha w14:val="100000"/>
                    </w14:srgbClr>
                  </w14:solidFill>
                </w14:textFill>
              </w:rPr>
              <w:t>|</w:t>
            </w:r>
            <w:r w:rsidR="2BEF19E9" w:rsidRPr="1797D1E5">
              <w:rPr>
                <w:rFonts w:ascii="Arial Narrow" w:hAnsi="Arial Narrow"/>
                <w:sz w:val="20"/>
                <w:szCs w:val="20"/>
                <w:vertAlign w:val="superscript"/>
                <w:lang w:eastAsia="en-US"/>
              </w:rPr>
              <w:t>3</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691032E4" w14:textId="1B21B3B1" w:rsidR="00B31A07" w:rsidRPr="007776C6" w:rsidRDefault="001A0FFE" w:rsidP="00B31A07">
            <w:pPr>
              <w:keepNext/>
              <w:keepLines/>
              <w:jc w:val="center"/>
              <w:rPr>
                <w:rFonts w:ascii="Arial Narrow" w:hAnsi="Arial Narrow" w:cs="Times New Roman"/>
                <w:sz w:val="20"/>
                <w:szCs w:val="20"/>
                <w:highlight w:val="darkGray"/>
                <w:lang w:eastAsia="en-US"/>
              </w:rPr>
            </w:pPr>
            <w:r w:rsidRPr="001A0FFE">
              <w:rPr>
                <w:rFonts w:ascii="Arial Narrow" w:hAnsi="Arial Narrow"/>
                <w:color w:val="000000"/>
                <w:spacing w:val="52"/>
                <w:sz w:val="20"/>
                <w:szCs w:val="20"/>
                <w:shd w:val="solid" w:color="000000" w:fill="000000"/>
                <w:fitText w:val="327" w:id="-764127986"/>
                <w:lang w:eastAsia="en-US"/>
                <w14:textFill>
                  <w14:solidFill>
                    <w14:srgbClr w14:val="000000">
                      <w14:alpha w14:val="100000"/>
                    </w14:srgbClr>
                  </w14:solidFill>
                </w14:textFill>
              </w:rPr>
              <w:t>|||</w:t>
            </w:r>
            <w:r w:rsidRPr="001A0FFE">
              <w:rPr>
                <w:rFonts w:ascii="Arial Narrow" w:hAnsi="Arial Narrow"/>
                <w:color w:val="000000"/>
                <w:spacing w:val="1"/>
                <w:sz w:val="20"/>
                <w:szCs w:val="20"/>
                <w:shd w:val="solid" w:color="000000" w:fill="000000"/>
                <w:fitText w:val="327" w:id="-764127986"/>
                <w:lang w:eastAsia="en-US"/>
                <w14:textFill>
                  <w14:solidFill>
                    <w14:srgbClr w14:val="000000">
                      <w14:alpha w14:val="100000"/>
                    </w14:srgbClr>
                  </w14:solidFill>
                </w14:textFill>
              </w:rPr>
              <w:t>|</w:t>
            </w:r>
            <w:r w:rsidR="2BEF19E9" w:rsidRPr="1797D1E5">
              <w:rPr>
                <w:rFonts w:ascii="Arial Narrow" w:hAnsi="Arial Narrow"/>
                <w:sz w:val="20"/>
                <w:szCs w:val="20"/>
                <w:vertAlign w:val="superscript"/>
                <w:lang w:eastAsia="en-US"/>
              </w:rPr>
              <w:t>3</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2D7D32A4" w14:textId="280B2989" w:rsidR="00B31A07" w:rsidRPr="007776C6" w:rsidRDefault="001A0FFE" w:rsidP="00B31A07">
            <w:pPr>
              <w:keepNext/>
              <w:keepLines/>
              <w:jc w:val="center"/>
              <w:rPr>
                <w:rFonts w:ascii="Arial Narrow" w:hAnsi="Arial Narrow" w:cs="Times New Roman"/>
                <w:sz w:val="20"/>
                <w:szCs w:val="20"/>
                <w:highlight w:val="darkGray"/>
                <w:lang w:eastAsia="en-US"/>
              </w:rPr>
            </w:pPr>
            <w:r w:rsidRPr="001A0FFE">
              <w:rPr>
                <w:rFonts w:ascii="Arial Narrow" w:hAnsi="Arial Narrow"/>
                <w:color w:val="000000"/>
                <w:spacing w:val="52"/>
                <w:sz w:val="20"/>
                <w:szCs w:val="20"/>
                <w:shd w:val="solid" w:color="000000" w:fill="000000"/>
                <w:fitText w:val="327" w:id="-764127985"/>
                <w:lang w:eastAsia="en-US"/>
                <w14:textFill>
                  <w14:solidFill>
                    <w14:srgbClr w14:val="000000">
                      <w14:alpha w14:val="100000"/>
                    </w14:srgbClr>
                  </w14:solidFill>
                </w14:textFill>
              </w:rPr>
              <w:t>|||</w:t>
            </w:r>
            <w:r w:rsidRPr="001A0FFE">
              <w:rPr>
                <w:rFonts w:ascii="Arial Narrow" w:hAnsi="Arial Narrow"/>
                <w:color w:val="000000"/>
                <w:spacing w:val="1"/>
                <w:sz w:val="20"/>
                <w:szCs w:val="20"/>
                <w:shd w:val="solid" w:color="000000" w:fill="000000"/>
                <w:fitText w:val="327" w:id="-764127985"/>
                <w:lang w:eastAsia="en-US"/>
                <w14:textFill>
                  <w14:solidFill>
                    <w14:srgbClr w14:val="000000">
                      <w14:alpha w14:val="100000"/>
                    </w14:srgbClr>
                  </w14:solidFill>
                </w14:textFill>
              </w:rPr>
              <w:t>|</w:t>
            </w:r>
            <w:r w:rsidR="2BEF19E9" w:rsidRPr="1797D1E5">
              <w:rPr>
                <w:rFonts w:ascii="Arial Narrow" w:hAnsi="Arial Narrow"/>
                <w:sz w:val="20"/>
                <w:szCs w:val="20"/>
                <w:vertAlign w:val="superscript"/>
                <w:lang w:eastAsia="en-US"/>
              </w:rPr>
              <w:t>3</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370C80F1" w14:textId="655EA19A" w:rsidR="00B31A07" w:rsidRPr="007776C6" w:rsidRDefault="001A0FFE" w:rsidP="00B31A07">
            <w:pPr>
              <w:keepNext/>
              <w:keepLines/>
              <w:jc w:val="center"/>
              <w:rPr>
                <w:rFonts w:ascii="Arial Narrow" w:hAnsi="Arial Narrow" w:cs="Times New Roman"/>
                <w:sz w:val="20"/>
                <w:szCs w:val="20"/>
                <w:highlight w:val="darkGray"/>
                <w:lang w:eastAsia="en-US"/>
              </w:rPr>
            </w:pPr>
            <w:r w:rsidRPr="001A0FFE">
              <w:rPr>
                <w:rFonts w:ascii="Arial Narrow" w:hAnsi="Arial Narrow"/>
                <w:color w:val="000000"/>
                <w:spacing w:val="52"/>
                <w:sz w:val="20"/>
                <w:szCs w:val="20"/>
                <w:shd w:val="solid" w:color="000000" w:fill="000000"/>
                <w:fitText w:val="327" w:id="-764127984"/>
                <w:lang w:eastAsia="en-US"/>
                <w14:textFill>
                  <w14:solidFill>
                    <w14:srgbClr w14:val="000000">
                      <w14:alpha w14:val="100000"/>
                    </w14:srgbClr>
                  </w14:solidFill>
                </w14:textFill>
              </w:rPr>
              <w:t>|||</w:t>
            </w:r>
            <w:r w:rsidRPr="001A0FFE">
              <w:rPr>
                <w:rFonts w:ascii="Arial Narrow" w:hAnsi="Arial Narrow"/>
                <w:color w:val="000000"/>
                <w:spacing w:val="1"/>
                <w:sz w:val="20"/>
                <w:szCs w:val="20"/>
                <w:shd w:val="solid" w:color="000000" w:fill="000000"/>
                <w:fitText w:val="327" w:id="-764127984"/>
                <w:lang w:eastAsia="en-US"/>
                <w14:textFill>
                  <w14:solidFill>
                    <w14:srgbClr w14:val="000000">
                      <w14:alpha w14:val="100000"/>
                    </w14:srgbClr>
                  </w14:solidFill>
                </w14:textFill>
              </w:rPr>
              <w:t>|</w:t>
            </w:r>
            <w:r w:rsidR="2BEF19E9" w:rsidRPr="1797D1E5">
              <w:rPr>
                <w:rFonts w:ascii="Arial Narrow" w:hAnsi="Arial Narrow"/>
                <w:sz w:val="20"/>
                <w:szCs w:val="20"/>
                <w:vertAlign w:val="superscript"/>
                <w:lang w:eastAsia="en-US"/>
              </w:rPr>
              <w:t>3</w:t>
            </w:r>
          </w:p>
        </w:tc>
      </w:tr>
      <w:tr w:rsidR="00B31A07" w:rsidRPr="00B31A07" w14:paraId="6388CD52" w14:textId="77777777" w:rsidTr="1797D1E5">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2FD257B0" w14:textId="77777777" w:rsidR="00B31A07" w:rsidRPr="00B31A07" w:rsidRDefault="00B31A07" w:rsidP="00B31A07">
            <w:pPr>
              <w:keepNext/>
              <w:keepLines/>
              <w:jc w:val="left"/>
              <w:rPr>
                <w:rFonts w:ascii="Arial Narrow" w:hAnsi="Arial Narrow" w:cs="Times New Roman"/>
                <w:b/>
                <w:sz w:val="20"/>
                <w:szCs w:val="20"/>
                <w:lang w:eastAsia="en-US"/>
              </w:rPr>
            </w:pPr>
            <w:r w:rsidRPr="00B31A07">
              <w:rPr>
                <w:rFonts w:ascii="Arial Narrow" w:hAnsi="Arial Narrow" w:cs="Times New Roman"/>
                <w:b/>
                <w:sz w:val="20"/>
                <w:szCs w:val="20"/>
                <w:lang w:eastAsia="en-US"/>
              </w:rPr>
              <w:t>Total net PBS/RPBS cost less copayment</w:t>
            </w:r>
          </w:p>
        </w:tc>
        <w:tc>
          <w:tcPr>
            <w:tcW w:w="1063" w:type="dxa"/>
            <w:tcBorders>
              <w:top w:val="single" w:sz="4" w:space="0" w:color="auto"/>
              <w:left w:val="nil"/>
              <w:bottom w:val="single" w:sz="4" w:space="0" w:color="auto"/>
              <w:right w:val="single" w:sz="4" w:space="0" w:color="auto"/>
            </w:tcBorders>
            <w:shd w:val="clear" w:color="auto" w:fill="auto"/>
            <w:vAlign w:val="center"/>
          </w:tcPr>
          <w:p w14:paraId="337ACBF0" w14:textId="70BA4B69" w:rsidR="00B31A07" w:rsidRPr="007776C6" w:rsidRDefault="001A0FFE" w:rsidP="00B31A07">
            <w:pPr>
              <w:keepNext/>
              <w:keepLines/>
              <w:jc w:val="center"/>
              <w:rPr>
                <w:rFonts w:ascii="Arial Narrow" w:hAnsi="Arial Narrow" w:cs="Times New Roman"/>
                <w:b/>
                <w:bCs/>
                <w:sz w:val="20"/>
                <w:szCs w:val="20"/>
                <w:highlight w:val="darkGray"/>
                <w:lang w:eastAsia="en-US"/>
              </w:rPr>
            </w:pPr>
            <w:r w:rsidRPr="001A0FFE">
              <w:rPr>
                <w:rFonts w:ascii="Arial Narrow" w:hAnsi="Arial Narrow"/>
                <w:b/>
                <w:bCs/>
                <w:color w:val="000000" w:themeColor="text1"/>
                <w:spacing w:val="56"/>
                <w:sz w:val="20"/>
                <w:szCs w:val="20"/>
                <w:shd w:val="solid" w:color="000000" w:fill="000000"/>
                <w:fitText w:val="353" w:id="-764128000"/>
                <w:lang w:eastAsia="en-US"/>
                <w14:textFill>
                  <w14:solidFill>
                    <w14:schemeClr w14:val="tx1">
                      <w14:alpha w14:val="100000"/>
                    </w14:schemeClr>
                  </w14:solidFill>
                </w14:textFill>
              </w:rPr>
              <w:t>|||</w:t>
            </w:r>
            <w:r w:rsidRPr="001A0FFE">
              <w:rPr>
                <w:rFonts w:ascii="Arial Narrow" w:hAnsi="Arial Narrow"/>
                <w:b/>
                <w:bCs/>
                <w:color w:val="000000" w:themeColor="text1"/>
                <w:spacing w:val="2"/>
                <w:sz w:val="20"/>
                <w:szCs w:val="20"/>
                <w:shd w:val="solid" w:color="000000" w:fill="000000"/>
                <w:fitText w:val="353" w:id="-764128000"/>
                <w:lang w:eastAsia="en-US"/>
                <w14:textFill>
                  <w14:solidFill>
                    <w14:schemeClr w14:val="tx1">
                      <w14:alpha w14:val="100000"/>
                    </w14:schemeClr>
                  </w14:solidFill>
                </w14:textFill>
              </w:rPr>
              <w:t>|</w:t>
            </w:r>
            <w:r w:rsidR="7B6CBC14" w:rsidRPr="1797D1E5">
              <w:rPr>
                <w:rFonts w:ascii="Arial Narrow" w:hAnsi="Arial Narrow"/>
                <w:b/>
                <w:bCs/>
                <w:color w:val="000000" w:themeColor="text1"/>
                <w:sz w:val="20"/>
                <w:szCs w:val="20"/>
                <w:vertAlign w:val="superscript"/>
                <w:lang w:eastAsia="en-US"/>
              </w:rPr>
              <w:t>2</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08EE773B" w14:textId="1DF882B2" w:rsidR="00B31A07" w:rsidRPr="007776C6" w:rsidRDefault="001A0FFE" w:rsidP="00B31A07">
            <w:pPr>
              <w:keepNext/>
              <w:keepLines/>
              <w:jc w:val="center"/>
              <w:rPr>
                <w:rFonts w:ascii="Arial Narrow" w:hAnsi="Arial Narrow" w:cs="Times New Roman"/>
                <w:b/>
                <w:bCs/>
                <w:sz w:val="20"/>
                <w:szCs w:val="20"/>
                <w:highlight w:val="darkGray"/>
                <w:lang w:eastAsia="en-US"/>
              </w:rPr>
            </w:pPr>
            <w:r w:rsidRPr="001A0FFE">
              <w:rPr>
                <w:rFonts w:ascii="Arial Narrow" w:hAnsi="Arial Narrow"/>
                <w:b/>
                <w:bCs/>
                <w:color w:val="000000" w:themeColor="text1"/>
                <w:spacing w:val="56"/>
                <w:sz w:val="20"/>
                <w:szCs w:val="20"/>
                <w:shd w:val="solid" w:color="000000" w:fill="000000"/>
                <w:fitText w:val="353" w:id="-764127999"/>
                <w:lang w:eastAsia="en-US"/>
                <w14:textFill>
                  <w14:solidFill>
                    <w14:schemeClr w14:val="tx1">
                      <w14:alpha w14:val="100000"/>
                    </w14:schemeClr>
                  </w14:solidFill>
                </w14:textFill>
              </w:rPr>
              <w:t>|||</w:t>
            </w:r>
            <w:r w:rsidRPr="001A0FFE">
              <w:rPr>
                <w:rFonts w:ascii="Arial Narrow" w:hAnsi="Arial Narrow"/>
                <w:b/>
                <w:bCs/>
                <w:color w:val="000000" w:themeColor="text1"/>
                <w:spacing w:val="2"/>
                <w:sz w:val="20"/>
                <w:szCs w:val="20"/>
                <w:shd w:val="solid" w:color="000000" w:fill="000000"/>
                <w:fitText w:val="353" w:id="-764127999"/>
                <w:lang w:eastAsia="en-US"/>
                <w14:textFill>
                  <w14:solidFill>
                    <w14:schemeClr w14:val="tx1">
                      <w14:alpha w14:val="100000"/>
                    </w14:schemeClr>
                  </w14:solidFill>
                </w14:textFill>
              </w:rPr>
              <w:t>|</w:t>
            </w:r>
            <w:r w:rsidR="7B6CBC14" w:rsidRPr="1797D1E5">
              <w:rPr>
                <w:rFonts w:ascii="Arial Narrow" w:hAnsi="Arial Narrow"/>
                <w:b/>
                <w:bCs/>
                <w:color w:val="000000" w:themeColor="text1"/>
                <w:sz w:val="20"/>
                <w:szCs w:val="20"/>
                <w:vertAlign w:val="superscript"/>
                <w:lang w:eastAsia="en-US"/>
              </w:rPr>
              <w:t>2</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3F60B906" w14:textId="179189BF" w:rsidR="00B31A07" w:rsidRPr="007776C6" w:rsidRDefault="001A0FFE" w:rsidP="00B31A07">
            <w:pPr>
              <w:keepNext/>
              <w:keepLines/>
              <w:jc w:val="center"/>
              <w:rPr>
                <w:rFonts w:ascii="Arial Narrow" w:hAnsi="Arial Narrow" w:cs="Times New Roman"/>
                <w:b/>
                <w:bCs/>
                <w:sz w:val="20"/>
                <w:szCs w:val="20"/>
                <w:highlight w:val="darkGray"/>
                <w:lang w:eastAsia="en-US"/>
              </w:rPr>
            </w:pPr>
            <w:r w:rsidRPr="001A0FFE">
              <w:rPr>
                <w:rFonts w:ascii="Arial Narrow" w:hAnsi="Arial Narrow"/>
                <w:b/>
                <w:bCs/>
                <w:color w:val="000000" w:themeColor="text1"/>
                <w:spacing w:val="56"/>
                <w:sz w:val="20"/>
                <w:szCs w:val="20"/>
                <w:shd w:val="solid" w:color="000000" w:fill="000000"/>
                <w:fitText w:val="353" w:id="-764127998"/>
                <w:lang w:eastAsia="en-US"/>
                <w14:textFill>
                  <w14:solidFill>
                    <w14:schemeClr w14:val="tx1">
                      <w14:alpha w14:val="100000"/>
                    </w14:schemeClr>
                  </w14:solidFill>
                </w14:textFill>
              </w:rPr>
              <w:t>|||</w:t>
            </w:r>
            <w:r w:rsidRPr="001A0FFE">
              <w:rPr>
                <w:rFonts w:ascii="Arial Narrow" w:hAnsi="Arial Narrow"/>
                <w:b/>
                <w:bCs/>
                <w:color w:val="000000" w:themeColor="text1"/>
                <w:spacing w:val="2"/>
                <w:sz w:val="20"/>
                <w:szCs w:val="20"/>
                <w:shd w:val="solid" w:color="000000" w:fill="000000"/>
                <w:fitText w:val="353" w:id="-764127998"/>
                <w:lang w:eastAsia="en-US"/>
                <w14:textFill>
                  <w14:solidFill>
                    <w14:schemeClr w14:val="tx1">
                      <w14:alpha w14:val="100000"/>
                    </w14:schemeClr>
                  </w14:solidFill>
                </w14:textFill>
              </w:rPr>
              <w:t>|</w:t>
            </w:r>
            <w:r w:rsidR="7B6CBC14" w:rsidRPr="1797D1E5">
              <w:rPr>
                <w:rFonts w:ascii="Arial Narrow" w:hAnsi="Arial Narrow"/>
                <w:b/>
                <w:bCs/>
                <w:color w:val="000000" w:themeColor="text1"/>
                <w:sz w:val="20"/>
                <w:szCs w:val="20"/>
                <w:vertAlign w:val="superscript"/>
                <w:lang w:eastAsia="en-US"/>
              </w:rPr>
              <w:t>2</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7CA6E38F" w14:textId="7F002CF2" w:rsidR="00B31A07" w:rsidRPr="007776C6" w:rsidRDefault="001A0FFE" w:rsidP="00B31A07">
            <w:pPr>
              <w:keepNext/>
              <w:keepLines/>
              <w:jc w:val="center"/>
              <w:rPr>
                <w:rFonts w:ascii="Arial Narrow" w:hAnsi="Arial Narrow" w:cs="Times New Roman"/>
                <w:b/>
                <w:bCs/>
                <w:sz w:val="20"/>
                <w:szCs w:val="20"/>
                <w:highlight w:val="darkGray"/>
                <w:lang w:eastAsia="en-US"/>
              </w:rPr>
            </w:pPr>
            <w:r w:rsidRPr="001A0FFE">
              <w:rPr>
                <w:rFonts w:ascii="Arial Narrow" w:hAnsi="Arial Narrow"/>
                <w:b/>
                <w:bCs/>
                <w:color w:val="000000" w:themeColor="text1"/>
                <w:spacing w:val="56"/>
                <w:sz w:val="20"/>
                <w:szCs w:val="20"/>
                <w:shd w:val="solid" w:color="000000" w:fill="000000"/>
                <w:fitText w:val="353" w:id="-764127997"/>
                <w:lang w:eastAsia="en-US"/>
                <w14:textFill>
                  <w14:solidFill>
                    <w14:schemeClr w14:val="tx1">
                      <w14:alpha w14:val="100000"/>
                    </w14:schemeClr>
                  </w14:solidFill>
                </w14:textFill>
              </w:rPr>
              <w:t>|||</w:t>
            </w:r>
            <w:r w:rsidRPr="001A0FFE">
              <w:rPr>
                <w:rFonts w:ascii="Arial Narrow" w:hAnsi="Arial Narrow"/>
                <w:b/>
                <w:bCs/>
                <w:color w:val="000000" w:themeColor="text1"/>
                <w:spacing w:val="2"/>
                <w:sz w:val="20"/>
                <w:szCs w:val="20"/>
                <w:shd w:val="solid" w:color="000000" w:fill="000000"/>
                <w:fitText w:val="353" w:id="-764127997"/>
                <w:lang w:eastAsia="en-US"/>
                <w14:textFill>
                  <w14:solidFill>
                    <w14:schemeClr w14:val="tx1">
                      <w14:alpha w14:val="100000"/>
                    </w14:schemeClr>
                  </w14:solidFill>
                </w14:textFill>
              </w:rPr>
              <w:t>|</w:t>
            </w:r>
            <w:r w:rsidR="7B6CBC14" w:rsidRPr="1797D1E5">
              <w:rPr>
                <w:rFonts w:ascii="Arial Narrow" w:hAnsi="Arial Narrow"/>
                <w:b/>
                <w:bCs/>
                <w:color w:val="000000" w:themeColor="text1"/>
                <w:sz w:val="20"/>
                <w:szCs w:val="20"/>
                <w:vertAlign w:val="superscript"/>
                <w:lang w:eastAsia="en-US"/>
              </w:rPr>
              <w:t>2</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2974D09F" w14:textId="1F1BF0F1" w:rsidR="00B31A07" w:rsidRPr="007776C6" w:rsidRDefault="001A0FFE" w:rsidP="00B31A07">
            <w:pPr>
              <w:keepNext/>
              <w:keepLines/>
              <w:jc w:val="center"/>
              <w:rPr>
                <w:rFonts w:ascii="Arial Narrow" w:hAnsi="Arial Narrow" w:cs="Times New Roman"/>
                <w:b/>
                <w:bCs/>
                <w:sz w:val="20"/>
                <w:szCs w:val="20"/>
                <w:highlight w:val="darkGray"/>
                <w:lang w:eastAsia="en-US"/>
              </w:rPr>
            </w:pPr>
            <w:r w:rsidRPr="001A0FFE">
              <w:rPr>
                <w:rFonts w:ascii="Arial Narrow" w:hAnsi="Arial Narrow"/>
                <w:b/>
                <w:bCs/>
                <w:color w:val="000000" w:themeColor="text1"/>
                <w:spacing w:val="56"/>
                <w:sz w:val="20"/>
                <w:szCs w:val="20"/>
                <w:shd w:val="solid" w:color="000000" w:fill="000000"/>
                <w:fitText w:val="354" w:id="-764127996"/>
                <w:lang w:eastAsia="en-US"/>
                <w14:textFill>
                  <w14:solidFill>
                    <w14:schemeClr w14:val="tx1">
                      <w14:alpha w14:val="100000"/>
                    </w14:schemeClr>
                  </w14:solidFill>
                </w14:textFill>
              </w:rPr>
              <w:t>|||</w:t>
            </w:r>
            <w:r w:rsidRPr="001A0FFE">
              <w:rPr>
                <w:rFonts w:ascii="Arial Narrow" w:hAnsi="Arial Narrow"/>
                <w:b/>
                <w:bCs/>
                <w:color w:val="000000" w:themeColor="text1"/>
                <w:spacing w:val="3"/>
                <w:sz w:val="20"/>
                <w:szCs w:val="20"/>
                <w:shd w:val="solid" w:color="000000" w:fill="000000"/>
                <w:fitText w:val="354" w:id="-764127996"/>
                <w:lang w:eastAsia="en-US"/>
                <w14:textFill>
                  <w14:solidFill>
                    <w14:schemeClr w14:val="tx1">
                      <w14:alpha w14:val="100000"/>
                    </w14:schemeClr>
                  </w14:solidFill>
                </w14:textFill>
              </w:rPr>
              <w:t>|</w:t>
            </w:r>
            <w:r w:rsidR="7B6CBC14" w:rsidRPr="1797D1E5">
              <w:rPr>
                <w:rFonts w:ascii="Arial Narrow" w:hAnsi="Arial Narrow"/>
                <w:b/>
                <w:bCs/>
                <w:color w:val="000000" w:themeColor="text1"/>
                <w:sz w:val="20"/>
                <w:szCs w:val="20"/>
                <w:vertAlign w:val="superscript"/>
                <w:lang w:eastAsia="en-US"/>
              </w:rPr>
              <w:t>2</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01743E5B" w14:textId="2916EC39" w:rsidR="00B31A07" w:rsidRPr="007776C6" w:rsidRDefault="001A0FFE" w:rsidP="00B31A07">
            <w:pPr>
              <w:keepNext/>
              <w:keepLines/>
              <w:jc w:val="center"/>
              <w:rPr>
                <w:rFonts w:ascii="Arial Narrow" w:hAnsi="Arial Narrow" w:cs="Times New Roman"/>
                <w:b/>
                <w:bCs/>
                <w:sz w:val="20"/>
                <w:szCs w:val="20"/>
                <w:highlight w:val="darkGray"/>
                <w:lang w:eastAsia="en-US"/>
              </w:rPr>
            </w:pPr>
            <w:r w:rsidRPr="001A0FFE">
              <w:rPr>
                <w:rFonts w:ascii="Arial Narrow" w:hAnsi="Arial Narrow"/>
                <w:b/>
                <w:bCs/>
                <w:color w:val="000000" w:themeColor="text1"/>
                <w:spacing w:val="56"/>
                <w:sz w:val="20"/>
                <w:szCs w:val="20"/>
                <w:shd w:val="solid" w:color="000000" w:fill="000000"/>
                <w:fitText w:val="353" w:id="-764127995"/>
                <w:lang w:eastAsia="en-US"/>
                <w14:textFill>
                  <w14:solidFill>
                    <w14:schemeClr w14:val="tx1">
                      <w14:alpha w14:val="100000"/>
                    </w14:schemeClr>
                  </w14:solidFill>
                </w14:textFill>
              </w:rPr>
              <w:t>|||</w:t>
            </w:r>
            <w:r w:rsidRPr="001A0FFE">
              <w:rPr>
                <w:rFonts w:ascii="Arial Narrow" w:hAnsi="Arial Narrow"/>
                <w:b/>
                <w:bCs/>
                <w:color w:val="000000" w:themeColor="text1"/>
                <w:spacing w:val="2"/>
                <w:sz w:val="20"/>
                <w:szCs w:val="20"/>
                <w:shd w:val="solid" w:color="000000" w:fill="000000"/>
                <w:fitText w:val="353" w:id="-764127995"/>
                <w:lang w:eastAsia="en-US"/>
                <w14:textFill>
                  <w14:solidFill>
                    <w14:schemeClr w14:val="tx1">
                      <w14:alpha w14:val="100000"/>
                    </w14:schemeClr>
                  </w14:solidFill>
                </w14:textFill>
              </w:rPr>
              <w:t>|</w:t>
            </w:r>
            <w:r w:rsidR="7B6CBC14" w:rsidRPr="1797D1E5">
              <w:rPr>
                <w:rFonts w:ascii="Arial Narrow" w:hAnsi="Arial Narrow"/>
                <w:b/>
                <w:bCs/>
                <w:color w:val="000000" w:themeColor="text1"/>
                <w:sz w:val="20"/>
                <w:szCs w:val="20"/>
                <w:vertAlign w:val="superscript"/>
                <w:lang w:eastAsia="en-US"/>
              </w:rPr>
              <w:t>2</w:t>
            </w:r>
          </w:p>
        </w:tc>
      </w:tr>
      <w:tr w:rsidR="00B31A07" w:rsidRPr="00B31A07" w14:paraId="018EAD43" w14:textId="77777777" w:rsidTr="1797D1E5">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1239BFB3" w14:textId="77777777" w:rsidR="00B31A07" w:rsidRPr="00B31A07" w:rsidRDefault="00B31A07" w:rsidP="00B31A07">
            <w:pPr>
              <w:keepNext/>
              <w:keepLines/>
              <w:jc w:val="left"/>
              <w:rPr>
                <w:rFonts w:ascii="Arial Narrow" w:hAnsi="Arial Narrow" w:cs="Times New Roman"/>
                <w:bCs/>
                <w:sz w:val="20"/>
                <w:szCs w:val="20"/>
                <w:lang w:eastAsia="en-US"/>
              </w:rPr>
            </w:pPr>
            <w:r w:rsidRPr="00B31A07">
              <w:rPr>
                <w:rFonts w:ascii="Arial Narrow" w:hAnsi="Arial Narrow" w:cs="Times New Roman"/>
                <w:bCs/>
                <w:sz w:val="20"/>
                <w:szCs w:val="20"/>
                <w:lang w:eastAsia="en-US"/>
              </w:rPr>
              <w:t>Total cost infusion bag changes (MBS)</w:t>
            </w:r>
            <w:r w:rsidRPr="00B31A07">
              <w:rPr>
                <w:rFonts w:ascii="Arial Narrow" w:hAnsi="Arial Narrow" w:cs="Times New Roman"/>
                <w:bCs/>
                <w:sz w:val="20"/>
                <w:szCs w:val="20"/>
                <w:vertAlign w:val="superscript"/>
                <w:lang w:eastAsia="en-US"/>
              </w:rPr>
              <w:t>d</w:t>
            </w:r>
          </w:p>
        </w:tc>
        <w:tc>
          <w:tcPr>
            <w:tcW w:w="1063" w:type="dxa"/>
            <w:tcBorders>
              <w:top w:val="single" w:sz="4" w:space="0" w:color="auto"/>
              <w:left w:val="nil"/>
              <w:bottom w:val="single" w:sz="4" w:space="0" w:color="auto"/>
              <w:right w:val="single" w:sz="4" w:space="0" w:color="auto"/>
            </w:tcBorders>
            <w:shd w:val="clear" w:color="auto" w:fill="auto"/>
            <w:vAlign w:val="center"/>
          </w:tcPr>
          <w:p w14:paraId="4C7BED19" w14:textId="570A90F9" w:rsidR="00B31A07" w:rsidRPr="007776C6" w:rsidRDefault="001A0FFE" w:rsidP="1797D1E5">
            <w:pPr>
              <w:keepNext/>
              <w:keepLines/>
              <w:jc w:val="center"/>
              <w:rPr>
                <w:rFonts w:ascii="Arial Narrow" w:hAnsi="Arial Narrow" w:cs="Times New Roman"/>
                <w:sz w:val="20"/>
                <w:szCs w:val="20"/>
                <w:highlight w:val="darkGray"/>
                <w:lang w:eastAsia="en-US"/>
              </w:rPr>
            </w:pPr>
            <w:r w:rsidRPr="001A0FFE">
              <w:rPr>
                <w:rFonts w:ascii="Arial Narrow" w:hAnsi="Arial Narrow"/>
                <w:color w:val="000000" w:themeColor="text1"/>
                <w:spacing w:val="52"/>
                <w:sz w:val="20"/>
                <w:szCs w:val="20"/>
                <w:shd w:val="solid" w:color="000000" w:fill="000000"/>
                <w:fitText w:val="327" w:id="-764127994"/>
                <w:lang w:eastAsia="en-US"/>
                <w14:textFill>
                  <w14:solidFill>
                    <w14:schemeClr w14:val="tx1">
                      <w14:alpha w14:val="100000"/>
                    </w14:schemeClr>
                  </w14:solidFill>
                </w14:textFill>
              </w:rPr>
              <w:t>|||</w:t>
            </w:r>
            <w:r w:rsidRPr="001A0FFE">
              <w:rPr>
                <w:rFonts w:ascii="Arial Narrow" w:hAnsi="Arial Narrow"/>
                <w:color w:val="000000" w:themeColor="text1"/>
                <w:spacing w:val="1"/>
                <w:sz w:val="20"/>
                <w:szCs w:val="20"/>
                <w:shd w:val="solid" w:color="000000" w:fill="000000"/>
                <w:fitText w:val="327" w:id="-764127994"/>
                <w:lang w:eastAsia="en-US"/>
                <w14:textFill>
                  <w14:solidFill>
                    <w14:schemeClr w14:val="tx1">
                      <w14:alpha w14:val="100000"/>
                    </w14:schemeClr>
                  </w14:solidFill>
                </w14:textFill>
              </w:rPr>
              <w:t>|</w:t>
            </w:r>
            <w:r w:rsidR="2BEF19E9" w:rsidRPr="1797D1E5">
              <w:rPr>
                <w:rFonts w:ascii="Arial Narrow" w:hAnsi="Arial Narrow"/>
                <w:sz w:val="20"/>
                <w:szCs w:val="20"/>
                <w:vertAlign w:val="superscript"/>
                <w:lang w:eastAsia="en-US"/>
              </w:rPr>
              <w:t>3</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4943C554" w14:textId="3F3413EB" w:rsidR="00B31A07" w:rsidRPr="007776C6" w:rsidRDefault="001A0FFE" w:rsidP="1797D1E5">
            <w:pPr>
              <w:keepNext/>
              <w:keepLines/>
              <w:jc w:val="center"/>
              <w:rPr>
                <w:rFonts w:ascii="Arial Narrow" w:hAnsi="Arial Narrow" w:cs="Times New Roman"/>
                <w:sz w:val="20"/>
                <w:szCs w:val="20"/>
                <w:highlight w:val="darkGray"/>
                <w:lang w:eastAsia="en-US"/>
              </w:rPr>
            </w:pPr>
            <w:r w:rsidRPr="001A0FFE">
              <w:rPr>
                <w:rFonts w:ascii="Arial Narrow" w:hAnsi="Arial Narrow"/>
                <w:color w:val="000000" w:themeColor="text1"/>
                <w:spacing w:val="52"/>
                <w:sz w:val="20"/>
                <w:szCs w:val="20"/>
                <w:shd w:val="solid" w:color="000000" w:fill="000000"/>
                <w:fitText w:val="327" w:id="-764127993"/>
                <w:lang w:eastAsia="en-US"/>
                <w14:textFill>
                  <w14:solidFill>
                    <w14:schemeClr w14:val="tx1">
                      <w14:alpha w14:val="100000"/>
                    </w14:schemeClr>
                  </w14:solidFill>
                </w14:textFill>
              </w:rPr>
              <w:t>|||</w:t>
            </w:r>
            <w:r w:rsidRPr="001A0FFE">
              <w:rPr>
                <w:rFonts w:ascii="Arial Narrow" w:hAnsi="Arial Narrow"/>
                <w:color w:val="000000" w:themeColor="text1"/>
                <w:spacing w:val="1"/>
                <w:sz w:val="20"/>
                <w:szCs w:val="20"/>
                <w:shd w:val="solid" w:color="000000" w:fill="000000"/>
                <w:fitText w:val="327" w:id="-764127993"/>
                <w:lang w:eastAsia="en-US"/>
                <w14:textFill>
                  <w14:solidFill>
                    <w14:schemeClr w14:val="tx1">
                      <w14:alpha w14:val="100000"/>
                    </w14:schemeClr>
                  </w14:solidFill>
                </w14:textFill>
              </w:rPr>
              <w:t>|</w:t>
            </w:r>
            <w:r w:rsidR="2BEF19E9" w:rsidRPr="1797D1E5">
              <w:rPr>
                <w:rFonts w:ascii="Arial Narrow" w:hAnsi="Arial Narrow"/>
                <w:sz w:val="20"/>
                <w:szCs w:val="20"/>
                <w:vertAlign w:val="superscript"/>
                <w:lang w:eastAsia="en-US"/>
              </w:rPr>
              <w:t>3</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47F5FAE9" w14:textId="1B45CAA2" w:rsidR="00B31A07" w:rsidRPr="007776C6" w:rsidRDefault="001A0FFE" w:rsidP="1797D1E5">
            <w:pPr>
              <w:keepNext/>
              <w:keepLines/>
              <w:jc w:val="center"/>
              <w:rPr>
                <w:rFonts w:ascii="Arial Narrow" w:hAnsi="Arial Narrow" w:cs="Times New Roman"/>
                <w:sz w:val="20"/>
                <w:szCs w:val="20"/>
                <w:highlight w:val="darkGray"/>
                <w:lang w:eastAsia="en-US"/>
              </w:rPr>
            </w:pPr>
            <w:r w:rsidRPr="001A0FFE">
              <w:rPr>
                <w:rFonts w:ascii="Arial Narrow" w:hAnsi="Arial Narrow"/>
                <w:color w:val="000000" w:themeColor="text1"/>
                <w:spacing w:val="52"/>
                <w:sz w:val="20"/>
                <w:szCs w:val="20"/>
                <w:shd w:val="solid" w:color="000000" w:fill="000000"/>
                <w:fitText w:val="327" w:id="-764127992"/>
                <w:lang w:eastAsia="en-US"/>
                <w14:textFill>
                  <w14:solidFill>
                    <w14:schemeClr w14:val="tx1">
                      <w14:alpha w14:val="100000"/>
                    </w14:schemeClr>
                  </w14:solidFill>
                </w14:textFill>
              </w:rPr>
              <w:t>|||</w:t>
            </w:r>
            <w:r w:rsidRPr="001A0FFE">
              <w:rPr>
                <w:rFonts w:ascii="Arial Narrow" w:hAnsi="Arial Narrow"/>
                <w:color w:val="000000" w:themeColor="text1"/>
                <w:spacing w:val="1"/>
                <w:sz w:val="20"/>
                <w:szCs w:val="20"/>
                <w:shd w:val="solid" w:color="000000" w:fill="000000"/>
                <w:fitText w:val="327" w:id="-764127992"/>
                <w:lang w:eastAsia="en-US"/>
                <w14:textFill>
                  <w14:solidFill>
                    <w14:schemeClr w14:val="tx1">
                      <w14:alpha w14:val="100000"/>
                    </w14:schemeClr>
                  </w14:solidFill>
                </w14:textFill>
              </w:rPr>
              <w:t>|</w:t>
            </w:r>
            <w:r w:rsidR="2BEF19E9" w:rsidRPr="1797D1E5">
              <w:rPr>
                <w:rFonts w:ascii="Arial Narrow" w:hAnsi="Arial Narrow"/>
                <w:sz w:val="20"/>
                <w:szCs w:val="20"/>
                <w:vertAlign w:val="superscript"/>
                <w:lang w:eastAsia="en-US"/>
              </w:rPr>
              <w:t>3</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42A79CDA" w14:textId="7409CC4C" w:rsidR="00B31A07" w:rsidRPr="007776C6" w:rsidRDefault="001A0FFE" w:rsidP="1797D1E5">
            <w:pPr>
              <w:keepNext/>
              <w:keepLines/>
              <w:jc w:val="center"/>
              <w:rPr>
                <w:rFonts w:ascii="Arial Narrow" w:hAnsi="Arial Narrow" w:cs="Times New Roman"/>
                <w:sz w:val="20"/>
                <w:szCs w:val="20"/>
                <w:highlight w:val="darkGray"/>
                <w:lang w:eastAsia="en-US"/>
              </w:rPr>
            </w:pPr>
            <w:r w:rsidRPr="001A0FFE">
              <w:rPr>
                <w:rFonts w:ascii="Arial Narrow" w:hAnsi="Arial Narrow"/>
                <w:color w:val="000000" w:themeColor="text1"/>
                <w:spacing w:val="52"/>
                <w:sz w:val="20"/>
                <w:szCs w:val="20"/>
                <w:shd w:val="solid" w:color="000000" w:fill="000000"/>
                <w:fitText w:val="327" w:id="-764127991"/>
                <w:lang w:eastAsia="en-US"/>
                <w14:textFill>
                  <w14:solidFill>
                    <w14:schemeClr w14:val="tx1">
                      <w14:alpha w14:val="100000"/>
                    </w14:schemeClr>
                  </w14:solidFill>
                </w14:textFill>
              </w:rPr>
              <w:t>|||</w:t>
            </w:r>
            <w:r w:rsidRPr="001A0FFE">
              <w:rPr>
                <w:rFonts w:ascii="Arial Narrow" w:hAnsi="Arial Narrow"/>
                <w:color w:val="000000" w:themeColor="text1"/>
                <w:spacing w:val="1"/>
                <w:sz w:val="20"/>
                <w:szCs w:val="20"/>
                <w:shd w:val="solid" w:color="000000" w:fill="000000"/>
                <w:fitText w:val="327" w:id="-764127991"/>
                <w:lang w:eastAsia="en-US"/>
                <w14:textFill>
                  <w14:solidFill>
                    <w14:schemeClr w14:val="tx1">
                      <w14:alpha w14:val="100000"/>
                    </w14:schemeClr>
                  </w14:solidFill>
                </w14:textFill>
              </w:rPr>
              <w:t>|</w:t>
            </w:r>
            <w:r w:rsidR="2BEF19E9" w:rsidRPr="1797D1E5">
              <w:rPr>
                <w:rFonts w:ascii="Arial Narrow" w:hAnsi="Arial Narrow"/>
                <w:sz w:val="20"/>
                <w:szCs w:val="20"/>
                <w:vertAlign w:val="superscript"/>
                <w:lang w:eastAsia="en-US"/>
              </w:rPr>
              <w:t>3</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333939BA" w14:textId="2780C082" w:rsidR="00B31A07" w:rsidRPr="007776C6" w:rsidRDefault="001A0FFE" w:rsidP="1797D1E5">
            <w:pPr>
              <w:keepNext/>
              <w:keepLines/>
              <w:jc w:val="center"/>
              <w:rPr>
                <w:rFonts w:ascii="Arial Narrow" w:hAnsi="Arial Narrow" w:cs="Times New Roman"/>
                <w:sz w:val="20"/>
                <w:szCs w:val="20"/>
                <w:highlight w:val="darkGray"/>
                <w:lang w:eastAsia="en-US"/>
              </w:rPr>
            </w:pPr>
            <w:r w:rsidRPr="001A0FFE">
              <w:rPr>
                <w:rFonts w:ascii="Arial Narrow" w:hAnsi="Arial Narrow"/>
                <w:color w:val="000000" w:themeColor="text1"/>
                <w:spacing w:val="52"/>
                <w:sz w:val="20"/>
                <w:szCs w:val="20"/>
                <w:shd w:val="solid" w:color="000000" w:fill="000000"/>
                <w:fitText w:val="327" w:id="-764127990"/>
                <w:lang w:eastAsia="en-US"/>
                <w14:textFill>
                  <w14:solidFill>
                    <w14:schemeClr w14:val="tx1">
                      <w14:alpha w14:val="100000"/>
                    </w14:schemeClr>
                  </w14:solidFill>
                </w14:textFill>
              </w:rPr>
              <w:t>|||</w:t>
            </w:r>
            <w:r w:rsidRPr="001A0FFE">
              <w:rPr>
                <w:rFonts w:ascii="Arial Narrow" w:hAnsi="Arial Narrow"/>
                <w:color w:val="000000" w:themeColor="text1"/>
                <w:spacing w:val="1"/>
                <w:sz w:val="20"/>
                <w:szCs w:val="20"/>
                <w:shd w:val="solid" w:color="000000" w:fill="000000"/>
                <w:fitText w:val="327" w:id="-764127990"/>
                <w:lang w:eastAsia="en-US"/>
                <w14:textFill>
                  <w14:solidFill>
                    <w14:schemeClr w14:val="tx1">
                      <w14:alpha w14:val="100000"/>
                    </w14:schemeClr>
                  </w14:solidFill>
                </w14:textFill>
              </w:rPr>
              <w:t>|</w:t>
            </w:r>
            <w:r w:rsidR="2BEF19E9" w:rsidRPr="1797D1E5">
              <w:rPr>
                <w:rFonts w:ascii="Arial Narrow" w:hAnsi="Arial Narrow"/>
                <w:sz w:val="20"/>
                <w:szCs w:val="20"/>
                <w:vertAlign w:val="superscript"/>
                <w:lang w:eastAsia="en-US"/>
              </w:rPr>
              <w:t>3</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356868F1" w14:textId="2AFCE696" w:rsidR="00B31A07" w:rsidRPr="007776C6" w:rsidRDefault="001A0FFE" w:rsidP="1797D1E5">
            <w:pPr>
              <w:keepNext/>
              <w:keepLines/>
              <w:jc w:val="center"/>
              <w:rPr>
                <w:rFonts w:ascii="Arial Narrow" w:hAnsi="Arial Narrow" w:cs="Times New Roman"/>
                <w:sz w:val="20"/>
                <w:szCs w:val="20"/>
                <w:highlight w:val="darkGray"/>
                <w:lang w:eastAsia="en-US"/>
              </w:rPr>
            </w:pPr>
            <w:r w:rsidRPr="001A0FFE">
              <w:rPr>
                <w:rFonts w:ascii="Arial Narrow" w:hAnsi="Arial Narrow"/>
                <w:color w:val="000000" w:themeColor="text1"/>
                <w:spacing w:val="52"/>
                <w:sz w:val="20"/>
                <w:szCs w:val="20"/>
                <w:shd w:val="solid" w:color="000000" w:fill="000000"/>
                <w:fitText w:val="327" w:id="-764127989"/>
                <w:lang w:eastAsia="en-US"/>
                <w14:textFill>
                  <w14:solidFill>
                    <w14:schemeClr w14:val="tx1">
                      <w14:alpha w14:val="100000"/>
                    </w14:schemeClr>
                  </w14:solidFill>
                </w14:textFill>
              </w:rPr>
              <w:t>|||</w:t>
            </w:r>
            <w:r w:rsidRPr="001A0FFE">
              <w:rPr>
                <w:rFonts w:ascii="Arial Narrow" w:hAnsi="Arial Narrow"/>
                <w:color w:val="000000" w:themeColor="text1"/>
                <w:spacing w:val="1"/>
                <w:sz w:val="20"/>
                <w:szCs w:val="20"/>
                <w:shd w:val="solid" w:color="000000" w:fill="000000"/>
                <w:fitText w:val="327" w:id="-764127989"/>
                <w:lang w:eastAsia="en-US"/>
                <w14:textFill>
                  <w14:solidFill>
                    <w14:schemeClr w14:val="tx1">
                      <w14:alpha w14:val="100000"/>
                    </w14:schemeClr>
                  </w14:solidFill>
                </w14:textFill>
              </w:rPr>
              <w:t>|</w:t>
            </w:r>
            <w:r w:rsidR="2BEF19E9" w:rsidRPr="1797D1E5">
              <w:rPr>
                <w:rFonts w:ascii="Arial Narrow" w:hAnsi="Arial Narrow"/>
                <w:sz w:val="20"/>
                <w:szCs w:val="20"/>
                <w:vertAlign w:val="superscript"/>
                <w:lang w:eastAsia="en-US"/>
              </w:rPr>
              <w:t>3</w:t>
            </w:r>
          </w:p>
        </w:tc>
      </w:tr>
      <w:tr w:rsidR="00B31A07" w:rsidRPr="00B31A07" w14:paraId="43FF1B4B" w14:textId="77777777" w:rsidTr="1797D1E5">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5999904C" w14:textId="77777777" w:rsidR="00B31A07" w:rsidRPr="00B31A07" w:rsidRDefault="00B31A07" w:rsidP="00B31A07">
            <w:pPr>
              <w:keepNext/>
              <w:keepLines/>
              <w:jc w:val="left"/>
              <w:rPr>
                <w:rFonts w:ascii="Arial Narrow" w:hAnsi="Arial Narrow" w:cs="Times New Roman"/>
                <w:b/>
                <w:sz w:val="20"/>
                <w:szCs w:val="20"/>
                <w:lang w:eastAsia="en-US"/>
              </w:rPr>
            </w:pPr>
            <w:r w:rsidRPr="00B31A07">
              <w:rPr>
                <w:rFonts w:ascii="Arial Narrow" w:hAnsi="Arial Narrow" w:cs="Times New Roman"/>
                <w:b/>
                <w:sz w:val="20"/>
                <w:szCs w:val="20"/>
                <w:lang w:eastAsia="en-US"/>
              </w:rPr>
              <w:t>Total net cost to PBS/RPBS/MBS</w:t>
            </w:r>
          </w:p>
        </w:tc>
        <w:tc>
          <w:tcPr>
            <w:tcW w:w="1063" w:type="dxa"/>
            <w:tcBorders>
              <w:top w:val="single" w:sz="4" w:space="0" w:color="auto"/>
              <w:left w:val="nil"/>
              <w:bottom w:val="single" w:sz="4" w:space="0" w:color="auto"/>
              <w:right w:val="single" w:sz="4" w:space="0" w:color="auto"/>
            </w:tcBorders>
            <w:shd w:val="clear" w:color="auto" w:fill="auto"/>
            <w:vAlign w:val="center"/>
          </w:tcPr>
          <w:p w14:paraId="73418CD9" w14:textId="0D4DDFBE" w:rsidR="00B31A07" w:rsidRPr="007776C6" w:rsidRDefault="001A0FFE" w:rsidP="00B31A07">
            <w:pPr>
              <w:keepNext/>
              <w:keepLines/>
              <w:jc w:val="center"/>
              <w:rPr>
                <w:rFonts w:ascii="Arial Narrow" w:hAnsi="Arial Narrow" w:cs="Times New Roman"/>
                <w:b/>
                <w:bCs/>
                <w:sz w:val="20"/>
                <w:szCs w:val="20"/>
                <w:highlight w:val="darkGray"/>
                <w:lang w:eastAsia="en-US"/>
              </w:rPr>
            </w:pPr>
            <w:r w:rsidRPr="001A0FFE">
              <w:rPr>
                <w:rFonts w:ascii="Arial Narrow" w:hAnsi="Arial Narrow"/>
                <w:b/>
                <w:bCs/>
                <w:color w:val="000000" w:themeColor="text1"/>
                <w:spacing w:val="56"/>
                <w:sz w:val="20"/>
                <w:szCs w:val="20"/>
                <w:shd w:val="solid" w:color="000000" w:fill="000000"/>
                <w:fitText w:val="353" w:id="-764127988"/>
                <w:lang w:eastAsia="en-US"/>
                <w14:textFill>
                  <w14:solidFill>
                    <w14:schemeClr w14:val="tx1">
                      <w14:alpha w14:val="100000"/>
                    </w14:schemeClr>
                  </w14:solidFill>
                </w14:textFill>
              </w:rPr>
              <w:t>|||</w:t>
            </w:r>
            <w:r w:rsidRPr="001A0FFE">
              <w:rPr>
                <w:rFonts w:ascii="Arial Narrow" w:hAnsi="Arial Narrow"/>
                <w:b/>
                <w:bCs/>
                <w:color w:val="000000" w:themeColor="text1"/>
                <w:spacing w:val="2"/>
                <w:sz w:val="20"/>
                <w:szCs w:val="20"/>
                <w:shd w:val="solid" w:color="000000" w:fill="000000"/>
                <w:fitText w:val="353" w:id="-764127988"/>
                <w:lang w:eastAsia="en-US"/>
                <w14:textFill>
                  <w14:solidFill>
                    <w14:schemeClr w14:val="tx1">
                      <w14:alpha w14:val="100000"/>
                    </w14:schemeClr>
                  </w14:solidFill>
                </w14:textFill>
              </w:rPr>
              <w:t>|</w:t>
            </w:r>
            <w:r w:rsidR="7B6CBC14" w:rsidRPr="1797D1E5">
              <w:rPr>
                <w:rFonts w:ascii="Arial Narrow" w:hAnsi="Arial Narrow"/>
                <w:b/>
                <w:bCs/>
                <w:color w:val="000000" w:themeColor="text1"/>
                <w:sz w:val="20"/>
                <w:szCs w:val="20"/>
                <w:vertAlign w:val="superscript"/>
                <w:lang w:eastAsia="en-US"/>
              </w:rPr>
              <w:t>2</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34C552F3" w14:textId="5F4C23EE" w:rsidR="00B31A07" w:rsidRPr="007776C6" w:rsidRDefault="001A0FFE" w:rsidP="00B31A07">
            <w:pPr>
              <w:keepNext/>
              <w:keepLines/>
              <w:jc w:val="center"/>
              <w:rPr>
                <w:rFonts w:ascii="Arial Narrow" w:hAnsi="Arial Narrow" w:cs="Times New Roman"/>
                <w:b/>
                <w:bCs/>
                <w:sz w:val="20"/>
                <w:szCs w:val="20"/>
                <w:highlight w:val="darkGray"/>
                <w:lang w:eastAsia="en-US"/>
              </w:rPr>
            </w:pPr>
            <w:r w:rsidRPr="001A0FFE">
              <w:rPr>
                <w:rFonts w:ascii="Arial Narrow" w:hAnsi="Arial Narrow"/>
                <w:b/>
                <w:bCs/>
                <w:color w:val="000000" w:themeColor="text1"/>
                <w:spacing w:val="56"/>
                <w:sz w:val="20"/>
                <w:szCs w:val="20"/>
                <w:shd w:val="solid" w:color="000000" w:fill="000000"/>
                <w:fitText w:val="353" w:id="-764127987"/>
                <w:lang w:eastAsia="en-US"/>
                <w14:textFill>
                  <w14:solidFill>
                    <w14:schemeClr w14:val="tx1">
                      <w14:alpha w14:val="100000"/>
                    </w14:schemeClr>
                  </w14:solidFill>
                </w14:textFill>
              </w:rPr>
              <w:t>|||</w:t>
            </w:r>
            <w:r w:rsidRPr="001A0FFE">
              <w:rPr>
                <w:rFonts w:ascii="Arial Narrow" w:hAnsi="Arial Narrow"/>
                <w:b/>
                <w:bCs/>
                <w:color w:val="000000" w:themeColor="text1"/>
                <w:spacing w:val="2"/>
                <w:sz w:val="20"/>
                <w:szCs w:val="20"/>
                <w:shd w:val="solid" w:color="000000" w:fill="000000"/>
                <w:fitText w:val="353" w:id="-764127987"/>
                <w:lang w:eastAsia="en-US"/>
                <w14:textFill>
                  <w14:solidFill>
                    <w14:schemeClr w14:val="tx1">
                      <w14:alpha w14:val="100000"/>
                    </w14:schemeClr>
                  </w14:solidFill>
                </w14:textFill>
              </w:rPr>
              <w:t>|</w:t>
            </w:r>
            <w:r w:rsidR="7B6CBC14" w:rsidRPr="1797D1E5">
              <w:rPr>
                <w:rFonts w:ascii="Arial Narrow" w:hAnsi="Arial Narrow"/>
                <w:b/>
                <w:bCs/>
                <w:color w:val="000000" w:themeColor="text1"/>
                <w:sz w:val="20"/>
                <w:szCs w:val="20"/>
                <w:vertAlign w:val="superscript"/>
                <w:lang w:eastAsia="en-US"/>
              </w:rPr>
              <w:t>2</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110C0055" w14:textId="496E54CD" w:rsidR="00B31A07" w:rsidRPr="007776C6" w:rsidRDefault="001A0FFE" w:rsidP="00B31A07">
            <w:pPr>
              <w:keepNext/>
              <w:keepLines/>
              <w:jc w:val="center"/>
              <w:rPr>
                <w:rFonts w:ascii="Arial Narrow" w:hAnsi="Arial Narrow" w:cs="Times New Roman"/>
                <w:b/>
                <w:bCs/>
                <w:sz w:val="20"/>
                <w:szCs w:val="20"/>
                <w:highlight w:val="darkGray"/>
                <w:lang w:eastAsia="en-US"/>
              </w:rPr>
            </w:pPr>
            <w:r w:rsidRPr="001A0FFE">
              <w:rPr>
                <w:rFonts w:ascii="Arial Narrow" w:hAnsi="Arial Narrow"/>
                <w:b/>
                <w:bCs/>
                <w:color w:val="000000" w:themeColor="text1"/>
                <w:spacing w:val="56"/>
                <w:sz w:val="20"/>
                <w:szCs w:val="20"/>
                <w:shd w:val="solid" w:color="000000" w:fill="000000"/>
                <w:fitText w:val="353" w:id="-764127986"/>
                <w:lang w:eastAsia="en-US"/>
                <w14:textFill>
                  <w14:solidFill>
                    <w14:schemeClr w14:val="tx1">
                      <w14:alpha w14:val="100000"/>
                    </w14:schemeClr>
                  </w14:solidFill>
                </w14:textFill>
              </w:rPr>
              <w:t>|||</w:t>
            </w:r>
            <w:r w:rsidRPr="001A0FFE">
              <w:rPr>
                <w:rFonts w:ascii="Arial Narrow" w:hAnsi="Arial Narrow"/>
                <w:b/>
                <w:bCs/>
                <w:color w:val="000000" w:themeColor="text1"/>
                <w:spacing w:val="2"/>
                <w:sz w:val="20"/>
                <w:szCs w:val="20"/>
                <w:shd w:val="solid" w:color="000000" w:fill="000000"/>
                <w:fitText w:val="353" w:id="-764127986"/>
                <w:lang w:eastAsia="en-US"/>
                <w14:textFill>
                  <w14:solidFill>
                    <w14:schemeClr w14:val="tx1">
                      <w14:alpha w14:val="100000"/>
                    </w14:schemeClr>
                  </w14:solidFill>
                </w14:textFill>
              </w:rPr>
              <w:t>|</w:t>
            </w:r>
            <w:r w:rsidR="7B6CBC14" w:rsidRPr="1797D1E5">
              <w:rPr>
                <w:rFonts w:ascii="Arial Narrow" w:hAnsi="Arial Narrow"/>
                <w:b/>
                <w:bCs/>
                <w:color w:val="000000" w:themeColor="text1"/>
                <w:sz w:val="20"/>
                <w:szCs w:val="20"/>
                <w:vertAlign w:val="superscript"/>
                <w:lang w:eastAsia="en-US"/>
              </w:rPr>
              <w:t>2</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14757E5F" w14:textId="08E1AE38" w:rsidR="00B31A07" w:rsidRPr="007776C6" w:rsidRDefault="001A0FFE" w:rsidP="00B31A07">
            <w:pPr>
              <w:keepNext/>
              <w:keepLines/>
              <w:jc w:val="center"/>
              <w:rPr>
                <w:rFonts w:ascii="Arial Narrow" w:hAnsi="Arial Narrow" w:cs="Times New Roman"/>
                <w:b/>
                <w:bCs/>
                <w:sz w:val="20"/>
                <w:szCs w:val="20"/>
                <w:highlight w:val="darkGray"/>
                <w:lang w:eastAsia="en-US"/>
              </w:rPr>
            </w:pPr>
            <w:r w:rsidRPr="001A0FFE">
              <w:rPr>
                <w:rFonts w:ascii="Arial Narrow" w:hAnsi="Arial Narrow"/>
                <w:b/>
                <w:bCs/>
                <w:color w:val="000000" w:themeColor="text1"/>
                <w:spacing w:val="56"/>
                <w:sz w:val="20"/>
                <w:szCs w:val="20"/>
                <w:shd w:val="solid" w:color="000000" w:fill="000000"/>
                <w:fitText w:val="353" w:id="-764127985"/>
                <w:lang w:eastAsia="en-US"/>
                <w14:textFill>
                  <w14:solidFill>
                    <w14:schemeClr w14:val="tx1">
                      <w14:alpha w14:val="100000"/>
                    </w14:schemeClr>
                  </w14:solidFill>
                </w14:textFill>
              </w:rPr>
              <w:t>|||</w:t>
            </w:r>
            <w:r w:rsidRPr="001A0FFE">
              <w:rPr>
                <w:rFonts w:ascii="Arial Narrow" w:hAnsi="Arial Narrow"/>
                <w:b/>
                <w:bCs/>
                <w:color w:val="000000" w:themeColor="text1"/>
                <w:spacing w:val="2"/>
                <w:sz w:val="20"/>
                <w:szCs w:val="20"/>
                <w:shd w:val="solid" w:color="000000" w:fill="000000"/>
                <w:fitText w:val="353" w:id="-764127985"/>
                <w:lang w:eastAsia="en-US"/>
                <w14:textFill>
                  <w14:solidFill>
                    <w14:schemeClr w14:val="tx1">
                      <w14:alpha w14:val="100000"/>
                    </w14:schemeClr>
                  </w14:solidFill>
                </w14:textFill>
              </w:rPr>
              <w:t>|</w:t>
            </w:r>
            <w:r w:rsidR="7B6CBC14" w:rsidRPr="1797D1E5">
              <w:rPr>
                <w:rFonts w:ascii="Arial Narrow" w:hAnsi="Arial Narrow"/>
                <w:b/>
                <w:bCs/>
                <w:color w:val="000000" w:themeColor="text1"/>
                <w:sz w:val="20"/>
                <w:szCs w:val="20"/>
                <w:vertAlign w:val="superscript"/>
                <w:lang w:eastAsia="en-US"/>
              </w:rPr>
              <w:t>2</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7A7DAC8B" w14:textId="70A53F9B" w:rsidR="00B31A07" w:rsidRPr="007776C6" w:rsidRDefault="001A0FFE" w:rsidP="00B31A07">
            <w:pPr>
              <w:keepNext/>
              <w:keepLines/>
              <w:jc w:val="center"/>
              <w:rPr>
                <w:rFonts w:ascii="Arial Narrow" w:hAnsi="Arial Narrow" w:cs="Times New Roman"/>
                <w:b/>
                <w:bCs/>
                <w:sz w:val="20"/>
                <w:szCs w:val="20"/>
                <w:highlight w:val="darkGray"/>
                <w:lang w:eastAsia="en-US"/>
              </w:rPr>
            </w:pPr>
            <w:r w:rsidRPr="001A0FFE">
              <w:rPr>
                <w:rFonts w:ascii="Arial Narrow" w:hAnsi="Arial Narrow"/>
                <w:b/>
                <w:bCs/>
                <w:color w:val="000000" w:themeColor="text1"/>
                <w:spacing w:val="56"/>
                <w:sz w:val="20"/>
                <w:szCs w:val="20"/>
                <w:shd w:val="solid" w:color="000000" w:fill="000000"/>
                <w:fitText w:val="354" w:id="-764127984"/>
                <w:lang w:eastAsia="en-US"/>
                <w14:textFill>
                  <w14:solidFill>
                    <w14:schemeClr w14:val="tx1">
                      <w14:alpha w14:val="100000"/>
                    </w14:schemeClr>
                  </w14:solidFill>
                </w14:textFill>
              </w:rPr>
              <w:t>|||</w:t>
            </w:r>
            <w:r w:rsidRPr="001A0FFE">
              <w:rPr>
                <w:rFonts w:ascii="Arial Narrow" w:hAnsi="Arial Narrow"/>
                <w:b/>
                <w:bCs/>
                <w:color w:val="000000" w:themeColor="text1"/>
                <w:spacing w:val="3"/>
                <w:sz w:val="20"/>
                <w:szCs w:val="20"/>
                <w:shd w:val="solid" w:color="000000" w:fill="000000"/>
                <w:fitText w:val="354" w:id="-764127984"/>
                <w:lang w:eastAsia="en-US"/>
                <w14:textFill>
                  <w14:solidFill>
                    <w14:schemeClr w14:val="tx1">
                      <w14:alpha w14:val="100000"/>
                    </w14:schemeClr>
                  </w14:solidFill>
                </w14:textFill>
              </w:rPr>
              <w:t>|</w:t>
            </w:r>
            <w:r w:rsidR="7B6CBC14" w:rsidRPr="1797D1E5">
              <w:rPr>
                <w:rFonts w:ascii="Arial Narrow" w:hAnsi="Arial Narrow"/>
                <w:b/>
                <w:bCs/>
                <w:color w:val="000000" w:themeColor="text1"/>
                <w:sz w:val="20"/>
                <w:szCs w:val="20"/>
                <w:vertAlign w:val="superscript"/>
                <w:lang w:eastAsia="en-US"/>
              </w:rPr>
              <w:t>2</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42514CE1" w14:textId="4D01F3A6" w:rsidR="00B31A07" w:rsidRPr="007776C6" w:rsidRDefault="001A0FFE" w:rsidP="00B31A07">
            <w:pPr>
              <w:keepNext/>
              <w:keepLines/>
              <w:jc w:val="center"/>
              <w:rPr>
                <w:rFonts w:ascii="Arial Narrow" w:hAnsi="Arial Narrow" w:cs="Times New Roman"/>
                <w:b/>
                <w:bCs/>
                <w:sz w:val="20"/>
                <w:szCs w:val="20"/>
                <w:highlight w:val="darkGray"/>
                <w:lang w:eastAsia="en-US"/>
              </w:rPr>
            </w:pPr>
            <w:r w:rsidRPr="001A0FFE">
              <w:rPr>
                <w:rFonts w:ascii="Arial Narrow" w:hAnsi="Arial Narrow"/>
                <w:b/>
                <w:bCs/>
                <w:color w:val="000000" w:themeColor="text1"/>
                <w:spacing w:val="56"/>
                <w:sz w:val="20"/>
                <w:szCs w:val="20"/>
                <w:shd w:val="solid" w:color="000000" w:fill="000000"/>
                <w:fitText w:val="353" w:id="-764128000"/>
                <w:lang w:eastAsia="en-US"/>
                <w14:textFill>
                  <w14:solidFill>
                    <w14:schemeClr w14:val="tx1">
                      <w14:alpha w14:val="100000"/>
                    </w14:schemeClr>
                  </w14:solidFill>
                </w14:textFill>
              </w:rPr>
              <w:t>|||</w:t>
            </w:r>
            <w:r w:rsidRPr="001A0FFE">
              <w:rPr>
                <w:rFonts w:ascii="Arial Narrow" w:hAnsi="Arial Narrow"/>
                <w:b/>
                <w:bCs/>
                <w:color w:val="000000" w:themeColor="text1"/>
                <w:spacing w:val="2"/>
                <w:sz w:val="20"/>
                <w:szCs w:val="20"/>
                <w:shd w:val="solid" w:color="000000" w:fill="000000"/>
                <w:fitText w:val="353" w:id="-764128000"/>
                <w:lang w:eastAsia="en-US"/>
                <w14:textFill>
                  <w14:solidFill>
                    <w14:schemeClr w14:val="tx1">
                      <w14:alpha w14:val="100000"/>
                    </w14:schemeClr>
                  </w14:solidFill>
                </w14:textFill>
              </w:rPr>
              <w:t>|</w:t>
            </w:r>
            <w:r w:rsidR="7B6CBC14" w:rsidRPr="1797D1E5">
              <w:rPr>
                <w:rFonts w:ascii="Arial Narrow" w:hAnsi="Arial Narrow"/>
                <w:b/>
                <w:bCs/>
                <w:color w:val="000000" w:themeColor="text1"/>
                <w:sz w:val="20"/>
                <w:szCs w:val="20"/>
                <w:vertAlign w:val="superscript"/>
                <w:lang w:eastAsia="en-US"/>
              </w:rPr>
              <w:t>2</w:t>
            </w:r>
          </w:p>
        </w:tc>
      </w:tr>
      <w:tr w:rsidR="00B31A07" w:rsidRPr="00B31A07" w14:paraId="6824ACC1" w14:textId="77777777" w:rsidTr="1797D1E5">
        <w:tc>
          <w:tcPr>
            <w:tcW w:w="9067"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C6F7FF" w14:textId="77777777" w:rsidR="00B31A07" w:rsidRPr="00B31A07" w:rsidRDefault="00B31A07" w:rsidP="00B31A07">
            <w:pPr>
              <w:keepNext/>
              <w:keepLines/>
              <w:jc w:val="left"/>
              <w:rPr>
                <w:rFonts w:ascii="Arial Narrow" w:hAnsi="Arial Narrow"/>
                <w:b/>
                <w:bCs/>
                <w:color w:val="000000"/>
                <w:sz w:val="20"/>
                <w:szCs w:val="20"/>
                <w:vertAlign w:val="superscript"/>
                <w:lang w:eastAsia="en-US"/>
              </w:rPr>
            </w:pPr>
            <w:r w:rsidRPr="00B31A07">
              <w:rPr>
                <w:rFonts w:ascii="Arial Narrow" w:hAnsi="Arial Narrow"/>
                <w:b/>
                <w:bCs/>
                <w:color w:val="000000"/>
                <w:sz w:val="20"/>
                <w:szCs w:val="20"/>
                <w:lang w:eastAsia="en-US"/>
              </w:rPr>
              <w:t xml:space="preserve">July 2024 PBAC meeting </w:t>
            </w:r>
            <w:r w:rsidRPr="00B31A07">
              <w:rPr>
                <w:rFonts w:ascii="Arial Narrow" w:hAnsi="Arial Narrow"/>
                <w:b/>
                <w:bCs/>
                <w:color w:val="000000"/>
                <w:sz w:val="20"/>
                <w:szCs w:val="20"/>
                <w:vertAlign w:val="superscript"/>
                <w:lang w:eastAsia="en-US"/>
              </w:rPr>
              <w:t>a</w:t>
            </w:r>
          </w:p>
        </w:tc>
      </w:tr>
      <w:tr w:rsidR="00B31A07" w:rsidRPr="00B31A07" w14:paraId="5A31CA7D" w14:textId="77777777" w:rsidTr="1797D1E5">
        <w:tc>
          <w:tcPr>
            <w:tcW w:w="9067" w:type="dxa"/>
            <w:gridSpan w:val="7"/>
            <w:tcBorders>
              <w:bottom w:val="single" w:sz="4" w:space="0" w:color="auto"/>
            </w:tcBorders>
            <w:shd w:val="clear" w:color="auto" w:fill="DBE5F1" w:themeFill="accent1" w:themeFillTint="33"/>
            <w:vAlign w:val="center"/>
          </w:tcPr>
          <w:p w14:paraId="62044E04" w14:textId="77777777" w:rsidR="00B31A07" w:rsidRPr="00B31A07" w:rsidRDefault="00B31A07" w:rsidP="00B31A07">
            <w:pPr>
              <w:keepNext/>
              <w:keepLines/>
              <w:jc w:val="left"/>
              <w:rPr>
                <w:rFonts w:ascii="Arial Narrow" w:hAnsi="Arial Narrow" w:cs="Times New Roman"/>
                <w:b/>
                <w:sz w:val="20"/>
                <w:szCs w:val="20"/>
                <w:lang w:eastAsia="en-US"/>
              </w:rPr>
            </w:pPr>
            <w:r w:rsidRPr="00B31A07">
              <w:rPr>
                <w:rFonts w:ascii="Arial Narrow" w:hAnsi="Arial Narrow" w:cs="Times New Roman"/>
                <w:b/>
                <w:sz w:val="20"/>
                <w:szCs w:val="20"/>
                <w:lang w:eastAsia="en-US"/>
              </w:rPr>
              <w:t>Estimated eligible patient population and extent of use of blinatumomab on the PBS</w:t>
            </w:r>
          </w:p>
        </w:tc>
      </w:tr>
      <w:tr w:rsidR="00B31A07" w:rsidRPr="00B31A07" w14:paraId="3F13015C" w14:textId="77777777" w:rsidTr="1797D1E5">
        <w:tc>
          <w:tcPr>
            <w:tcW w:w="2689" w:type="dxa"/>
            <w:tcBorders>
              <w:bottom w:val="nil"/>
            </w:tcBorders>
            <w:shd w:val="clear" w:color="auto" w:fill="DBE5F1" w:themeFill="accent1" w:themeFillTint="33"/>
            <w:vAlign w:val="center"/>
          </w:tcPr>
          <w:p w14:paraId="433211D9" w14:textId="77777777" w:rsidR="00B31A07" w:rsidRPr="00B31A07" w:rsidRDefault="00B31A07" w:rsidP="00B31A07">
            <w:pPr>
              <w:keepNext/>
              <w:keepLines/>
              <w:jc w:val="left"/>
              <w:rPr>
                <w:rFonts w:ascii="Arial Narrow" w:hAnsi="Arial Narrow" w:cs="Times New Roman"/>
                <w:sz w:val="20"/>
                <w:szCs w:val="20"/>
                <w:lang w:eastAsia="en-US"/>
              </w:rPr>
            </w:pPr>
            <w:r w:rsidRPr="00B31A07">
              <w:rPr>
                <w:rFonts w:ascii="Arial Narrow" w:hAnsi="Arial Narrow" w:cs="Times New Roman"/>
                <w:sz w:val="20"/>
                <w:szCs w:val="20"/>
                <w:lang w:eastAsia="en-US"/>
              </w:rPr>
              <w:t>Patients treated with blinatumomab</w:t>
            </w:r>
          </w:p>
        </w:tc>
        <w:tc>
          <w:tcPr>
            <w:tcW w:w="1063" w:type="dxa"/>
            <w:tcBorders>
              <w:top w:val="single" w:sz="4" w:space="0" w:color="auto"/>
              <w:left w:val="nil"/>
              <w:bottom w:val="nil"/>
              <w:right w:val="single" w:sz="4" w:space="0" w:color="auto"/>
            </w:tcBorders>
            <w:shd w:val="clear" w:color="auto" w:fill="DBE5F1" w:themeFill="accent1" w:themeFillTint="33"/>
          </w:tcPr>
          <w:p w14:paraId="72E39602" w14:textId="4A91CA79" w:rsidR="00B31A07" w:rsidRPr="007776C6" w:rsidRDefault="001A0FFE" w:rsidP="00B31A07">
            <w:pPr>
              <w:keepNext/>
              <w:keepLines/>
              <w:jc w:val="center"/>
              <w:rPr>
                <w:rFonts w:ascii="Arial Narrow" w:hAnsi="Arial Narrow" w:cs="Times New Roman"/>
                <w:sz w:val="20"/>
                <w:szCs w:val="20"/>
                <w:highlight w:val="darkGray"/>
                <w:lang w:eastAsia="en-US"/>
              </w:rPr>
            </w:pPr>
            <w:r w:rsidRPr="001A0FFE">
              <w:rPr>
                <w:rFonts w:ascii="Arial Narrow" w:hAnsi="Arial Narrow" w:cs="Times New Roman"/>
                <w:color w:val="000000"/>
                <w:spacing w:val="52"/>
                <w:sz w:val="20"/>
                <w:szCs w:val="20"/>
                <w:shd w:val="solid" w:color="000000" w:fill="000000"/>
                <w:fitText w:val="327" w:id="-764127999"/>
                <w:lang w:eastAsia="en-US"/>
                <w14:textFill>
                  <w14:solidFill>
                    <w14:srgbClr w14:val="000000">
                      <w14:alpha w14:val="100000"/>
                    </w14:srgbClr>
                  </w14:solidFill>
                </w14:textFill>
              </w:rPr>
              <w:t>|||</w:t>
            </w:r>
            <w:r w:rsidRPr="001A0FFE">
              <w:rPr>
                <w:rFonts w:ascii="Arial Narrow" w:hAnsi="Arial Narrow" w:cs="Times New Roman"/>
                <w:color w:val="000000"/>
                <w:spacing w:val="1"/>
                <w:sz w:val="20"/>
                <w:szCs w:val="20"/>
                <w:shd w:val="solid" w:color="000000" w:fill="000000"/>
                <w:fitText w:val="327" w:id="-764127999"/>
                <w:lang w:eastAsia="en-US"/>
                <w14:textFill>
                  <w14:solidFill>
                    <w14:srgbClr w14:val="000000">
                      <w14:alpha w14:val="100000"/>
                    </w14:srgbClr>
                  </w14:solidFill>
                </w14:textFill>
              </w:rPr>
              <w:t>|</w:t>
            </w:r>
            <w:r w:rsidR="6283160D" w:rsidRPr="1797D1E5">
              <w:rPr>
                <w:rFonts w:ascii="Arial Narrow" w:hAnsi="Arial Narrow" w:cs="Times New Roman"/>
                <w:sz w:val="20"/>
                <w:szCs w:val="20"/>
                <w:vertAlign w:val="superscript"/>
                <w:lang w:eastAsia="en-US"/>
              </w:rPr>
              <w:t>1</w:t>
            </w:r>
          </w:p>
        </w:tc>
        <w:tc>
          <w:tcPr>
            <w:tcW w:w="1063" w:type="dxa"/>
            <w:tcBorders>
              <w:top w:val="single" w:sz="4" w:space="0" w:color="auto"/>
              <w:left w:val="single" w:sz="4" w:space="0" w:color="auto"/>
              <w:bottom w:val="nil"/>
              <w:right w:val="single" w:sz="4" w:space="0" w:color="auto"/>
            </w:tcBorders>
            <w:shd w:val="clear" w:color="auto" w:fill="DBE5F1" w:themeFill="accent1" w:themeFillTint="33"/>
          </w:tcPr>
          <w:p w14:paraId="1FFEC550" w14:textId="2DC5DF5B" w:rsidR="00B31A07" w:rsidRPr="007776C6" w:rsidRDefault="001A0FFE" w:rsidP="00B31A07">
            <w:pPr>
              <w:keepNext/>
              <w:keepLines/>
              <w:jc w:val="center"/>
              <w:rPr>
                <w:rFonts w:ascii="Arial Narrow" w:hAnsi="Arial Narrow" w:cs="Times New Roman"/>
                <w:sz w:val="20"/>
                <w:szCs w:val="20"/>
                <w:highlight w:val="darkGray"/>
                <w:lang w:eastAsia="en-US"/>
              </w:rPr>
            </w:pPr>
            <w:r w:rsidRPr="001A0FFE">
              <w:rPr>
                <w:rFonts w:ascii="Arial Narrow" w:hAnsi="Arial Narrow" w:cs="Times New Roman"/>
                <w:color w:val="000000"/>
                <w:spacing w:val="52"/>
                <w:sz w:val="20"/>
                <w:szCs w:val="20"/>
                <w:shd w:val="solid" w:color="000000" w:fill="000000"/>
                <w:fitText w:val="327" w:id="-764127998"/>
                <w:lang w:eastAsia="en-US"/>
                <w14:textFill>
                  <w14:solidFill>
                    <w14:srgbClr w14:val="000000">
                      <w14:alpha w14:val="100000"/>
                    </w14:srgbClr>
                  </w14:solidFill>
                </w14:textFill>
              </w:rPr>
              <w:t>|||</w:t>
            </w:r>
            <w:r w:rsidRPr="001A0FFE">
              <w:rPr>
                <w:rFonts w:ascii="Arial Narrow" w:hAnsi="Arial Narrow" w:cs="Times New Roman"/>
                <w:color w:val="000000"/>
                <w:spacing w:val="1"/>
                <w:sz w:val="20"/>
                <w:szCs w:val="20"/>
                <w:shd w:val="solid" w:color="000000" w:fill="000000"/>
                <w:fitText w:val="327" w:id="-764127998"/>
                <w:lang w:eastAsia="en-US"/>
                <w14:textFill>
                  <w14:solidFill>
                    <w14:srgbClr w14:val="000000">
                      <w14:alpha w14:val="100000"/>
                    </w14:srgbClr>
                  </w14:solidFill>
                </w14:textFill>
              </w:rPr>
              <w:t>|</w:t>
            </w:r>
            <w:r w:rsidR="6283160D" w:rsidRPr="1797D1E5">
              <w:rPr>
                <w:rFonts w:ascii="Arial Narrow" w:hAnsi="Arial Narrow" w:cs="Times New Roman"/>
                <w:sz w:val="20"/>
                <w:szCs w:val="20"/>
                <w:vertAlign w:val="superscript"/>
                <w:lang w:eastAsia="en-US"/>
              </w:rPr>
              <w:t>1</w:t>
            </w:r>
          </w:p>
        </w:tc>
        <w:tc>
          <w:tcPr>
            <w:tcW w:w="1063" w:type="dxa"/>
            <w:tcBorders>
              <w:top w:val="single" w:sz="4" w:space="0" w:color="auto"/>
              <w:left w:val="single" w:sz="4" w:space="0" w:color="auto"/>
              <w:bottom w:val="nil"/>
              <w:right w:val="single" w:sz="4" w:space="0" w:color="auto"/>
            </w:tcBorders>
            <w:shd w:val="clear" w:color="auto" w:fill="DBE5F1" w:themeFill="accent1" w:themeFillTint="33"/>
          </w:tcPr>
          <w:p w14:paraId="0BE447D6" w14:textId="43DD1395" w:rsidR="00B31A07" w:rsidRPr="007776C6" w:rsidRDefault="001A0FFE" w:rsidP="00B31A07">
            <w:pPr>
              <w:keepNext/>
              <w:keepLines/>
              <w:jc w:val="center"/>
              <w:rPr>
                <w:rFonts w:ascii="Arial Narrow" w:hAnsi="Arial Narrow" w:cs="Times New Roman"/>
                <w:sz w:val="20"/>
                <w:szCs w:val="20"/>
                <w:highlight w:val="darkGray"/>
                <w:lang w:eastAsia="en-US"/>
              </w:rPr>
            </w:pPr>
            <w:r w:rsidRPr="001A0FFE">
              <w:rPr>
                <w:rFonts w:ascii="Arial Narrow" w:hAnsi="Arial Narrow" w:cstheme="minorBidi"/>
                <w:color w:val="000000"/>
                <w:spacing w:val="52"/>
                <w:sz w:val="20"/>
                <w:szCs w:val="20"/>
                <w:shd w:val="solid" w:color="000000" w:fill="000000"/>
                <w:fitText w:val="327" w:id="-764127997"/>
                <w:lang w:eastAsia="en-US" w:bidi="hi-IN"/>
                <w14:textFill>
                  <w14:solidFill>
                    <w14:srgbClr w14:val="000000">
                      <w14:alpha w14:val="100000"/>
                    </w14:srgbClr>
                  </w14:solidFill>
                </w14:textFill>
              </w:rPr>
              <w:t>|||</w:t>
            </w:r>
            <w:r w:rsidRPr="001A0FFE">
              <w:rPr>
                <w:rFonts w:ascii="Arial Narrow" w:hAnsi="Arial Narrow" w:cstheme="minorBidi"/>
                <w:color w:val="000000"/>
                <w:spacing w:val="1"/>
                <w:sz w:val="20"/>
                <w:szCs w:val="20"/>
                <w:shd w:val="solid" w:color="000000" w:fill="000000"/>
                <w:fitText w:val="327" w:id="-764127997"/>
                <w:lang w:eastAsia="en-US" w:bidi="hi-IN"/>
                <w14:textFill>
                  <w14:solidFill>
                    <w14:srgbClr w14:val="000000">
                      <w14:alpha w14:val="100000"/>
                    </w14:srgbClr>
                  </w14:solidFill>
                </w14:textFill>
              </w:rPr>
              <w:t>|</w:t>
            </w:r>
            <w:r w:rsidR="6283160D" w:rsidRPr="1797D1E5">
              <w:rPr>
                <w:rFonts w:ascii="Arial Narrow" w:hAnsi="Arial Narrow" w:cs="Times New Roman"/>
                <w:sz w:val="20"/>
                <w:szCs w:val="20"/>
                <w:vertAlign w:val="superscript"/>
                <w:lang w:eastAsia="en-US"/>
              </w:rPr>
              <w:t>1</w:t>
            </w:r>
          </w:p>
        </w:tc>
        <w:tc>
          <w:tcPr>
            <w:tcW w:w="1063" w:type="dxa"/>
            <w:tcBorders>
              <w:top w:val="single" w:sz="4" w:space="0" w:color="auto"/>
              <w:left w:val="single" w:sz="4" w:space="0" w:color="auto"/>
              <w:bottom w:val="nil"/>
              <w:right w:val="single" w:sz="4" w:space="0" w:color="auto"/>
            </w:tcBorders>
            <w:shd w:val="clear" w:color="auto" w:fill="DBE5F1" w:themeFill="accent1" w:themeFillTint="33"/>
          </w:tcPr>
          <w:p w14:paraId="4FA491F1" w14:textId="1965DE5F" w:rsidR="00B31A07" w:rsidRPr="007776C6" w:rsidRDefault="001A0FFE" w:rsidP="00B31A07">
            <w:pPr>
              <w:keepNext/>
              <w:keepLines/>
              <w:jc w:val="center"/>
              <w:rPr>
                <w:rFonts w:ascii="Arial Narrow" w:hAnsi="Arial Narrow" w:cs="Times New Roman"/>
                <w:sz w:val="20"/>
                <w:szCs w:val="20"/>
                <w:highlight w:val="darkGray"/>
                <w:lang w:eastAsia="en-US"/>
              </w:rPr>
            </w:pPr>
            <w:r w:rsidRPr="001A0FFE">
              <w:rPr>
                <w:rFonts w:ascii="Arial Narrow" w:hAnsi="Arial Narrow" w:cs="Times New Roman"/>
                <w:color w:val="000000"/>
                <w:spacing w:val="52"/>
                <w:sz w:val="20"/>
                <w:szCs w:val="20"/>
                <w:shd w:val="solid" w:color="000000" w:fill="000000"/>
                <w:fitText w:val="327" w:id="-764127996"/>
                <w:lang w:eastAsia="en-US"/>
                <w14:textFill>
                  <w14:solidFill>
                    <w14:srgbClr w14:val="000000">
                      <w14:alpha w14:val="100000"/>
                    </w14:srgbClr>
                  </w14:solidFill>
                </w14:textFill>
              </w:rPr>
              <w:t>|||</w:t>
            </w:r>
            <w:r w:rsidRPr="001A0FFE">
              <w:rPr>
                <w:rFonts w:ascii="Arial Narrow" w:hAnsi="Arial Narrow" w:cs="Times New Roman"/>
                <w:color w:val="000000"/>
                <w:spacing w:val="1"/>
                <w:sz w:val="20"/>
                <w:szCs w:val="20"/>
                <w:shd w:val="solid" w:color="000000" w:fill="000000"/>
                <w:fitText w:val="327" w:id="-764127996"/>
                <w:lang w:eastAsia="en-US"/>
                <w14:textFill>
                  <w14:solidFill>
                    <w14:srgbClr w14:val="000000">
                      <w14:alpha w14:val="100000"/>
                    </w14:srgbClr>
                  </w14:solidFill>
                </w14:textFill>
              </w:rPr>
              <w:t>|</w:t>
            </w:r>
            <w:r w:rsidR="6283160D" w:rsidRPr="1797D1E5">
              <w:rPr>
                <w:rFonts w:ascii="Arial Narrow" w:hAnsi="Arial Narrow" w:cs="Times New Roman"/>
                <w:sz w:val="20"/>
                <w:szCs w:val="20"/>
                <w:vertAlign w:val="superscript"/>
                <w:lang w:eastAsia="en-US"/>
              </w:rPr>
              <w:t>1</w:t>
            </w:r>
          </w:p>
        </w:tc>
        <w:tc>
          <w:tcPr>
            <w:tcW w:w="1063" w:type="dxa"/>
            <w:tcBorders>
              <w:top w:val="single" w:sz="4" w:space="0" w:color="auto"/>
              <w:left w:val="single" w:sz="4" w:space="0" w:color="auto"/>
              <w:bottom w:val="nil"/>
              <w:right w:val="single" w:sz="4" w:space="0" w:color="auto"/>
            </w:tcBorders>
            <w:shd w:val="clear" w:color="auto" w:fill="DBE5F1" w:themeFill="accent1" w:themeFillTint="33"/>
          </w:tcPr>
          <w:p w14:paraId="777FA30A" w14:textId="555FC013" w:rsidR="00B31A07" w:rsidRPr="007776C6" w:rsidRDefault="001A0FFE" w:rsidP="00B31A07">
            <w:pPr>
              <w:keepNext/>
              <w:keepLines/>
              <w:jc w:val="center"/>
              <w:rPr>
                <w:rFonts w:ascii="Arial Narrow" w:hAnsi="Arial Narrow" w:cs="Times New Roman"/>
                <w:sz w:val="20"/>
                <w:szCs w:val="20"/>
                <w:highlight w:val="darkGray"/>
                <w:lang w:eastAsia="en-US"/>
              </w:rPr>
            </w:pPr>
            <w:r w:rsidRPr="001A0FFE">
              <w:rPr>
                <w:rFonts w:ascii="Arial Narrow" w:hAnsi="Arial Narrow" w:cs="Times New Roman"/>
                <w:color w:val="000000"/>
                <w:spacing w:val="52"/>
                <w:sz w:val="20"/>
                <w:szCs w:val="20"/>
                <w:shd w:val="solid" w:color="000000" w:fill="000000"/>
                <w:fitText w:val="327" w:id="-764127995"/>
                <w:lang w:eastAsia="en-US"/>
                <w14:textFill>
                  <w14:solidFill>
                    <w14:srgbClr w14:val="000000">
                      <w14:alpha w14:val="100000"/>
                    </w14:srgbClr>
                  </w14:solidFill>
                </w14:textFill>
              </w:rPr>
              <w:t>|||</w:t>
            </w:r>
            <w:r w:rsidRPr="001A0FFE">
              <w:rPr>
                <w:rFonts w:ascii="Arial Narrow" w:hAnsi="Arial Narrow" w:cs="Times New Roman"/>
                <w:color w:val="000000"/>
                <w:spacing w:val="1"/>
                <w:sz w:val="20"/>
                <w:szCs w:val="20"/>
                <w:shd w:val="solid" w:color="000000" w:fill="000000"/>
                <w:fitText w:val="327" w:id="-764127995"/>
                <w:lang w:eastAsia="en-US"/>
                <w14:textFill>
                  <w14:solidFill>
                    <w14:srgbClr w14:val="000000">
                      <w14:alpha w14:val="100000"/>
                    </w14:srgbClr>
                  </w14:solidFill>
                </w14:textFill>
              </w:rPr>
              <w:t>|</w:t>
            </w:r>
            <w:r w:rsidR="6283160D" w:rsidRPr="1797D1E5">
              <w:rPr>
                <w:rFonts w:ascii="Arial Narrow" w:hAnsi="Arial Narrow" w:cs="Times New Roman"/>
                <w:sz w:val="20"/>
                <w:szCs w:val="20"/>
                <w:vertAlign w:val="superscript"/>
                <w:lang w:eastAsia="en-US"/>
              </w:rPr>
              <w:t>1</w:t>
            </w:r>
          </w:p>
        </w:tc>
        <w:tc>
          <w:tcPr>
            <w:tcW w:w="1063" w:type="dxa"/>
            <w:tcBorders>
              <w:top w:val="single" w:sz="4" w:space="0" w:color="auto"/>
              <w:left w:val="single" w:sz="4" w:space="0" w:color="auto"/>
              <w:bottom w:val="nil"/>
              <w:right w:val="single" w:sz="4" w:space="0" w:color="auto"/>
            </w:tcBorders>
            <w:shd w:val="clear" w:color="auto" w:fill="DBE5F1" w:themeFill="accent1" w:themeFillTint="33"/>
          </w:tcPr>
          <w:p w14:paraId="769EA453" w14:textId="12C19F30" w:rsidR="00B31A07" w:rsidRPr="007776C6" w:rsidRDefault="001A0FFE" w:rsidP="00B31A07">
            <w:pPr>
              <w:keepNext/>
              <w:keepLines/>
              <w:jc w:val="center"/>
              <w:rPr>
                <w:rFonts w:ascii="Arial Narrow" w:hAnsi="Arial Narrow" w:cs="Times New Roman"/>
                <w:sz w:val="20"/>
                <w:szCs w:val="20"/>
                <w:highlight w:val="darkGray"/>
                <w:lang w:eastAsia="en-US"/>
              </w:rPr>
            </w:pPr>
            <w:r w:rsidRPr="001A0FFE">
              <w:rPr>
                <w:rFonts w:ascii="Arial Narrow" w:hAnsi="Arial Narrow" w:cs="Times New Roman"/>
                <w:color w:val="000000"/>
                <w:spacing w:val="52"/>
                <w:sz w:val="20"/>
                <w:szCs w:val="20"/>
                <w:shd w:val="solid" w:color="000000" w:fill="000000"/>
                <w:fitText w:val="327" w:id="-764127994"/>
                <w:lang w:eastAsia="en-US"/>
                <w14:textFill>
                  <w14:solidFill>
                    <w14:srgbClr w14:val="000000">
                      <w14:alpha w14:val="100000"/>
                    </w14:srgbClr>
                  </w14:solidFill>
                </w14:textFill>
              </w:rPr>
              <w:t>|||</w:t>
            </w:r>
            <w:r w:rsidRPr="001A0FFE">
              <w:rPr>
                <w:rFonts w:ascii="Arial Narrow" w:hAnsi="Arial Narrow" w:cs="Times New Roman"/>
                <w:color w:val="000000"/>
                <w:spacing w:val="1"/>
                <w:sz w:val="20"/>
                <w:szCs w:val="20"/>
                <w:shd w:val="solid" w:color="000000" w:fill="000000"/>
                <w:fitText w:val="327" w:id="-764127994"/>
                <w:lang w:eastAsia="en-US"/>
                <w14:textFill>
                  <w14:solidFill>
                    <w14:srgbClr w14:val="000000">
                      <w14:alpha w14:val="100000"/>
                    </w14:srgbClr>
                  </w14:solidFill>
                </w14:textFill>
              </w:rPr>
              <w:t>|</w:t>
            </w:r>
            <w:r w:rsidR="6283160D" w:rsidRPr="1797D1E5">
              <w:rPr>
                <w:rFonts w:ascii="Arial Narrow" w:hAnsi="Arial Narrow" w:cs="Times New Roman"/>
                <w:sz w:val="20"/>
                <w:szCs w:val="20"/>
                <w:vertAlign w:val="superscript"/>
                <w:lang w:eastAsia="en-US"/>
              </w:rPr>
              <w:t>1</w:t>
            </w:r>
          </w:p>
        </w:tc>
      </w:tr>
      <w:tr w:rsidR="00B31A07" w:rsidRPr="00B31A07" w14:paraId="31E17B92" w14:textId="77777777" w:rsidTr="1797D1E5">
        <w:tc>
          <w:tcPr>
            <w:tcW w:w="9067" w:type="dxa"/>
            <w:gridSpan w:val="7"/>
            <w:tcBorders>
              <w:bottom w:val="single" w:sz="4" w:space="0" w:color="auto"/>
              <w:right w:val="single" w:sz="4" w:space="0" w:color="auto"/>
            </w:tcBorders>
            <w:shd w:val="clear" w:color="auto" w:fill="DBE5F1" w:themeFill="accent1" w:themeFillTint="33"/>
            <w:vAlign w:val="center"/>
          </w:tcPr>
          <w:p w14:paraId="5727EDFA" w14:textId="77777777" w:rsidR="00B31A07" w:rsidRPr="00B31A07" w:rsidRDefault="00B31A07" w:rsidP="00B31A07">
            <w:pPr>
              <w:keepNext/>
              <w:keepLines/>
              <w:jc w:val="left"/>
              <w:rPr>
                <w:rFonts w:ascii="Arial Narrow" w:hAnsi="Arial Narrow" w:cs="Times New Roman"/>
                <w:b/>
                <w:bCs/>
                <w:sz w:val="20"/>
                <w:szCs w:val="20"/>
                <w:lang w:eastAsia="en-US"/>
              </w:rPr>
            </w:pPr>
            <w:r w:rsidRPr="00B31A07">
              <w:rPr>
                <w:rFonts w:ascii="Arial Narrow" w:hAnsi="Arial Narrow" w:cs="Times New Roman"/>
                <w:b/>
                <w:bCs/>
                <w:sz w:val="20"/>
                <w:szCs w:val="20"/>
                <w:lang w:eastAsia="en-US"/>
              </w:rPr>
              <w:t>Estimated total cost of blinatumomab to the PBS/RPBS</w:t>
            </w:r>
          </w:p>
        </w:tc>
      </w:tr>
      <w:tr w:rsidR="00B31A07" w:rsidRPr="00B31A07" w14:paraId="6B42E404" w14:textId="77777777" w:rsidTr="1797D1E5">
        <w:tc>
          <w:tcPr>
            <w:tcW w:w="2689" w:type="dxa"/>
            <w:shd w:val="clear" w:color="auto" w:fill="DBE5F1" w:themeFill="accent1" w:themeFillTint="33"/>
            <w:vAlign w:val="center"/>
          </w:tcPr>
          <w:p w14:paraId="324E4B29" w14:textId="77777777" w:rsidR="00B31A07" w:rsidRPr="00B31A07" w:rsidRDefault="00B31A07" w:rsidP="00B31A07">
            <w:pPr>
              <w:keepNext/>
              <w:keepLines/>
              <w:jc w:val="left"/>
              <w:rPr>
                <w:rFonts w:ascii="Arial Narrow" w:hAnsi="Arial Narrow" w:cs="Times New Roman"/>
                <w:b/>
                <w:sz w:val="20"/>
                <w:szCs w:val="20"/>
                <w:lang w:eastAsia="en-US"/>
              </w:rPr>
            </w:pPr>
            <w:r w:rsidRPr="00B31A07">
              <w:rPr>
                <w:rFonts w:ascii="Arial Narrow" w:hAnsi="Arial Narrow" w:cs="Times New Roman"/>
                <w:b/>
                <w:sz w:val="20"/>
                <w:szCs w:val="20"/>
                <w:lang w:eastAsia="en-US"/>
              </w:rPr>
              <w:t>Total net PBS/RPBS cost less copayment (effective)</w:t>
            </w:r>
          </w:p>
        </w:tc>
        <w:tc>
          <w:tcPr>
            <w:tcW w:w="1063"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00A62370" w14:textId="4C1F001D" w:rsidR="00B31A07" w:rsidRPr="007776C6" w:rsidRDefault="001A0FFE" w:rsidP="00B31A07">
            <w:pPr>
              <w:keepNext/>
              <w:keepLines/>
              <w:jc w:val="center"/>
              <w:rPr>
                <w:rFonts w:ascii="Arial Narrow" w:hAnsi="Arial Narrow"/>
                <w:b/>
                <w:bCs/>
                <w:color w:val="000000"/>
                <w:sz w:val="20"/>
                <w:szCs w:val="20"/>
                <w:highlight w:val="darkGray"/>
                <w:lang w:eastAsia="en-US"/>
              </w:rPr>
            </w:pPr>
            <w:r w:rsidRPr="001A0FFE">
              <w:rPr>
                <w:rFonts w:ascii="Arial Narrow" w:hAnsi="Arial Narrow"/>
                <w:b/>
                <w:bCs/>
                <w:color w:val="000000" w:themeColor="text1"/>
                <w:spacing w:val="56"/>
                <w:sz w:val="20"/>
                <w:szCs w:val="20"/>
                <w:shd w:val="solid" w:color="000000" w:fill="000000"/>
                <w:fitText w:val="353" w:id="-764127993"/>
                <w:lang w:eastAsia="en-US"/>
                <w14:textFill>
                  <w14:solidFill>
                    <w14:schemeClr w14:val="tx1">
                      <w14:alpha w14:val="100000"/>
                    </w14:schemeClr>
                  </w14:solidFill>
                </w14:textFill>
              </w:rPr>
              <w:t>|||</w:t>
            </w:r>
            <w:r w:rsidRPr="001A0FFE">
              <w:rPr>
                <w:rFonts w:ascii="Arial Narrow" w:hAnsi="Arial Narrow"/>
                <w:b/>
                <w:bCs/>
                <w:color w:val="000000" w:themeColor="text1"/>
                <w:spacing w:val="2"/>
                <w:sz w:val="20"/>
                <w:szCs w:val="20"/>
                <w:shd w:val="solid" w:color="000000" w:fill="000000"/>
                <w:fitText w:val="353" w:id="-764127993"/>
                <w:lang w:eastAsia="en-US"/>
                <w14:textFill>
                  <w14:solidFill>
                    <w14:schemeClr w14:val="tx1">
                      <w14:alpha w14:val="100000"/>
                    </w14:schemeClr>
                  </w14:solidFill>
                </w14:textFill>
              </w:rPr>
              <w:t>|</w:t>
            </w:r>
            <w:r w:rsidR="7B6CBC14" w:rsidRPr="1797D1E5">
              <w:rPr>
                <w:rFonts w:ascii="Arial Narrow" w:hAnsi="Arial Narrow"/>
                <w:b/>
                <w:bCs/>
                <w:color w:val="000000" w:themeColor="text1"/>
                <w:sz w:val="20"/>
                <w:szCs w:val="20"/>
                <w:vertAlign w:val="superscript"/>
                <w:lang w:eastAsia="en-US"/>
              </w:rPr>
              <w:t>2</w:t>
            </w:r>
          </w:p>
        </w:tc>
        <w:tc>
          <w:tcPr>
            <w:tcW w:w="106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AA345E" w14:textId="4B313B11" w:rsidR="00B31A07" w:rsidRPr="007776C6" w:rsidRDefault="001A0FFE" w:rsidP="00B31A07">
            <w:pPr>
              <w:keepNext/>
              <w:keepLines/>
              <w:jc w:val="center"/>
              <w:rPr>
                <w:rFonts w:ascii="Arial Narrow" w:hAnsi="Arial Narrow"/>
                <w:b/>
                <w:bCs/>
                <w:color w:val="000000"/>
                <w:sz w:val="20"/>
                <w:szCs w:val="20"/>
                <w:highlight w:val="darkGray"/>
                <w:lang w:eastAsia="en-US"/>
              </w:rPr>
            </w:pPr>
            <w:r w:rsidRPr="001A0FFE">
              <w:rPr>
                <w:rFonts w:ascii="Arial Narrow" w:hAnsi="Arial Narrow"/>
                <w:b/>
                <w:bCs/>
                <w:color w:val="000000" w:themeColor="text1"/>
                <w:spacing w:val="56"/>
                <w:sz w:val="20"/>
                <w:szCs w:val="20"/>
                <w:shd w:val="solid" w:color="000000" w:fill="000000"/>
                <w:fitText w:val="353" w:id="-764127992"/>
                <w:lang w:eastAsia="en-US"/>
                <w14:textFill>
                  <w14:solidFill>
                    <w14:schemeClr w14:val="tx1">
                      <w14:alpha w14:val="100000"/>
                    </w14:schemeClr>
                  </w14:solidFill>
                </w14:textFill>
              </w:rPr>
              <w:t>|||</w:t>
            </w:r>
            <w:r w:rsidRPr="001A0FFE">
              <w:rPr>
                <w:rFonts w:ascii="Arial Narrow" w:hAnsi="Arial Narrow"/>
                <w:b/>
                <w:bCs/>
                <w:color w:val="000000" w:themeColor="text1"/>
                <w:spacing w:val="2"/>
                <w:sz w:val="20"/>
                <w:szCs w:val="20"/>
                <w:shd w:val="solid" w:color="000000" w:fill="000000"/>
                <w:fitText w:val="353" w:id="-764127992"/>
                <w:lang w:eastAsia="en-US"/>
                <w14:textFill>
                  <w14:solidFill>
                    <w14:schemeClr w14:val="tx1">
                      <w14:alpha w14:val="100000"/>
                    </w14:schemeClr>
                  </w14:solidFill>
                </w14:textFill>
              </w:rPr>
              <w:t>|</w:t>
            </w:r>
            <w:r w:rsidR="7B6CBC14" w:rsidRPr="1797D1E5">
              <w:rPr>
                <w:rFonts w:ascii="Arial Narrow" w:hAnsi="Arial Narrow"/>
                <w:b/>
                <w:bCs/>
                <w:color w:val="000000" w:themeColor="text1"/>
                <w:sz w:val="20"/>
                <w:szCs w:val="20"/>
                <w:vertAlign w:val="superscript"/>
                <w:lang w:eastAsia="en-US"/>
              </w:rPr>
              <w:t>2</w:t>
            </w:r>
          </w:p>
        </w:tc>
        <w:tc>
          <w:tcPr>
            <w:tcW w:w="106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A7A1DD" w14:textId="044DB738" w:rsidR="00B31A07" w:rsidRPr="007776C6" w:rsidRDefault="001A0FFE" w:rsidP="00B31A07">
            <w:pPr>
              <w:keepNext/>
              <w:keepLines/>
              <w:jc w:val="center"/>
              <w:rPr>
                <w:rFonts w:ascii="Arial Narrow" w:hAnsi="Arial Narrow"/>
                <w:b/>
                <w:bCs/>
                <w:color w:val="000000"/>
                <w:sz w:val="20"/>
                <w:szCs w:val="20"/>
                <w:highlight w:val="darkGray"/>
                <w:lang w:eastAsia="en-US"/>
              </w:rPr>
            </w:pPr>
            <w:r w:rsidRPr="001A0FFE">
              <w:rPr>
                <w:rFonts w:ascii="Arial Narrow" w:hAnsi="Arial Narrow"/>
                <w:b/>
                <w:bCs/>
                <w:color w:val="000000" w:themeColor="text1"/>
                <w:spacing w:val="56"/>
                <w:sz w:val="20"/>
                <w:szCs w:val="20"/>
                <w:shd w:val="solid" w:color="000000" w:fill="000000"/>
                <w:fitText w:val="353" w:id="-764127991"/>
                <w:lang w:eastAsia="en-US"/>
                <w14:textFill>
                  <w14:solidFill>
                    <w14:schemeClr w14:val="tx1">
                      <w14:alpha w14:val="100000"/>
                    </w14:schemeClr>
                  </w14:solidFill>
                </w14:textFill>
              </w:rPr>
              <w:t>|||</w:t>
            </w:r>
            <w:r w:rsidRPr="001A0FFE">
              <w:rPr>
                <w:rFonts w:ascii="Arial Narrow" w:hAnsi="Arial Narrow"/>
                <w:b/>
                <w:bCs/>
                <w:color w:val="000000" w:themeColor="text1"/>
                <w:spacing w:val="2"/>
                <w:sz w:val="20"/>
                <w:szCs w:val="20"/>
                <w:shd w:val="solid" w:color="000000" w:fill="000000"/>
                <w:fitText w:val="353" w:id="-764127991"/>
                <w:lang w:eastAsia="en-US"/>
                <w14:textFill>
                  <w14:solidFill>
                    <w14:schemeClr w14:val="tx1">
                      <w14:alpha w14:val="100000"/>
                    </w14:schemeClr>
                  </w14:solidFill>
                </w14:textFill>
              </w:rPr>
              <w:t>|</w:t>
            </w:r>
            <w:r w:rsidR="7B6CBC14" w:rsidRPr="1797D1E5">
              <w:rPr>
                <w:rFonts w:ascii="Arial Narrow" w:hAnsi="Arial Narrow"/>
                <w:b/>
                <w:bCs/>
                <w:color w:val="000000" w:themeColor="text1"/>
                <w:sz w:val="20"/>
                <w:szCs w:val="20"/>
                <w:vertAlign w:val="superscript"/>
                <w:lang w:eastAsia="en-US"/>
              </w:rPr>
              <w:t>2</w:t>
            </w:r>
          </w:p>
        </w:tc>
        <w:tc>
          <w:tcPr>
            <w:tcW w:w="106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F96499" w14:textId="5CB29D00" w:rsidR="00B31A07" w:rsidRPr="007776C6" w:rsidRDefault="001A0FFE" w:rsidP="00B31A07">
            <w:pPr>
              <w:keepNext/>
              <w:keepLines/>
              <w:jc w:val="center"/>
              <w:rPr>
                <w:rFonts w:ascii="Arial Narrow" w:hAnsi="Arial Narrow"/>
                <w:b/>
                <w:bCs/>
                <w:color w:val="000000"/>
                <w:sz w:val="20"/>
                <w:szCs w:val="20"/>
                <w:highlight w:val="darkGray"/>
                <w:lang w:eastAsia="en-US"/>
              </w:rPr>
            </w:pPr>
            <w:r w:rsidRPr="001A0FFE">
              <w:rPr>
                <w:rFonts w:ascii="Arial Narrow" w:hAnsi="Arial Narrow"/>
                <w:b/>
                <w:bCs/>
                <w:color w:val="000000" w:themeColor="text1"/>
                <w:spacing w:val="56"/>
                <w:sz w:val="20"/>
                <w:szCs w:val="20"/>
                <w:shd w:val="solid" w:color="000000" w:fill="000000"/>
                <w:fitText w:val="353" w:id="-764127990"/>
                <w:lang w:eastAsia="en-US"/>
                <w14:textFill>
                  <w14:solidFill>
                    <w14:schemeClr w14:val="tx1">
                      <w14:alpha w14:val="100000"/>
                    </w14:schemeClr>
                  </w14:solidFill>
                </w14:textFill>
              </w:rPr>
              <w:t>|||</w:t>
            </w:r>
            <w:r w:rsidRPr="001A0FFE">
              <w:rPr>
                <w:rFonts w:ascii="Arial Narrow" w:hAnsi="Arial Narrow"/>
                <w:b/>
                <w:bCs/>
                <w:color w:val="000000" w:themeColor="text1"/>
                <w:spacing w:val="2"/>
                <w:sz w:val="20"/>
                <w:szCs w:val="20"/>
                <w:shd w:val="solid" w:color="000000" w:fill="000000"/>
                <w:fitText w:val="353" w:id="-764127990"/>
                <w:lang w:eastAsia="en-US"/>
                <w14:textFill>
                  <w14:solidFill>
                    <w14:schemeClr w14:val="tx1">
                      <w14:alpha w14:val="100000"/>
                    </w14:schemeClr>
                  </w14:solidFill>
                </w14:textFill>
              </w:rPr>
              <w:t>|</w:t>
            </w:r>
            <w:r w:rsidR="7B6CBC14" w:rsidRPr="1797D1E5">
              <w:rPr>
                <w:rFonts w:ascii="Arial Narrow" w:hAnsi="Arial Narrow"/>
                <w:b/>
                <w:bCs/>
                <w:color w:val="000000" w:themeColor="text1"/>
                <w:sz w:val="20"/>
                <w:szCs w:val="20"/>
                <w:vertAlign w:val="superscript"/>
                <w:lang w:eastAsia="en-US"/>
              </w:rPr>
              <w:t>2</w:t>
            </w:r>
          </w:p>
        </w:tc>
        <w:tc>
          <w:tcPr>
            <w:tcW w:w="106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9533D0" w14:textId="46972E82" w:rsidR="00B31A07" w:rsidRPr="007776C6" w:rsidRDefault="001A0FFE" w:rsidP="00B31A07">
            <w:pPr>
              <w:keepNext/>
              <w:keepLines/>
              <w:jc w:val="center"/>
              <w:rPr>
                <w:rFonts w:ascii="Arial Narrow" w:hAnsi="Arial Narrow"/>
                <w:b/>
                <w:bCs/>
                <w:color w:val="000000"/>
                <w:sz w:val="20"/>
                <w:szCs w:val="20"/>
                <w:highlight w:val="darkGray"/>
                <w:lang w:eastAsia="en-US"/>
              </w:rPr>
            </w:pPr>
            <w:r w:rsidRPr="001A0FFE">
              <w:rPr>
                <w:rFonts w:ascii="Arial Narrow" w:hAnsi="Arial Narrow"/>
                <w:b/>
                <w:bCs/>
                <w:color w:val="000000" w:themeColor="text1"/>
                <w:spacing w:val="56"/>
                <w:sz w:val="20"/>
                <w:szCs w:val="20"/>
                <w:shd w:val="solid" w:color="000000" w:fill="000000"/>
                <w:fitText w:val="354" w:id="-764127989"/>
                <w:lang w:eastAsia="en-US"/>
                <w14:textFill>
                  <w14:solidFill>
                    <w14:schemeClr w14:val="tx1">
                      <w14:alpha w14:val="100000"/>
                    </w14:schemeClr>
                  </w14:solidFill>
                </w14:textFill>
              </w:rPr>
              <w:t>|||</w:t>
            </w:r>
            <w:r w:rsidRPr="001A0FFE">
              <w:rPr>
                <w:rFonts w:ascii="Arial Narrow" w:hAnsi="Arial Narrow"/>
                <w:b/>
                <w:bCs/>
                <w:color w:val="000000" w:themeColor="text1"/>
                <w:spacing w:val="3"/>
                <w:sz w:val="20"/>
                <w:szCs w:val="20"/>
                <w:shd w:val="solid" w:color="000000" w:fill="000000"/>
                <w:fitText w:val="354" w:id="-764127989"/>
                <w:lang w:eastAsia="en-US"/>
                <w14:textFill>
                  <w14:solidFill>
                    <w14:schemeClr w14:val="tx1">
                      <w14:alpha w14:val="100000"/>
                    </w14:schemeClr>
                  </w14:solidFill>
                </w14:textFill>
              </w:rPr>
              <w:t>|</w:t>
            </w:r>
            <w:r w:rsidR="7B6CBC14" w:rsidRPr="1797D1E5">
              <w:rPr>
                <w:rFonts w:ascii="Arial Narrow" w:hAnsi="Arial Narrow"/>
                <w:b/>
                <w:bCs/>
                <w:color w:val="000000" w:themeColor="text1"/>
                <w:sz w:val="20"/>
                <w:szCs w:val="20"/>
                <w:vertAlign w:val="superscript"/>
                <w:lang w:eastAsia="en-US"/>
              </w:rPr>
              <w:t>2</w:t>
            </w:r>
          </w:p>
        </w:tc>
        <w:tc>
          <w:tcPr>
            <w:tcW w:w="106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F175DA" w14:textId="58F36397" w:rsidR="00B31A07" w:rsidRPr="007776C6" w:rsidRDefault="001A0FFE" w:rsidP="00B31A07">
            <w:pPr>
              <w:keepNext/>
              <w:keepLines/>
              <w:jc w:val="center"/>
              <w:rPr>
                <w:rFonts w:ascii="Arial Narrow" w:hAnsi="Arial Narrow"/>
                <w:b/>
                <w:bCs/>
                <w:color w:val="000000"/>
                <w:sz w:val="20"/>
                <w:szCs w:val="20"/>
                <w:highlight w:val="darkGray"/>
                <w:lang w:eastAsia="en-US"/>
              </w:rPr>
            </w:pPr>
            <w:r w:rsidRPr="001A0FFE">
              <w:rPr>
                <w:rFonts w:ascii="Arial Narrow" w:hAnsi="Arial Narrow"/>
                <w:b/>
                <w:bCs/>
                <w:color w:val="000000" w:themeColor="text1"/>
                <w:spacing w:val="56"/>
                <w:sz w:val="20"/>
                <w:szCs w:val="20"/>
                <w:shd w:val="solid" w:color="000000" w:fill="000000"/>
                <w:fitText w:val="353" w:id="-764127988"/>
                <w:lang w:eastAsia="en-US"/>
                <w14:textFill>
                  <w14:solidFill>
                    <w14:schemeClr w14:val="tx1">
                      <w14:alpha w14:val="100000"/>
                    </w14:schemeClr>
                  </w14:solidFill>
                </w14:textFill>
              </w:rPr>
              <w:t>|||</w:t>
            </w:r>
            <w:r w:rsidRPr="001A0FFE">
              <w:rPr>
                <w:rFonts w:ascii="Arial Narrow" w:hAnsi="Arial Narrow"/>
                <w:b/>
                <w:bCs/>
                <w:color w:val="000000" w:themeColor="text1"/>
                <w:spacing w:val="2"/>
                <w:sz w:val="20"/>
                <w:szCs w:val="20"/>
                <w:shd w:val="solid" w:color="000000" w:fill="000000"/>
                <w:fitText w:val="353" w:id="-764127988"/>
                <w:lang w:eastAsia="en-US"/>
                <w14:textFill>
                  <w14:solidFill>
                    <w14:schemeClr w14:val="tx1">
                      <w14:alpha w14:val="100000"/>
                    </w14:schemeClr>
                  </w14:solidFill>
                </w14:textFill>
              </w:rPr>
              <w:t>|</w:t>
            </w:r>
            <w:r w:rsidR="7B6CBC14" w:rsidRPr="1797D1E5">
              <w:rPr>
                <w:rFonts w:ascii="Arial Narrow" w:hAnsi="Arial Narrow"/>
                <w:b/>
                <w:bCs/>
                <w:color w:val="000000" w:themeColor="text1"/>
                <w:sz w:val="20"/>
                <w:szCs w:val="20"/>
                <w:vertAlign w:val="superscript"/>
                <w:lang w:eastAsia="en-US"/>
              </w:rPr>
              <w:t>2</w:t>
            </w:r>
          </w:p>
        </w:tc>
      </w:tr>
      <w:tr w:rsidR="00B31A07" w:rsidRPr="00B31A07" w14:paraId="644C26B7" w14:textId="77777777" w:rsidTr="1797D1E5">
        <w:tc>
          <w:tcPr>
            <w:tcW w:w="26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3253A9" w14:textId="77777777" w:rsidR="00B31A07" w:rsidRPr="00B31A07" w:rsidRDefault="00B31A07" w:rsidP="00B31A07">
            <w:pPr>
              <w:keepNext/>
              <w:keepLines/>
              <w:jc w:val="left"/>
              <w:rPr>
                <w:rFonts w:ascii="Arial Narrow" w:hAnsi="Arial Narrow" w:cs="Times New Roman"/>
                <w:bCs/>
                <w:sz w:val="20"/>
                <w:szCs w:val="20"/>
                <w:lang w:eastAsia="en-US"/>
              </w:rPr>
            </w:pPr>
            <w:r w:rsidRPr="00B31A07">
              <w:rPr>
                <w:rFonts w:ascii="Arial Narrow" w:hAnsi="Arial Narrow" w:cs="Times New Roman"/>
                <w:sz w:val="20"/>
                <w:szCs w:val="20"/>
                <w:lang w:eastAsia="en-US"/>
              </w:rPr>
              <w:t>Cost offsets (displaced R/R blinatumomab and inotuzumab)</w:t>
            </w:r>
          </w:p>
        </w:tc>
        <w:tc>
          <w:tcPr>
            <w:tcW w:w="1063"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25C02495" w14:textId="07B7BF5D" w:rsidR="00B31A07" w:rsidRPr="007776C6" w:rsidRDefault="001A0FFE" w:rsidP="1797D1E5">
            <w:pPr>
              <w:keepNext/>
              <w:keepLines/>
              <w:jc w:val="center"/>
              <w:rPr>
                <w:rFonts w:ascii="Arial Narrow" w:hAnsi="Arial Narrow" w:cs="Times New Roman"/>
                <w:sz w:val="20"/>
                <w:szCs w:val="20"/>
                <w:highlight w:val="darkGray"/>
                <w:lang w:eastAsia="en-US"/>
              </w:rPr>
            </w:pPr>
            <w:r w:rsidRPr="001A0FFE">
              <w:rPr>
                <w:rFonts w:ascii="Arial Narrow" w:hAnsi="Arial Narrow" w:cs="Times New Roman"/>
                <w:color w:val="000000"/>
                <w:spacing w:val="52"/>
                <w:sz w:val="20"/>
                <w:szCs w:val="20"/>
                <w:shd w:val="solid" w:color="000000" w:fill="000000"/>
                <w:fitText w:val="327" w:id="-764127987"/>
                <w:lang w:eastAsia="en-US"/>
                <w14:textFill>
                  <w14:solidFill>
                    <w14:srgbClr w14:val="000000">
                      <w14:alpha w14:val="100000"/>
                    </w14:srgbClr>
                  </w14:solidFill>
                </w14:textFill>
              </w:rPr>
              <w:t>|||</w:t>
            </w:r>
            <w:r w:rsidRPr="001A0FFE">
              <w:rPr>
                <w:rFonts w:ascii="Arial Narrow" w:hAnsi="Arial Narrow" w:cs="Times New Roman"/>
                <w:color w:val="000000"/>
                <w:spacing w:val="1"/>
                <w:sz w:val="20"/>
                <w:szCs w:val="20"/>
                <w:shd w:val="solid" w:color="000000" w:fill="000000"/>
                <w:fitText w:val="327" w:id="-764127987"/>
                <w:lang w:eastAsia="en-US"/>
                <w14:textFill>
                  <w14:solidFill>
                    <w14:srgbClr w14:val="000000">
                      <w14:alpha w14:val="100000"/>
                    </w14:srgbClr>
                  </w14:solidFill>
                </w14:textFill>
              </w:rPr>
              <w:t>|</w:t>
            </w:r>
            <w:r w:rsidR="2BEF19E9" w:rsidRPr="1797D1E5">
              <w:rPr>
                <w:rFonts w:ascii="Arial Narrow" w:hAnsi="Arial Narrow"/>
                <w:sz w:val="20"/>
                <w:szCs w:val="20"/>
                <w:vertAlign w:val="superscript"/>
                <w:lang w:eastAsia="en-US"/>
              </w:rPr>
              <w:t>3</w:t>
            </w:r>
          </w:p>
        </w:tc>
        <w:tc>
          <w:tcPr>
            <w:tcW w:w="106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4825B8" w14:textId="5C2435DB" w:rsidR="00B31A07" w:rsidRPr="007776C6" w:rsidRDefault="001A0FFE" w:rsidP="1797D1E5">
            <w:pPr>
              <w:keepNext/>
              <w:keepLines/>
              <w:jc w:val="center"/>
              <w:rPr>
                <w:rFonts w:ascii="Arial Narrow" w:hAnsi="Arial Narrow" w:cs="Times New Roman"/>
                <w:sz w:val="20"/>
                <w:szCs w:val="20"/>
                <w:highlight w:val="darkGray"/>
                <w:lang w:eastAsia="en-US"/>
              </w:rPr>
            </w:pPr>
            <w:r w:rsidRPr="001A0FFE">
              <w:rPr>
                <w:rFonts w:ascii="Arial Narrow" w:hAnsi="Arial Narrow" w:cs="Times New Roman"/>
                <w:color w:val="000000"/>
                <w:spacing w:val="52"/>
                <w:sz w:val="20"/>
                <w:szCs w:val="20"/>
                <w:shd w:val="solid" w:color="000000" w:fill="000000"/>
                <w:fitText w:val="327" w:id="-764127986"/>
                <w:lang w:eastAsia="en-US"/>
                <w14:textFill>
                  <w14:solidFill>
                    <w14:srgbClr w14:val="000000">
                      <w14:alpha w14:val="100000"/>
                    </w14:srgbClr>
                  </w14:solidFill>
                </w14:textFill>
              </w:rPr>
              <w:t>|||</w:t>
            </w:r>
            <w:r w:rsidRPr="001A0FFE">
              <w:rPr>
                <w:rFonts w:ascii="Arial Narrow" w:hAnsi="Arial Narrow" w:cs="Times New Roman"/>
                <w:color w:val="000000"/>
                <w:spacing w:val="1"/>
                <w:sz w:val="20"/>
                <w:szCs w:val="20"/>
                <w:shd w:val="solid" w:color="000000" w:fill="000000"/>
                <w:fitText w:val="327" w:id="-764127986"/>
                <w:lang w:eastAsia="en-US"/>
                <w14:textFill>
                  <w14:solidFill>
                    <w14:srgbClr w14:val="000000">
                      <w14:alpha w14:val="100000"/>
                    </w14:srgbClr>
                  </w14:solidFill>
                </w14:textFill>
              </w:rPr>
              <w:t>|</w:t>
            </w:r>
            <w:r w:rsidR="2BEF19E9" w:rsidRPr="1797D1E5">
              <w:rPr>
                <w:rFonts w:ascii="Arial Narrow" w:hAnsi="Arial Narrow"/>
                <w:sz w:val="20"/>
                <w:szCs w:val="20"/>
                <w:vertAlign w:val="superscript"/>
                <w:lang w:eastAsia="en-US"/>
              </w:rPr>
              <w:t>3</w:t>
            </w:r>
          </w:p>
        </w:tc>
        <w:tc>
          <w:tcPr>
            <w:tcW w:w="106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DBF7E9" w14:textId="2645B426" w:rsidR="00B31A07" w:rsidRPr="007776C6" w:rsidRDefault="001A0FFE" w:rsidP="1797D1E5">
            <w:pPr>
              <w:keepNext/>
              <w:keepLines/>
              <w:jc w:val="center"/>
              <w:rPr>
                <w:rFonts w:ascii="Arial Narrow" w:hAnsi="Arial Narrow" w:cs="Times New Roman"/>
                <w:sz w:val="20"/>
                <w:szCs w:val="20"/>
                <w:highlight w:val="darkGray"/>
                <w:lang w:eastAsia="en-US"/>
              </w:rPr>
            </w:pPr>
            <w:r w:rsidRPr="001A0FFE">
              <w:rPr>
                <w:rFonts w:ascii="Arial Narrow" w:hAnsi="Arial Narrow" w:cs="Times New Roman"/>
                <w:color w:val="000000"/>
                <w:spacing w:val="52"/>
                <w:sz w:val="20"/>
                <w:szCs w:val="20"/>
                <w:shd w:val="solid" w:color="000000" w:fill="000000"/>
                <w:fitText w:val="327" w:id="-764127985"/>
                <w:lang w:eastAsia="en-US"/>
                <w14:textFill>
                  <w14:solidFill>
                    <w14:srgbClr w14:val="000000">
                      <w14:alpha w14:val="100000"/>
                    </w14:srgbClr>
                  </w14:solidFill>
                </w14:textFill>
              </w:rPr>
              <w:t>|||</w:t>
            </w:r>
            <w:r w:rsidRPr="001A0FFE">
              <w:rPr>
                <w:rFonts w:ascii="Arial Narrow" w:hAnsi="Arial Narrow" w:cs="Times New Roman"/>
                <w:color w:val="000000"/>
                <w:spacing w:val="1"/>
                <w:sz w:val="20"/>
                <w:szCs w:val="20"/>
                <w:shd w:val="solid" w:color="000000" w:fill="000000"/>
                <w:fitText w:val="327" w:id="-764127985"/>
                <w:lang w:eastAsia="en-US"/>
                <w14:textFill>
                  <w14:solidFill>
                    <w14:srgbClr w14:val="000000">
                      <w14:alpha w14:val="100000"/>
                    </w14:srgbClr>
                  </w14:solidFill>
                </w14:textFill>
              </w:rPr>
              <w:t>|</w:t>
            </w:r>
            <w:r w:rsidR="2BEF19E9" w:rsidRPr="1797D1E5">
              <w:rPr>
                <w:rFonts w:ascii="Arial Narrow" w:hAnsi="Arial Narrow"/>
                <w:sz w:val="20"/>
                <w:szCs w:val="20"/>
                <w:vertAlign w:val="superscript"/>
                <w:lang w:eastAsia="en-US"/>
              </w:rPr>
              <w:t>3</w:t>
            </w:r>
          </w:p>
        </w:tc>
        <w:tc>
          <w:tcPr>
            <w:tcW w:w="106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C266FB" w14:textId="7CB638D8" w:rsidR="00B31A07" w:rsidRPr="007776C6" w:rsidRDefault="001A0FFE" w:rsidP="1797D1E5">
            <w:pPr>
              <w:keepNext/>
              <w:keepLines/>
              <w:jc w:val="center"/>
              <w:rPr>
                <w:rFonts w:ascii="Arial Narrow" w:hAnsi="Arial Narrow" w:cs="Times New Roman"/>
                <w:sz w:val="20"/>
                <w:szCs w:val="20"/>
                <w:highlight w:val="darkGray"/>
                <w:lang w:eastAsia="en-US"/>
              </w:rPr>
            </w:pPr>
            <w:r w:rsidRPr="001A0FFE">
              <w:rPr>
                <w:rFonts w:ascii="Arial Narrow" w:hAnsi="Arial Narrow" w:cs="Times New Roman"/>
                <w:color w:val="000000"/>
                <w:spacing w:val="52"/>
                <w:sz w:val="20"/>
                <w:szCs w:val="20"/>
                <w:shd w:val="solid" w:color="000000" w:fill="000000"/>
                <w:fitText w:val="327" w:id="-764127984"/>
                <w:lang w:eastAsia="en-US"/>
                <w14:textFill>
                  <w14:solidFill>
                    <w14:srgbClr w14:val="000000">
                      <w14:alpha w14:val="100000"/>
                    </w14:srgbClr>
                  </w14:solidFill>
                </w14:textFill>
              </w:rPr>
              <w:t>|||</w:t>
            </w:r>
            <w:r w:rsidRPr="001A0FFE">
              <w:rPr>
                <w:rFonts w:ascii="Arial Narrow" w:hAnsi="Arial Narrow" w:cs="Times New Roman"/>
                <w:color w:val="000000"/>
                <w:spacing w:val="1"/>
                <w:sz w:val="20"/>
                <w:szCs w:val="20"/>
                <w:shd w:val="solid" w:color="000000" w:fill="000000"/>
                <w:fitText w:val="327" w:id="-764127984"/>
                <w:lang w:eastAsia="en-US"/>
                <w14:textFill>
                  <w14:solidFill>
                    <w14:srgbClr w14:val="000000">
                      <w14:alpha w14:val="100000"/>
                    </w14:srgbClr>
                  </w14:solidFill>
                </w14:textFill>
              </w:rPr>
              <w:t>|</w:t>
            </w:r>
            <w:r w:rsidR="2BEF19E9" w:rsidRPr="1797D1E5">
              <w:rPr>
                <w:rFonts w:ascii="Arial Narrow" w:hAnsi="Arial Narrow"/>
                <w:sz w:val="20"/>
                <w:szCs w:val="20"/>
                <w:vertAlign w:val="superscript"/>
                <w:lang w:eastAsia="en-US"/>
              </w:rPr>
              <w:t>3</w:t>
            </w:r>
          </w:p>
        </w:tc>
        <w:tc>
          <w:tcPr>
            <w:tcW w:w="106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F59402" w14:textId="650CC2FE" w:rsidR="00B31A07" w:rsidRPr="007776C6" w:rsidRDefault="001A0FFE" w:rsidP="1797D1E5">
            <w:pPr>
              <w:keepNext/>
              <w:keepLines/>
              <w:jc w:val="center"/>
              <w:rPr>
                <w:rFonts w:ascii="Arial Narrow" w:hAnsi="Arial Narrow" w:cs="Times New Roman"/>
                <w:sz w:val="20"/>
                <w:szCs w:val="20"/>
                <w:highlight w:val="darkGray"/>
                <w:lang w:eastAsia="en-US"/>
              </w:rPr>
            </w:pPr>
            <w:r w:rsidRPr="001A0FFE">
              <w:rPr>
                <w:rFonts w:ascii="Arial Narrow" w:hAnsi="Arial Narrow" w:cs="Times New Roman"/>
                <w:color w:val="000000"/>
                <w:spacing w:val="52"/>
                <w:sz w:val="20"/>
                <w:szCs w:val="20"/>
                <w:shd w:val="solid" w:color="000000" w:fill="000000"/>
                <w:fitText w:val="327" w:id="-764128000"/>
                <w:lang w:eastAsia="en-US"/>
                <w14:textFill>
                  <w14:solidFill>
                    <w14:srgbClr w14:val="000000">
                      <w14:alpha w14:val="100000"/>
                    </w14:srgbClr>
                  </w14:solidFill>
                </w14:textFill>
              </w:rPr>
              <w:t>|||</w:t>
            </w:r>
            <w:r w:rsidRPr="001A0FFE">
              <w:rPr>
                <w:rFonts w:ascii="Arial Narrow" w:hAnsi="Arial Narrow" w:cs="Times New Roman"/>
                <w:color w:val="000000"/>
                <w:spacing w:val="1"/>
                <w:sz w:val="20"/>
                <w:szCs w:val="20"/>
                <w:shd w:val="solid" w:color="000000" w:fill="000000"/>
                <w:fitText w:val="327" w:id="-764128000"/>
                <w:lang w:eastAsia="en-US"/>
                <w14:textFill>
                  <w14:solidFill>
                    <w14:srgbClr w14:val="000000">
                      <w14:alpha w14:val="100000"/>
                    </w14:srgbClr>
                  </w14:solidFill>
                </w14:textFill>
              </w:rPr>
              <w:t>|</w:t>
            </w:r>
            <w:r w:rsidR="2BEF19E9" w:rsidRPr="1797D1E5">
              <w:rPr>
                <w:rFonts w:ascii="Arial Narrow" w:hAnsi="Arial Narrow"/>
                <w:sz w:val="20"/>
                <w:szCs w:val="20"/>
                <w:vertAlign w:val="superscript"/>
                <w:lang w:eastAsia="en-US"/>
              </w:rPr>
              <w:t>3</w:t>
            </w:r>
          </w:p>
        </w:tc>
        <w:tc>
          <w:tcPr>
            <w:tcW w:w="106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3BEEFD" w14:textId="472F8FC4" w:rsidR="00B31A07" w:rsidRPr="007776C6" w:rsidRDefault="001A0FFE" w:rsidP="1797D1E5">
            <w:pPr>
              <w:keepNext/>
              <w:keepLines/>
              <w:jc w:val="center"/>
              <w:rPr>
                <w:rFonts w:ascii="Arial Narrow" w:hAnsi="Arial Narrow" w:cs="Times New Roman"/>
                <w:sz w:val="20"/>
                <w:szCs w:val="20"/>
                <w:highlight w:val="darkGray"/>
                <w:lang w:eastAsia="en-US"/>
              </w:rPr>
            </w:pPr>
            <w:r w:rsidRPr="001A0FFE">
              <w:rPr>
                <w:rFonts w:ascii="Arial Narrow" w:hAnsi="Arial Narrow" w:cs="Times New Roman"/>
                <w:color w:val="000000"/>
                <w:spacing w:val="52"/>
                <w:sz w:val="20"/>
                <w:szCs w:val="20"/>
                <w:shd w:val="solid" w:color="000000" w:fill="000000"/>
                <w:fitText w:val="327" w:id="-764127999"/>
                <w:lang w:eastAsia="en-US"/>
                <w14:textFill>
                  <w14:solidFill>
                    <w14:srgbClr w14:val="000000">
                      <w14:alpha w14:val="100000"/>
                    </w14:srgbClr>
                  </w14:solidFill>
                </w14:textFill>
              </w:rPr>
              <w:t>|||</w:t>
            </w:r>
            <w:r w:rsidRPr="001A0FFE">
              <w:rPr>
                <w:rFonts w:ascii="Arial Narrow" w:hAnsi="Arial Narrow" w:cs="Times New Roman"/>
                <w:color w:val="000000"/>
                <w:spacing w:val="1"/>
                <w:sz w:val="20"/>
                <w:szCs w:val="20"/>
                <w:shd w:val="solid" w:color="000000" w:fill="000000"/>
                <w:fitText w:val="327" w:id="-764127999"/>
                <w:lang w:eastAsia="en-US"/>
                <w14:textFill>
                  <w14:solidFill>
                    <w14:srgbClr w14:val="000000">
                      <w14:alpha w14:val="100000"/>
                    </w14:srgbClr>
                  </w14:solidFill>
                </w14:textFill>
              </w:rPr>
              <w:t>|</w:t>
            </w:r>
            <w:r w:rsidR="2BEF19E9" w:rsidRPr="1797D1E5">
              <w:rPr>
                <w:rFonts w:ascii="Arial Narrow" w:hAnsi="Arial Narrow"/>
                <w:sz w:val="20"/>
                <w:szCs w:val="20"/>
                <w:vertAlign w:val="superscript"/>
                <w:lang w:eastAsia="en-US"/>
              </w:rPr>
              <w:t>3</w:t>
            </w:r>
          </w:p>
        </w:tc>
      </w:tr>
      <w:tr w:rsidR="00B31A07" w:rsidRPr="00B31A07" w14:paraId="7A491586" w14:textId="77777777" w:rsidTr="1797D1E5">
        <w:tc>
          <w:tcPr>
            <w:tcW w:w="26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762D45" w14:textId="77777777" w:rsidR="00B31A07" w:rsidRPr="00B31A07" w:rsidRDefault="00B31A07" w:rsidP="00B31A07">
            <w:pPr>
              <w:keepNext/>
              <w:keepLines/>
              <w:jc w:val="left"/>
              <w:rPr>
                <w:rFonts w:ascii="Arial Narrow" w:hAnsi="Arial Narrow" w:cs="Times New Roman"/>
                <w:b/>
                <w:sz w:val="20"/>
                <w:szCs w:val="20"/>
                <w:lang w:eastAsia="en-US"/>
              </w:rPr>
            </w:pPr>
            <w:r w:rsidRPr="00B31A07">
              <w:rPr>
                <w:rFonts w:ascii="Arial Narrow" w:hAnsi="Arial Narrow" w:cs="Times New Roman"/>
                <w:b/>
                <w:sz w:val="20"/>
                <w:szCs w:val="20"/>
                <w:lang w:eastAsia="en-US"/>
              </w:rPr>
              <w:t>Total net PBS/RPBS cost less copayment</w:t>
            </w:r>
          </w:p>
        </w:tc>
        <w:tc>
          <w:tcPr>
            <w:tcW w:w="1063"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48B39465" w14:textId="7D610ACE" w:rsidR="00B31A07" w:rsidRPr="007776C6" w:rsidRDefault="001A0FFE" w:rsidP="00B31A07">
            <w:pPr>
              <w:keepNext/>
              <w:keepLines/>
              <w:jc w:val="center"/>
              <w:rPr>
                <w:rFonts w:ascii="Arial Narrow" w:hAnsi="Arial Narrow" w:cs="Times New Roman"/>
                <w:b/>
                <w:bCs/>
                <w:sz w:val="20"/>
                <w:szCs w:val="20"/>
                <w:highlight w:val="darkGray"/>
                <w:lang w:eastAsia="en-US"/>
              </w:rPr>
            </w:pPr>
            <w:r w:rsidRPr="001A0FFE">
              <w:rPr>
                <w:rFonts w:ascii="Arial Narrow" w:hAnsi="Arial Narrow" w:cs="Times New Roman"/>
                <w:b/>
                <w:bCs/>
                <w:color w:val="000000"/>
                <w:spacing w:val="56"/>
                <w:sz w:val="20"/>
                <w:szCs w:val="20"/>
                <w:shd w:val="solid" w:color="000000" w:fill="000000"/>
                <w:fitText w:val="353" w:id="-764127998"/>
                <w:lang w:eastAsia="en-US"/>
                <w14:textFill>
                  <w14:solidFill>
                    <w14:srgbClr w14:val="000000">
                      <w14:alpha w14:val="100000"/>
                    </w14:srgbClr>
                  </w14:solidFill>
                </w14:textFill>
              </w:rPr>
              <w:t>|||</w:t>
            </w:r>
            <w:r w:rsidRPr="001A0FFE">
              <w:rPr>
                <w:rFonts w:ascii="Arial Narrow" w:hAnsi="Arial Narrow" w:cs="Times New Roman"/>
                <w:b/>
                <w:bCs/>
                <w:color w:val="000000"/>
                <w:spacing w:val="2"/>
                <w:sz w:val="20"/>
                <w:szCs w:val="20"/>
                <w:shd w:val="solid" w:color="000000" w:fill="000000"/>
                <w:fitText w:val="353" w:id="-764127998"/>
                <w:lang w:eastAsia="en-US"/>
                <w14:textFill>
                  <w14:solidFill>
                    <w14:srgbClr w14:val="000000">
                      <w14:alpha w14:val="100000"/>
                    </w14:srgbClr>
                  </w14:solidFill>
                </w14:textFill>
              </w:rPr>
              <w:t>|</w:t>
            </w:r>
            <w:r w:rsidR="7B6CBC14" w:rsidRPr="1797D1E5">
              <w:rPr>
                <w:rFonts w:ascii="Arial Narrow" w:hAnsi="Arial Narrow"/>
                <w:b/>
                <w:bCs/>
                <w:color w:val="000000" w:themeColor="text1"/>
                <w:sz w:val="20"/>
                <w:szCs w:val="20"/>
                <w:vertAlign w:val="superscript"/>
                <w:lang w:eastAsia="en-US"/>
              </w:rPr>
              <w:t>2</w:t>
            </w:r>
          </w:p>
        </w:tc>
        <w:tc>
          <w:tcPr>
            <w:tcW w:w="106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50C8D9" w14:textId="64FDDD7B" w:rsidR="00B31A07" w:rsidRPr="007776C6" w:rsidRDefault="001A0FFE" w:rsidP="00B31A07">
            <w:pPr>
              <w:keepNext/>
              <w:keepLines/>
              <w:jc w:val="center"/>
              <w:rPr>
                <w:rFonts w:ascii="Arial Narrow" w:hAnsi="Arial Narrow" w:cs="Times New Roman"/>
                <w:b/>
                <w:bCs/>
                <w:sz w:val="20"/>
                <w:szCs w:val="20"/>
                <w:highlight w:val="darkGray"/>
                <w:lang w:eastAsia="en-US"/>
              </w:rPr>
            </w:pPr>
            <w:r w:rsidRPr="001A0FFE">
              <w:rPr>
                <w:rFonts w:ascii="Arial Narrow" w:hAnsi="Arial Narrow" w:cs="Times New Roman"/>
                <w:b/>
                <w:bCs/>
                <w:color w:val="000000"/>
                <w:spacing w:val="56"/>
                <w:sz w:val="20"/>
                <w:szCs w:val="20"/>
                <w:shd w:val="solid" w:color="000000" w:fill="000000"/>
                <w:fitText w:val="353" w:id="-764127997"/>
                <w:lang w:eastAsia="en-US"/>
                <w14:textFill>
                  <w14:solidFill>
                    <w14:srgbClr w14:val="000000">
                      <w14:alpha w14:val="100000"/>
                    </w14:srgbClr>
                  </w14:solidFill>
                </w14:textFill>
              </w:rPr>
              <w:t>|||</w:t>
            </w:r>
            <w:r w:rsidRPr="001A0FFE">
              <w:rPr>
                <w:rFonts w:ascii="Arial Narrow" w:hAnsi="Arial Narrow" w:cs="Times New Roman"/>
                <w:b/>
                <w:bCs/>
                <w:color w:val="000000"/>
                <w:spacing w:val="2"/>
                <w:sz w:val="20"/>
                <w:szCs w:val="20"/>
                <w:shd w:val="solid" w:color="000000" w:fill="000000"/>
                <w:fitText w:val="353" w:id="-764127997"/>
                <w:lang w:eastAsia="en-US"/>
                <w14:textFill>
                  <w14:solidFill>
                    <w14:srgbClr w14:val="000000">
                      <w14:alpha w14:val="100000"/>
                    </w14:srgbClr>
                  </w14:solidFill>
                </w14:textFill>
              </w:rPr>
              <w:t>|</w:t>
            </w:r>
            <w:r w:rsidR="7B6CBC14" w:rsidRPr="1797D1E5">
              <w:rPr>
                <w:rFonts w:ascii="Arial Narrow" w:hAnsi="Arial Narrow"/>
                <w:b/>
                <w:bCs/>
                <w:color w:val="000000" w:themeColor="text1"/>
                <w:sz w:val="20"/>
                <w:szCs w:val="20"/>
                <w:vertAlign w:val="superscript"/>
                <w:lang w:eastAsia="en-US"/>
              </w:rPr>
              <w:t>2</w:t>
            </w:r>
          </w:p>
        </w:tc>
        <w:tc>
          <w:tcPr>
            <w:tcW w:w="106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3604B9" w14:textId="1A02AAD7" w:rsidR="00B31A07" w:rsidRPr="007776C6" w:rsidRDefault="001A0FFE" w:rsidP="00B31A07">
            <w:pPr>
              <w:keepNext/>
              <w:keepLines/>
              <w:jc w:val="center"/>
              <w:rPr>
                <w:rFonts w:ascii="Arial Narrow" w:hAnsi="Arial Narrow" w:cs="Times New Roman"/>
                <w:b/>
                <w:bCs/>
                <w:sz w:val="20"/>
                <w:szCs w:val="20"/>
                <w:highlight w:val="darkGray"/>
                <w:lang w:eastAsia="en-US"/>
              </w:rPr>
            </w:pPr>
            <w:r w:rsidRPr="001A0FFE">
              <w:rPr>
                <w:rFonts w:ascii="Arial Narrow" w:hAnsi="Arial Narrow" w:cs="Times New Roman"/>
                <w:b/>
                <w:bCs/>
                <w:color w:val="000000"/>
                <w:spacing w:val="56"/>
                <w:sz w:val="20"/>
                <w:szCs w:val="20"/>
                <w:shd w:val="solid" w:color="000000" w:fill="000000"/>
                <w:fitText w:val="353" w:id="-764127996"/>
                <w:lang w:eastAsia="en-US"/>
                <w14:textFill>
                  <w14:solidFill>
                    <w14:srgbClr w14:val="000000">
                      <w14:alpha w14:val="100000"/>
                    </w14:srgbClr>
                  </w14:solidFill>
                </w14:textFill>
              </w:rPr>
              <w:t>|||</w:t>
            </w:r>
            <w:r w:rsidRPr="001A0FFE">
              <w:rPr>
                <w:rFonts w:ascii="Arial Narrow" w:hAnsi="Arial Narrow" w:cs="Times New Roman"/>
                <w:b/>
                <w:bCs/>
                <w:color w:val="000000"/>
                <w:spacing w:val="2"/>
                <w:sz w:val="20"/>
                <w:szCs w:val="20"/>
                <w:shd w:val="solid" w:color="000000" w:fill="000000"/>
                <w:fitText w:val="353" w:id="-764127996"/>
                <w:lang w:eastAsia="en-US"/>
                <w14:textFill>
                  <w14:solidFill>
                    <w14:srgbClr w14:val="000000">
                      <w14:alpha w14:val="100000"/>
                    </w14:srgbClr>
                  </w14:solidFill>
                </w14:textFill>
              </w:rPr>
              <w:t>|</w:t>
            </w:r>
            <w:r w:rsidR="7B6CBC14" w:rsidRPr="1797D1E5">
              <w:rPr>
                <w:rFonts w:ascii="Arial Narrow" w:hAnsi="Arial Narrow"/>
                <w:b/>
                <w:bCs/>
                <w:color w:val="000000" w:themeColor="text1"/>
                <w:sz w:val="20"/>
                <w:szCs w:val="20"/>
                <w:vertAlign w:val="superscript"/>
                <w:lang w:eastAsia="en-US"/>
              </w:rPr>
              <w:t>2</w:t>
            </w:r>
          </w:p>
        </w:tc>
        <w:tc>
          <w:tcPr>
            <w:tcW w:w="106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00984" w14:textId="08C861E2" w:rsidR="00B31A07" w:rsidRPr="007776C6" w:rsidRDefault="001A0FFE" w:rsidP="00B31A07">
            <w:pPr>
              <w:keepNext/>
              <w:keepLines/>
              <w:jc w:val="center"/>
              <w:rPr>
                <w:rFonts w:ascii="Arial Narrow" w:hAnsi="Arial Narrow" w:cs="Times New Roman"/>
                <w:b/>
                <w:bCs/>
                <w:sz w:val="20"/>
                <w:szCs w:val="20"/>
                <w:highlight w:val="darkGray"/>
                <w:lang w:eastAsia="en-US"/>
              </w:rPr>
            </w:pPr>
            <w:r w:rsidRPr="001A0FFE">
              <w:rPr>
                <w:rFonts w:ascii="Arial Narrow" w:hAnsi="Arial Narrow" w:cs="Times New Roman"/>
                <w:b/>
                <w:bCs/>
                <w:color w:val="000000"/>
                <w:spacing w:val="56"/>
                <w:sz w:val="20"/>
                <w:szCs w:val="20"/>
                <w:shd w:val="solid" w:color="000000" w:fill="000000"/>
                <w:fitText w:val="353" w:id="-764127995"/>
                <w:lang w:eastAsia="en-US"/>
                <w14:textFill>
                  <w14:solidFill>
                    <w14:srgbClr w14:val="000000">
                      <w14:alpha w14:val="100000"/>
                    </w14:srgbClr>
                  </w14:solidFill>
                </w14:textFill>
              </w:rPr>
              <w:t>|||</w:t>
            </w:r>
            <w:r w:rsidRPr="001A0FFE">
              <w:rPr>
                <w:rFonts w:ascii="Arial Narrow" w:hAnsi="Arial Narrow" w:cs="Times New Roman"/>
                <w:b/>
                <w:bCs/>
                <w:color w:val="000000"/>
                <w:spacing w:val="2"/>
                <w:sz w:val="20"/>
                <w:szCs w:val="20"/>
                <w:shd w:val="solid" w:color="000000" w:fill="000000"/>
                <w:fitText w:val="353" w:id="-764127995"/>
                <w:lang w:eastAsia="en-US"/>
                <w14:textFill>
                  <w14:solidFill>
                    <w14:srgbClr w14:val="000000">
                      <w14:alpha w14:val="100000"/>
                    </w14:srgbClr>
                  </w14:solidFill>
                </w14:textFill>
              </w:rPr>
              <w:t>|</w:t>
            </w:r>
            <w:r w:rsidR="7B6CBC14" w:rsidRPr="1797D1E5">
              <w:rPr>
                <w:rFonts w:ascii="Arial Narrow" w:hAnsi="Arial Narrow"/>
                <w:b/>
                <w:bCs/>
                <w:color w:val="000000" w:themeColor="text1"/>
                <w:sz w:val="20"/>
                <w:szCs w:val="20"/>
                <w:vertAlign w:val="superscript"/>
                <w:lang w:eastAsia="en-US"/>
              </w:rPr>
              <w:t>2</w:t>
            </w:r>
          </w:p>
        </w:tc>
        <w:tc>
          <w:tcPr>
            <w:tcW w:w="106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5A04C3" w14:textId="1578E0B5" w:rsidR="00B31A07" w:rsidRPr="007776C6" w:rsidRDefault="001A0FFE" w:rsidP="00B31A07">
            <w:pPr>
              <w:keepNext/>
              <w:keepLines/>
              <w:jc w:val="center"/>
              <w:rPr>
                <w:rFonts w:ascii="Arial Narrow" w:hAnsi="Arial Narrow" w:cs="Times New Roman"/>
                <w:b/>
                <w:bCs/>
                <w:sz w:val="20"/>
                <w:szCs w:val="20"/>
                <w:highlight w:val="darkGray"/>
                <w:lang w:eastAsia="en-US"/>
              </w:rPr>
            </w:pPr>
            <w:r w:rsidRPr="001A0FFE">
              <w:rPr>
                <w:rFonts w:ascii="Arial Narrow" w:hAnsi="Arial Narrow" w:cs="Times New Roman"/>
                <w:b/>
                <w:bCs/>
                <w:color w:val="000000"/>
                <w:spacing w:val="56"/>
                <w:sz w:val="20"/>
                <w:szCs w:val="20"/>
                <w:shd w:val="solid" w:color="000000" w:fill="000000"/>
                <w:fitText w:val="354" w:id="-764127994"/>
                <w:lang w:eastAsia="en-US"/>
                <w14:textFill>
                  <w14:solidFill>
                    <w14:srgbClr w14:val="000000">
                      <w14:alpha w14:val="100000"/>
                    </w14:srgbClr>
                  </w14:solidFill>
                </w14:textFill>
              </w:rPr>
              <w:t>|||</w:t>
            </w:r>
            <w:r w:rsidRPr="001A0FFE">
              <w:rPr>
                <w:rFonts w:ascii="Arial Narrow" w:hAnsi="Arial Narrow" w:cs="Times New Roman"/>
                <w:b/>
                <w:bCs/>
                <w:color w:val="000000"/>
                <w:spacing w:val="3"/>
                <w:sz w:val="20"/>
                <w:szCs w:val="20"/>
                <w:shd w:val="solid" w:color="000000" w:fill="000000"/>
                <w:fitText w:val="354" w:id="-764127994"/>
                <w:lang w:eastAsia="en-US"/>
                <w14:textFill>
                  <w14:solidFill>
                    <w14:srgbClr w14:val="000000">
                      <w14:alpha w14:val="100000"/>
                    </w14:srgbClr>
                  </w14:solidFill>
                </w14:textFill>
              </w:rPr>
              <w:t>|</w:t>
            </w:r>
            <w:r w:rsidR="7B6CBC14" w:rsidRPr="1797D1E5">
              <w:rPr>
                <w:rFonts w:ascii="Arial Narrow" w:hAnsi="Arial Narrow"/>
                <w:b/>
                <w:bCs/>
                <w:color w:val="000000" w:themeColor="text1"/>
                <w:sz w:val="20"/>
                <w:szCs w:val="20"/>
                <w:vertAlign w:val="superscript"/>
                <w:lang w:eastAsia="en-US"/>
              </w:rPr>
              <w:t>2</w:t>
            </w:r>
          </w:p>
        </w:tc>
        <w:tc>
          <w:tcPr>
            <w:tcW w:w="106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7597B0" w14:textId="3A134449" w:rsidR="00B31A07" w:rsidRPr="007776C6" w:rsidRDefault="001A0FFE" w:rsidP="00B31A07">
            <w:pPr>
              <w:keepNext/>
              <w:keepLines/>
              <w:jc w:val="center"/>
              <w:rPr>
                <w:rFonts w:ascii="Arial Narrow" w:hAnsi="Arial Narrow" w:cs="Times New Roman"/>
                <w:b/>
                <w:bCs/>
                <w:sz w:val="20"/>
                <w:szCs w:val="20"/>
                <w:highlight w:val="darkGray"/>
                <w:lang w:eastAsia="en-US"/>
              </w:rPr>
            </w:pPr>
            <w:r w:rsidRPr="001A0FFE">
              <w:rPr>
                <w:rFonts w:ascii="Arial Narrow" w:hAnsi="Arial Narrow" w:cs="Times New Roman"/>
                <w:b/>
                <w:bCs/>
                <w:color w:val="000000"/>
                <w:spacing w:val="56"/>
                <w:sz w:val="20"/>
                <w:szCs w:val="20"/>
                <w:shd w:val="solid" w:color="000000" w:fill="000000"/>
                <w:fitText w:val="353" w:id="-764127993"/>
                <w:lang w:eastAsia="en-US"/>
                <w14:textFill>
                  <w14:solidFill>
                    <w14:srgbClr w14:val="000000">
                      <w14:alpha w14:val="100000"/>
                    </w14:srgbClr>
                  </w14:solidFill>
                </w14:textFill>
              </w:rPr>
              <w:t>|||</w:t>
            </w:r>
            <w:r w:rsidRPr="001A0FFE">
              <w:rPr>
                <w:rFonts w:ascii="Arial Narrow" w:hAnsi="Arial Narrow" w:cs="Times New Roman"/>
                <w:b/>
                <w:bCs/>
                <w:color w:val="000000"/>
                <w:spacing w:val="2"/>
                <w:sz w:val="20"/>
                <w:szCs w:val="20"/>
                <w:shd w:val="solid" w:color="000000" w:fill="000000"/>
                <w:fitText w:val="353" w:id="-764127993"/>
                <w:lang w:eastAsia="en-US"/>
                <w14:textFill>
                  <w14:solidFill>
                    <w14:srgbClr w14:val="000000">
                      <w14:alpha w14:val="100000"/>
                    </w14:srgbClr>
                  </w14:solidFill>
                </w14:textFill>
              </w:rPr>
              <w:t>|</w:t>
            </w:r>
            <w:r w:rsidR="7B6CBC14" w:rsidRPr="1797D1E5">
              <w:rPr>
                <w:rFonts w:ascii="Arial Narrow" w:hAnsi="Arial Narrow"/>
                <w:b/>
                <w:bCs/>
                <w:color w:val="000000" w:themeColor="text1"/>
                <w:sz w:val="20"/>
                <w:szCs w:val="20"/>
                <w:vertAlign w:val="superscript"/>
                <w:lang w:eastAsia="en-US"/>
              </w:rPr>
              <w:t>2</w:t>
            </w:r>
          </w:p>
        </w:tc>
      </w:tr>
      <w:tr w:rsidR="00B31A07" w:rsidRPr="00B31A07" w14:paraId="529A664B" w14:textId="77777777" w:rsidTr="1797D1E5">
        <w:tc>
          <w:tcPr>
            <w:tcW w:w="26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CBA6AB" w14:textId="77777777" w:rsidR="00B31A07" w:rsidRPr="00B31A07" w:rsidRDefault="00B31A07" w:rsidP="00B31A07">
            <w:pPr>
              <w:keepNext/>
              <w:keepLines/>
              <w:jc w:val="left"/>
              <w:rPr>
                <w:rFonts w:ascii="Arial Narrow" w:hAnsi="Arial Narrow" w:cs="Times New Roman"/>
                <w:bCs/>
                <w:sz w:val="20"/>
                <w:szCs w:val="20"/>
                <w:lang w:eastAsia="en-US"/>
              </w:rPr>
            </w:pPr>
            <w:r w:rsidRPr="00B31A07">
              <w:rPr>
                <w:rFonts w:ascii="Arial Narrow" w:hAnsi="Arial Narrow" w:cs="Times New Roman"/>
                <w:bCs/>
                <w:sz w:val="20"/>
                <w:szCs w:val="20"/>
                <w:lang w:eastAsia="en-US"/>
              </w:rPr>
              <w:t>Total cost infusion bag changes (MBS)</w:t>
            </w:r>
            <w:r w:rsidRPr="00B31A07">
              <w:rPr>
                <w:rFonts w:ascii="Arial Narrow" w:hAnsi="Arial Narrow" w:cs="Times New Roman"/>
                <w:bCs/>
                <w:sz w:val="20"/>
                <w:szCs w:val="20"/>
                <w:vertAlign w:val="superscript"/>
                <w:lang w:eastAsia="en-US"/>
              </w:rPr>
              <w:t>d</w:t>
            </w:r>
          </w:p>
        </w:tc>
        <w:tc>
          <w:tcPr>
            <w:tcW w:w="1063"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7FC5EB06" w14:textId="4B2E5812" w:rsidR="00B31A07" w:rsidRPr="007776C6" w:rsidRDefault="001A0FFE" w:rsidP="1797D1E5">
            <w:pPr>
              <w:keepNext/>
              <w:keepLines/>
              <w:jc w:val="center"/>
              <w:rPr>
                <w:rFonts w:ascii="Arial Narrow" w:hAnsi="Arial Narrow" w:cs="Times New Roman"/>
                <w:sz w:val="20"/>
                <w:szCs w:val="20"/>
                <w:highlight w:val="darkGray"/>
                <w:lang w:eastAsia="en-US"/>
              </w:rPr>
            </w:pPr>
            <w:r w:rsidRPr="001A0FFE">
              <w:rPr>
                <w:rFonts w:ascii="Arial Narrow" w:hAnsi="Arial Narrow" w:cs="Times New Roman"/>
                <w:color w:val="000000"/>
                <w:spacing w:val="52"/>
                <w:sz w:val="20"/>
                <w:szCs w:val="20"/>
                <w:shd w:val="solid" w:color="000000" w:fill="000000"/>
                <w:fitText w:val="327" w:id="-764127744"/>
                <w:lang w:eastAsia="en-US"/>
                <w14:textFill>
                  <w14:solidFill>
                    <w14:srgbClr w14:val="000000">
                      <w14:alpha w14:val="100000"/>
                    </w14:srgbClr>
                  </w14:solidFill>
                </w14:textFill>
              </w:rPr>
              <w:t>|||</w:t>
            </w:r>
            <w:r w:rsidRPr="001A0FFE">
              <w:rPr>
                <w:rFonts w:ascii="Arial Narrow" w:hAnsi="Arial Narrow" w:cs="Times New Roman"/>
                <w:color w:val="000000"/>
                <w:spacing w:val="1"/>
                <w:sz w:val="20"/>
                <w:szCs w:val="20"/>
                <w:shd w:val="solid" w:color="000000" w:fill="000000"/>
                <w:fitText w:val="327" w:id="-764127744"/>
                <w:lang w:eastAsia="en-US"/>
                <w14:textFill>
                  <w14:solidFill>
                    <w14:srgbClr w14:val="000000">
                      <w14:alpha w14:val="100000"/>
                    </w14:srgbClr>
                  </w14:solidFill>
                </w14:textFill>
              </w:rPr>
              <w:t>|</w:t>
            </w:r>
            <w:r w:rsidR="2BEF19E9" w:rsidRPr="1797D1E5">
              <w:rPr>
                <w:rFonts w:ascii="Arial Narrow" w:hAnsi="Arial Narrow"/>
                <w:sz w:val="20"/>
                <w:szCs w:val="20"/>
                <w:vertAlign w:val="superscript"/>
                <w:lang w:eastAsia="en-US"/>
              </w:rPr>
              <w:t>3</w:t>
            </w:r>
          </w:p>
        </w:tc>
        <w:tc>
          <w:tcPr>
            <w:tcW w:w="106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D63D83" w14:textId="06445669" w:rsidR="00B31A07" w:rsidRPr="007776C6" w:rsidRDefault="001A0FFE" w:rsidP="1797D1E5">
            <w:pPr>
              <w:keepNext/>
              <w:keepLines/>
              <w:jc w:val="center"/>
              <w:rPr>
                <w:rFonts w:ascii="Arial Narrow" w:hAnsi="Arial Narrow" w:cs="Times New Roman"/>
                <w:sz w:val="20"/>
                <w:szCs w:val="20"/>
                <w:highlight w:val="darkGray"/>
                <w:lang w:eastAsia="en-US"/>
              </w:rPr>
            </w:pPr>
            <w:r w:rsidRPr="001A0FFE">
              <w:rPr>
                <w:rFonts w:ascii="Arial Narrow" w:hAnsi="Arial Narrow" w:cs="Times New Roman"/>
                <w:color w:val="000000"/>
                <w:spacing w:val="52"/>
                <w:sz w:val="20"/>
                <w:szCs w:val="20"/>
                <w:shd w:val="solid" w:color="000000" w:fill="000000"/>
                <w:fitText w:val="327" w:id="-764127743"/>
                <w:lang w:eastAsia="en-US"/>
                <w14:textFill>
                  <w14:solidFill>
                    <w14:srgbClr w14:val="000000">
                      <w14:alpha w14:val="100000"/>
                    </w14:srgbClr>
                  </w14:solidFill>
                </w14:textFill>
              </w:rPr>
              <w:t>|||</w:t>
            </w:r>
            <w:r w:rsidRPr="001A0FFE">
              <w:rPr>
                <w:rFonts w:ascii="Arial Narrow" w:hAnsi="Arial Narrow" w:cs="Times New Roman"/>
                <w:color w:val="000000"/>
                <w:spacing w:val="1"/>
                <w:sz w:val="20"/>
                <w:szCs w:val="20"/>
                <w:shd w:val="solid" w:color="000000" w:fill="000000"/>
                <w:fitText w:val="327" w:id="-764127743"/>
                <w:lang w:eastAsia="en-US"/>
                <w14:textFill>
                  <w14:solidFill>
                    <w14:srgbClr w14:val="000000">
                      <w14:alpha w14:val="100000"/>
                    </w14:srgbClr>
                  </w14:solidFill>
                </w14:textFill>
              </w:rPr>
              <w:t>|</w:t>
            </w:r>
            <w:r w:rsidR="2BEF19E9" w:rsidRPr="1797D1E5">
              <w:rPr>
                <w:rFonts w:ascii="Arial Narrow" w:hAnsi="Arial Narrow"/>
                <w:sz w:val="20"/>
                <w:szCs w:val="20"/>
                <w:vertAlign w:val="superscript"/>
                <w:lang w:eastAsia="en-US"/>
              </w:rPr>
              <w:t>3</w:t>
            </w:r>
          </w:p>
        </w:tc>
        <w:tc>
          <w:tcPr>
            <w:tcW w:w="106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2C001" w14:textId="10A3B508" w:rsidR="00B31A07" w:rsidRPr="007776C6" w:rsidRDefault="001A0FFE" w:rsidP="1797D1E5">
            <w:pPr>
              <w:keepNext/>
              <w:keepLines/>
              <w:jc w:val="center"/>
              <w:rPr>
                <w:rFonts w:ascii="Arial Narrow" w:hAnsi="Arial Narrow" w:cs="Times New Roman"/>
                <w:sz w:val="20"/>
                <w:szCs w:val="20"/>
                <w:highlight w:val="darkGray"/>
                <w:lang w:eastAsia="en-US"/>
              </w:rPr>
            </w:pPr>
            <w:r w:rsidRPr="001A0FFE">
              <w:rPr>
                <w:rFonts w:ascii="Arial Narrow" w:hAnsi="Arial Narrow" w:cs="Times New Roman"/>
                <w:color w:val="000000"/>
                <w:spacing w:val="52"/>
                <w:sz w:val="20"/>
                <w:szCs w:val="20"/>
                <w:shd w:val="solid" w:color="000000" w:fill="000000"/>
                <w:fitText w:val="327" w:id="-764127742"/>
                <w:lang w:eastAsia="en-US"/>
                <w14:textFill>
                  <w14:solidFill>
                    <w14:srgbClr w14:val="000000">
                      <w14:alpha w14:val="100000"/>
                    </w14:srgbClr>
                  </w14:solidFill>
                </w14:textFill>
              </w:rPr>
              <w:t>|||</w:t>
            </w:r>
            <w:r w:rsidRPr="001A0FFE">
              <w:rPr>
                <w:rFonts w:ascii="Arial Narrow" w:hAnsi="Arial Narrow" w:cs="Times New Roman"/>
                <w:color w:val="000000"/>
                <w:spacing w:val="1"/>
                <w:sz w:val="20"/>
                <w:szCs w:val="20"/>
                <w:shd w:val="solid" w:color="000000" w:fill="000000"/>
                <w:fitText w:val="327" w:id="-764127742"/>
                <w:lang w:eastAsia="en-US"/>
                <w14:textFill>
                  <w14:solidFill>
                    <w14:srgbClr w14:val="000000">
                      <w14:alpha w14:val="100000"/>
                    </w14:srgbClr>
                  </w14:solidFill>
                </w14:textFill>
              </w:rPr>
              <w:t>|</w:t>
            </w:r>
            <w:r w:rsidR="2BEF19E9" w:rsidRPr="1797D1E5">
              <w:rPr>
                <w:rFonts w:ascii="Arial Narrow" w:hAnsi="Arial Narrow"/>
                <w:sz w:val="20"/>
                <w:szCs w:val="20"/>
                <w:vertAlign w:val="superscript"/>
                <w:lang w:eastAsia="en-US"/>
              </w:rPr>
              <w:t>3</w:t>
            </w:r>
          </w:p>
        </w:tc>
        <w:tc>
          <w:tcPr>
            <w:tcW w:w="106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8CB20B" w14:textId="0B0849B8" w:rsidR="00B31A07" w:rsidRPr="007776C6" w:rsidRDefault="001A0FFE" w:rsidP="1797D1E5">
            <w:pPr>
              <w:keepNext/>
              <w:keepLines/>
              <w:jc w:val="center"/>
              <w:rPr>
                <w:rFonts w:ascii="Arial Narrow" w:hAnsi="Arial Narrow" w:cs="Times New Roman"/>
                <w:sz w:val="20"/>
                <w:szCs w:val="20"/>
                <w:highlight w:val="darkGray"/>
                <w:lang w:eastAsia="en-US"/>
              </w:rPr>
            </w:pPr>
            <w:r w:rsidRPr="001A0FFE">
              <w:rPr>
                <w:rFonts w:ascii="Arial Narrow" w:hAnsi="Arial Narrow" w:cs="Times New Roman"/>
                <w:color w:val="000000"/>
                <w:spacing w:val="52"/>
                <w:sz w:val="20"/>
                <w:szCs w:val="20"/>
                <w:shd w:val="solid" w:color="000000" w:fill="000000"/>
                <w:fitText w:val="327" w:id="-764127741"/>
                <w:lang w:eastAsia="en-US"/>
                <w14:textFill>
                  <w14:solidFill>
                    <w14:srgbClr w14:val="000000">
                      <w14:alpha w14:val="100000"/>
                    </w14:srgbClr>
                  </w14:solidFill>
                </w14:textFill>
              </w:rPr>
              <w:t>|||</w:t>
            </w:r>
            <w:r w:rsidRPr="001A0FFE">
              <w:rPr>
                <w:rFonts w:ascii="Arial Narrow" w:hAnsi="Arial Narrow" w:cs="Times New Roman"/>
                <w:color w:val="000000"/>
                <w:spacing w:val="1"/>
                <w:sz w:val="20"/>
                <w:szCs w:val="20"/>
                <w:shd w:val="solid" w:color="000000" w:fill="000000"/>
                <w:fitText w:val="327" w:id="-764127741"/>
                <w:lang w:eastAsia="en-US"/>
                <w14:textFill>
                  <w14:solidFill>
                    <w14:srgbClr w14:val="000000">
                      <w14:alpha w14:val="100000"/>
                    </w14:srgbClr>
                  </w14:solidFill>
                </w14:textFill>
              </w:rPr>
              <w:t>|</w:t>
            </w:r>
            <w:r w:rsidR="2BEF19E9" w:rsidRPr="1797D1E5">
              <w:rPr>
                <w:rFonts w:ascii="Arial Narrow" w:hAnsi="Arial Narrow"/>
                <w:sz w:val="20"/>
                <w:szCs w:val="20"/>
                <w:vertAlign w:val="superscript"/>
                <w:lang w:eastAsia="en-US"/>
              </w:rPr>
              <w:t>3</w:t>
            </w:r>
          </w:p>
        </w:tc>
        <w:tc>
          <w:tcPr>
            <w:tcW w:w="106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971502" w14:textId="13653B91" w:rsidR="00B31A07" w:rsidRPr="007776C6" w:rsidRDefault="001A0FFE" w:rsidP="1797D1E5">
            <w:pPr>
              <w:keepNext/>
              <w:keepLines/>
              <w:jc w:val="center"/>
              <w:rPr>
                <w:rFonts w:ascii="Arial Narrow" w:hAnsi="Arial Narrow" w:cs="Times New Roman"/>
                <w:sz w:val="20"/>
                <w:szCs w:val="20"/>
                <w:highlight w:val="darkGray"/>
                <w:lang w:eastAsia="en-US"/>
              </w:rPr>
            </w:pPr>
            <w:r w:rsidRPr="001A0FFE">
              <w:rPr>
                <w:rFonts w:ascii="Arial Narrow" w:hAnsi="Arial Narrow" w:cs="Times New Roman"/>
                <w:color w:val="000000"/>
                <w:spacing w:val="52"/>
                <w:sz w:val="20"/>
                <w:szCs w:val="20"/>
                <w:shd w:val="solid" w:color="000000" w:fill="000000"/>
                <w:fitText w:val="327" w:id="-764127740"/>
                <w:lang w:eastAsia="en-US"/>
                <w14:textFill>
                  <w14:solidFill>
                    <w14:srgbClr w14:val="000000">
                      <w14:alpha w14:val="100000"/>
                    </w14:srgbClr>
                  </w14:solidFill>
                </w14:textFill>
              </w:rPr>
              <w:t>|||</w:t>
            </w:r>
            <w:r w:rsidRPr="001A0FFE">
              <w:rPr>
                <w:rFonts w:ascii="Arial Narrow" w:hAnsi="Arial Narrow" w:cs="Times New Roman"/>
                <w:color w:val="000000"/>
                <w:spacing w:val="1"/>
                <w:sz w:val="20"/>
                <w:szCs w:val="20"/>
                <w:shd w:val="solid" w:color="000000" w:fill="000000"/>
                <w:fitText w:val="327" w:id="-764127740"/>
                <w:lang w:eastAsia="en-US"/>
                <w14:textFill>
                  <w14:solidFill>
                    <w14:srgbClr w14:val="000000">
                      <w14:alpha w14:val="100000"/>
                    </w14:srgbClr>
                  </w14:solidFill>
                </w14:textFill>
              </w:rPr>
              <w:t>|</w:t>
            </w:r>
            <w:r w:rsidR="2BEF19E9" w:rsidRPr="1797D1E5">
              <w:rPr>
                <w:rFonts w:ascii="Arial Narrow" w:hAnsi="Arial Narrow"/>
                <w:sz w:val="20"/>
                <w:szCs w:val="20"/>
                <w:vertAlign w:val="superscript"/>
                <w:lang w:eastAsia="en-US"/>
              </w:rPr>
              <w:t>3</w:t>
            </w:r>
          </w:p>
        </w:tc>
        <w:tc>
          <w:tcPr>
            <w:tcW w:w="106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0DAC5E" w14:textId="138B012F" w:rsidR="00B31A07" w:rsidRPr="007776C6" w:rsidRDefault="001A0FFE" w:rsidP="1797D1E5">
            <w:pPr>
              <w:keepNext/>
              <w:keepLines/>
              <w:jc w:val="center"/>
              <w:rPr>
                <w:rFonts w:ascii="Arial Narrow" w:hAnsi="Arial Narrow" w:cs="Times New Roman"/>
                <w:sz w:val="20"/>
                <w:szCs w:val="20"/>
                <w:highlight w:val="darkGray"/>
                <w:lang w:eastAsia="en-US"/>
              </w:rPr>
            </w:pPr>
            <w:r w:rsidRPr="001A0FFE">
              <w:rPr>
                <w:rFonts w:ascii="Arial Narrow" w:hAnsi="Arial Narrow" w:cs="Times New Roman"/>
                <w:color w:val="000000"/>
                <w:spacing w:val="52"/>
                <w:sz w:val="20"/>
                <w:szCs w:val="20"/>
                <w:shd w:val="solid" w:color="000000" w:fill="000000"/>
                <w:fitText w:val="327" w:id="-764127739"/>
                <w:lang w:eastAsia="en-US"/>
                <w14:textFill>
                  <w14:solidFill>
                    <w14:srgbClr w14:val="000000">
                      <w14:alpha w14:val="100000"/>
                    </w14:srgbClr>
                  </w14:solidFill>
                </w14:textFill>
              </w:rPr>
              <w:t>|||</w:t>
            </w:r>
            <w:r w:rsidRPr="001A0FFE">
              <w:rPr>
                <w:rFonts w:ascii="Arial Narrow" w:hAnsi="Arial Narrow" w:cs="Times New Roman"/>
                <w:color w:val="000000"/>
                <w:spacing w:val="1"/>
                <w:sz w:val="20"/>
                <w:szCs w:val="20"/>
                <w:shd w:val="solid" w:color="000000" w:fill="000000"/>
                <w:fitText w:val="327" w:id="-764127739"/>
                <w:lang w:eastAsia="en-US"/>
                <w14:textFill>
                  <w14:solidFill>
                    <w14:srgbClr w14:val="000000">
                      <w14:alpha w14:val="100000"/>
                    </w14:srgbClr>
                  </w14:solidFill>
                </w14:textFill>
              </w:rPr>
              <w:t>|</w:t>
            </w:r>
            <w:r w:rsidR="2BEF19E9" w:rsidRPr="1797D1E5">
              <w:rPr>
                <w:rFonts w:ascii="Arial Narrow" w:hAnsi="Arial Narrow"/>
                <w:sz w:val="20"/>
                <w:szCs w:val="20"/>
                <w:vertAlign w:val="superscript"/>
                <w:lang w:eastAsia="en-US"/>
              </w:rPr>
              <w:t>3</w:t>
            </w:r>
          </w:p>
        </w:tc>
      </w:tr>
      <w:tr w:rsidR="00B31A07" w:rsidRPr="00B31A07" w14:paraId="1039A800" w14:textId="77777777" w:rsidTr="1797D1E5">
        <w:tc>
          <w:tcPr>
            <w:tcW w:w="26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53246A" w14:textId="77777777" w:rsidR="00B31A07" w:rsidRPr="00B31A07" w:rsidRDefault="00B31A07" w:rsidP="00B31A07">
            <w:pPr>
              <w:keepNext/>
              <w:keepLines/>
              <w:jc w:val="left"/>
              <w:rPr>
                <w:rFonts w:ascii="Arial Narrow" w:hAnsi="Arial Narrow" w:cs="Times New Roman"/>
                <w:b/>
                <w:sz w:val="20"/>
                <w:szCs w:val="20"/>
                <w:lang w:eastAsia="en-US"/>
              </w:rPr>
            </w:pPr>
            <w:r w:rsidRPr="00B31A07">
              <w:rPr>
                <w:rFonts w:ascii="Arial Narrow" w:hAnsi="Arial Narrow" w:cs="Times New Roman"/>
                <w:b/>
                <w:sz w:val="20"/>
                <w:szCs w:val="20"/>
                <w:lang w:eastAsia="en-US"/>
              </w:rPr>
              <w:t>Total net cost to PBS/RPBS/MBS</w:t>
            </w:r>
          </w:p>
        </w:tc>
        <w:tc>
          <w:tcPr>
            <w:tcW w:w="1063"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78A8AFD3" w14:textId="2D3C2791" w:rsidR="00B31A07" w:rsidRPr="007776C6" w:rsidRDefault="001A0FFE" w:rsidP="00B31A07">
            <w:pPr>
              <w:keepNext/>
              <w:keepLines/>
              <w:jc w:val="center"/>
              <w:rPr>
                <w:rFonts w:ascii="Arial Narrow" w:hAnsi="Arial Narrow" w:cs="Times New Roman"/>
                <w:b/>
                <w:bCs/>
                <w:sz w:val="20"/>
                <w:szCs w:val="20"/>
                <w:highlight w:val="darkGray"/>
                <w:lang w:eastAsia="en-US"/>
              </w:rPr>
            </w:pPr>
            <w:r w:rsidRPr="001A0FFE">
              <w:rPr>
                <w:rFonts w:ascii="Arial Narrow" w:hAnsi="Arial Narrow" w:cs="Times New Roman"/>
                <w:b/>
                <w:bCs/>
                <w:color w:val="000000"/>
                <w:spacing w:val="56"/>
                <w:sz w:val="20"/>
                <w:szCs w:val="20"/>
                <w:shd w:val="solid" w:color="000000" w:fill="000000"/>
                <w:fitText w:val="353" w:id="-764127738"/>
                <w:lang w:eastAsia="en-US"/>
                <w14:textFill>
                  <w14:solidFill>
                    <w14:srgbClr w14:val="000000">
                      <w14:alpha w14:val="100000"/>
                    </w14:srgbClr>
                  </w14:solidFill>
                </w14:textFill>
              </w:rPr>
              <w:t>|||</w:t>
            </w:r>
            <w:r w:rsidRPr="001A0FFE">
              <w:rPr>
                <w:rFonts w:ascii="Arial Narrow" w:hAnsi="Arial Narrow" w:cs="Times New Roman"/>
                <w:b/>
                <w:bCs/>
                <w:color w:val="000000"/>
                <w:spacing w:val="2"/>
                <w:sz w:val="20"/>
                <w:szCs w:val="20"/>
                <w:shd w:val="solid" w:color="000000" w:fill="000000"/>
                <w:fitText w:val="353" w:id="-764127738"/>
                <w:lang w:eastAsia="en-US"/>
                <w14:textFill>
                  <w14:solidFill>
                    <w14:srgbClr w14:val="000000">
                      <w14:alpha w14:val="100000"/>
                    </w14:srgbClr>
                  </w14:solidFill>
                </w14:textFill>
              </w:rPr>
              <w:t>|</w:t>
            </w:r>
            <w:r w:rsidR="7B6CBC14" w:rsidRPr="1797D1E5">
              <w:rPr>
                <w:rFonts w:ascii="Arial Narrow" w:hAnsi="Arial Narrow"/>
                <w:b/>
                <w:bCs/>
                <w:color w:val="000000" w:themeColor="text1"/>
                <w:sz w:val="20"/>
                <w:szCs w:val="20"/>
                <w:vertAlign w:val="superscript"/>
                <w:lang w:eastAsia="en-US"/>
              </w:rPr>
              <w:t>2</w:t>
            </w:r>
          </w:p>
        </w:tc>
        <w:tc>
          <w:tcPr>
            <w:tcW w:w="106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6E3021" w14:textId="03AD7FCD" w:rsidR="00B31A07" w:rsidRPr="007776C6" w:rsidRDefault="001A0FFE" w:rsidP="00B31A07">
            <w:pPr>
              <w:keepNext/>
              <w:keepLines/>
              <w:jc w:val="center"/>
              <w:rPr>
                <w:rFonts w:ascii="Arial Narrow" w:hAnsi="Arial Narrow" w:cs="Times New Roman"/>
                <w:b/>
                <w:bCs/>
                <w:sz w:val="20"/>
                <w:szCs w:val="20"/>
                <w:highlight w:val="darkGray"/>
                <w:lang w:eastAsia="en-US"/>
              </w:rPr>
            </w:pPr>
            <w:r w:rsidRPr="001A0FFE">
              <w:rPr>
                <w:rFonts w:ascii="Arial Narrow" w:hAnsi="Arial Narrow" w:cs="Times New Roman"/>
                <w:b/>
                <w:bCs/>
                <w:color w:val="000000"/>
                <w:spacing w:val="56"/>
                <w:sz w:val="20"/>
                <w:szCs w:val="20"/>
                <w:shd w:val="solid" w:color="000000" w:fill="000000"/>
                <w:fitText w:val="353" w:id="-764127737"/>
                <w:lang w:eastAsia="en-US"/>
                <w14:textFill>
                  <w14:solidFill>
                    <w14:srgbClr w14:val="000000">
                      <w14:alpha w14:val="100000"/>
                    </w14:srgbClr>
                  </w14:solidFill>
                </w14:textFill>
              </w:rPr>
              <w:t>|||</w:t>
            </w:r>
            <w:r w:rsidRPr="001A0FFE">
              <w:rPr>
                <w:rFonts w:ascii="Arial Narrow" w:hAnsi="Arial Narrow" w:cs="Times New Roman"/>
                <w:b/>
                <w:bCs/>
                <w:color w:val="000000"/>
                <w:spacing w:val="2"/>
                <w:sz w:val="20"/>
                <w:szCs w:val="20"/>
                <w:shd w:val="solid" w:color="000000" w:fill="000000"/>
                <w:fitText w:val="353" w:id="-764127737"/>
                <w:lang w:eastAsia="en-US"/>
                <w14:textFill>
                  <w14:solidFill>
                    <w14:srgbClr w14:val="000000">
                      <w14:alpha w14:val="100000"/>
                    </w14:srgbClr>
                  </w14:solidFill>
                </w14:textFill>
              </w:rPr>
              <w:t>|</w:t>
            </w:r>
            <w:r w:rsidR="7B6CBC14" w:rsidRPr="1797D1E5">
              <w:rPr>
                <w:rFonts w:ascii="Arial Narrow" w:hAnsi="Arial Narrow"/>
                <w:b/>
                <w:bCs/>
                <w:color w:val="000000" w:themeColor="text1"/>
                <w:sz w:val="20"/>
                <w:szCs w:val="20"/>
                <w:vertAlign w:val="superscript"/>
                <w:lang w:eastAsia="en-US"/>
              </w:rPr>
              <w:t>2</w:t>
            </w:r>
          </w:p>
        </w:tc>
        <w:tc>
          <w:tcPr>
            <w:tcW w:w="106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95334" w14:textId="277DFD03" w:rsidR="00B31A07" w:rsidRPr="007776C6" w:rsidRDefault="001A0FFE" w:rsidP="00B31A07">
            <w:pPr>
              <w:keepNext/>
              <w:keepLines/>
              <w:jc w:val="center"/>
              <w:rPr>
                <w:rFonts w:ascii="Arial Narrow" w:hAnsi="Arial Narrow" w:cs="Times New Roman"/>
                <w:b/>
                <w:bCs/>
                <w:sz w:val="20"/>
                <w:szCs w:val="20"/>
                <w:highlight w:val="darkGray"/>
                <w:lang w:eastAsia="en-US"/>
              </w:rPr>
            </w:pPr>
            <w:r w:rsidRPr="001A0FFE">
              <w:rPr>
                <w:rFonts w:ascii="Arial Narrow" w:hAnsi="Arial Narrow" w:cs="Times New Roman"/>
                <w:b/>
                <w:bCs/>
                <w:color w:val="000000"/>
                <w:spacing w:val="56"/>
                <w:sz w:val="20"/>
                <w:szCs w:val="20"/>
                <w:shd w:val="solid" w:color="000000" w:fill="000000"/>
                <w:fitText w:val="353" w:id="-764127736"/>
                <w:lang w:eastAsia="en-US"/>
                <w14:textFill>
                  <w14:solidFill>
                    <w14:srgbClr w14:val="000000">
                      <w14:alpha w14:val="100000"/>
                    </w14:srgbClr>
                  </w14:solidFill>
                </w14:textFill>
              </w:rPr>
              <w:t>|||</w:t>
            </w:r>
            <w:r w:rsidRPr="001A0FFE">
              <w:rPr>
                <w:rFonts w:ascii="Arial Narrow" w:hAnsi="Arial Narrow" w:cs="Times New Roman"/>
                <w:b/>
                <w:bCs/>
                <w:color w:val="000000"/>
                <w:spacing w:val="2"/>
                <w:sz w:val="20"/>
                <w:szCs w:val="20"/>
                <w:shd w:val="solid" w:color="000000" w:fill="000000"/>
                <w:fitText w:val="353" w:id="-764127736"/>
                <w:lang w:eastAsia="en-US"/>
                <w14:textFill>
                  <w14:solidFill>
                    <w14:srgbClr w14:val="000000">
                      <w14:alpha w14:val="100000"/>
                    </w14:srgbClr>
                  </w14:solidFill>
                </w14:textFill>
              </w:rPr>
              <w:t>|</w:t>
            </w:r>
            <w:r w:rsidR="7B6CBC14" w:rsidRPr="1797D1E5">
              <w:rPr>
                <w:rFonts w:ascii="Arial Narrow" w:hAnsi="Arial Narrow"/>
                <w:b/>
                <w:bCs/>
                <w:color w:val="000000" w:themeColor="text1"/>
                <w:sz w:val="20"/>
                <w:szCs w:val="20"/>
                <w:vertAlign w:val="superscript"/>
                <w:lang w:eastAsia="en-US"/>
              </w:rPr>
              <w:t>2</w:t>
            </w:r>
          </w:p>
        </w:tc>
        <w:tc>
          <w:tcPr>
            <w:tcW w:w="106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39DD69" w14:textId="5119E03B" w:rsidR="00B31A07" w:rsidRPr="007776C6" w:rsidRDefault="001A0FFE" w:rsidP="00B31A07">
            <w:pPr>
              <w:keepNext/>
              <w:keepLines/>
              <w:jc w:val="center"/>
              <w:rPr>
                <w:rFonts w:ascii="Arial Narrow" w:hAnsi="Arial Narrow" w:cs="Times New Roman"/>
                <w:b/>
                <w:bCs/>
                <w:sz w:val="20"/>
                <w:szCs w:val="20"/>
                <w:highlight w:val="darkGray"/>
                <w:lang w:eastAsia="en-US"/>
              </w:rPr>
            </w:pPr>
            <w:r w:rsidRPr="001A0FFE">
              <w:rPr>
                <w:rFonts w:ascii="Arial Narrow" w:hAnsi="Arial Narrow" w:cs="Times New Roman"/>
                <w:b/>
                <w:bCs/>
                <w:color w:val="000000"/>
                <w:spacing w:val="56"/>
                <w:sz w:val="20"/>
                <w:szCs w:val="20"/>
                <w:shd w:val="solid" w:color="000000" w:fill="000000"/>
                <w:fitText w:val="353" w:id="-764127735"/>
                <w:lang w:eastAsia="en-US"/>
                <w14:textFill>
                  <w14:solidFill>
                    <w14:srgbClr w14:val="000000">
                      <w14:alpha w14:val="100000"/>
                    </w14:srgbClr>
                  </w14:solidFill>
                </w14:textFill>
              </w:rPr>
              <w:t>|||</w:t>
            </w:r>
            <w:r w:rsidRPr="001A0FFE">
              <w:rPr>
                <w:rFonts w:ascii="Arial Narrow" w:hAnsi="Arial Narrow" w:cs="Times New Roman"/>
                <w:b/>
                <w:bCs/>
                <w:color w:val="000000"/>
                <w:spacing w:val="2"/>
                <w:sz w:val="20"/>
                <w:szCs w:val="20"/>
                <w:shd w:val="solid" w:color="000000" w:fill="000000"/>
                <w:fitText w:val="353" w:id="-764127735"/>
                <w:lang w:eastAsia="en-US"/>
                <w14:textFill>
                  <w14:solidFill>
                    <w14:srgbClr w14:val="000000">
                      <w14:alpha w14:val="100000"/>
                    </w14:srgbClr>
                  </w14:solidFill>
                </w14:textFill>
              </w:rPr>
              <w:t>|</w:t>
            </w:r>
            <w:r w:rsidR="7B6CBC14" w:rsidRPr="1797D1E5">
              <w:rPr>
                <w:rFonts w:ascii="Arial Narrow" w:hAnsi="Arial Narrow"/>
                <w:b/>
                <w:bCs/>
                <w:color w:val="000000" w:themeColor="text1"/>
                <w:sz w:val="20"/>
                <w:szCs w:val="20"/>
                <w:vertAlign w:val="superscript"/>
                <w:lang w:eastAsia="en-US"/>
              </w:rPr>
              <w:t>2</w:t>
            </w:r>
          </w:p>
        </w:tc>
        <w:tc>
          <w:tcPr>
            <w:tcW w:w="106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EFF828" w14:textId="5325F418" w:rsidR="00B31A07" w:rsidRPr="007776C6" w:rsidRDefault="001A0FFE" w:rsidP="00B31A07">
            <w:pPr>
              <w:keepNext/>
              <w:keepLines/>
              <w:jc w:val="center"/>
              <w:rPr>
                <w:rFonts w:ascii="Arial Narrow" w:hAnsi="Arial Narrow" w:cs="Times New Roman"/>
                <w:b/>
                <w:bCs/>
                <w:sz w:val="20"/>
                <w:szCs w:val="20"/>
                <w:highlight w:val="darkGray"/>
                <w:lang w:eastAsia="en-US"/>
              </w:rPr>
            </w:pPr>
            <w:r w:rsidRPr="001A0FFE">
              <w:rPr>
                <w:rFonts w:ascii="Arial Narrow" w:hAnsi="Arial Narrow" w:cs="Times New Roman"/>
                <w:b/>
                <w:bCs/>
                <w:color w:val="000000"/>
                <w:spacing w:val="56"/>
                <w:sz w:val="20"/>
                <w:szCs w:val="20"/>
                <w:shd w:val="solid" w:color="000000" w:fill="000000"/>
                <w:fitText w:val="354" w:id="-764127734"/>
                <w:lang w:eastAsia="en-US"/>
                <w14:textFill>
                  <w14:solidFill>
                    <w14:srgbClr w14:val="000000">
                      <w14:alpha w14:val="100000"/>
                    </w14:srgbClr>
                  </w14:solidFill>
                </w14:textFill>
              </w:rPr>
              <w:t>|||</w:t>
            </w:r>
            <w:r w:rsidRPr="001A0FFE">
              <w:rPr>
                <w:rFonts w:ascii="Arial Narrow" w:hAnsi="Arial Narrow" w:cs="Times New Roman"/>
                <w:b/>
                <w:bCs/>
                <w:color w:val="000000"/>
                <w:spacing w:val="3"/>
                <w:sz w:val="20"/>
                <w:szCs w:val="20"/>
                <w:shd w:val="solid" w:color="000000" w:fill="000000"/>
                <w:fitText w:val="354" w:id="-764127734"/>
                <w:lang w:eastAsia="en-US"/>
                <w14:textFill>
                  <w14:solidFill>
                    <w14:srgbClr w14:val="000000">
                      <w14:alpha w14:val="100000"/>
                    </w14:srgbClr>
                  </w14:solidFill>
                </w14:textFill>
              </w:rPr>
              <w:t>|</w:t>
            </w:r>
            <w:r w:rsidR="39B90496" w:rsidRPr="1797D1E5">
              <w:rPr>
                <w:rFonts w:ascii="Arial Narrow" w:hAnsi="Arial Narrow"/>
                <w:b/>
                <w:bCs/>
                <w:color w:val="000000" w:themeColor="text1"/>
                <w:sz w:val="20"/>
                <w:szCs w:val="20"/>
                <w:vertAlign w:val="superscript"/>
                <w:lang w:eastAsia="en-US"/>
              </w:rPr>
              <w:t>2</w:t>
            </w:r>
          </w:p>
        </w:tc>
        <w:tc>
          <w:tcPr>
            <w:tcW w:w="106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0FC3" w14:textId="7F56D5ED" w:rsidR="00B31A07" w:rsidRPr="007776C6" w:rsidRDefault="001A0FFE" w:rsidP="00B31A07">
            <w:pPr>
              <w:keepNext/>
              <w:keepLines/>
              <w:jc w:val="center"/>
              <w:rPr>
                <w:rFonts w:ascii="Arial Narrow" w:hAnsi="Arial Narrow" w:cs="Times New Roman"/>
                <w:b/>
                <w:bCs/>
                <w:sz w:val="20"/>
                <w:szCs w:val="20"/>
                <w:highlight w:val="darkGray"/>
                <w:lang w:eastAsia="en-US"/>
              </w:rPr>
            </w:pPr>
            <w:r w:rsidRPr="001A0FFE">
              <w:rPr>
                <w:rFonts w:ascii="Arial Narrow" w:hAnsi="Arial Narrow" w:cs="Times New Roman"/>
                <w:b/>
                <w:bCs/>
                <w:color w:val="000000"/>
                <w:spacing w:val="56"/>
                <w:sz w:val="20"/>
                <w:szCs w:val="20"/>
                <w:shd w:val="solid" w:color="000000" w:fill="000000"/>
                <w:fitText w:val="353" w:id="-764127733"/>
                <w:lang w:eastAsia="en-US"/>
                <w14:textFill>
                  <w14:solidFill>
                    <w14:srgbClr w14:val="000000">
                      <w14:alpha w14:val="100000"/>
                    </w14:srgbClr>
                  </w14:solidFill>
                </w14:textFill>
              </w:rPr>
              <w:t>|||</w:t>
            </w:r>
            <w:r w:rsidRPr="001A0FFE">
              <w:rPr>
                <w:rFonts w:ascii="Arial Narrow" w:hAnsi="Arial Narrow" w:cs="Times New Roman"/>
                <w:b/>
                <w:bCs/>
                <w:color w:val="000000"/>
                <w:spacing w:val="2"/>
                <w:sz w:val="20"/>
                <w:szCs w:val="20"/>
                <w:shd w:val="solid" w:color="000000" w:fill="000000"/>
                <w:fitText w:val="353" w:id="-764127733"/>
                <w:lang w:eastAsia="en-US"/>
                <w14:textFill>
                  <w14:solidFill>
                    <w14:srgbClr w14:val="000000">
                      <w14:alpha w14:val="100000"/>
                    </w14:srgbClr>
                  </w14:solidFill>
                </w14:textFill>
              </w:rPr>
              <w:t>|</w:t>
            </w:r>
            <w:r w:rsidR="39B90496" w:rsidRPr="1797D1E5">
              <w:rPr>
                <w:rFonts w:ascii="Arial Narrow" w:hAnsi="Arial Narrow"/>
                <w:b/>
                <w:bCs/>
                <w:color w:val="000000" w:themeColor="text1"/>
                <w:sz w:val="20"/>
                <w:szCs w:val="20"/>
                <w:vertAlign w:val="superscript"/>
                <w:lang w:eastAsia="en-US"/>
              </w:rPr>
              <w:t>2</w:t>
            </w:r>
          </w:p>
        </w:tc>
      </w:tr>
      <w:tr w:rsidR="00B31A07" w:rsidRPr="00B31A07" w14:paraId="1E644A8E" w14:textId="77777777" w:rsidTr="1797D1E5">
        <w:tc>
          <w:tcPr>
            <w:tcW w:w="26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EEBABB" w14:textId="77777777" w:rsidR="00B31A07" w:rsidRPr="00B31A07" w:rsidRDefault="00B31A07" w:rsidP="00B31A07">
            <w:pPr>
              <w:keepNext/>
              <w:keepLines/>
              <w:jc w:val="left"/>
              <w:rPr>
                <w:rFonts w:ascii="Arial Narrow" w:hAnsi="Arial Narrow" w:cs="Times New Roman"/>
                <w:b/>
                <w:sz w:val="20"/>
                <w:szCs w:val="20"/>
                <w:lang w:eastAsia="en-US"/>
              </w:rPr>
            </w:pPr>
            <w:r w:rsidRPr="00B31A07">
              <w:rPr>
                <w:rFonts w:ascii="Arial Narrow" w:hAnsi="Arial Narrow" w:cs="Times New Roman"/>
                <w:b/>
                <w:bCs/>
                <w:sz w:val="20"/>
                <w:szCs w:val="22"/>
                <w:lang w:eastAsia="en-US"/>
              </w:rPr>
              <w:t xml:space="preserve">July 2024 pre-PBAC response </w:t>
            </w:r>
            <w:r w:rsidRPr="00B31A07">
              <w:rPr>
                <w:rFonts w:ascii="Arial Narrow" w:hAnsi="Arial Narrow" w:cs="Times New Roman"/>
                <w:b/>
                <w:bCs/>
                <w:sz w:val="20"/>
                <w:szCs w:val="22"/>
                <w:vertAlign w:val="superscript"/>
                <w:lang w:eastAsia="en-US"/>
              </w:rPr>
              <w:t>b</w:t>
            </w:r>
            <w:r w:rsidRPr="00B31A07">
              <w:rPr>
                <w:rFonts w:ascii="Arial Narrow" w:hAnsi="Arial Narrow" w:cs="Times New Roman"/>
                <w:b/>
                <w:bCs/>
                <w:sz w:val="20"/>
                <w:szCs w:val="22"/>
                <w:lang w:eastAsia="en-US"/>
              </w:rPr>
              <w:t xml:space="preserve"> </w:t>
            </w:r>
          </w:p>
        </w:tc>
        <w:tc>
          <w:tcPr>
            <w:tcW w:w="1063"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777E4A48" w14:textId="77777777" w:rsidR="00B31A07" w:rsidRPr="00B31A07" w:rsidRDefault="00B31A07" w:rsidP="00B31A07">
            <w:pPr>
              <w:keepNext/>
              <w:keepLines/>
              <w:jc w:val="center"/>
              <w:rPr>
                <w:rFonts w:ascii="Arial Narrow" w:hAnsi="Arial Narrow" w:cs="Times New Roman"/>
                <w:b/>
                <w:bCs/>
                <w:sz w:val="20"/>
                <w:szCs w:val="22"/>
                <w:lang w:eastAsia="en-US"/>
              </w:rPr>
            </w:pPr>
          </w:p>
        </w:tc>
        <w:tc>
          <w:tcPr>
            <w:tcW w:w="106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F4AEC2" w14:textId="77777777" w:rsidR="00B31A07" w:rsidRPr="00B31A07" w:rsidRDefault="00B31A07" w:rsidP="00B31A07">
            <w:pPr>
              <w:keepNext/>
              <w:keepLines/>
              <w:jc w:val="center"/>
              <w:rPr>
                <w:rFonts w:ascii="Arial Narrow" w:hAnsi="Arial Narrow" w:cs="Times New Roman"/>
                <w:b/>
                <w:bCs/>
                <w:sz w:val="20"/>
                <w:szCs w:val="22"/>
                <w:lang w:eastAsia="en-US"/>
              </w:rPr>
            </w:pPr>
          </w:p>
        </w:tc>
        <w:tc>
          <w:tcPr>
            <w:tcW w:w="106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E11308" w14:textId="77777777" w:rsidR="00B31A07" w:rsidRPr="00B31A07" w:rsidRDefault="00B31A07" w:rsidP="00B31A07">
            <w:pPr>
              <w:keepNext/>
              <w:keepLines/>
              <w:jc w:val="center"/>
              <w:rPr>
                <w:rFonts w:ascii="Arial Narrow" w:hAnsi="Arial Narrow" w:cs="Times New Roman"/>
                <w:b/>
                <w:bCs/>
                <w:sz w:val="20"/>
                <w:szCs w:val="22"/>
                <w:lang w:eastAsia="en-US"/>
              </w:rPr>
            </w:pPr>
          </w:p>
        </w:tc>
        <w:tc>
          <w:tcPr>
            <w:tcW w:w="106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A3E97B" w14:textId="77777777" w:rsidR="00B31A07" w:rsidRPr="00B31A07" w:rsidRDefault="00B31A07" w:rsidP="00B31A07">
            <w:pPr>
              <w:keepNext/>
              <w:keepLines/>
              <w:jc w:val="center"/>
              <w:rPr>
                <w:rFonts w:ascii="Arial Narrow" w:hAnsi="Arial Narrow" w:cs="Times New Roman"/>
                <w:b/>
                <w:bCs/>
                <w:sz w:val="20"/>
                <w:szCs w:val="22"/>
                <w:lang w:eastAsia="en-US"/>
              </w:rPr>
            </w:pPr>
          </w:p>
        </w:tc>
        <w:tc>
          <w:tcPr>
            <w:tcW w:w="106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40E9C8" w14:textId="77777777" w:rsidR="00B31A07" w:rsidRPr="00B31A07" w:rsidRDefault="00B31A07" w:rsidP="00B31A07">
            <w:pPr>
              <w:keepNext/>
              <w:keepLines/>
              <w:jc w:val="center"/>
              <w:rPr>
                <w:rFonts w:ascii="Arial Narrow" w:hAnsi="Arial Narrow" w:cs="Times New Roman"/>
                <w:b/>
                <w:bCs/>
                <w:sz w:val="20"/>
                <w:szCs w:val="22"/>
                <w:lang w:eastAsia="en-US"/>
              </w:rPr>
            </w:pPr>
          </w:p>
        </w:tc>
        <w:tc>
          <w:tcPr>
            <w:tcW w:w="106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5545D1" w14:textId="77777777" w:rsidR="00B31A07" w:rsidRPr="00B31A07" w:rsidRDefault="00B31A07" w:rsidP="00B31A07">
            <w:pPr>
              <w:keepNext/>
              <w:keepLines/>
              <w:jc w:val="center"/>
              <w:rPr>
                <w:rFonts w:ascii="Arial Narrow" w:hAnsi="Arial Narrow" w:cs="Times New Roman"/>
                <w:b/>
                <w:bCs/>
                <w:sz w:val="20"/>
                <w:szCs w:val="22"/>
                <w:lang w:eastAsia="en-US"/>
              </w:rPr>
            </w:pPr>
          </w:p>
        </w:tc>
      </w:tr>
      <w:tr w:rsidR="00B31A07" w:rsidRPr="00B31A07" w14:paraId="010FE5E3" w14:textId="77777777" w:rsidTr="00E30FFC">
        <w:tc>
          <w:tcPr>
            <w:tcW w:w="268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8CFC16" w14:textId="77777777" w:rsidR="00B31A07" w:rsidRPr="00B31A07" w:rsidRDefault="00B31A07" w:rsidP="00B31A07">
            <w:pPr>
              <w:keepNext/>
              <w:keepLines/>
              <w:jc w:val="left"/>
              <w:rPr>
                <w:rFonts w:ascii="Arial Narrow" w:hAnsi="Arial Narrow" w:cs="Times New Roman"/>
                <w:b/>
                <w:bCs/>
                <w:sz w:val="20"/>
                <w:szCs w:val="22"/>
                <w:lang w:eastAsia="en-US"/>
              </w:rPr>
            </w:pPr>
            <w:r w:rsidRPr="00B31A07">
              <w:rPr>
                <w:rFonts w:ascii="Arial Narrow" w:hAnsi="Arial Narrow" w:cs="Times New Roman"/>
                <w:b/>
                <w:bCs/>
                <w:sz w:val="20"/>
                <w:szCs w:val="22"/>
                <w:lang w:eastAsia="en-US"/>
              </w:rPr>
              <w:t>Total net PBS/RPBS cost less copayment (effective)</w:t>
            </w:r>
          </w:p>
        </w:tc>
        <w:tc>
          <w:tcPr>
            <w:tcW w:w="1063"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23AF8AF2" w14:textId="467089E0" w:rsidR="00B31A07" w:rsidRPr="007776C6" w:rsidRDefault="001A0FFE" w:rsidP="00E30FFC">
            <w:pPr>
              <w:keepNext/>
              <w:keepLines/>
              <w:jc w:val="center"/>
              <w:rPr>
                <w:rFonts w:ascii="Arial Narrow" w:hAnsi="Arial Narrow" w:cs="Times New Roman"/>
                <w:b/>
                <w:bCs/>
                <w:sz w:val="20"/>
                <w:szCs w:val="20"/>
                <w:highlight w:val="darkGray"/>
                <w:lang w:eastAsia="en-US"/>
              </w:rPr>
            </w:pPr>
            <w:r w:rsidRPr="001A0FFE">
              <w:rPr>
                <w:rFonts w:ascii="Arial Narrow" w:hAnsi="Arial Narrow" w:cs="Times New Roman"/>
                <w:b/>
                <w:bCs/>
                <w:color w:val="000000"/>
                <w:spacing w:val="56"/>
                <w:sz w:val="20"/>
                <w:szCs w:val="20"/>
                <w:shd w:val="solid" w:color="000000" w:fill="000000"/>
                <w:fitText w:val="353" w:id="-764127732"/>
                <w:lang w:eastAsia="en-US"/>
                <w14:textFill>
                  <w14:solidFill>
                    <w14:srgbClr w14:val="000000">
                      <w14:alpha w14:val="100000"/>
                    </w14:srgbClr>
                  </w14:solidFill>
                </w14:textFill>
              </w:rPr>
              <w:t>|||</w:t>
            </w:r>
            <w:r w:rsidRPr="001A0FFE">
              <w:rPr>
                <w:rFonts w:ascii="Arial Narrow" w:hAnsi="Arial Narrow" w:cs="Times New Roman"/>
                <w:b/>
                <w:bCs/>
                <w:color w:val="000000"/>
                <w:spacing w:val="2"/>
                <w:sz w:val="20"/>
                <w:szCs w:val="20"/>
                <w:shd w:val="solid" w:color="000000" w:fill="000000"/>
                <w:fitText w:val="353" w:id="-764127732"/>
                <w:lang w:eastAsia="en-US"/>
                <w14:textFill>
                  <w14:solidFill>
                    <w14:srgbClr w14:val="000000">
                      <w14:alpha w14:val="100000"/>
                    </w14:srgbClr>
                  </w14:solidFill>
                </w14:textFill>
              </w:rPr>
              <w:t>|</w:t>
            </w:r>
            <w:r w:rsidR="39B90496" w:rsidRPr="1797D1E5">
              <w:rPr>
                <w:rFonts w:ascii="Arial Narrow" w:hAnsi="Arial Narrow"/>
                <w:b/>
                <w:bCs/>
                <w:color w:val="000000" w:themeColor="text1"/>
                <w:sz w:val="20"/>
                <w:szCs w:val="20"/>
                <w:vertAlign w:val="superscript"/>
                <w:lang w:eastAsia="en-US"/>
              </w:rPr>
              <w:t>2</w:t>
            </w:r>
          </w:p>
        </w:tc>
        <w:tc>
          <w:tcPr>
            <w:tcW w:w="106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722D2C" w14:textId="45914B26" w:rsidR="00B31A07" w:rsidRPr="007776C6" w:rsidRDefault="001A0FFE" w:rsidP="00E30FFC">
            <w:pPr>
              <w:keepNext/>
              <w:keepLines/>
              <w:jc w:val="center"/>
              <w:rPr>
                <w:rFonts w:ascii="Arial Narrow" w:hAnsi="Arial Narrow" w:cs="Times New Roman"/>
                <w:b/>
                <w:bCs/>
                <w:sz w:val="20"/>
                <w:szCs w:val="20"/>
                <w:highlight w:val="darkGray"/>
                <w:lang w:eastAsia="en-US"/>
              </w:rPr>
            </w:pPr>
            <w:r w:rsidRPr="001A0FFE">
              <w:rPr>
                <w:rFonts w:ascii="Arial Narrow" w:hAnsi="Arial Narrow" w:cs="Times New Roman"/>
                <w:b/>
                <w:bCs/>
                <w:color w:val="000000"/>
                <w:spacing w:val="56"/>
                <w:sz w:val="20"/>
                <w:szCs w:val="20"/>
                <w:shd w:val="solid" w:color="000000" w:fill="000000"/>
                <w:fitText w:val="353" w:id="-764127731"/>
                <w:lang w:eastAsia="en-US"/>
                <w14:textFill>
                  <w14:solidFill>
                    <w14:srgbClr w14:val="000000">
                      <w14:alpha w14:val="100000"/>
                    </w14:srgbClr>
                  </w14:solidFill>
                </w14:textFill>
              </w:rPr>
              <w:t>|||</w:t>
            </w:r>
            <w:r w:rsidRPr="001A0FFE">
              <w:rPr>
                <w:rFonts w:ascii="Arial Narrow" w:hAnsi="Arial Narrow" w:cs="Times New Roman"/>
                <w:b/>
                <w:bCs/>
                <w:color w:val="000000"/>
                <w:spacing w:val="2"/>
                <w:sz w:val="20"/>
                <w:szCs w:val="20"/>
                <w:shd w:val="solid" w:color="000000" w:fill="000000"/>
                <w:fitText w:val="353" w:id="-764127731"/>
                <w:lang w:eastAsia="en-US"/>
                <w14:textFill>
                  <w14:solidFill>
                    <w14:srgbClr w14:val="000000">
                      <w14:alpha w14:val="100000"/>
                    </w14:srgbClr>
                  </w14:solidFill>
                </w14:textFill>
              </w:rPr>
              <w:t>|</w:t>
            </w:r>
            <w:r w:rsidR="39B90496" w:rsidRPr="1797D1E5">
              <w:rPr>
                <w:rFonts w:ascii="Arial Narrow" w:hAnsi="Arial Narrow"/>
                <w:b/>
                <w:bCs/>
                <w:color w:val="000000" w:themeColor="text1"/>
                <w:sz w:val="20"/>
                <w:szCs w:val="20"/>
                <w:vertAlign w:val="superscript"/>
                <w:lang w:eastAsia="en-US"/>
              </w:rPr>
              <w:t>2</w:t>
            </w:r>
          </w:p>
        </w:tc>
        <w:tc>
          <w:tcPr>
            <w:tcW w:w="106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BC0DB" w14:textId="6E751388" w:rsidR="00B31A07" w:rsidRPr="007776C6" w:rsidRDefault="001A0FFE" w:rsidP="00E30FFC">
            <w:pPr>
              <w:keepNext/>
              <w:keepLines/>
              <w:jc w:val="center"/>
              <w:rPr>
                <w:rFonts w:ascii="Arial Narrow" w:hAnsi="Arial Narrow" w:cs="Times New Roman"/>
                <w:b/>
                <w:bCs/>
                <w:sz w:val="20"/>
                <w:szCs w:val="20"/>
                <w:highlight w:val="darkGray"/>
                <w:lang w:eastAsia="en-US"/>
              </w:rPr>
            </w:pPr>
            <w:r w:rsidRPr="001A0FFE">
              <w:rPr>
                <w:rFonts w:ascii="Arial Narrow" w:hAnsi="Arial Narrow" w:cs="Times New Roman"/>
                <w:b/>
                <w:bCs/>
                <w:color w:val="000000"/>
                <w:spacing w:val="56"/>
                <w:sz w:val="20"/>
                <w:szCs w:val="20"/>
                <w:shd w:val="solid" w:color="000000" w:fill="000000"/>
                <w:fitText w:val="353" w:id="-764127730"/>
                <w:lang w:eastAsia="en-US"/>
                <w14:textFill>
                  <w14:solidFill>
                    <w14:srgbClr w14:val="000000">
                      <w14:alpha w14:val="100000"/>
                    </w14:srgbClr>
                  </w14:solidFill>
                </w14:textFill>
              </w:rPr>
              <w:t>|||</w:t>
            </w:r>
            <w:r w:rsidRPr="001A0FFE">
              <w:rPr>
                <w:rFonts w:ascii="Arial Narrow" w:hAnsi="Arial Narrow" w:cs="Times New Roman"/>
                <w:b/>
                <w:bCs/>
                <w:color w:val="000000"/>
                <w:spacing w:val="2"/>
                <w:sz w:val="20"/>
                <w:szCs w:val="20"/>
                <w:shd w:val="solid" w:color="000000" w:fill="000000"/>
                <w:fitText w:val="353" w:id="-764127730"/>
                <w:lang w:eastAsia="en-US"/>
                <w14:textFill>
                  <w14:solidFill>
                    <w14:srgbClr w14:val="000000">
                      <w14:alpha w14:val="100000"/>
                    </w14:srgbClr>
                  </w14:solidFill>
                </w14:textFill>
              </w:rPr>
              <w:t>|</w:t>
            </w:r>
            <w:r w:rsidR="39B90496" w:rsidRPr="1797D1E5">
              <w:rPr>
                <w:rFonts w:ascii="Arial Narrow" w:hAnsi="Arial Narrow"/>
                <w:b/>
                <w:bCs/>
                <w:color w:val="000000" w:themeColor="text1"/>
                <w:sz w:val="20"/>
                <w:szCs w:val="20"/>
                <w:vertAlign w:val="superscript"/>
                <w:lang w:eastAsia="en-US"/>
              </w:rPr>
              <w:t>2</w:t>
            </w:r>
          </w:p>
        </w:tc>
        <w:tc>
          <w:tcPr>
            <w:tcW w:w="106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628387" w14:textId="2E4D094A" w:rsidR="00B31A07" w:rsidRPr="007776C6" w:rsidRDefault="001A0FFE" w:rsidP="00E30FFC">
            <w:pPr>
              <w:keepNext/>
              <w:keepLines/>
              <w:jc w:val="center"/>
              <w:rPr>
                <w:rFonts w:ascii="Arial Narrow" w:hAnsi="Arial Narrow" w:cs="Times New Roman"/>
                <w:b/>
                <w:bCs/>
                <w:sz w:val="20"/>
                <w:szCs w:val="20"/>
                <w:highlight w:val="darkGray"/>
                <w:lang w:eastAsia="en-US"/>
              </w:rPr>
            </w:pPr>
            <w:r w:rsidRPr="001A0FFE">
              <w:rPr>
                <w:rFonts w:ascii="Arial Narrow" w:hAnsi="Arial Narrow" w:cs="Times New Roman"/>
                <w:b/>
                <w:bCs/>
                <w:color w:val="000000"/>
                <w:spacing w:val="56"/>
                <w:sz w:val="20"/>
                <w:szCs w:val="20"/>
                <w:shd w:val="solid" w:color="000000" w:fill="000000"/>
                <w:fitText w:val="353" w:id="-764127729"/>
                <w:lang w:eastAsia="en-US"/>
                <w14:textFill>
                  <w14:solidFill>
                    <w14:srgbClr w14:val="000000">
                      <w14:alpha w14:val="100000"/>
                    </w14:srgbClr>
                  </w14:solidFill>
                </w14:textFill>
              </w:rPr>
              <w:t>|||</w:t>
            </w:r>
            <w:r w:rsidRPr="001A0FFE">
              <w:rPr>
                <w:rFonts w:ascii="Arial Narrow" w:hAnsi="Arial Narrow" w:cs="Times New Roman"/>
                <w:b/>
                <w:bCs/>
                <w:color w:val="000000"/>
                <w:spacing w:val="2"/>
                <w:sz w:val="20"/>
                <w:szCs w:val="20"/>
                <w:shd w:val="solid" w:color="000000" w:fill="000000"/>
                <w:fitText w:val="353" w:id="-764127729"/>
                <w:lang w:eastAsia="en-US"/>
                <w14:textFill>
                  <w14:solidFill>
                    <w14:srgbClr w14:val="000000">
                      <w14:alpha w14:val="100000"/>
                    </w14:srgbClr>
                  </w14:solidFill>
                </w14:textFill>
              </w:rPr>
              <w:t>|</w:t>
            </w:r>
            <w:r w:rsidR="39B90496" w:rsidRPr="1797D1E5">
              <w:rPr>
                <w:rFonts w:ascii="Arial Narrow" w:hAnsi="Arial Narrow"/>
                <w:b/>
                <w:bCs/>
                <w:color w:val="000000" w:themeColor="text1"/>
                <w:sz w:val="20"/>
                <w:szCs w:val="20"/>
                <w:vertAlign w:val="superscript"/>
                <w:lang w:eastAsia="en-US"/>
              </w:rPr>
              <w:t>2</w:t>
            </w:r>
          </w:p>
        </w:tc>
        <w:tc>
          <w:tcPr>
            <w:tcW w:w="106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5C9016" w14:textId="71463FD2" w:rsidR="00B31A07" w:rsidRPr="007776C6" w:rsidRDefault="001A0FFE" w:rsidP="00E30FFC">
            <w:pPr>
              <w:keepNext/>
              <w:keepLines/>
              <w:jc w:val="center"/>
              <w:rPr>
                <w:rFonts w:ascii="Arial Narrow" w:hAnsi="Arial Narrow" w:cs="Times New Roman"/>
                <w:b/>
                <w:bCs/>
                <w:sz w:val="20"/>
                <w:szCs w:val="20"/>
                <w:highlight w:val="darkGray"/>
                <w:lang w:eastAsia="en-US"/>
              </w:rPr>
            </w:pPr>
            <w:r w:rsidRPr="001A0FFE">
              <w:rPr>
                <w:rFonts w:ascii="Arial Narrow" w:hAnsi="Arial Narrow" w:cs="Times New Roman"/>
                <w:b/>
                <w:bCs/>
                <w:color w:val="000000"/>
                <w:spacing w:val="56"/>
                <w:sz w:val="20"/>
                <w:szCs w:val="20"/>
                <w:shd w:val="solid" w:color="000000" w:fill="000000"/>
                <w:fitText w:val="354" w:id="-764127728"/>
                <w:lang w:eastAsia="en-US"/>
                <w14:textFill>
                  <w14:solidFill>
                    <w14:srgbClr w14:val="000000">
                      <w14:alpha w14:val="100000"/>
                    </w14:srgbClr>
                  </w14:solidFill>
                </w14:textFill>
              </w:rPr>
              <w:t>|||</w:t>
            </w:r>
            <w:r w:rsidRPr="001A0FFE">
              <w:rPr>
                <w:rFonts w:ascii="Arial Narrow" w:hAnsi="Arial Narrow" w:cs="Times New Roman"/>
                <w:b/>
                <w:bCs/>
                <w:color w:val="000000"/>
                <w:spacing w:val="3"/>
                <w:sz w:val="20"/>
                <w:szCs w:val="20"/>
                <w:shd w:val="solid" w:color="000000" w:fill="000000"/>
                <w:fitText w:val="354" w:id="-764127728"/>
                <w:lang w:eastAsia="en-US"/>
                <w14:textFill>
                  <w14:solidFill>
                    <w14:srgbClr w14:val="000000">
                      <w14:alpha w14:val="100000"/>
                    </w14:srgbClr>
                  </w14:solidFill>
                </w14:textFill>
              </w:rPr>
              <w:t>|</w:t>
            </w:r>
            <w:r w:rsidR="39B90496" w:rsidRPr="1797D1E5">
              <w:rPr>
                <w:rFonts w:ascii="Arial Narrow" w:hAnsi="Arial Narrow"/>
                <w:b/>
                <w:bCs/>
                <w:color w:val="000000" w:themeColor="text1"/>
                <w:sz w:val="20"/>
                <w:szCs w:val="20"/>
                <w:vertAlign w:val="superscript"/>
                <w:lang w:eastAsia="en-US"/>
              </w:rPr>
              <w:t>2</w:t>
            </w:r>
          </w:p>
        </w:tc>
        <w:tc>
          <w:tcPr>
            <w:tcW w:w="106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105EC2" w14:textId="6E4CB668" w:rsidR="00B31A07" w:rsidRPr="007776C6" w:rsidRDefault="001A0FFE" w:rsidP="00E30FFC">
            <w:pPr>
              <w:keepNext/>
              <w:keepLines/>
              <w:jc w:val="center"/>
              <w:rPr>
                <w:rFonts w:ascii="Arial Narrow" w:hAnsi="Arial Narrow" w:cs="Times New Roman"/>
                <w:b/>
                <w:bCs/>
                <w:sz w:val="20"/>
                <w:szCs w:val="20"/>
                <w:highlight w:val="darkGray"/>
                <w:lang w:eastAsia="en-US"/>
              </w:rPr>
            </w:pPr>
            <w:r w:rsidRPr="001A0FFE">
              <w:rPr>
                <w:rFonts w:ascii="Arial Narrow" w:hAnsi="Arial Narrow" w:cs="Times New Roman"/>
                <w:b/>
                <w:bCs/>
                <w:color w:val="000000"/>
                <w:spacing w:val="56"/>
                <w:sz w:val="20"/>
                <w:szCs w:val="20"/>
                <w:shd w:val="solid" w:color="000000" w:fill="000000"/>
                <w:fitText w:val="353" w:id="-764127744"/>
                <w:lang w:eastAsia="en-US"/>
                <w14:textFill>
                  <w14:solidFill>
                    <w14:srgbClr w14:val="000000">
                      <w14:alpha w14:val="100000"/>
                    </w14:srgbClr>
                  </w14:solidFill>
                </w14:textFill>
              </w:rPr>
              <w:t>|||</w:t>
            </w:r>
            <w:r w:rsidRPr="001A0FFE">
              <w:rPr>
                <w:rFonts w:ascii="Arial Narrow" w:hAnsi="Arial Narrow" w:cs="Times New Roman"/>
                <w:b/>
                <w:bCs/>
                <w:color w:val="000000"/>
                <w:spacing w:val="2"/>
                <w:sz w:val="20"/>
                <w:szCs w:val="20"/>
                <w:shd w:val="solid" w:color="000000" w:fill="000000"/>
                <w:fitText w:val="353" w:id="-764127744"/>
                <w:lang w:eastAsia="en-US"/>
                <w14:textFill>
                  <w14:solidFill>
                    <w14:srgbClr w14:val="000000">
                      <w14:alpha w14:val="100000"/>
                    </w14:srgbClr>
                  </w14:solidFill>
                </w14:textFill>
              </w:rPr>
              <w:t>|</w:t>
            </w:r>
            <w:r w:rsidR="39B90496" w:rsidRPr="1797D1E5">
              <w:rPr>
                <w:rFonts w:ascii="Arial Narrow" w:hAnsi="Arial Narrow"/>
                <w:b/>
                <w:bCs/>
                <w:color w:val="000000" w:themeColor="text1"/>
                <w:sz w:val="20"/>
                <w:szCs w:val="20"/>
                <w:vertAlign w:val="superscript"/>
                <w:lang w:eastAsia="en-US"/>
              </w:rPr>
              <w:t>2</w:t>
            </w:r>
          </w:p>
        </w:tc>
      </w:tr>
      <w:tr w:rsidR="00B31A07" w:rsidRPr="00B31A07" w14:paraId="2BB14FF1" w14:textId="77777777" w:rsidTr="00E30FFC">
        <w:tc>
          <w:tcPr>
            <w:tcW w:w="268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F2EBC9" w14:textId="77777777" w:rsidR="00B31A07" w:rsidRPr="00B31A07" w:rsidRDefault="00B31A07" w:rsidP="00B31A07">
            <w:pPr>
              <w:keepNext/>
              <w:keepLines/>
              <w:jc w:val="left"/>
              <w:rPr>
                <w:rFonts w:ascii="Arial Narrow" w:hAnsi="Arial Narrow" w:cs="Times New Roman"/>
                <w:b/>
                <w:bCs/>
                <w:sz w:val="20"/>
                <w:szCs w:val="22"/>
                <w:lang w:eastAsia="en-US"/>
              </w:rPr>
            </w:pPr>
            <w:r w:rsidRPr="00B31A07">
              <w:rPr>
                <w:rFonts w:ascii="Arial Narrow" w:hAnsi="Arial Narrow" w:cs="Times New Roman"/>
                <w:sz w:val="20"/>
                <w:szCs w:val="22"/>
                <w:lang w:eastAsia="en-US"/>
              </w:rPr>
              <w:t>Cost offsets (displaced R/R blinatumomab and inotuzumab)</w:t>
            </w:r>
          </w:p>
        </w:tc>
        <w:tc>
          <w:tcPr>
            <w:tcW w:w="1063"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574C724F" w14:textId="38309D58" w:rsidR="00B31A07" w:rsidRPr="007776C6" w:rsidRDefault="001A0FFE" w:rsidP="00E30FFC">
            <w:pPr>
              <w:keepNext/>
              <w:keepLines/>
              <w:jc w:val="center"/>
              <w:rPr>
                <w:rFonts w:ascii="Arial Narrow" w:hAnsi="Arial Narrow" w:cs="Times New Roman"/>
                <w:b/>
                <w:bCs/>
                <w:sz w:val="20"/>
                <w:szCs w:val="20"/>
                <w:highlight w:val="darkGray"/>
                <w:lang w:eastAsia="en-US"/>
              </w:rPr>
            </w:pPr>
            <w:r w:rsidRPr="001A0FFE">
              <w:rPr>
                <w:rFonts w:ascii="Arial Narrow" w:hAnsi="Arial Narrow" w:cs="Times New Roman"/>
                <w:color w:val="000000"/>
                <w:spacing w:val="52"/>
                <w:sz w:val="20"/>
                <w:szCs w:val="20"/>
                <w:shd w:val="solid" w:color="000000" w:fill="000000"/>
                <w:fitText w:val="327" w:id="-764127743"/>
                <w:lang w:eastAsia="en-US"/>
                <w14:textFill>
                  <w14:solidFill>
                    <w14:srgbClr w14:val="000000">
                      <w14:alpha w14:val="100000"/>
                    </w14:srgbClr>
                  </w14:solidFill>
                </w14:textFill>
              </w:rPr>
              <w:t>|||</w:t>
            </w:r>
            <w:r w:rsidRPr="001A0FFE">
              <w:rPr>
                <w:rFonts w:ascii="Arial Narrow" w:hAnsi="Arial Narrow" w:cs="Times New Roman"/>
                <w:color w:val="000000"/>
                <w:spacing w:val="1"/>
                <w:sz w:val="20"/>
                <w:szCs w:val="20"/>
                <w:shd w:val="solid" w:color="000000" w:fill="000000"/>
                <w:fitText w:val="327" w:id="-764127743"/>
                <w:lang w:eastAsia="en-US"/>
                <w14:textFill>
                  <w14:solidFill>
                    <w14:srgbClr w14:val="000000">
                      <w14:alpha w14:val="100000"/>
                    </w14:srgbClr>
                  </w14:solidFill>
                </w14:textFill>
              </w:rPr>
              <w:t>|</w:t>
            </w:r>
            <w:r w:rsidR="0DE021D7" w:rsidRPr="1797D1E5">
              <w:rPr>
                <w:rFonts w:ascii="Arial Narrow" w:hAnsi="Arial Narrow"/>
                <w:sz w:val="20"/>
                <w:szCs w:val="20"/>
                <w:vertAlign w:val="superscript"/>
                <w:lang w:eastAsia="en-US"/>
              </w:rPr>
              <w:t>3</w:t>
            </w:r>
          </w:p>
        </w:tc>
        <w:tc>
          <w:tcPr>
            <w:tcW w:w="106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CA2268" w14:textId="3A3C1F60" w:rsidR="00B31A07" w:rsidRPr="007776C6" w:rsidRDefault="001A0FFE" w:rsidP="00E30FFC">
            <w:pPr>
              <w:keepNext/>
              <w:keepLines/>
              <w:jc w:val="center"/>
              <w:rPr>
                <w:rFonts w:ascii="Arial Narrow" w:hAnsi="Arial Narrow" w:cs="Times New Roman"/>
                <w:b/>
                <w:bCs/>
                <w:sz w:val="20"/>
                <w:szCs w:val="20"/>
                <w:highlight w:val="darkGray"/>
                <w:lang w:eastAsia="en-US"/>
              </w:rPr>
            </w:pPr>
            <w:r w:rsidRPr="00AB3F6F">
              <w:rPr>
                <w:rFonts w:ascii="Arial Narrow" w:hAnsi="Arial Narrow" w:cs="Times New Roman"/>
                <w:color w:val="000000"/>
                <w:spacing w:val="55"/>
                <w:sz w:val="20"/>
                <w:szCs w:val="20"/>
                <w:shd w:val="solid" w:color="000000" w:fill="000000"/>
                <w:fitText w:val="336" w:id="-764127741"/>
                <w:lang w:eastAsia="en-US"/>
                <w14:textFill>
                  <w14:solidFill>
                    <w14:srgbClr w14:val="000000">
                      <w14:alpha w14:val="100000"/>
                    </w14:srgbClr>
                  </w14:solidFill>
                </w14:textFill>
              </w:rPr>
              <w:t>|||</w:t>
            </w:r>
            <w:r w:rsidRPr="00AB3F6F">
              <w:rPr>
                <w:rFonts w:ascii="Arial Narrow" w:hAnsi="Arial Narrow" w:cs="Times New Roman"/>
                <w:color w:val="000000"/>
                <w:spacing w:val="1"/>
                <w:sz w:val="20"/>
                <w:szCs w:val="20"/>
                <w:shd w:val="solid" w:color="000000" w:fill="000000"/>
                <w:fitText w:val="336" w:id="-764127741"/>
                <w:lang w:eastAsia="en-US"/>
                <w14:textFill>
                  <w14:solidFill>
                    <w14:srgbClr w14:val="000000">
                      <w14:alpha w14:val="100000"/>
                    </w14:srgbClr>
                  </w14:solidFill>
                </w14:textFill>
              </w:rPr>
              <w:t>|</w:t>
            </w:r>
            <w:r w:rsidR="55A69B0D" w:rsidRPr="1797D1E5">
              <w:rPr>
                <w:rFonts w:ascii="Arial Narrow" w:hAnsi="Arial Narrow"/>
                <w:sz w:val="20"/>
                <w:szCs w:val="20"/>
                <w:vertAlign w:val="superscript"/>
                <w:lang w:eastAsia="en-US"/>
              </w:rPr>
              <w:t>3</w:t>
            </w:r>
          </w:p>
        </w:tc>
        <w:tc>
          <w:tcPr>
            <w:tcW w:w="106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96C43A" w14:textId="30902C86" w:rsidR="00B31A07" w:rsidRPr="007776C6" w:rsidRDefault="001A0FFE" w:rsidP="00E30FFC">
            <w:pPr>
              <w:keepNext/>
              <w:keepLines/>
              <w:jc w:val="center"/>
              <w:rPr>
                <w:rFonts w:ascii="Arial Narrow" w:hAnsi="Arial Narrow" w:cs="Times New Roman"/>
                <w:b/>
                <w:bCs/>
                <w:sz w:val="20"/>
                <w:szCs w:val="20"/>
                <w:highlight w:val="darkGray"/>
                <w:lang w:eastAsia="en-US"/>
              </w:rPr>
            </w:pPr>
            <w:r w:rsidRPr="001A0FFE">
              <w:rPr>
                <w:rFonts w:ascii="Arial Narrow" w:hAnsi="Arial Narrow" w:cs="Times New Roman"/>
                <w:color w:val="000000"/>
                <w:spacing w:val="52"/>
                <w:sz w:val="20"/>
                <w:szCs w:val="20"/>
                <w:shd w:val="solid" w:color="000000" w:fill="000000"/>
                <w:fitText w:val="327" w:id="-764127740"/>
                <w:lang w:eastAsia="en-US"/>
                <w14:textFill>
                  <w14:solidFill>
                    <w14:srgbClr w14:val="000000">
                      <w14:alpha w14:val="100000"/>
                    </w14:srgbClr>
                  </w14:solidFill>
                </w14:textFill>
              </w:rPr>
              <w:t>|||</w:t>
            </w:r>
            <w:r w:rsidRPr="001A0FFE">
              <w:rPr>
                <w:rFonts w:ascii="Arial Narrow" w:hAnsi="Arial Narrow" w:cs="Times New Roman"/>
                <w:color w:val="000000"/>
                <w:spacing w:val="1"/>
                <w:sz w:val="20"/>
                <w:szCs w:val="20"/>
                <w:shd w:val="solid" w:color="000000" w:fill="000000"/>
                <w:fitText w:val="327" w:id="-764127740"/>
                <w:lang w:eastAsia="en-US"/>
                <w14:textFill>
                  <w14:solidFill>
                    <w14:srgbClr w14:val="000000">
                      <w14:alpha w14:val="100000"/>
                    </w14:srgbClr>
                  </w14:solidFill>
                </w14:textFill>
              </w:rPr>
              <w:t>|</w:t>
            </w:r>
            <w:r w:rsidR="0DE021D7" w:rsidRPr="1797D1E5">
              <w:rPr>
                <w:rFonts w:ascii="Arial Narrow" w:hAnsi="Arial Narrow"/>
                <w:sz w:val="20"/>
                <w:szCs w:val="20"/>
                <w:vertAlign w:val="superscript"/>
                <w:lang w:eastAsia="en-US"/>
              </w:rPr>
              <w:t>3</w:t>
            </w:r>
          </w:p>
        </w:tc>
        <w:tc>
          <w:tcPr>
            <w:tcW w:w="106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F2B3BE" w14:textId="7469FB1C" w:rsidR="00B31A07" w:rsidRPr="007776C6" w:rsidRDefault="001A0FFE" w:rsidP="00E30FFC">
            <w:pPr>
              <w:keepNext/>
              <w:keepLines/>
              <w:jc w:val="center"/>
              <w:rPr>
                <w:rFonts w:ascii="Arial Narrow" w:hAnsi="Arial Narrow" w:cs="Times New Roman"/>
                <w:b/>
                <w:bCs/>
                <w:sz w:val="20"/>
                <w:szCs w:val="20"/>
                <w:highlight w:val="darkGray"/>
                <w:lang w:eastAsia="en-US"/>
              </w:rPr>
            </w:pPr>
            <w:r w:rsidRPr="001A0FFE">
              <w:rPr>
                <w:rFonts w:ascii="Arial Narrow" w:hAnsi="Arial Narrow" w:cs="Times New Roman"/>
                <w:color w:val="000000"/>
                <w:spacing w:val="52"/>
                <w:sz w:val="20"/>
                <w:szCs w:val="20"/>
                <w:shd w:val="solid" w:color="000000" w:fill="000000"/>
                <w:fitText w:val="327" w:id="-764127739"/>
                <w:lang w:eastAsia="en-US"/>
                <w14:textFill>
                  <w14:solidFill>
                    <w14:srgbClr w14:val="000000">
                      <w14:alpha w14:val="100000"/>
                    </w14:srgbClr>
                  </w14:solidFill>
                </w14:textFill>
              </w:rPr>
              <w:t>|||</w:t>
            </w:r>
            <w:r w:rsidRPr="001A0FFE">
              <w:rPr>
                <w:rFonts w:ascii="Arial Narrow" w:hAnsi="Arial Narrow" w:cs="Times New Roman"/>
                <w:color w:val="000000"/>
                <w:spacing w:val="1"/>
                <w:sz w:val="20"/>
                <w:szCs w:val="20"/>
                <w:shd w:val="solid" w:color="000000" w:fill="000000"/>
                <w:fitText w:val="327" w:id="-764127739"/>
                <w:lang w:eastAsia="en-US"/>
                <w14:textFill>
                  <w14:solidFill>
                    <w14:srgbClr w14:val="000000">
                      <w14:alpha w14:val="100000"/>
                    </w14:srgbClr>
                  </w14:solidFill>
                </w14:textFill>
              </w:rPr>
              <w:t>|</w:t>
            </w:r>
            <w:r w:rsidR="55A69B0D" w:rsidRPr="1797D1E5">
              <w:rPr>
                <w:rFonts w:ascii="Arial Narrow" w:hAnsi="Arial Narrow"/>
                <w:sz w:val="20"/>
                <w:szCs w:val="20"/>
                <w:vertAlign w:val="superscript"/>
                <w:lang w:eastAsia="en-US"/>
              </w:rPr>
              <w:t>3</w:t>
            </w:r>
          </w:p>
        </w:tc>
        <w:tc>
          <w:tcPr>
            <w:tcW w:w="106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67596" w14:textId="103CCA7F" w:rsidR="00B31A07" w:rsidRPr="007776C6" w:rsidRDefault="001A0FFE" w:rsidP="00E30FFC">
            <w:pPr>
              <w:keepNext/>
              <w:keepLines/>
              <w:jc w:val="center"/>
              <w:rPr>
                <w:rFonts w:ascii="Arial Narrow" w:hAnsi="Arial Narrow" w:cs="Times New Roman"/>
                <w:b/>
                <w:bCs/>
                <w:sz w:val="20"/>
                <w:szCs w:val="20"/>
                <w:highlight w:val="darkGray"/>
                <w:lang w:eastAsia="en-US"/>
              </w:rPr>
            </w:pPr>
            <w:r w:rsidRPr="001A0FFE">
              <w:rPr>
                <w:rFonts w:ascii="Arial Narrow" w:hAnsi="Arial Narrow" w:cs="Times New Roman"/>
                <w:color w:val="000000"/>
                <w:spacing w:val="52"/>
                <w:sz w:val="20"/>
                <w:szCs w:val="20"/>
                <w:shd w:val="solid" w:color="000000" w:fill="000000"/>
                <w:fitText w:val="327" w:id="-764127738"/>
                <w:lang w:eastAsia="en-US"/>
                <w14:textFill>
                  <w14:solidFill>
                    <w14:srgbClr w14:val="000000">
                      <w14:alpha w14:val="100000"/>
                    </w14:srgbClr>
                  </w14:solidFill>
                </w14:textFill>
              </w:rPr>
              <w:t>|||</w:t>
            </w:r>
            <w:r w:rsidRPr="001A0FFE">
              <w:rPr>
                <w:rFonts w:ascii="Arial Narrow" w:hAnsi="Arial Narrow" w:cs="Times New Roman"/>
                <w:color w:val="000000"/>
                <w:spacing w:val="1"/>
                <w:sz w:val="20"/>
                <w:szCs w:val="20"/>
                <w:shd w:val="solid" w:color="000000" w:fill="000000"/>
                <w:fitText w:val="327" w:id="-764127738"/>
                <w:lang w:eastAsia="en-US"/>
                <w14:textFill>
                  <w14:solidFill>
                    <w14:srgbClr w14:val="000000">
                      <w14:alpha w14:val="100000"/>
                    </w14:srgbClr>
                  </w14:solidFill>
                </w14:textFill>
              </w:rPr>
              <w:t>|</w:t>
            </w:r>
            <w:r w:rsidR="55A69B0D" w:rsidRPr="1797D1E5">
              <w:rPr>
                <w:rFonts w:ascii="Arial Narrow" w:hAnsi="Arial Narrow"/>
                <w:sz w:val="20"/>
                <w:szCs w:val="20"/>
                <w:vertAlign w:val="superscript"/>
                <w:lang w:eastAsia="en-US"/>
              </w:rPr>
              <w:t>3</w:t>
            </w:r>
          </w:p>
        </w:tc>
        <w:tc>
          <w:tcPr>
            <w:tcW w:w="106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39D51C" w14:textId="11116954" w:rsidR="00B31A07" w:rsidRPr="007776C6" w:rsidRDefault="001A0FFE" w:rsidP="00E30FFC">
            <w:pPr>
              <w:keepNext/>
              <w:keepLines/>
              <w:jc w:val="center"/>
              <w:rPr>
                <w:rFonts w:ascii="Arial Narrow" w:hAnsi="Arial Narrow" w:cs="Times New Roman"/>
                <w:b/>
                <w:bCs/>
                <w:sz w:val="20"/>
                <w:szCs w:val="20"/>
                <w:highlight w:val="darkGray"/>
                <w:lang w:eastAsia="en-US"/>
              </w:rPr>
            </w:pPr>
            <w:r w:rsidRPr="001A0FFE">
              <w:rPr>
                <w:rFonts w:ascii="Arial Narrow" w:hAnsi="Arial Narrow" w:cs="Times New Roman"/>
                <w:color w:val="000000"/>
                <w:spacing w:val="52"/>
                <w:sz w:val="20"/>
                <w:szCs w:val="20"/>
                <w:shd w:val="solid" w:color="000000" w:fill="000000"/>
                <w:fitText w:val="327" w:id="-764127737"/>
                <w:lang w:eastAsia="en-US"/>
                <w14:textFill>
                  <w14:solidFill>
                    <w14:srgbClr w14:val="000000">
                      <w14:alpha w14:val="100000"/>
                    </w14:srgbClr>
                  </w14:solidFill>
                </w14:textFill>
              </w:rPr>
              <w:t>|||</w:t>
            </w:r>
            <w:r w:rsidRPr="001A0FFE">
              <w:rPr>
                <w:rFonts w:ascii="Arial Narrow" w:hAnsi="Arial Narrow" w:cs="Times New Roman"/>
                <w:color w:val="000000"/>
                <w:spacing w:val="1"/>
                <w:sz w:val="20"/>
                <w:szCs w:val="20"/>
                <w:shd w:val="solid" w:color="000000" w:fill="000000"/>
                <w:fitText w:val="327" w:id="-764127737"/>
                <w:lang w:eastAsia="en-US"/>
                <w14:textFill>
                  <w14:solidFill>
                    <w14:srgbClr w14:val="000000">
                      <w14:alpha w14:val="100000"/>
                    </w14:srgbClr>
                  </w14:solidFill>
                </w14:textFill>
              </w:rPr>
              <w:t>|</w:t>
            </w:r>
            <w:r w:rsidR="55A69B0D" w:rsidRPr="1797D1E5">
              <w:rPr>
                <w:rFonts w:ascii="Arial Narrow" w:hAnsi="Arial Narrow"/>
                <w:sz w:val="20"/>
                <w:szCs w:val="20"/>
                <w:vertAlign w:val="superscript"/>
                <w:lang w:eastAsia="en-US"/>
              </w:rPr>
              <w:t>3</w:t>
            </w:r>
          </w:p>
        </w:tc>
      </w:tr>
      <w:tr w:rsidR="00B31A07" w:rsidRPr="00B31A07" w14:paraId="72D991C0" w14:textId="77777777" w:rsidTr="00E30FFC">
        <w:tc>
          <w:tcPr>
            <w:tcW w:w="268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548FF1" w14:textId="77777777" w:rsidR="00B31A07" w:rsidRPr="00B31A07" w:rsidRDefault="00B31A07" w:rsidP="00B31A07">
            <w:pPr>
              <w:keepNext/>
              <w:keepLines/>
              <w:jc w:val="left"/>
              <w:rPr>
                <w:rFonts w:ascii="Arial Narrow" w:hAnsi="Arial Narrow" w:cs="Times New Roman"/>
                <w:sz w:val="20"/>
                <w:szCs w:val="22"/>
                <w:lang w:eastAsia="en-US"/>
              </w:rPr>
            </w:pPr>
            <w:r w:rsidRPr="00B31A07">
              <w:rPr>
                <w:rFonts w:ascii="Arial Narrow" w:hAnsi="Arial Narrow" w:cs="Times New Roman"/>
                <w:b/>
                <w:bCs/>
                <w:sz w:val="20"/>
                <w:szCs w:val="22"/>
                <w:lang w:eastAsia="en-US"/>
              </w:rPr>
              <w:t>Total net PBS/RPBS cost less copayment</w:t>
            </w:r>
          </w:p>
        </w:tc>
        <w:tc>
          <w:tcPr>
            <w:tcW w:w="1063"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6322DDA6" w14:textId="59CF4A12" w:rsidR="00B31A07" w:rsidRPr="007776C6" w:rsidRDefault="001A0FFE" w:rsidP="00E30FFC">
            <w:pPr>
              <w:keepNext/>
              <w:keepLines/>
              <w:jc w:val="center"/>
              <w:rPr>
                <w:rFonts w:ascii="Arial Narrow" w:hAnsi="Arial Narrow" w:cs="Times New Roman"/>
                <w:sz w:val="20"/>
                <w:szCs w:val="20"/>
                <w:highlight w:val="darkGray"/>
                <w:lang w:eastAsia="en-US"/>
              </w:rPr>
            </w:pPr>
            <w:r w:rsidRPr="001A0FFE">
              <w:rPr>
                <w:rFonts w:ascii="Arial Narrow" w:hAnsi="Arial Narrow" w:cs="Times New Roman"/>
                <w:b/>
                <w:bCs/>
                <w:color w:val="000000"/>
                <w:spacing w:val="56"/>
                <w:sz w:val="20"/>
                <w:szCs w:val="20"/>
                <w:shd w:val="solid" w:color="000000" w:fill="000000"/>
                <w:fitText w:val="353" w:id="-764127736"/>
                <w:lang w:eastAsia="en-US"/>
                <w14:textFill>
                  <w14:solidFill>
                    <w14:srgbClr w14:val="000000">
                      <w14:alpha w14:val="100000"/>
                    </w14:srgbClr>
                  </w14:solidFill>
                </w14:textFill>
              </w:rPr>
              <w:t>|||</w:t>
            </w:r>
            <w:r w:rsidRPr="001A0FFE">
              <w:rPr>
                <w:rFonts w:ascii="Arial Narrow" w:hAnsi="Arial Narrow" w:cs="Times New Roman"/>
                <w:b/>
                <w:bCs/>
                <w:color w:val="000000"/>
                <w:spacing w:val="2"/>
                <w:sz w:val="20"/>
                <w:szCs w:val="20"/>
                <w:shd w:val="solid" w:color="000000" w:fill="000000"/>
                <w:fitText w:val="353" w:id="-764127736"/>
                <w:lang w:eastAsia="en-US"/>
                <w14:textFill>
                  <w14:solidFill>
                    <w14:srgbClr w14:val="000000">
                      <w14:alpha w14:val="100000"/>
                    </w14:srgbClr>
                  </w14:solidFill>
                </w14:textFill>
              </w:rPr>
              <w:t>|</w:t>
            </w:r>
            <w:r w:rsidR="39B90496" w:rsidRPr="1797D1E5">
              <w:rPr>
                <w:rFonts w:ascii="Arial Narrow" w:hAnsi="Arial Narrow"/>
                <w:b/>
                <w:bCs/>
                <w:color w:val="000000" w:themeColor="text1"/>
                <w:sz w:val="20"/>
                <w:szCs w:val="20"/>
                <w:vertAlign w:val="superscript"/>
                <w:lang w:eastAsia="en-US"/>
              </w:rPr>
              <w:t>2</w:t>
            </w:r>
          </w:p>
        </w:tc>
        <w:tc>
          <w:tcPr>
            <w:tcW w:w="106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9E25FC" w14:textId="71FFE8CC" w:rsidR="00B31A07" w:rsidRPr="007776C6" w:rsidRDefault="00AB3F6F" w:rsidP="00E30FFC">
            <w:pPr>
              <w:keepNext/>
              <w:keepLines/>
              <w:jc w:val="center"/>
              <w:rPr>
                <w:rFonts w:ascii="Arial Narrow" w:hAnsi="Arial Narrow" w:cs="Times New Roman"/>
                <w:sz w:val="20"/>
                <w:szCs w:val="20"/>
                <w:highlight w:val="darkGray"/>
                <w:lang w:eastAsia="en-US"/>
              </w:rPr>
            </w:pPr>
            <w:r w:rsidRPr="001A0FFE">
              <w:rPr>
                <w:rFonts w:ascii="Arial Narrow" w:hAnsi="Arial Narrow" w:cs="Times New Roman"/>
                <w:b/>
                <w:bCs/>
                <w:color w:val="000000"/>
                <w:spacing w:val="56"/>
                <w:sz w:val="20"/>
                <w:szCs w:val="20"/>
                <w:shd w:val="solid" w:color="000000" w:fill="000000"/>
                <w:fitText w:val="353" w:id="-764127734"/>
                <w:lang w:eastAsia="en-US"/>
                <w14:textFill>
                  <w14:solidFill>
                    <w14:srgbClr w14:val="000000">
                      <w14:alpha w14:val="100000"/>
                    </w14:srgbClr>
                  </w14:solidFill>
                </w14:textFill>
              </w:rPr>
              <w:t>|||</w:t>
            </w:r>
            <w:r w:rsidRPr="001A0FFE">
              <w:rPr>
                <w:rFonts w:ascii="Arial Narrow" w:hAnsi="Arial Narrow" w:cs="Times New Roman"/>
                <w:b/>
                <w:bCs/>
                <w:color w:val="000000"/>
                <w:spacing w:val="2"/>
                <w:sz w:val="20"/>
                <w:szCs w:val="20"/>
                <w:shd w:val="solid" w:color="000000" w:fill="000000"/>
                <w:fitText w:val="353" w:id="-764127734"/>
                <w:lang w:eastAsia="en-US"/>
                <w14:textFill>
                  <w14:solidFill>
                    <w14:srgbClr w14:val="000000">
                      <w14:alpha w14:val="100000"/>
                    </w14:srgbClr>
                  </w14:solidFill>
                </w14:textFill>
              </w:rPr>
              <w:t>|</w:t>
            </w:r>
            <w:r w:rsidRPr="1797D1E5">
              <w:rPr>
                <w:rFonts w:ascii="Arial Narrow" w:hAnsi="Arial Narrow"/>
                <w:b/>
                <w:bCs/>
                <w:color w:val="000000" w:themeColor="text1"/>
                <w:sz w:val="20"/>
                <w:szCs w:val="20"/>
                <w:vertAlign w:val="superscript"/>
                <w:lang w:eastAsia="en-US"/>
              </w:rPr>
              <w:t>2</w:t>
            </w:r>
          </w:p>
        </w:tc>
        <w:tc>
          <w:tcPr>
            <w:tcW w:w="106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2417FB" w14:textId="02FD606E" w:rsidR="00B31A07" w:rsidRPr="007776C6" w:rsidRDefault="001A0FFE" w:rsidP="00E30FFC">
            <w:pPr>
              <w:keepNext/>
              <w:keepLines/>
              <w:jc w:val="center"/>
              <w:rPr>
                <w:rFonts w:ascii="Arial Narrow" w:hAnsi="Arial Narrow" w:cs="Times New Roman"/>
                <w:sz w:val="20"/>
                <w:szCs w:val="20"/>
                <w:highlight w:val="darkGray"/>
                <w:lang w:eastAsia="en-US"/>
              </w:rPr>
            </w:pPr>
            <w:r w:rsidRPr="001A0FFE">
              <w:rPr>
                <w:rFonts w:ascii="Arial Narrow" w:hAnsi="Arial Narrow" w:cs="Times New Roman"/>
                <w:b/>
                <w:bCs/>
                <w:color w:val="000000"/>
                <w:spacing w:val="56"/>
                <w:sz w:val="20"/>
                <w:szCs w:val="20"/>
                <w:shd w:val="solid" w:color="000000" w:fill="000000"/>
                <w:fitText w:val="353" w:id="-764127734"/>
                <w:lang w:eastAsia="en-US"/>
                <w14:textFill>
                  <w14:solidFill>
                    <w14:srgbClr w14:val="000000">
                      <w14:alpha w14:val="100000"/>
                    </w14:srgbClr>
                  </w14:solidFill>
                </w14:textFill>
              </w:rPr>
              <w:t>|||</w:t>
            </w:r>
            <w:r w:rsidRPr="001A0FFE">
              <w:rPr>
                <w:rFonts w:ascii="Arial Narrow" w:hAnsi="Arial Narrow" w:cs="Times New Roman"/>
                <w:b/>
                <w:bCs/>
                <w:color w:val="000000"/>
                <w:spacing w:val="2"/>
                <w:sz w:val="20"/>
                <w:szCs w:val="20"/>
                <w:shd w:val="solid" w:color="000000" w:fill="000000"/>
                <w:fitText w:val="353" w:id="-764127734"/>
                <w:lang w:eastAsia="en-US"/>
                <w14:textFill>
                  <w14:solidFill>
                    <w14:srgbClr w14:val="000000">
                      <w14:alpha w14:val="100000"/>
                    </w14:srgbClr>
                  </w14:solidFill>
                </w14:textFill>
              </w:rPr>
              <w:t>|</w:t>
            </w:r>
            <w:r w:rsidR="39B90496" w:rsidRPr="1797D1E5">
              <w:rPr>
                <w:rFonts w:ascii="Arial Narrow" w:hAnsi="Arial Narrow"/>
                <w:b/>
                <w:bCs/>
                <w:color w:val="000000" w:themeColor="text1"/>
                <w:sz w:val="20"/>
                <w:szCs w:val="20"/>
                <w:vertAlign w:val="superscript"/>
                <w:lang w:eastAsia="en-US"/>
              </w:rPr>
              <w:t>2</w:t>
            </w:r>
          </w:p>
        </w:tc>
        <w:tc>
          <w:tcPr>
            <w:tcW w:w="106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B8AD15" w14:textId="0CD9A28D" w:rsidR="00B31A07" w:rsidRPr="007776C6" w:rsidRDefault="001A0FFE" w:rsidP="00E30FFC">
            <w:pPr>
              <w:keepNext/>
              <w:keepLines/>
              <w:jc w:val="center"/>
              <w:rPr>
                <w:rFonts w:ascii="Arial Narrow" w:hAnsi="Arial Narrow" w:cs="Times New Roman"/>
                <w:sz w:val="20"/>
                <w:szCs w:val="20"/>
                <w:highlight w:val="darkGray"/>
                <w:lang w:eastAsia="en-US"/>
              </w:rPr>
            </w:pPr>
            <w:r w:rsidRPr="001A0FFE">
              <w:rPr>
                <w:rFonts w:ascii="Arial Narrow" w:hAnsi="Arial Narrow" w:cs="Times New Roman"/>
                <w:b/>
                <w:bCs/>
                <w:color w:val="000000"/>
                <w:spacing w:val="56"/>
                <w:sz w:val="20"/>
                <w:szCs w:val="20"/>
                <w:shd w:val="solid" w:color="000000" w:fill="000000"/>
                <w:fitText w:val="353" w:id="-764127733"/>
                <w:lang w:eastAsia="en-US"/>
                <w14:textFill>
                  <w14:solidFill>
                    <w14:srgbClr w14:val="000000">
                      <w14:alpha w14:val="100000"/>
                    </w14:srgbClr>
                  </w14:solidFill>
                </w14:textFill>
              </w:rPr>
              <w:t>|||</w:t>
            </w:r>
            <w:r w:rsidRPr="001A0FFE">
              <w:rPr>
                <w:rFonts w:ascii="Arial Narrow" w:hAnsi="Arial Narrow" w:cs="Times New Roman"/>
                <w:b/>
                <w:bCs/>
                <w:color w:val="000000"/>
                <w:spacing w:val="2"/>
                <w:sz w:val="20"/>
                <w:szCs w:val="20"/>
                <w:shd w:val="solid" w:color="000000" w:fill="000000"/>
                <w:fitText w:val="353" w:id="-764127733"/>
                <w:lang w:eastAsia="en-US"/>
                <w14:textFill>
                  <w14:solidFill>
                    <w14:srgbClr w14:val="000000">
                      <w14:alpha w14:val="100000"/>
                    </w14:srgbClr>
                  </w14:solidFill>
                </w14:textFill>
              </w:rPr>
              <w:t>|</w:t>
            </w:r>
            <w:r w:rsidR="39B90496" w:rsidRPr="1797D1E5">
              <w:rPr>
                <w:rFonts w:ascii="Arial Narrow" w:hAnsi="Arial Narrow"/>
                <w:b/>
                <w:bCs/>
                <w:color w:val="000000" w:themeColor="text1"/>
                <w:sz w:val="20"/>
                <w:szCs w:val="20"/>
                <w:vertAlign w:val="superscript"/>
                <w:lang w:eastAsia="en-US"/>
              </w:rPr>
              <w:t>2</w:t>
            </w:r>
          </w:p>
        </w:tc>
        <w:tc>
          <w:tcPr>
            <w:tcW w:w="106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D4E19D" w14:textId="67AE5B4C" w:rsidR="00B31A07" w:rsidRPr="007776C6" w:rsidRDefault="001A0FFE" w:rsidP="00E30FFC">
            <w:pPr>
              <w:keepNext/>
              <w:keepLines/>
              <w:jc w:val="center"/>
              <w:rPr>
                <w:rFonts w:ascii="Arial Narrow" w:hAnsi="Arial Narrow" w:cs="Times New Roman"/>
                <w:sz w:val="20"/>
                <w:szCs w:val="20"/>
                <w:highlight w:val="darkGray"/>
                <w:lang w:eastAsia="en-US"/>
              </w:rPr>
            </w:pPr>
            <w:r w:rsidRPr="001A0FFE">
              <w:rPr>
                <w:rFonts w:ascii="Arial Narrow" w:hAnsi="Arial Narrow" w:cs="Times New Roman"/>
                <w:b/>
                <w:bCs/>
                <w:color w:val="000000"/>
                <w:spacing w:val="56"/>
                <w:sz w:val="20"/>
                <w:szCs w:val="20"/>
                <w:shd w:val="solid" w:color="000000" w:fill="000000"/>
                <w:fitText w:val="354" w:id="-764127732"/>
                <w:lang w:eastAsia="en-US"/>
                <w14:textFill>
                  <w14:solidFill>
                    <w14:srgbClr w14:val="000000">
                      <w14:alpha w14:val="100000"/>
                    </w14:srgbClr>
                  </w14:solidFill>
                </w14:textFill>
              </w:rPr>
              <w:t>|||</w:t>
            </w:r>
            <w:r w:rsidRPr="001A0FFE">
              <w:rPr>
                <w:rFonts w:ascii="Arial Narrow" w:hAnsi="Arial Narrow" w:cs="Times New Roman"/>
                <w:b/>
                <w:bCs/>
                <w:color w:val="000000"/>
                <w:spacing w:val="3"/>
                <w:sz w:val="20"/>
                <w:szCs w:val="20"/>
                <w:shd w:val="solid" w:color="000000" w:fill="000000"/>
                <w:fitText w:val="354" w:id="-764127732"/>
                <w:lang w:eastAsia="en-US"/>
                <w14:textFill>
                  <w14:solidFill>
                    <w14:srgbClr w14:val="000000">
                      <w14:alpha w14:val="100000"/>
                    </w14:srgbClr>
                  </w14:solidFill>
                </w14:textFill>
              </w:rPr>
              <w:t>|</w:t>
            </w:r>
            <w:r w:rsidR="39B90496" w:rsidRPr="1797D1E5">
              <w:rPr>
                <w:rFonts w:ascii="Arial Narrow" w:hAnsi="Arial Narrow"/>
                <w:b/>
                <w:bCs/>
                <w:color w:val="000000" w:themeColor="text1"/>
                <w:sz w:val="20"/>
                <w:szCs w:val="20"/>
                <w:vertAlign w:val="superscript"/>
                <w:lang w:eastAsia="en-US"/>
              </w:rPr>
              <w:t>2</w:t>
            </w:r>
          </w:p>
        </w:tc>
        <w:tc>
          <w:tcPr>
            <w:tcW w:w="106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FF57C" w14:textId="1DCF33E7" w:rsidR="00B31A07" w:rsidRPr="007776C6" w:rsidRDefault="001A0FFE" w:rsidP="00E30FFC">
            <w:pPr>
              <w:keepNext/>
              <w:keepLines/>
              <w:jc w:val="center"/>
              <w:rPr>
                <w:rFonts w:ascii="Arial Narrow" w:hAnsi="Arial Narrow" w:cs="Times New Roman"/>
                <w:sz w:val="20"/>
                <w:szCs w:val="20"/>
                <w:highlight w:val="darkGray"/>
                <w:lang w:eastAsia="en-US"/>
              </w:rPr>
            </w:pPr>
            <w:r w:rsidRPr="001A0FFE">
              <w:rPr>
                <w:rFonts w:ascii="Arial Narrow" w:hAnsi="Arial Narrow" w:cs="Times New Roman"/>
                <w:b/>
                <w:bCs/>
                <w:color w:val="000000"/>
                <w:spacing w:val="56"/>
                <w:sz w:val="20"/>
                <w:szCs w:val="20"/>
                <w:shd w:val="solid" w:color="000000" w:fill="000000"/>
                <w:fitText w:val="353" w:id="-764127731"/>
                <w:lang w:eastAsia="en-US"/>
                <w14:textFill>
                  <w14:solidFill>
                    <w14:srgbClr w14:val="000000">
                      <w14:alpha w14:val="100000"/>
                    </w14:srgbClr>
                  </w14:solidFill>
                </w14:textFill>
              </w:rPr>
              <w:t>|||</w:t>
            </w:r>
            <w:r w:rsidRPr="001A0FFE">
              <w:rPr>
                <w:rFonts w:ascii="Arial Narrow" w:hAnsi="Arial Narrow" w:cs="Times New Roman"/>
                <w:b/>
                <w:bCs/>
                <w:color w:val="000000"/>
                <w:spacing w:val="2"/>
                <w:sz w:val="20"/>
                <w:szCs w:val="20"/>
                <w:shd w:val="solid" w:color="000000" w:fill="000000"/>
                <w:fitText w:val="353" w:id="-764127731"/>
                <w:lang w:eastAsia="en-US"/>
                <w14:textFill>
                  <w14:solidFill>
                    <w14:srgbClr w14:val="000000">
                      <w14:alpha w14:val="100000"/>
                    </w14:srgbClr>
                  </w14:solidFill>
                </w14:textFill>
              </w:rPr>
              <w:t>|</w:t>
            </w:r>
            <w:r w:rsidR="39B90496" w:rsidRPr="1797D1E5">
              <w:rPr>
                <w:rFonts w:ascii="Arial Narrow" w:hAnsi="Arial Narrow"/>
                <w:b/>
                <w:bCs/>
                <w:color w:val="000000" w:themeColor="text1"/>
                <w:sz w:val="20"/>
                <w:szCs w:val="20"/>
                <w:vertAlign w:val="superscript"/>
                <w:lang w:eastAsia="en-US"/>
              </w:rPr>
              <w:t>2</w:t>
            </w:r>
          </w:p>
        </w:tc>
      </w:tr>
    </w:tbl>
    <w:p w14:paraId="1FB96EAF" w14:textId="77777777" w:rsidR="00B31A07" w:rsidRPr="00B31A07" w:rsidRDefault="00B31A07" w:rsidP="00B31A07">
      <w:pPr>
        <w:rPr>
          <w:rFonts w:ascii="Arial Narrow" w:hAnsi="Arial Narrow"/>
          <w:snapToGrid w:val="0"/>
          <w:sz w:val="18"/>
          <w:szCs w:val="18"/>
        </w:rPr>
      </w:pPr>
      <w:r w:rsidRPr="00B31A07">
        <w:rPr>
          <w:rFonts w:ascii="Arial Narrow" w:hAnsi="Arial Narrow"/>
          <w:snapToGrid w:val="0"/>
          <w:sz w:val="18"/>
          <w:szCs w:val="18"/>
        </w:rPr>
        <w:t>Source: Compiled from sponsor proposal and revised post PBAC financial estimates workbook, Table 19 July 2024 PBAC minutes</w:t>
      </w:r>
    </w:p>
    <w:p w14:paraId="27D7F3D6" w14:textId="77777777" w:rsidR="00B31A07" w:rsidRPr="00B31A07" w:rsidRDefault="00B31A07" w:rsidP="00B31A07">
      <w:pPr>
        <w:rPr>
          <w:rFonts w:ascii="Arial Narrow" w:hAnsi="Arial Narrow"/>
          <w:snapToGrid w:val="0"/>
          <w:sz w:val="18"/>
          <w:szCs w:val="18"/>
        </w:rPr>
      </w:pPr>
      <w:r w:rsidRPr="00B31A07">
        <w:rPr>
          <w:rFonts w:ascii="Arial Narrow" w:hAnsi="Arial Narrow"/>
          <w:snapToGrid w:val="0"/>
          <w:sz w:val="18"/>
          <w:szCs w:val="18"/>
        </w:rPr>
        <w:t>R/R = relapsed and/or refractory</w:t>
      </w:r>
    </w:p>
    <w:p w14:paraId="22B21E6D" w14:textId="76A8F17D" w:rsidR="00B31A07" w:rsidRPr="00B31A07" w:rsidRDefault="00B31A07" w:rsidP="00B31A07">
      <w:pPr>
        <w:rPr>
          <w:rFonts w:ascii="Arial Narrow" w:hAnsi="Arial Narrow"/>
          <w:snapToGrid w:val="0"/>
          <w:sz w:val="18"/>
          <w:szCs w:val="18"/>
        </w:rPr>
      </w:pPr>
      <w:r w:rsidRPr="00B31A07">
        <w:rPr>
          <w:rFonts w:ascii="Arial Narrow" w:hAnsi="Arial Narrow"/>
          <w:snapToGrid w:val="0"/>
          <w:sz w:val="18"/>
          <w:szCs w:val="18"/>
          <w:vertAlign w:val="superscript"/>
        </w:rPr>
        <w:t xml:space="preserve">a </w:t>
      </w:r>
      <w:r w:rsidRPr="00B31A07">
        <w:rPr>
          <w:rFonts w:ascii="Arial Narrow" w:hAnsi="Arial Narrow"/>
          <w:snapToGrid w:val="0"/>
          <w:sz w:val="18"/>
          <w:szCs w:val="18"/>
        </w:rPr>
        <w:t>Financial estimates presented based on the July 2024 submission EMP of $</w:t>
      </w:r>
      <w:r w:rsidR="001A0FFE" w:rsidRPr="001A0FFE">
        <w:rPr>
          <w:rFonts w:ascii="Arial Narrow" w:hAnsi="Arial Narrow"/>
          <w:snapToGrid w:val="0"/>
          <w:color w:val="000000"/>
          <w:spacing w:val="40"/>
          <w:sz w:val="18"/>
          <w:szCs w:val="18"/>
          <w:shd w:val="solid" w:color="000000" w:fill="000000"/>
          <w:fitText w:val="280" w:id="-764127730"/>
          <w14:textFill>
            <w14:solidFill>
              <w14:srgbClr w14:val="000000">
                <w14:alpha w14:val="100000"/>
              </w14:srgbClr>
            </w14:solidFill>
          </w14:textFill>
        </w:rPr>
        <w:t xml:space="preserve">|  </w:t>
      </w:r>
      <w:r w:rsidR="001A0FFE" w:rsidRPr="001A0FFE">
        <w:rPr>
          <w:rFonts w:ascii="Arial Narrow" w:hAnsi="Arial Narrow"/>
          <w:snapToGrid w:val="0"/>
          <w:color w:val="000000"/>
          <w:spacing w:val="2"/>
          <w:sz w:val="18"/>
          <w:szCs w:val="18"/>
          <w:shd w:val="solid" w:color="000000" w:fill="000000"/>
          <w:fitText w:val="280" w:id="-764127730"/>
          <w14:textFill>
            <w14:solidFill>
              <w14:srgbClr w14:val="000000">
                <w14:alpha w14:val="100000"/>
              </w14:srgbClr>
            </w14:solidFill>
          </w14:textFill>
        </w:rPr>
        <w:t>|</w:t>
      </w:r>
      <w:r w:rsidRPr="00B31A07">
        <w:rPr>
          <w:rFonts w:ascii="Arial Narrow" w:hAnsi="Arial Narrow"/>
          <w:snapToGrid w:val="0"/>
          <w:sz w:val="18"/>
          <w:szCs w:val="18"/>
        </w:rPr>
        <w:t xml:space="preserve">. </w:t>
      </w:r>
    </w:p>
    <w:p w14:paraId="6236B275" w14:textId="5F4B982D" w:rsidR="001D78E3" w:rsidRDefault="00B31A07" w:rsidP="1797D1E5">
      <w:pPr>
        <w:pStyle w:val="TableFooter"/>
        <w:keepNext/>
        <w:keepLines/>
        <w:widowControl/>
        <w:spacing w:after="120"/>
        <w:contextualSpacing/>
        <w:rPr>
          <w:i/>
          <w:iCs/>
        </w:rPr>
      </w:pPr>
      <w:r w:rsidRPr="1797D1E5">
        <w:rPr>
          <w:vertAlign w:val="superscript"/>
        </w:rPr>
        <w:t>b</w:t>
      </w:r>
      <w:r>
        <w:t xml:space="preserve"> A price reduction was offered in the July 2024 pre-PBAC response resulting in a EMP of $</w:t>
      </w:r>
      <w:r w:rsidR="001A0FFE" w:rsidRPr="001A0FFE">
        <w:rPr>
          <w:color w:val="000000"/>
          <w:spacing w:val="37"/>
          <w:shd w:val="solid" w:color="000000" w:fill="000000"/>
          <w:fitText w:val="271" w:id="-764127729"/>
          <w14:textFill>
            <w14:solidFill>
              <w14:srgbClr w14:val="000000">
                <w14:alpha w14:val="100000"/>
              </w14:srgbClr>
            </w14:solidFill>
          </w14:textFill>
        </w:rPr>
        <w:t xml:space="preserve">|  </w:t>
      </w:r>
      <w:r w:rsidR="001A0FFE" w:rsidRPr="001A0FFE">
        <w:rPr>
          <w:color w:val="000000"/>
          <w:spacing w:val="2"/>
          <w:shd w:val="solid" w:color="000000" w:fill="000000"/>
          <w:fitText w:val="271" w:id="-764127729"/>
          <w14:textFill>
            <w14:solidFill>
              <w14:srgbClr w14:val="000000">
                <w14:alpha w14:val="100000"/>
              </w14:srgbClr>
            </w14:solidFill>
          </w14:textFill>
        </w:rPr>
        <w:t>|</w:t>
      </w:r>
      <w:r>
        <w:t>. Revised financial estimates were not provided in the July 2024 pre-PBAC response and as such the only change to the July 2024 PBAC meeting estimates reported is the blinatumomab price.</w:t>
      </w:r>
      <w:r w:rsidR="001D78E3" w:rsidRPr="1797D1E5">
        <w:rPr>
          <w:i/>
          <w:iCs/>
        </w:rPr>
        <w:t xml:space="preserve"> </w:t>
      </w:r>
    </w:p>
    <w:p w14:paraId="306F08D8" w14:textId="39E6B190" w:rsidR="001D78E3" w:rsidRPr="00862762" w:rsidRDefault="001D78E3" w:rsidP="1797D1E5">
      <w:pPr>
        <w:pStyle w:val="TableFooter"/>
        <w:keepNext/>
        <w:keepLines/>
        <w:widowControl/>
        <w:spacing w:after="120"/>
        <w:contextualSpacing/>
        <w:rPr>
          <w:i/>
          <w:iCs/>
        </w:rPr>
      </w:pPr>
      <w:r w:rsidRPr="1797D1E5">
        <w:rPr>
          <w:i/>
          <w:iCs/>
        </w:rPr>
        <w:t>The redacted values correspond to the following ranges</w:t>
      </w:r>
    </w:p>
    <w:p w14:paraId="2EB30303" w14:textId="77777777" w:rsidR="001D78E3" w:rsidRPr="00862762" w:rsidRDefault="001D78E3" w:rsidP="1797D1E5">
      <w:pPr>
        <w:pStyle w:val="TableFooter"/>
        <w:keepNext/>
        <w:keepLines/>
        <w:widowControl/>
        <w:spacing w:after="120"/>
        <w:contextualSpacing/>
        <w:rPr>
          <w:i/>
          <w:iCs/>
        </w:rPr>
      </w:pPr>
      <w:r w:rsidRPr="1797D1E5">
        <w:rPr>
          <w:i/>
          <w:iCs/>
        </w:rPr>
        <w:t>1 &lt; 500</w:t>
      </w:r>
    </w:p>
    <w:p w14:paraId="24875AF1" w14:textId="77777777" w:rsidR="001D78E3" w:rsidRPr="00862762" w:rsidRDefault="001D78E3" w:rsidP="1797D1E5">
      <w:pPr>
        <w:pStyle w:val="TableFooter"/>
        <w:keepNext/>
        <w:keepLines/>
        <w:widowControl/>
        <w:spacing w:after="120"/>
        <w:contextualSpacing/>
        <w:rPr>
          <w:i/>
          <w:iCs/>
        </w:rPr>
      </w:pPr>
      <w:r w:rsidRPr="1797D1E5">
        <w:rPr>
          <w:i/>
          <w:iCs/>
        </w:rPr>
        <w:t>2 $10 million to &lt; $20 million</w:t>
      </w:r>
    </w:p>
    <w:p w14:paraId="26461297" w14:textId="77868AF5" w:rsidR="00B31A07" w:rsidRPr="00B31A07" w:rsidRDefault="003E4881" w:rsidP="1797D1E5">
      <w:pPr>
        <w:pStyle w:val="TableFooter"/>
        <w:spacing w:after="120"/>
        <w:contextualSpacing/>
        <w:rPr>
          <w:i/>
          <w:iCs/>
        </w:rPr>
      </w:pPr>
      <w:r w:rsidRPr="1797D1E5">
        <w:rPr>
          <w:i/>
          <w:iCs/>
        </w:rPr>
        <w:t>3</w:t>
      </w:r>
      <w:r w:rsidR="005013A5" w:rsidRPr="1797D1E5">
        <w:rPr>
          <w:i/>
          <w:iCs/>
        </w:rPr>
        <w:t xml:space="preserve"> </w:t>
      </w:r>
      <w:r w:rsidR="001D78E3" w:rsidRPr="1797D1E5">
        <w:rPr>
          <w:i/>
          <w:iCs/>
        </w:rPr>
        <w:t>$0 to &lt; $10 million</w:t>
      </w:r>
    </w:p>
    <w:p w14:paraId="69440046" w14:textId="36F0CB20" w:rsidR="00B31A07" w:rsidRPr="00B31A07" w:rsidRDefault="00B31A07" w:rsidP="1797D1E5">
      <w:pPr>
        <w:numPr>
          <w:ilvl w:val="1"/>
          <w:numId w:val="5"/>
        </w:numPr>
        <w:spacing w:after="120"/>
        <w:ind w:left="720"/>
        <w:rPr>
          <w:rFonts w:asciiTheme="minorHAnsi" w:hAnsiTheme="minorHAnsi"/>
          <w:snapToGrid w:val="0"/>
        </w:rPr>
      </w:pPr>
      <w:r w:rsidRPr="1797D1E5">
        <w:rPr>
          <w:rFonts w:asciiTheme="minorHAnsi" w:hAnsiTheme="minorHAnsi"/>
          <w:snapToGrid w:val="0"/>
        </w:rPr>
        <w:t xml:space="preserve">The estimated net cost of blinatumomab to the PBS/RPBS increased from </w:t>
      </w:r>
      <w:r w:rsidR="004B63AE" w:rsidRPr="1797D1E5">
        <w:rPr>
          <w:rFonts w:asciiTheme="minorHAnsi" w:hAnsiTheme="minorHAnsi"/>
          <w:snapToGrid w:val="0"/>
        </w:rPr>
        <w:t>$80</w:t>
      </w:r>
      <w:r w:rsidR="00683094" w:rsidRPr="1797D1E5">
        <w:rPr>
          <w:rFonts w:asciiTheme="minorHAnsi" w:hAnsiTheme="minorHAnsi"/>
          <w:snapToGrid w:val="0"/>
        </w:rPr>
        <w:t> </w:t>
      </w:r>
      <w:r w:rsidR="004B63AE" w:rsidRPr="1797D1E5">
        <w:rPr>
          <w:rFonts w:asciiTheme="minorHAnsi" w:hAnsiTheme="minorHAnsi"/>
          <w:snapToGrid w:val="0"/>
        </w:rPr>
        <w:t>million</w:t>
      </w:r>
      <w:r w:rsidR="00683094" w:rsidRPr="1797D1E5">
        <w:rPr>
          <w:rFonts w:asciiTheme="minorHAnsi" w:hAnsiTheme="minorHAnsi"/>
          <w:snapToGrid w:val="0"/>
        </w:rPr>
        <w:t> </w:t>
      </w:r>
      <w:r w:rsidR="004B63AE" w:rsidRPr="1797D1E5">
        <w:rPr>
          <w:rFonts w:asciiTheme="minorHAnsi" w:hAnsiTheme="minorHAnsi"/>
          <w:snapToGrid w:val="0"/>
        </w:rPr>
        <w:t>to &lt; $90 million</w:t>
      </w:r>
      <w:r w:rsidR="00683094" w:rsidRPr="1797D1E5">
        <w:rPr>
          <w:rFonts w:asciiTheme="minorHAnsi" w:hAnsiTheme="minorHAnsi"/>
          <w:snapToGrid w:val="0"/>
        </w:rPr>
        <w:t xml:space="preserve"> </w:t>
      </w:r>
      <w:r w:rsidRPr="1797D1E5">
        <w:rPr>
          <w:rFonts w:asciiTheme="minorHAnsi" w:hAnsiTheme="minorHAnsi"/>
          <w:snapToGrid w:val="0"/>
        </w:rPr>
        <w:t xml:space="preserve">over the first 6 years of listing in the July 2024 submission </w:t>
      </w:r>
      <w:r w:rsidR="00925271" w:rsidRPr="1797D1E5">
        <w:rPr>
          <w:rFonts w:asciiTheme="minorHAnsi" w:hAnsiTheme="minorHAnsi"/>
          <w:snapToGrid w:val="0"/>
        </w:rPr>
        <w:t>(</w:t>
      </w:r>
      <w:r w:rsidR="00F85460" w:rsidRPr="1797D1E5">
        <w:rPr>
          <w:rFonts w:asciiTheme="minorHAnsi" w:hAnsiTheme="minorHAnsi"/>
          <w:snapToGrid w:val="0"/>
        </w:rPr>
        <w:t>$70</w:t>
      </w:r>
      <w:r w:rsidR="004D5C66">
        <w:rPr>
          <w:rFonts w:asciiTheme="minorHAnsi" w:hAnsiTheme="minorHAnsi"/>
          <w:snapToGrid w:val="0"/>
        </w:rPr>
        <w:t> </w:t>
      </w:r>
      <w:r w:rsidR="00F85460" w:rsidRPr="1797D1E5">
        <w:rPr>
          <w:rFonts w:asciiTheme="minorHAnsi" w:hAnsiTheme="minorHAnsi"/>
          <w:snapToGrid w:val="0"/>
        </w:rPr>
        <w:t>million to &lt; $80 million</w:t>
      </w:r>
      <w:r w:rsidR="00683094" w:rsidRPr="1797D1E5">
        <w:rPr>
          <w:rFonts w:asciiTheme="minorHAnsi" w:hAnsiTheme="minorHAnsi"/>
          <w:snapToGrid w:val="0"/>
        </w:rPr>
        <w:t xml:space="preserve"> </w:t>
      </w:r>
      <w:r w:rsidRPr="1797D1E5">
        <w:rPr>
          <w:rFonts w:asciiTheme="minorHAnsi" w:hAnsiTheme="minorHAnsi"/>
          <w:snapToGrid w:val="0"/>
        </w:rPr>
        <w:t xml:space="preserve">using the price offered in the July 2024 pre-PBAC response) to </w:t>
      </w:r>
      <w:r w:rsidR="004B63AE" w:rsidRPr="1797D1E5">
        <w:rPr>
          <w:rFonts w:asciiTheme="minorHAnsi" w:hAnsiTheme="minorHAnsi"/>
          <w:snapToGrid w:val="0"/>
        </w:rPr>
        <w:t>$80 million to &lt; $90 million</w:t>
      </w:r>
      <w:r w:rsidRPr="1797D1E5">
        <w:rPr>
          <w:rFonts w:asciiTheme="minorHAnsi" w:hAnsiTheme="minorHAnsi"/>
          <w:snapToGrid w:val="0"/>
        </w:rPr>
        <w:t xml:space="preserve"> over the first 6 years of listing in the sponsors proposal.</w:t>
      </w:r>
    </w:p>
    <w:p w14:paraId="70CB59F7" w14:textId="77777777" w:rsidR="00B31A07" w:rsidRPr="00B31A07" w:rsidRDefault="00B31A07" w:rsidP="00B31A07">
      <w:pPr>
        <w:keepNext/>
        <w:spacing w:before="120" w:after="120"/>
        <w:jc w:val="left"/>
        <w:outlineLvl w:val="1"/>
        <w:rPr>
          <w:rFonts w:asciiTheme="minorHAnsi" w:eastAsiaTheme="majorEastAsia" w:hAnsiTheme="minorHAnsi" w:cstheme="majorBidi"/>
          <w:b/>
          <w:i/>
          <w:spacing w:val="5"/>
          <w:kern w:val="28"/>
          <w:sz w:val="28"/>
          <w:szCs w:val="36"/>
        </w:rPr>
      </w:pPr>
      <w:r w:rsidRPr="00B31A07">
        <w:rPr>
          <w:rFonts w:asciiTheme="minorHAnsi" w:eastAsiaTheme="majorEastAsia" w:hAnsiTheme="minorHAnsi" w:cstheme="majorBidi"/>
          <w:b/>
          <w:i/>
          <w:spacing w:val="5"/>
          <w:kern w:val="28"/>
          <w:sz w:val="28"/>
          <w:szCs w:val="36"/>
        </w:rPr>
        <w:lastRenderedPageBreak/>
        <w:t>Financial Management – Risk Sharing Arrangements</w:t>
      </w:r>
    </w:p>
    <w:p w14:paraId="44473F15" w14:textId="77777777" w:rsidR="00B31A07" w:rsidRPr="00B31A07" w:rsidRDefault="00B31A07" w:rsidP="00B31A07">
      <w:pPr>
        <w:numPr>
          <w:ilvl w:val="1"/>
          <w:numId w:val="5"/>
        </w:numPr>
        <w:spacing w:after="120"/>
        <w:ind w:left="720"/>
        <w:rPr>
          <w:rFonts w:asciiTheme="minorHAnsi" w:hAnsiTheme="minorHAnsi"/>
          <w:snapToGrid w:val="0"/>
        </w:rPr>
      </w:pPr>
      <w:r w:rsidRPr="00B31A07">
        <w:rPr>
          <w:rFonts w:asciiTheme="minorHAnsi" w:hAnsiTheme="minorHAnsi"/>
          <w:snapToGrid w:val="0"/>
        </w:rPr>
        <w:t>In July 2024, the PBAC considered that an RSA would be appropriate to address the uncertainty regarding the magnitude of benefit in the proposed PBS population and around the cost offsets associated with the reduced use of blinatumomab and inotuzumab ozogamicin in the relapsed/refractory setting. At that time, the PBAC considered it appropriate for the existing RSA to be increased based on revised financial estimates for the total net PBS/RPBS cost</w:t>
      </w:r>
      <w:r w:rsidRPr="00B31A07" w:rsidDel="00806B3B">
        <w:rPr>
          <w:rFonts w:asciiTheme="minorHAnsi" w:hAnsiTheme="minorHAnsi"/>
          <w:snapToGrid w:val="0"/>
        </w:rPr>
        <w:t xml:space="preserve"> </w:t>
      </w:r>
      <w:r w:rsidRPr="00B31A07">
        <w:rPr>
          <w:rFonts w:asciiTheme="minorHAnsi" w:hAnsiTheme="minorHAnsi"/>
          <w:snapToGrid w:val="0"/>
        </w:rPr>
        <w:t xml:space="preserve">(see paragraph </w:t>
      </w:r>
      <w:r w:rsidRPr="00B31A07">
        <w:rPr>
          <w:rFonts w:asciiTheme="minorHAnsi" w:hAnsiTheme="minorHAnsi"/>
          <w:snapToGrid w:val="0"/>
        </w:rPr>
        <w:fldChar w:fldCharType="begin" w:fldLock="1"/>
      </w:r>
      <w:r w:rsidRPr="00B31A07">
        <w:rPr>
          <w:rFonts w:asciiTheme="minorHAnsi" w:hAnsiTheme="minorHAnsi"/>
          <w:snapToGrid w:val="0"/>
        </w:rPr>
        <w:instrText xml:space="preserve"> REF _Ref183518575 \r \h </w:instrText>
      </w:r>
      <w:r w:rsidRPr="00B31A07">
        <w:rPr>
          <w:rFonts w:asciiTheme="minorHAnsi" w:hAnsiTheme="minorHAnsi"/>
          <w:snapToGrid w:val="0"/>
        </w:rPr>
      </w:r>
      <w:r w:rsidRPr="00B31A07">
        <w:rPr>
          <w:rFonts w:asciiTheme="minorHAnsi" w:hAnsiTheme="minorHAnsi"/>
          <w:snapToGrid w:val="0"/>
        </w:rPr>
        <w:fldChar w:fldCharType="separate"/>
      </w:r>
      <w:r w:rsidRPr="00B31A07">
        <w:rPr>
          <w:rFonts w:asciiTheme="minorHAnsi" w:hAnsiTheme="minorHAnsi"/>
          <w:snapToGrid w:val="0"/>
        </w:rPr>
        <w:t>7.9</w:t>
      </w:r>
      <w:r w:rsidRPr="00B31A07">
        <w:rPr>
          <w:rFonts w:asciiTheme="minorHAnsi" w:hAnsiTheme="minorHAnsi"/>
          <w:snapToGrid w:val="0"/>
        </w:rPr>
        <w:fldChar w:fldCharType="end"/>
      </w:r>
      <w:r w:rsidRPr="00B31A07">
        <w:rPr>
          <w:rFonts w:asciiTheme="minorHAnsi" w:hAnsiTheme="minorHAnsi"/>
          <w:snapToGrid w:val="0"/>
        </w:rPr>
        <w:t>).</w:t>
      </w:r>
    </w:p>
    <w:p w14:paraId="7C4BE743" w14:textId="63DC4606" w:rsidR="00B31A07" w:rsidRPr="00B31A07" w:rsidRDefault="00B31A07" w:rsidP="1797D1E5">
      <w:pPr>
        <w:numPr>
          <w:ilvl w:val="1"/>
          <w:numId w:val="5"/>
        </w:numPr>
        <w:spacing w:after="120"/>
        <w:ind w:left="720"/>
        <w:rPr>
          <w:rFonts w:asciiTheme="minorHAnsi" w:hAnsiTheme="minorHAnsi"/>
          <w:snapToGrid w:val="0"/>
        </w:rPr>
      </w:pPr>
      <w:r w:rsidRPr="1797D1E5">
        <w:rPr>
          <w:rFonts w:asciiTheme="minorHAnsi" w:hAnsiTheme="minorHAnsi"/>
          <w:snapToGrid w:val="0"/>
        </w:rPr>
        <w:t xml:space="preserve">The sponsor stated that they were willing to </w:t>
      </w:r>
      <w:proofErr w:type="gramStart"/>
      <w:r w:rsidRPr="1797D1E5">
        <w:rPr>
          <w:rFonts w:asciiTheme="minorHAnsi" w:hAnsiTheme="minorHAnsi"/>
          <w:snapToGrid w:val="0"/>
        </w:rPr>
        <w:t>enter into</w:t>
      </w:r>
      <w:proofErr w:type="gramEnd"/>
      <w:r w:rsidRPr="1797D1E5">
        <w:rPr>
          <w:rFonts w:asciiTheme="minorHAnsi" w:hAnsiTheme="minorHAnsi"/>
          <w:snapToGrid w:val="0"/>
        </w:rPr>
        <w:t xml:space="preserve"> an RSA, but argued that if a </w:t>
      </w:r>
      <w:r w:rsidR="001A0FFE" w:rsidRPr="001A0FFE">
        <w:rPr>
          <w:rFonts w:asciiTheme="minorHAnsi" w:hAnsiTheme="minorHAnsi"/>
          <w:snapToGrid w:val="0"/>
          <w:color w:val="000000"/>
          <w:w w:val="61"/>
          <w:shd w:val="solid" w:color="000000" w:fill="000000"/>
          <w:fitText w:val="475" w:id="-764127728"/>
          <w14:textFill>
            <w14:solidFill>
              <w14:srgbClr w14:val="000000">
                <w14:alpha w14:val="100000"/>
              </w14:srgbClr>
            </w14:solidFill>
          </w14:textFill>
        </w:rPr>
        <w:t>|||  ||</w:t>
      </w:r>
      <w:r w:rsidR="001A0FFE" w:rsidRPr="001A0FFE">
        <w:rPr>
          <w:rFonts w:asciiTheme="minorHAnsi" w:hAnsiTheme="minorHAnsi"/>
          <w:snapToGrid w:val="0"/>
          <w:color w:val="000000"/>
          <w:spacing w:val="5"/>
          <w:w w:val="61"/>
          <w:shd w:val="solid" w:color="000000" w:fill="000000"/>
          <w:fitText w:val="475" w:id="-764127728"/>
          <w14:textFill>
            <w14:solidFill>
              <w14:srgbClr w14:val="000000">
                <w14:alpha w14:val="100000"/>
              </w14:srgbClr>
            </w14:solidFill>
          </w14:textFill>
        </w:rPr>
        <w:t>|</w:t>
      </w:r>
      <w:r w:rsidRPr="1797D1E5">
        <w:rPr>
          <w:rFonts w:asciiTheme="minorHAnsi" w:hAnsiTheme="minorHAnsi"/>
          <w:snapToGrid w:val="0"/>
        </w:rPr>
        <w:t xml:space="preserve">% rebate for expenditure above the caps was mandated, then the majority of the risk associated with increased use in the paediatric population would be borne by the sponsor. As such, the sponsor proposed that there could be a lower rebate for any use over the expenditure caps (e.g. </w:t>
      </w:r>
      <w:r w:rsidR="001A0FFE" w:rsidRPr="001A0FFE">
        <w:rPr>
          <w:rFonts w:asciiTheme="minorHAnsi" w:hAnsiTheme="minorHAnsi"/>
          <w:snapToGrid w:val="0"/>
          <w:color w:val="000000"/>
          <w:w w:val="61"/>
          <w:shd w:val="solid" w:color="000000" w:fill="000000"/>
          <w:fitText w:val="475" w:id="-764127744"/>
          <w14:textFill>
            <w14:solidFill>
              <w14:srgbClr w14:val="000000">
                <w14:alpha w14:val="100000"/>
              </w14:srgbClr>
            </w14:solidFill>
          </w14:textFill>
        </w:rPr>
        <w:t>|||  ||</w:t>
      </w:r>
      <w:r w:rsidR="001A0FFE" w:rsidRPr="001A0FFE">
        <w:rPr>
          <w:rFonts w:asciiTheme="minorHAnsi" w:hAnsiTheme="minorHAnsi"/>
          <w:snapToGrid w:val="0"/>
          <w:color w:val="000000"/>
          <w:spacing w:val="5"/>
          <w:w w:val="61"/>
          <w:shd w:val="solid" w:color="000000" w:fill="000000"/>
          <w:fitText w:val="475" w:id="-764127744"/>
          <w14:textFill>
            <w14:solidFill>
              <w14:srgbClr w14:val="000000">
                <w14:alpha w14:val="100000"/>
              </w14:srgbClr>
            </w14:solidFill>
          </w14:textFill>
        </w:rPr>
        <w:t>|</w:t>
      </w:r>
      <w:r w:rsidRPr="1797D1E5">
        <w:rPr>
          <w:rFonts w:asciiTheme="minorHAnsi" w:hAnsiTheme="minorHAnsi"/>
          <w:snapToGrid w:val="0"/>
        </w:rPr>
        <w:t>%).</w:t>
      </w:r>
    </w:p>
    <w:p w14:paraId="06F3DEFE" w14:textId="77777777" w:rsidR="00B31A07" w:rsidRPr="00B31A07" w:rsidRDefault="00B31A07" w:rsidP="00B31A07">
      <w:pPr>
        <w:keepNext/>
        <w:numPr>
          <w:ilvl w:val="0"/>
          <w:numId w:val="5"/>
        </w:numPr>
        <w:spacing w:before="240" w:after="120"/>
        <w:jc w:val="left"/>
        <w:outlineLvl w:val="0"/>
        <w:rPr>
          <w:rFonts w:asciiTheme="minorHAnsi" w:hAnsiTheme="minorHAnsi"/>
          <w:b/>
          <w:snapToGrid w:val="0"/>
          <w:sz w:val="32"/>
          <w:szCs w:val="32"/>
        </w:rPr>
      </w:pPr>
      <w:r w:rsidRPr="00B31A07">
        <w:rPr>
          <w:rFonts w:asciiTheme="minorHAnsi" w:hAnsiTheme="minorHAnsi"/>
          <w:b/>
          <w:snapToGrid w:val="0"/>
          <w:sz w:val="32"/>
          <w:szCs w:val="32"/>
        </w:rPr>
        <w:t>PBAC Outcome</w:t>
      </w:r>
    </w:p>
    <w:p w14:paraId="54BE6E3E" w14:textId="77777777" w:rsidR="00B31A07" w:rsidRPr="00B31A07" w:rsidRDefault="00B31A07" w:rsidP="00B31A07">
      <w:pPr>
        <w:numPr>
          <w:ilvl w:val="1"/>
          <w:numId w:val="5"/>
        </w:numPr>
        <w:spacing w:after="120"/>
        <w:ind w:left="720"/>
        <w:rPr>
          <w:rFonts w:asciiTheme="minorHAnsi" w:hAnsiTheme="minorHAnsi"/>
          <w:snapToGrid w:val="0"/>
        </w:rPr>
      </w:pPr>
      <w:r w:rsidRPr="00B31A07">
        <w:rPr>
          <w:rFonts w:asciiTheme="minorHAnsi" w:hAnsiTheme="minorHAnsi"/>
          <w:snapToGrid w:val="0"/>
        </w:rPr>
        <w:t>The PBAC recommended</w:t>
      </w:r>
      <w:r w:rsidRPr="00B31A07">
        <w:rPr>
          <w:rFonts w:asciiTheme="minorHAnsi" w:hAnsiTheme="minorHAnsi"/>
          <w:b/>
          <w:bCs/>
          <w:snapToGrid w:val="0"/>
        </w:rPr>
        <w:t xml:space="preserve"> </w:t>
      </w:r>
      <w:r w:rsidRPr="00B31A07">
        <w:rPr>
          <w:rFonts w:asciiTheme="minorHAnsi" w:hAnsiTheme="minorHAnsi"/>
          <w:snapToGrid w:val="0"/>
        </w:rPr>
        <w:t xml:space="preserve">the Section 100 (Efficient Funding of Chemotherapy) listing of blinatumomab for the treatment of patients with B-cell precursor acute lymphoblastic leukaemia (B-ALL) who are measurable residual disease (MRD) negative following induction chemotherapy. The PBAC noted that the TGA Delegate was supportive of the registration of blinatumomab for MRD-negative B-ALL, although noted the TGA Delegate was yet to finalise the wording of the specific indication. Further, the PBAC considered that the revised financial estimates were reasonable and advised that blinatumomab should join the existing risk sharing arrangement </w:t>
      </w:r>
      <w:r w:rsidRPr="00B31A07">
        <w:rPr>
          <w:rFonts w:asciiTheme="minorHAnsi" w:hAnsiTheme="minorHAnsi"/>
          <w:snapToGrid w:val="0"/>
          <w:lang w:eastAsia="en-GB"/>
        </w:rPr>
        <w:t>(RSA) for</w:t>
      </w:r>
      <w:r w:rsidRPr="00B31A07">
        <w:rPr>
          <w:rFonts w:asciiTheme="minorHAnsi" w:hAnsiTheme="minorHAnsi"/>
          <w:snapToGrid w:val="0"/>
          <w:lang w:val="en-GB"/>
        </w:rPr>
        <w:t xml:space="preserve"> </w:t>
      </w:r>
      <w:r w:rsidRPr="00B31A07">
        <w:rPr>
          <w:rFonts w:asciiTheme="minorHAnsi" w:hAnsiTheme="minorHAnsi"/>
          <w:snapToGrid w:val="0"/>
        </w:rPr>
        <w:t>blinatumomab and inotuzumab ozogamicin</w:t>
      </w:r>
      <w:r w:rsidRPr="00B31A07">
        <w:rPr>
          <w:rFonts w:asciiTheme="minorHAnsi" w:hAnsiTheme="minorHAnsi"/>
          <w:snapToGrid w:val="0"/>
          <w:lang w:val="en-GB"/>
        </w:rPr>
        <w:t xml:space="preserve">. As such, the PBAC was satisfied that the remaining outstanding issues relating to the application were satisfactorily resolved. </w:t>
      </w:r>
    </w:p>
    <w:p w14:paraId="289834AA" w14:textId="77777777" w:rsidR="00B31A07" w:rsidRPr="00B31A07" w:rsidRDefault="00B31A07" w:rsidP="00B31A07">
      <w:pPr>
        <w:numPr>
          <w:ilvl w:val="1"/>
          <w:numId w:val="5"/>
        </w:numPr>
        <w:spacing w:after="120"/>
        <w:ind w:left="720"/>
        <w:rPr>
          <w:rFonts w:asciiTheme="minorHAnsi" w:hAnsiTheme="minorHAnsi"/>
          <w:snapToGrid w:val="0"/>
        </w:rPr>
      </w:pPr>
      <w:r w:rsidRPr="00B31A07">
        <w:rPr>
          <w:rFonts w:asciiTheme="minorHAnsi" w:hAnsiTheme="minorHAnsi"/>
          <w:snapToGrid w:val="0"/>
        </w:rPr>
        <w:t>In terms of the proposed restriction, the PBAC reaffirmed its July 2024 advice that it would be appropriate if:</w:t>
      </w:r>
    </w:p>
    <w:p w14:paraId="72292610" w14:textId="77777777" w:rsidR="00B31A07" w:rsidRPr="00B31A07" w:rsidRDefault="00B31A07" w:rsidP="00B31A07">
      <w:pPr>
        <w:numPr>
          <w:ilvl w:val="1"/>
          <w:numId w:val="46"/>
        </w:numPr>
        <w:spacing w:after="120"/>
        <w:ind w:left="1080"/>
        <w:rPr>
          <w:rFonts w:asciiTheme="minorHAnsi" w:hAnsiTheme="minorHAnsi"/>
          <w:snapToGrid w:val="0"/>
        </w:rPr>
      </w:pPr>
      <w:r w:rsidRPr="00B31A07">
        <w:rPr>
          <w:rFonts w:asciiTheme="minorHAnsi" w:hAnsiTheme="minorHAnsi"/>
          <w:snapToGrid w:val="0"/>
          <w:lang w:val="en-GB"/>
        </w:rPr>
        <w:t xml:space="preserve">The initial treatment restriction was an Authority Required – Written listing, with the continuing restriction an Authority Required – Telephone/Electronic listing. </w:t>
      </w:r>
    </w:p>
    <w:p w14:paraId="2FA61884" w14:textId="77777777" w:rsidR="00B31A07" w:rsidRPr="00B31A07" w:rsidRDefault="00B31A07" w:rsidP="00B31A07">
      <w:pPr>
        <w:numPr>
          <w:ilvl w:val="1"/>
          <w:numId w:val="46"/>
        </w:numPr>
        <w:spacing w:after="120"/>
        <w:ind w:left="1080"/>
        <w:rPr>
          <w:rFonts w:asciiTheme="minorHAnsi" w:hAnsiTheme="minorHAnsi"/>
          <w:snapToGrid w:val="0"/>
        </w:rPr>
      </w:pPr>
      <w:r w:rsidRPr="00B31A07">
        <w:rPr>
          <w:rFonts w:asciiTheme="minorHAnsi" w:hAnsiTheme="minorHAnsi"/>
          <w:snapToGrid w:val="0"/>
          <w:lang w:val="en-GB"/>
        </w:rPr>
        <w:t>MRD-positive and MRD-negative patients were covered by the same listing. With the inclusion of both MRD-positive and MRD-negative patients the following clinical criterion should be included in the continuing treatment restriction ‘The condition must be negative for MRD using the same method used to establish initial MRD status.’</w:t>
      </w:r>
    </w:p>
    <w:p w14:paraId="12075E97" w14:textId="77777777" w:rsidR="00B31A07" w:rsidRPr="00B31A07" w:rsidRDefault="00B31A07" w:rsidP="00B31A07">
      <w:pPr>
        <w:numPr>
          <w:ilvl w:val="1"/>
          <w:numId w:val="46"/>
        </w:numPr>
        <w:spacing w:after="120"/>
        <w:ind w:left="1080"/>
        <w:rPr>
          <w:rFonts w:asciiTheme="minorHAnsi" w:hAnsiTheme="minorHAnsi"/>
          <w:snapToGrid w:val="0"/>
        </w:rPr>
      </w:pPr>
      <w:r w:rsidRPr="00B31A07">
        <w:rPr>
          <w:rFonts w:asciiTheme="minorHAnsi" w:hAnsiTheme="minorHAnsi"/>
          <w:snapToGrid w:val="0"/>
          <w:lang w:val="en-GB"/>
        </w:rPr>
        <w:t xml:space="preserve">The restriction was agnostic with respect to both Philadelphia (Ph) chromosome status and age. </w:t>
      </w:r>
    </w:p>
    <w:p w14:paraId="3FC48A24" w14:textId="77777777" w:rsidR="00B31A07" w:rsidRPr="00B31A07" w:rsidRDefault="00B31A07" w:rsidP="00B31A07">
      <w:pPr>
        <w:numPr>
          <w:ilvl w:val="1"/>
          <w:numId w:val="46"/>
        </w:numPr>
        <w:spacing w:after="120"/>
        <w:ind w:left="1080"/>
        <w:rPr>
          <w:rFonts w:asciiTheme="minorHAnsi" w:hAnsiTheme="minorHAnsi"/>
          <w:snapToGrid w:val="0"/>
        </w:rPr>
      </w:pPr>
      <w:r w:rsidRPr="00B31A07">
        <w:rPr>
          <w:rFonts w:asciiTheme="minorHAnsi" w:hAnsiTheme="minorHAnsi"/>
          <w:snapToGrid w:val="0"/>
          <w:lang w:val="en-GB"/>
        </w:rPr>
        <w:t>The initial treatment restriction limited use to patients with an ECOG performance status of 0 or 1.</w:t>
      </w:r>
    </w:p>
    <w:p w14:paraId="71F46543" w14:textId="77777777" w:rsidR="00B31A07" w:rsidRPr="00B31A07" w:rsidRDefault="00B31A07" w:rsidP="00B31A07">
      <w:pPr>
        <w:numPr>
          <w:ilvl w:val="1"/>
          <w:numId w:val="46"/>
        </w:numPr>
        <w:spacing w:after="120"/>
        <w:ind w:left="1080"/>
        <w:rPr>
          <w:rFonts w:asciiTheme="minorHAnsi" w:hAnsiTheme="minorHAnsi"/>
          <w:snapToGrid w:val="0"/>
        </w:rPr>
      </w:pPr>
      <w:r w:rsidRPr="00B31A07">
        <w:rPr>
          <w:rFonts w:asciiTheme="minorHAnsi" w:hAnsiTheme="minorHAnsi"/>
          <w:snapToGrid w:val="0"/>
          <w:lang w:val="en-GB"/>
        </w:rPr>
        <w:lastRenderedPageBreak/>
        <w:t xml:space="preserve">Use was limited to 2 cycles per lifetime for each of the initial and continuing restrictions. </w:t>
      </w:r>
    </w:p>
    <w:p w14:paraId="47DDA18B" w14:textId="77777777" w:rsidR="00B31A07" w:rsidRPr="00B31A07" w:rsidRDefault="00B31A07" w:rsidP="00B31A07">
      <w:pPr>
        <w:numPr>
          <w:ilvl w:val="1"/>
          <w:numId w:val="46"/>
        </w:numPr>
        <w:spacing w:after="120"/>
        <w:ind w:left="1080"/>
        <w:rPr>
          <w:rFonts w:asciiTheme="minorHAnsi" w:hAnsiTheme="minorHAnsi"/>
          <w:snapToGrid w:val="0"/>
        </w:rPr>
      </w:pPr>
      <w:r w:rsidRPr="00B31A07">
        <w:rPr>
          <w:rFonts w:asciiTheme="minorHAnsi" w:hAnsiTheme="minorHAnsi"/>
          <w:snapToGrid w:val="0"/>
          <w:lang w:val="en-GB"/>
        </w:rPr>
        <w:t xml:space="preserve">As per the request from the </w:t>
      </w:r>
      <w:r w:rsidRPr="00B31A07">
        <w:rPr>
          <w:rFonts w:asciiTheme="minorHAnsi" w:hAnsiTheme="minorHAnsi"/>
          <w:snapToGrid w:val="0"/>
        </w:rPr>
        <w:t xml:space="preserve">Australian &amp; New Zealand Children’s Haematology/Oncology Group (ANZCHOG) outlined in paragraph </w:t>
      </w:r>
      <w:r w:rsidRPr="00B31A07">
        <w:rPr>
          <w:rFonts w:asciiTheme="minorHAnsi" w:hAnsiTheme="minorHAnsi"/>
          <w:snapToGrid w:val="0"/>
        </w:rPr>
        <w:fldChar w:fldCharType="begin" w:fldLock="1"/>
      </w:r>
      <w:r w:rsidRPr="00B31A07">
        <w:rPr>
          <w:rFonts w:asciiTheme="minorHAnsi" w:hAnsiTheme="minorHAnsi"/>
          <w:snapToGrid w:val="0"/>
        </w:rPr>
        <w:instrText xml:space="preserve"> REF _Ref183619852 \r \h </w:instrText>
      </w:r>
      <w:r w:rsidRPr="00B31A07">
        <w:rPr>
          <w:rFonts w:asciiTheme="minorHAnsi" w:hAnsiTheme="minorHAnsi"/>
          <w:snapToGrid w:val="0"/>
        </w:rPr>
      </w:r>
      <w:r w:rsidRPr="00B31A07">
        <w:rPr>
          <w:rFonts w:asciiTheme="minorHAnsi" w:hAnsiTheme="minorHAnsi"/>
          <w:snapToGrid w:val="0"/>
        </w:rPr>
        <w:fldChar w:fldCharType="separate"/>
      </w:r>
      <w:r w:rsidRPr="00B31A07">
        <w:rPr>
          <w:rFonts w:asciiTheme="minorHAnsi" w:hAnsiTheme="minorHAnsi"/>
          <w:snapToGrid w:val="0"/>
        </w:rPr>
        <w:t>9.1</w:t>
      </w:r>
      <w:r w:rsidRPr="00B31A07">
        <w:rPr>
          <w:rFonts w:asciiTheme="minorHAnsi" w:hAnsiTheme="minorHAnsi"/>
          <w:snapToGrid w:val="0"/>
        </w:rPr>
        <w:fldChar w:fldCharType="end"/>
      </w:r>
      <w:r w:rsidRPr="00B31A07">
        <w:rPr>
          <w:rFonts w:asciiTheme="minorHAnsi" w:hAnsiTheme="minorHAnsi"/>
          <w:snapToGrid w:val="0"/>
        </w:rPr>
        <w:t>, the requirement for a ‘</w:t>
      </w:r>
      <w:proofErr w:type="gramStart"/>
      <w:r w:rsidRPr="00B31A07">
        <w:rPr>
          <w:rFonts w:asciiTheme="minorHAnsi" w:hAnsiTheme="minorHAnsi"/>
          <w:snapToGrid w:val="0"/>
        </w:rPr>
        <w:t>two week</w:t>
      </w:r>
      <w:proofErr w:type="gramEnd"/>
      <w:r w:rsidRPr="00B31A07">
        <w:rPr>
          <w:rFonts w:asciiTheme="minorHAnsi" w:hAnsiTheme="minorHAnsi"/>
          <w:snapToGrid w:val="0"/>
        </w:rPr>
        <w:t xml:space="preserve"> gap between treatment and the MRD test’ be removed from the specified clinical criterion.</w:t>
      </w:r>
    </w:p>
    <w:p w14:paraId="1C8B220C" w14:textId="77777777" w:rsidR="00B31A07" w:rsidRPr="00B31A07" w:rsidRDefault="00B31A07" w:rsidP="00B31A07">
      <w:pPr>
        <w:numPr>
          <w:ilvl w:val="1"/>
          <w:numId w:val="46"/>
        </w:numPr>
        <w:spacing w:after="120"/>
        <w:ind w:left="1080"/>
        <w:rPr>
          <w:rFonts w:asciiTheme="minorHAnsi" w:hAnsiTheme="minorHAnsi"/>
          <w:snapToGrid w:val="0"/>
        </w:rPr>
      </w:pPr>
      <w:r w:rsidRPr="00B31A07">
        <w:rPr>
          <w:rFonts w:asciiTheme="minorHAnsi" w:hAnsiTheme="minorHAnsi"/>
          <w:snapToGrid w:val="0"/>
          <w:lang w:val="en-GB"/>
        </w:rPr>
        <w:t xml:space="preserve">A grandfathering restriction was in operation for 12 months from the initial PBS listing date. </w:t>
      </w:r>
    </w:p>
    <w:p w14:paraId="20A5E3F4" w14:textId="77777777" w:rsidR="00B31A07" w:rsidRPr="00B31A07" w:rsidRDefault="00B31A07" w:rsidP="00B31A07">
      <w:pPr>
        <w:numPr>
          <w:ilvl w:val="1"/>
          <w:numId w:val="46"/>
        </w:numPr>
        <w:spacing w:after="120"/>
        <w:ind w:left="1080"/>
        <w:rPr>
          <w:rFonts w:asciiTheme="minorHAnsi" w:hAnsiTheme="minorHAnsi"/>
          <w:snapToGrid w:val="0"/>
        </w:rPr>
      </w:pPr>
      <w:r w:rsidRPr="00B31A07">
        <w:rPr>
          <w:rFonts w:asciiTheme="minorHAnsi" w:hAnsiTheme="minorHAnsi"/>
          <w:snapToGrid w:val="0"/>
          <w:lang w:val="en-GB"/>
        </w:rPr>
        <w:t>Flow on changes were made to allow retreatment in the relapsed/refractory setting for patients who have responded to blinatumomab.</w:t>
      </w:r>
    </w:p>
    <w:p w14:paraId="1726C6F5" w14:textId="62335BE9" w:rsidR="00B31A07" w:rsidRPr="00B31A07" w:rsidRDefault="00B31A07" w:rsidP="1797D1E5">
      <w:pPr>
        <w:numPr>
          <w:ilvl w:val="1"/>
          <w:numId w:val="5"/>
        </w:numPr>
        <w:spacing w:after="120"/>
        <w:ind w:left="720"/>
        <w:rPr>
          <w:rFonts w:asciiTheme="minorHAnsi" w:hAnsiTheme="minorHAnsi"/>
          <w:b/>
          <w:bCs/>
          <w:snapToGrid w:val="0"/>
        </w:rPr>
      </w:pPr>
      <w:r w:rsidRPr="1797D1E5">
        <w:rPr>
          <w:rFonts w:asciiTheme="minorHAnsi" w:hAnsiTheme="minorHAnsi"/>
          <w:snapToGrid w:val="0"/>
        </w:rPr>
        <w:t xml:space="preserve">The PBAC considered that the revised financial estimates, which incorporated 2024 AIHW data on the projected number of new ALL cases, revised the paediatric uptake from </w:t>
      </w:r>
      <w:r w:rsidR="001A0FFE" w:rsidRPr="001A0FFE">
        <w:rPr>
          <w:rFonts w:asciiTheme="minorHAnsi" w:hAnsiTheme="minorHAnsi"/>
          <w:snapToGrid w:val="0"/>
          <w:color w:val="000000"/>
          <w:w w:val="60"/>
          <w:shd w:val="solid" w:color="000000" w:fill="000000"/>
          <w:fitText w:val="465" w:id="-764127743"/>
          <w14:textFill>
            <w14:solidFill>
              <w14:srgbClr w14:val="000000">
                <w14:alpha w14:val="100000"/>
              </w14:srgbClr>
            </w14:solidFill>
          </w14:textFill>
        </w:rPr>
        <w:t>|||  ||</w:t>
      </w:r>
      <w:r w:rsidR="001A0FFE" w:rsidRPr="001A0FFE">
        <w:rPr>
          <w:rFonts w:asciiTheme="minorHAnsi" w:hAnsiTheme="minorHAnsi"/>
          <w:snapToGrid w:val="0"/>
          <w:color w:val="000000"/>
          <w:spacing w:val="1"/>
          <w:w w:val="60"/>
          <w:shd w:val="solid" w:color="000000" w:fill="000000"/>
          <w:fitText w:val="465" w:id="-764127743"/>
          <w14:textFill>
            <w14:solidFill>
              <w14:srgbClr w14:val="000000">
                <w14:alpha w14:val="100000"/>
              </w14:srgbClr>
            </w14:solidFill>
          </w14:textFill>
        </w:rPr>
        <w:t>|</w:t>
      </w:r>
      <w:r w:rsidRPr="1797D1E5">
        <w:rPr>
          <w:rFonts w:asciiTheme="minorHAnsi" w:hAnsiTheme="minorHAnsi"/>
          <w:snapToGrid w:val="0"/>
        </w:rPr>
        <w:t xml:space="preserve">% to </w:t>
      </w:r>
      <w:r w:rsidR="001A0FFE" w:rsidRPr="001A0FFE">
        <w:rPr>
          <w:rFonts w:asciiTheme="minorHAnsi" w:hAnsiTheme="minorHAnsi"/>
          <w:snapToGrid w:val="0"/>
          <w:color w:val="000000"/>
          <w:w w:val="60"/>
          <w:shd w:val="solid" w:color="000000" w:fill="000000"/>
          <w:fitText w:val="466" w:id="-764127742"/>
          <w14:textFill>
            <w14:solidFill>
              <w14:srgbClr w14:val="000000">
                <w14:alpha w14:val="100000"/>
              </w14:srgbClr>
            </w14:solidFill>
          </w14:textFill>
        </w:rPr>
        <w:t>|||  ||</w:t>
      </w:r>
      <w:r w:rsidR="001A0FFE" w:rsidRPr="001A0FFE">
        <w:rPr>
          <w:rFonts w:asciiTheme="minorHAnsi" w:hAnsiTheme="minorHAnsi"/>
          <w:snapToGrid w:val="0"/>
          <w:color w:val="000000"/>
          <w:spacing w:val="2"/>
          <w:w w:val="60"/>
          <w:shd w:val="solid" w:color="000000" w:fill="000000"/>
          <w:fitText w:val="466" w:id="-764127742"/>
          <w14:textFill>
            <w14:solidFill>
              <w14:srgbClr w14:val="000000">
                <w14:alpha w14:val="100000"/>
              </w14:srgbClr>
            </w14:solidFill>
          </w14:textFill>
        </w:rPr>
        <w:t>|</w:t>
      </w:r>
      <w:r w:rsidRPr="1797D1E5">
        <w:rPr>
          <w:rFonts w:asciiTheme="minorHAnsi" w:hAnsiTheme="minorHAnsi"/>
          <w:snapToGrid w:val="0"/>
        </w:rPr>
        <w:t xml:space="preserve">% and incorporated the blinatumomab price offered in the July 2024 pre-PBAC response, were reasonable. The PBAC considered the revised financial estimates provided an appropriate basis for an RSA. </w:t>
      </w:r>
    </w:p>
    <w:p w14:paraId="45AB6B23" w14:textId="586270EA" w:rsidR="00B31A07" w:rsidRPr="00B31A07" w:rsidRDefault="00B31A07" w:rsidP="1797D1E5">
      <w:pPr>
        <w:numPr>
          <w:ilvl w:val="1"/>
          <w:numId w:val="5"/>
        </w:numPr>
        <w:spacing w:after="120"/>
        <w:ind w:left="720"/>
        <w:rPr>
          <w:rFonts w:asciiTheme="minorHAnsi" w:hAnsiTheme="minorHAnsi"/>
          <w:b/>
          <w:bCs/>
          <w:snapToGrid w:val="0"/>
        </w:rPr>
      </w:pPr>
      <w:r w:rsidRPr="1797D1E5">
        <w:rPr>
          <w:rFonts w:asciiTheme="minorHAnsi" w:hAnsiTheme="minorHAnsi"/>
          <w:snapToGrid w:val="0"/>
        </w:rPr>
        <w:t xml:space="preserve">The PBAC reaffirmed its July 2024 advice that an RSA would be appropriate to address the uncertainty regarding the magnitude of benefit in the proposed PBS population, which is broader than the E1910 trial (e.g. in age and Ph chromosome status), and around the cost offsets associated with the reduced use of blinatumomab and inotuzumab ozogamicin in the relapsed/refractory setting. The PBAC advised that blinatumomab for MRD-negative B-ALL should join the existing RSA for blinatumomab and inotuzumab ozogamicin. The PBAC advised that the expenditure caps should be adjusted to incorporate (i) the cost offsets associated with reduced use of blinatumomab and inotuzumab ozogamicin in the relapsed/refractory setting, and (ii) the increased use of blinatumomab in the MRD-negative setting. Noting that the revised RSA would account for all populations (i.e. MRD-positive and MRD-negative and relapsed/refractory disease), the PBAC considered that a rebate of </w:t>
      </w:r>
      <w:r w:rsidR="001A0FFE" w:rsidRPr="001A0FFE">
        <w:rPr>
          <w:rFonts w:asciiTheme="minorHAnsi" w:hAnsiTheme="minorHAnsi"/>
          <w:snapToGrid w:val="0"/>
          <w:color w:val="000000"/>
          <w:w w:val="60"/>
          <w:shd w:val="solid" w:color="000000" w:fill="000000"/>
          <w:fitText w:val="466" w:id="-764127741"/>
          <w14:textFill>
            <w14:solidFill>
              <w14:srgbClr w14:val="000000">
                <w14:alpha w14:val="100000"/>
              </w14:srgbClr>
            </w14:solidFill>
          </w14:textFill>
        </w:rPr>
        <w:t>|||  ||</w:t>
      </w:r>
      <w:r w:rsidR="001A0FFE" w:rsidRPr="001A0FFE">
        <w:rPr>
          <w:rFonts w:asciiTheme="minorHAnsi" w:hAnsiTheme="minorHAnsi"/>
          <w:snapToGrid w:val="0"/>
          <w:color w:val="000000"/>
          <w:spacing w:val="2"/>
          <w:w w:val="60"/>
          <w:shd w:val="solid" w:color="000000" w:fill="000000"/>
          <w:fitText w:val="466" w:id="-764127741"/>
          <w14:textFill>
            <w14:solidFill>
              <w14:srgbClr w14:val="000000">
                <w14:alpha w14:val="100000"/>
              </w14:srgbClr>
            </w14:solidFill>
          </w14:textFill>
        </w:rPr>
        <w:t>|</w:t>
      </w:r>
      <w:r w:rsidRPr="1797D1E5">
        <w:rPr>
          <w:rFonts w:asciiTheme="minorHAnsi" w:hAnsiTheme="minorHAnsi"/>
          <w:snapToGrid w:val="0"/>
        </w:rPr>
        <w:t>% for use above the expenditure caps would be reasonable.</w:t>
      </w:r>
    </w:p>
    <w:p w14:paraId="5C39F827" w14:textId="77777777" w:rsidR="00B31A07" w:rsidRPr="00B31A07" w:rsidRDefault="00B31A07" w:rsidP="00B31A07">
      <w:pPr>
        <w:numPr>
          <w:ilvl w:val="1"/>
          <w:numId w:val="5"/>
        </w:numPr>
        <w:spacing w:after="120"/>
        <w:ind w:left="720"/>
        <w:rPr>
          <w:rFonts w:asciiTheme="minorHAnsi" w:hAnsiTheme="minorHAnsi"/>
          <w:b/>
          <w:bCs/>
          <w:snapToGrid w:val="0"/>
        </w:rPr>
      </w:pPr>
      <w:r w:rsidRPr="00B31A07">
        <w:rPr>
          <w:rFonts w:asciiTheme="minorHAnsi" w:hAnsiTheme="minorHAnsi" w:cstheme="minorHAnsi"/>
          <w:snapToGrid w:val="0"/>
          <w:lang w:val="en-GB"/>
        </w:rPr>
        <w:t xml:space="preserve">The PBAC found that the criteria prescribed by the </w:t>
      </w:r>
      <w:r w:rsidRPr="00B31A07">
        <w:rPr>
          <w:rFonts w:asciiTheme="minorHAnsi" w:hAnsiTheme="minorHAnsi" w:cstheme="minorHAnsi"/>
          <w:i/>
          <w:snapToGrid w:val="0"/>
          <w:lang w:val="en-GB"/>
        </w:rPr>
        <w:t>National Health (Pharmaceuticals and Vaccines – Cost Recovery) Regulations 2022</w:t>
      </w:r>
      <w:r w:rsidRPr="00B31A07">
        <w:rPr>
          <w:rFonts w:asciiTheme="minorHAnsi" w:hAnsiTheme="minorHAnsi" w:cstheme="minorHAnsi"/>
          <w:snapToGrid w:val="0"/>
          <w:lang w:val="en-GB"/>
        </w:rPr>
        <w:t xml:space="preserve"> for Pricing Pathway A were met. Specifically, the PBAC found that in the circumstances of its recommendation for blinatumomab:</w:t>
      </w:r>
    </w:p>
    <w:p w14:paraId="36F1D339" w14:textId="77777777" w:rsidR="00B31A07" w:rsidRPr="00B31A07" w:rsidRDefault="00B31A07" w:rsidP="00B31A07">
      <w:pPr>
        <w:numPr>
          <w:ilvl w:val="0"/>
          <w:numId w:val="48"/>
        </w:numPr>
        <w:spacing w:after="120"/>
        <w:ind w:left="1080" w:hanging="360"/>
        <w:rPr>
          <w:rFonts w:asciiTheme="minorHAnsi" w:hAnsiTheme="minorHAnsi"/>
          <w:snapToGrid w:val="0"/>
          <w:lang w:val="en-GB"/>
        </w:rPr>
      </w:pPr>
      <w:r w:rsidRPr="00B31A07">
        <w:rPr>
          <w:rFonts w:asciiTheme="minorHAnsi" w:hAnsiTheme="minorHAnsi"/>
          <w:snapToGrid w:val="0"/>
          <w:lang w:val="en-GB"/>
        </w:rPr>
        <w:t xml:space="preserve">The treatment is expected to provide a substantial and clinically relevant improvement in efficacy, over standard of care, on the basis of the results of the E1910 </w:t>
      </w:r>
      <w:proofErr w:type="gramStart"/>
      <w:r w:rsidRPr="00B31A07">
        <w:rPr>
          <w:rFonts w:asciiTheme="minorHAnsi" w:hAnsiTheme="minorHAnsi"/>
          <w:snapToGrid w:val="0"/>
          <w:lang w:val="en-GB"/>
        </w:rPr>
        <w:t>trial;</w:t>
      </w:r>
      <w:proofErr w:type="gramEnd"/>
      <w:r w:rsidRPr="00B31A07">
        <w:rPr>
          <w:rFonts w:asciiTheme="minorHAnsi" w:hAnsiTheme="minorHAnsi"/>
          <w:snapToGrid w:val="0"/>
          <w:lang w:val="en-GB"/>
        </w:rPr>
        <w:t xml:space="preserve"> </w:t>
      </w:r>
    </w:p>
    <w:p w14:paraId="7641107D" w14:textId="77777777" w:rsidR="00B31A07" w:rsidRPr="00B31A07" w:rsidRDefault="00B31A07" w:rsidP="00B31A07">
      <w:pPr>
        <w:numPr>
          <w:ilvl w:val="0"/>
          <w:numId w:val="48"/>
        </w:numPr>
        <w:spacing w:after="120"/>
        <w:ind w:left="1080" w:hanging="360"/>
        <w:rPr>
          <w:rFonts w:asciiTheme="minorHAnsi" w:hAnsiTheme="minorHAnsi"/>
          <w:snapToGrid w:val="0"/>
          <w:lang w:val="en-GB"/>
        </w:rPr>
      </w:pPr>
      <w:r w:rsidRPr="00B31A07">
        <w:rPr>
          <w:rFonts w:asciiTheme="minorHAnsi" w:hAnsiTheme="minorHAnsi"/>
          <w:snapToGrid w:val="0"/>
          <w:lang w:val="en-GB"/>
        </w:rPr>
        <w:t xml:space="preserve">The treatment is expected to address a high and urgent unmet clinical </w:t>
      </w:r>
      <w:proofErr w:type="gramStart"/>
      <w:r w:rsidRPr="00B31A07">
        <w:rPr>
          <w:rFonts w:asciiTheme="minorHAnsi" w:hAnsiTheme="minorHAnsi"/>
          <w:snapToGrid w:val="0"/>
          <w:lang w:val="en-GB"/>
        </w:rPr>
        <w:t>need;</w:t>
      </w:r>
      <w:proofErr w:type="gramEnd"/>
    </w:p>
    <w:p w14:paraId="392282FF" w14:textId="77777777" w:rsidR="00B31A07" w:rsidRPr="00B31A07" w:rsidRDefault="00B31A07" w:rsidP="00B31A07">
      <w:pPr>
        <w:numPr>
          <w:ilvl w:val="0"/>
          <w:numId w:val="48"/>
        </w:numPr>
        <w:spacing w:after="120"/>
        <w:ind w:left="1080" w:hanging="360"/>
        <w:rPr>
          <w:rFonts w:asciiTheme="minorHAnsi" w:hAnsiTheme="minorHAnsi"/>
          <w:snapToGrid w:val="0"/>
          <w:lang w:val="en-GB"/>
        </w:rPr>
      </w:pPr>
      <w:r w:rsidRPr="00B31A07">
        <w:rPr>
          <w:rFonts w:asciiTheme="minorHAnsi" w:hAnsiTheme="minorHAnsi"/>
          <w:snapToGrid w:val="0"/>
          <w:lang w:val="en-GB"/>
        </w:rPr>
        <w:t xml:space="preserve">It would be in the public interest for the subsequent pricing application to be progressed under Pricing Pathway </w:t>
      </w:r>
      <w:proofErr w:type="gramStart"/>
      <w:r w:rsidRPr="00B31A07">
        <w:rPr>
          <w:rFonts w:asciiTheme="minorHAnsi" w:hAnsiTheme="minorHAnsi"/>
          <w:snapToGrid w:val="0"/>
          <w:lang w:val="en-GB"/>
        </w:rPr>
        <w:t>A on the basis of</w:t>
      </w:r>
      <w:proofErr w:type="gramEnd"/>
      <w:r w:rsidRPr="00B31A07">
        <w:rPr>
          <w:rFonts w:asciiTheme="minorHAnsi" w:hAnsiTheme="minorHAnsi"/>
          <w:snapToGrid w:val="0"/>
          <w:lang w:val="en-GB"/>
        </w:rPr>
        <w:t xml:space="preserve"> the preceding findings.</w:t>
      </w:r>
    </w:p>
    <w:p w14:paraId="7C084693" w14:textId="77777777" w:rsidR="00B31A07" w:rsidRPr="00B31A07" w:rsidRDefault="00B31A07" w:rsidP="00B31A07">
      <w:pPr>
        <w:numPr>
          <w:ilvl w:val="1"/>
          <w:numId w:val="5"/>
        </w:numPr>
        <w:spacing w:after="120"/>
        <w:ind w:left="720"/>
        <w:rPr>
          <w:rFonts w:asciiTheme="minorHAnsi" w:hAnsiTheme="minorHAnsi"/>
          <w:snapToGrid w:val="0"/>
          <w:lang w:val="en-GB"/>
        </w:rPr>
      </w:pPr>
      <w:r w:rsidRPr="00B31A07">
        <w:rPr>
          <w:rFonts w:asciiTheme="minorHAnsi" w:hAnsiTheme="minorHAnsi"/>
          <w:snapToGrid w:val="0"/>
          <w:lang w:val="en-GB"/>
        </w:rPr>
        <w:lastRenderedPageBreak/>
        <w:t>The PBAC advised that this submission would not meet the criteria for an Independent Review as it received a positive PBAC recommendation.</w:t>
      </w:r>
    </w:p>
    <w:p w14:paraId="648882B7" w14:textId="77777777" w:rsidR="00B31A07" w:rsidRPr="00B31A07" w:rsidRDefault="00B31A07" w:rsidP="00B31A07">
      <w:pPr>
        <w:ind w:left="360" w:hanging="360"/>
        <w:contextualSpacing/>
        <w:rPr>
          <w:b/>
          <w:bCs/>
          <w:lang w:val="en-GB"/>
        </w:rPr>
      </w:pPr>
      <w:r w:rsidRPr="00B31A07">
        <w:rPr>
          <w:b/>
          <w:bCs/>
          <w:lang w:val="en-GB"/>
        </w:rPr>
        <w:t>Outcome:</w:t>
      </w:r>
    </w:p>
    <w:p w14:paraId="640B967F" w14:textId="77777777" w:rsidR="00B31A07" w:rsidRPr="00B31A07" w:rsidRDefault="00B31A07" w:rsidP="00B31A07">
      <w:pPr>
        <w:ind w:left="360" w:hanging="360"/>
        <w:contextualSpacing/>
        <w:rPr>
          <w:lang w:val="en-GB"/>
        </w:rPr>
      </w:pPr>
      <w:r w:rsidRPr="00B31A07">
        <w:rPr>
          <w:lang w:val="en-GB"/>
        </w:rPr>
        <w:t>Recommended</w:t>
      </w:r>
    </w:p>
    <w:p w14:paraId="2B99752F" w14:textId="77777777" w:rsidR="00B31A07" w:rsidRPr="00B31A07" w:rsidRDefault="00B31A07" w:rsidP="00B31A07">
      <w:pPr>
        <w:keepNext/>
        <w:numPr>
          <w:ilvl w:val="0"/>
          <w:numId w:val="5"/>
        </w:numPr>
        <w:spacing w:before="240" w:after="120"/>
        <w:jc w:val="left"/>
        <w:outlineLvl w:val="0"/>
        <w:rPr>
          <w:rFonts w:asciiTheme="minorHAnsi" w:hAnsiTheme="minorHAnsi"/>
          <w:b/>
          <w:snapToGrid w:val="0"/>
          <w:sz w:val="32"/>
          <w:szCs w:val="32"/>
        </w:rPr>
      </w:pPr>
      <w:r w:rsidRPr="00B31A07">
        <w:rPr>
          <w:rFonts w:asciiTheme="minorHAnsi" w:hAnsiTheme="minorHAnsi"/>
          <w:b/>
          <w:snapToGrid w:val="0"/>
          <w:sz w:val="32"/>
          <w:szCs w:val="32"/>
        </w:rPr>
        <w:t>Recommended listing</w:t>
      </w:r>
    </w:p>
    <w:p w14:paraId="393146E5" w14:textId="77777777" w:rsidR="00B31A07" w:rsidRPr="00B31A07" w:rsidRDefault="00B31A07" w:rsidP="00B31A07">
      <w:pPr>
        <w:numPr>
          <w:ilvl w:val="1"/>
          <w:numId w:val="5"/>
        </w:numPr>
        <w:spacing w:after="120"/>
        <w:ind w:left="720"/>
        <w:rPr>
          <w:rFonts w:asciiTheme="minorHAnsi" w:hAnsiTheme="minorHAnsi"/>
          <w:snapToGrid w:val="0"/>
        </w:rPr>
      </w:pPr>
      <w:r w:rsidRPr="00B31A07">
        <w:rPr>
          <w:rFonts w:asciiTheme="minorHAnsi" w:hAnsiTheme="minorHAnsi"/>
          <w:snapToGrid w:val="0"/>
        </w:rPr>
        <w:t>Amend existing listing as follows:</w:t>
      </w:r>
    </w:p>
    <w:p w14:paraId="32798939" w14:textId="77777777" w:rsidR="00B31A07" w:rsidRPr="00B31A07" w:rsidRDefault="00B31A07" w:rsidP="00B31A07">
      <w:pPr>
        <w:rPr>
          <w:rFonts w:ascii="Segoe UI" w:eastAsia="Segoe UI" w:hAnsi="Segoe UI" w:cs="Segoe UI"/>
          <w:sz w:val="18"/>
          <w:szCs w:val="18"/>
        </w:rPr>
      </w:pPr>
      <w:r w:rsidRPr="00B31A07">
        <w:rPr>
          <w:rFonts w:ascii="Segoe UI" w:eastAsia="Segoe UI" w:hAnsi="Segoe UI" w:cs="Segoe UI"/>
          <w:sz w:val="18"/>
          <w:szCs w:val="18"/>
        </w:rPr>
        <w:t>Additions are in italics and deletion are in strikethrough</w:t>
      </w:r>
    </w:p>
    <w:tbl>
      <w:tblPr>
        <w:tblStyle w:val="TableGrid"/>
        <w:tblW w:w="9014" w:type="dxa"/>
        <w:tblLayout w:type="fixed"/>
        <w:tblLook w:val="04A0" w:firstRow="1" w:lastRow="0" w:firstColumn="1" w:lastColumn="0" w:noHBand="0" w:noVBand="1"/>
      </w:tblPr>
      <w:tblGrid>
        <w:gridCol w:w="562"/>
        <w:gridCol w:w="709"/>
        <w:gridCol w:w="2559"/>
        <w:gridCol w:w="2520"/>
        <w:gridCol w:w="1440"/>
        <w:gridCol w:w="1224"/>
      </w:tblGrid>
      <w:tr w:rsidR="00B31A07" w:rsidRPr="00B31A07" w14:paraId="5BAFB9D7" w14:textId="77777777" w:rsidTr="002032F6">
        <w:trPr>
          <w:cantSplit/>
          <w:trHeight w:val="20"/>
        </w:trPr>
        <w:tc>
          <w:tcPr>
            <w:tcW w:w="3830" w:type="dxa"/>
            <w:gridSpan w:val="3"/>
            <w:tcMar>
              <w:left w:w="20" w:type="dxa"/>
              <w:right w:w="20" w:type="dxa"/>
            </w:tcMar>
          </w:tcPr>
          <w:p w14:paraId="7B9214DD" w14:textId="77777777" w:rsidR="00B31A07" w:rsidRPr="00B31A07" w:rsidRDefault="00B31A07" w:rsidP="00B31A07">
            <w:pPr>
              <w:rPr>
                <w:rFonts w:ascii="Arial Narrow" w:hAnsi="Arial Narrow"/>
                <w:sz w:val="20"/>
                <w:szCs w:val="20"/>
              </w:rPr>
            </w:pPr>
            <w:r w:rsidRPr="00B31A07">
              <w:rPr>
                <w:rFonts w:ascii="Arial Narrow" w:eastAsia="Arial Narrow" w:hAnsi="Arial Narrow" w:cs="Arial Narrow"/>
                <w:b/>
                <w:bCs/>
                <w:sz w:val="20"/>
                <w:szCs w:val="20"/>
              </w:rPr>
              <w:t>MEDICINAL PRODUCT</w:t>
            </w:r>
            <w:r w:rsidRPr="00B31A07">
              <w:rPr>
                <w:rFonts w:ascii="Arial Narrow" w:eastAsia="Arial Narrow" w:hAnsi="Arial Narrow" w:cs="Arial Narrow"/>
                <w:sz w:val="20"/>
                <w:szCs w:val="20"/>
              </w:rPr>
              <w:t xml:space="preserve"> </w:t>
            </w:r>
          </w:p>
          <w:p w14:paraId="2E37553A" w14:textId="77777777" w:rsidR="00B31A07" w:rsidRPr="00B31A07" w:rsidRDefault="00B31A07" w:rsidP="00B31A07">
            <w:pPr>
              <w:rPr>
                <w:rFonts w:ascii="Arial Narrow" w:hAnsi="Arial Narrow"/>
                <w:sz w:val="20"/>
                <w:szCs w:val="20"/>
              </w:rPr>
            </w:pPr>
            <w:r w:rsidRPr="00B31A07">
              <w:rPr>
                <w:rFonts w:ascii="Arial Narrow" w:eastAsia="Arial Narrow" w:hAnsi="Arial Narrow" w:cs="Arial Narrow"/>
                <w:b/>
                <w:bCs/>
                <w:sz w:val="20"/>
                <w:szCs w:val="20"/>
              </w:rPr>
              <w:t>Form</w:t>
            </w:r>
            <w:r w:rsidRPr="00B31A07">
              <w:rPr>
                <w:rFonts w:ascii="Arial Narrow" w:eastAsia="Arial Narrow" w:hAnsi="Arial Narrow" w:cs="Arial Narrow"/>
                <w:sz w:val="20"/>
                <w:szCs w:val="20"/>
              </w:rPr>
              <w:t xml:space="preserve"> </w:t>
            </w:r>
          </w:p>
        </w:tc>
        <w:tc>
          <w:tcPr>
            <w:tcW w:w="2520" w:type="dxa"/>
            <w:tcMar>
              <w:left w:w="20" w:type="dxa"/>
              <w:right w:w="20" w:type="dxa"/>
            </w:tcMar>
          </w:tcPr>
          <w:p w14:paraId="1BCD5E20" w14:textId="77777777" w:rsidR="00B31A07" w:rsidRPr="00B31A07" w:rsidRDefault="00B31A07" w:rsidP="00B31A07">
            <w:pPr>
              <w:jc w:val="center"/>
              <w:rPr>
                <w:rFonts w:ascii="Arial Narrow" w:hAnsi="Arial Narrow"/>
                <w:sz w:val="20"/>
                <w:szCs w:val="20"/>
              </w:rPr>
            </w:pPr>
            <w:r w:rsidRPr="00B31A07">
              <w:rPr>
                <w:rFonts w:ascii="Arial Narrow" w:eastAsia="Arial Narrow" w:hAnsi="Arial Narrow" w:cs="Arial Narrow"/>
                <w:b/>
                <w:bCs/>
                <w:sz w:val="20"/>
                <w:szCs w:val="20"/>
              </w:rPr>
              <w:t>PBS item code</w:t>
            </w:r>
            <w:r w:rsidRPr="00B31A07">
              <w:rPr>
                <w:rFonts w:ascii="Arial Narrow" w:eastAsia="Arial Narrow" w:hAnsi="Arial Narrow" w:cs="Arial Narrow"/>
                <w:sz w:val="20"/>
                <w:szCs w:val="20"/>
              </w:rPr>
              <w:t xml:space="preserve"> </w:t>
            </w:r>
          </w:p>
        </w:tc>
        <w:tc>
          <w:tcPr>
            <w:tcW w:w="1440" w:type="dxa"/>
            <w:tcMar>
              <w:left w:w="20" w:type="dxa"/>
              <w:right w:w="20" w:type="dxa"/>
            </w:tcMar>
          </w:tcPr>
          <w:p w14:paraId="30A0B31D" w14:textId="77777777" w:rsidR="00B31A07" w:rsidRPr="00B31A07" w:rsidRDefault="00B31A07" w:rsidP="00B31A07">
            <w:pPr>
              <w:jc w:val="center"/>
              <w:rPr>
                <w:rFonts w:ascii="Arial Narrow" w:hAnsi="Arial Narrow"/>
                <w:sz w:val="20"/>
                <w:szCs w:val="20"/>
              </w:rPr>
            </w:pPr>
            <w:r w:rsidRPr="00B31A07">
              <w:rPr>
                <w:rFonts w:ascii="Arial Narrow" w:eastAsia="Arial Narrow" w:hAnsi="Arial Narrow" w:cs="Arial Narrow"/>
                <w:b/>
                <w:bCs/>
                <w:sz w:val="20"/>
                <w:szCs w:val="20"/>
              </w:rPr>
              <w:t>Max. Amount</w:t>
            </w:r>
            <w:r w:rsidRPr="00B31A07">
              <w:rPr>
                <w:rFonts w:ascii="Arial Narrow" w:eastAsia="Arial Narrow" w:hAnsi="Arial Narrow" w:cs="Arial Narrow"/>
                <w:sz w:val="20"/>
                <w:szCs w:val="20"/>
              </w:rPr>
              <w:t xml:space="preserve"> </w:t>
            </w:r>
          </w:p>
        </w:tc>
        <w:tc>
          <w:tcPr>
            <w:tcW w:w="1224" w:type="dxa"/>
            <w:tcMar>
              <w:left w:w="20" w:type="dxa"/>
              <w:right w:w="20" w:type="dxa"/>
            </w:tcMar>
          </w:tcPr>
          <w:p w14:paraId="20042FEF" w14:textId="77777777" w:rsidR="00B31A07" w:rsidRPr="00B31A07" w:rsidRDefault="00B31A07" w:rsidP="00B31A07">
            <w:pPr>
              <w:jc w:val="center"/>
              <w:rPr>
                <w:rFonts w:ascii="Arial Narrow" w:hAnsi="Arial Narrow"/>
                <w:sz w:val="20"/>
                <w:szCs w:val="20"/>
              </w:rPr>
            </w:pPr>
            <w:r w:rsidRPr="00B31A07">
              <w:rPr>
                <w:rFonts w:ascii="Arial Narrow" w:eastAsia="Arial Narrow" w:hAnsi="Arial Narrow" w:cs="Arial Narrow"/>
                <w:b/>
                <w:bCs/>
                <w:sz w:val="20"/>
                <w:szCs w:val="20"/>
              </w:rPr>
              <w:t>№.of Rpts</w:t>
            </w:r>
            <w:r w:rsidRPr="00B31A07">
              <w:rPr>
                <w:rFonts w:ascii="Arial Narrow" w:eastAsia="Arial Narrow" w:hAnsi="Arial Narrow" w:cs="Arial Narrow"/>
                <w:sz w:val="20"/>
                <w:szCs w:val="20"/>
              </w:rPr>
              <w:t xml:space="preserve"> </w:t>
            </w:r>
          </w:p>
        </w:tc>
      </w:tr>
      <w:tr w:rsidR="00B31A07" w:rsidRPr="00B31A07" w14:paraId="4650BE37" w14:textId="77777777" w:rsidTr="002032F6">
        <w:trPr>
          <w:cantSplit/>
          <w:trHeight w:val="20"/>
        </w:trPr>
        <w:tc>
          <w:tcPr>
            <w:tcW w:w="3830" w:type="dxa"/>
            <w:gridSpan w:val="3"/>
            <w:tcMar>
              <w:left w:w="20" w:type="dxa"/>
              <w:right w:w="20" w:type="dxa"/>
            </w:tcMar>
          </w:tcPr>
          <w:p w14:paraId="7F795B06"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sz w:val="20"/>
                <w:szCs w:val="20"/>
              </w:rPr>
              <w:t xml:space="preserve">Blinatumomab 38.5 microgram injection [1 vial] &amp; inert substance solution [10 mL vial], 1 pack </w:t>
            </w:r>
          </w:p>
        </w:tc>
        <w:tc>
          <w:tcPr>
            <w:tcW w:w="2520" w:type="dxa"/>
            <w:tcMar>
              <w:left w:w="20" w:type="dxa"/>
              <w:right w:w="20" w:type="dxa"/>
            </w:tcMar>
          </w:tcPr>
          <w:p w14:paraId="6DA5E0ED" w14:textId="77777777" w:rsidR="00B31A07" w:rsidRPr="00B31A07" w:rsidRDefault="00B31A07" w:rsidP="00B31A07">
            <w:pPr>
              <w:jc w:val="center"/>
              <w:rPr>
                <w:rFonts w:ascii="Arial Narrow" w:hAnsi="Arial Narrow"/>
                <w:sz w:val="20"/>
                <w:szCs w:val="20"/>
              </w:rPr>
            </w:pPr>
            <w:r w:rsidRPr="00B31A07">
              <w:rPr>
                <w:rFonts w:ascii="Arial Narrow" w:eastAsia="Arial Narrow" w:hAnsi="Arial Narrow" w:cs="Arial Narrow"/>
                <w:sz w:val="20"/>
                <w:szCs w:val="20"/>
              </w:rPr>
              <w:t xml:space="preserve">Amend: 11850Q (Public) </w:t>
            </w:r>
          </w:p>
          <w:p w14:paraId="0FB2C5BC" w14:textId="77777777" w:rsidR="00B31A07" w:rsidRPr="00B31A07" w:rsidRDefault="00B31A07" w:rsidP="00B31A07">
            <w:pPr>
              <w:jc w:val="center"/>
              <w:rPr>
                <w:rFonts w:ascii="Arial Narrow" w:hAnsi="Arial Narrow"/>
                <w:sz w:val="20"/>
                <w:szCs w:val="20"/>
              </w:rPr>
            </w:pPr>
            <w:r w:rsidRPr="00B31A07">
              <w:rPr>
                <w:rFonts w:ascii="Arial Narrow" w:eastAsia="Arial Narrow" w:hAnsi="Arial Narrow" w:cs="Arial Narrow"/>
                <w:sz w:val="20"/>
                <w:szCs w:val="20"/>
              </w:rPr>
              <w:t xml:space="preserve">Amend: 11867N (Private) </w:t>
            </w:r>
          </w:p>
        </w:tc>
        <w:tc>
          <w:tcPr>
            <w:tcW w:w="1440" w:type="dxa"/>
            <w:tcMar>
              <w:left w:w="20" w:type="dxa"/>
              <w:right w:w="20" w:type="dxa"/>
            </w:tcMar>
          </w:tcPr>
          <w:p w14:paraId="5858647C" w14:textId="77777777" w:rsidR="00B31A07" w:rsidRPr="00B31A07" w:rsidRDefault="00B31A07" w:rsidP="00B31A07">
            <w:pPr>
              <w:jc w:val="center"/>
              <w:rPr>
                <w:rFonts w:ascii="Arial Narrow" w:hAnsi="Arial Narrow"/>
                <w:sz w:val="20"/>
                <w:szCs w:val="20"/>
              </w:rPr>
            </w:pPr>
            <w:r w:rsidRPr="00B31A07">
              <w:rPr>
                <w:rFonts w:ascii="Arial Narrow" w:eastAsia="Arial Narrow" w:hAnsi="Arial Narrow" w:cs="Arial Narrow"/>
                <w:sz w:val="20"/>
                <w:szCs w:val="20"/>
              </w:rPr>
              <w:t xml:space="preserve">784 mcg </w:t>
            </w:r>
          </w:p>
          <w:p w14:paraId="5213C2CF" w14:textId="77777777" w:rsidR="00B31A07" w:rsidRPr="00B31A07" w:rsidRDefault="00B31A07" w:rsidP="00B31A07">
            <w:pPr>
              <w:jc w:val="center"/>
              <w:rPr>
                <w:rFonts w:ascii="Arial Narrow" w:hAnsi="Arial Narrow"/>
                <w:sz w:val="20"/>
                <w:szCs w:val="20"/>
              </w:rPr>
            </w:pPr>
            <w:r w:rsidRPr="00B31A07">
              <w:rPr>
                <w:rFonts w:ascii="Arial Narrow" w:eastAsia="Arial Narrow" w:hAnsi="Arial Narrow" w:cs="Arial Narrow"/>
                <w:sz w:val="20"/>
                <w:szCs w:val="20"/>
                <w:lang w:val="en-US"/>
              </w:rPr>
              <w:t xml:space="preserve"> </w:t>
            </w:r>
          </w:p>
        </w:tc>
        <w:tc>
          <w:tcPr>
            <w:tcW w:w="1224" w:type="dxa"/>
            <w:tcMar>
              <w:left w:w="20" w:type="dxa"/>
              <w:right w:w="20" w:type="dxa"/>
            </w:tcMar>
          </w:tcPr>
          <w:p w14:paraId="5B257044" w14:textId="77777777" w:rsidR="00B31A07" w:rsidRPr="00B31A07" w:rsidRDefault="00B31A07" w:rsidP="00B31A07">
            <w:pPr>
              <w:jc w:val="center"/>
              <w:rPr>
                <w:rFonts w:ascii="Arial Narrow" w:hAnsi="Arial Narrow"/>
                <w:sz w:val="20"/>
                <w:szCs w:val="20"/>
              </w:rPr>
            </w:pPr>
            <w:r w:rsidRPr="00B31A07">
              <w:rPr>
                <w:rFonts w:ascii="Arial Narrow" w:eastAsia="Arial Narrow" w:hAnsi="Arial Narrow" w:cs="Arial Narrow"/>
                <w:sz w:val="20"/>
                <w:szCs w:val="20"/>
              </w:rPr>
              <w:t xml:space="preserve">1 </w:t>
            </w:r>
          </w:p>
        </w:tc>
      </w:tr>
      <w:tr w:rsidR="00B31A07" w:rsidRPr="00B31A07" w14:paraId="251EE7A8" w14:textId="77777777" w:rsidTr="002032F6">
        <w:trPr>
          <w:cantSplit/>
          <w:trHeight w:val="20"/>
        </w:trPr>
        <w:tc>
          <w:tcPr>
            <w:tcW w:w="9014" w:type="dxa"/>
            <w:gridSpan w:val="6"/>
            <w:tcMar>
              <w:left w:w="20" w:type="dxa"/>
              <w:right w:w="20" w:type="dxa"/>
            </w:tcMar>
          </w:tcPr>
          <w:p w14:paraId="229E11D5" w14:textId="77777777" w:rsidR="00B31A07" w:rsidRPr="00B31A07" w:rsidRDefault="00B31A07" w:rsidP="00B31A07">
            <w:pPr>
              <w:rPr>
                <w:rFonts w:ascii="Arial Narrow" w:hAnsi="Arial Narrow"/>
                <w:sz w:val="20"/>
                <w:szCs w:val="20"/>
              </w:rPr>
            </w:pPr>
            <w:r w:rsidRPr="00B31A07">
              <w:rPr>
                <w:rFonts w:ascii="Arial Narrow" w:eastAsia="Arial Narrow" w:hAnsi="Arial Narrow" w:cs="Arial Narrow"/>
                <w:b/>
                <w:bCs/>
                <w:sz w:val="20"/>
                <w:szCs w:val="20"/>
              </w:rPr>
              <w:t xml:space="preserve">Available brands </w:t>
            </w:r>
            <w:r w:rsidRPr="00B31A07">
              <w:rPr>
                <w:rFonts w:ascii="Arial Narrow" w:eastAsia="Arial Narrow" w:hAnsi="Arial Narrow" w:cs="Arial Narrow"/>
                <w:sz w:val="20"/>
                <w:szCs w:val="20"/>
              </w:rPr>
              <w:t xml:space="preserve"> </w:t>
            </w:r>
          </w:p>
        </w:tc>
      </w:tr>
      <w:tr w:rsidR="00B31A07" w:rsidRPr="00B31A07" w14:paraId="66F3C042" w14:textId="77777777" w:rsidTr="002032F6">
        <w:trPr>
          <w:cantSplit/>
          <w:trHeight w:val="20"/>
        </w:trPr>
        <w:tc>
          <w:tcPr>
            <w:tcW w:w="9014" w:type="dxa"/>
            <w:gridSpan w:val="6"/>
            <w:tcMar>
              <w:left w:w="20" w:type="dxa"/>
              <w:right w:w="20" w:type="dxa"/>
            </w:tcMar>
          </w:tcPr>
          <w:p w14:paraId="2DA9D241" w14:textId="77777777" w:rsidR="00B31A07" w:rsidRPr="00B31A07" w:rsidRDefault="00B31A07" w:rsidP="00B31A07">
            <w:pPr>
              <w:rPr>
                <w:rFonts w:ascii="Arial Narrow" w:hAnsi="Arial Narrow"/>
                <w:sz w:val="20"/>
                <w:szCs w:val="20"/>
              </w:rPr>
            </w:pPr>
            <w:r w:rsidRPr="00B31A07">
              <w:rPr>
                <w:rFonts w:ascii="Arial Narrow" w:eastAsia="Arial Narrow" w:hAnsi="Arial Narrow" w:cs="Arial Narrow"/>
                <w:sz w:val="20"/>
                <w:szCs w:val="20"/>
              </w:rPr>
              <w:t xml:space="preserve">Blincyto </w:t>
            </w:r>
          </w:p>
        </w:tc>
      </w:tr>
      <w:tr w:rsidR="00B31A07" w:rsidRPr="00B31A07" w14:paraId="5E75F763" w14:textId="77777777" w:rsidTr="002032F6">
        <w:trPr>
          <w:cantSplit/>
          <w:trHeight w:val="20"/>
        </w:trPr>
        <w:tc>
          <w:tcPr>
            <w:tcW w:w="9014" w:type="dxa"/>
            <w:gridSpan w:val="6"/>
            <w:tcMar>
              <w:left w:w="20" w:type="dxa"/>
              <w:right w:w="20" w:type="dxa"/>
            </w:tcMar>
          </w:tcPr>
          <w:p w14:paraId="30238A1B" w14:textId="77777777" w:rsidR="00B31A07" w:rsidRPr="00B31A07" w:rsidRDefault="00B31A07" w:rsidP="00B31A07">
            <w:pPr>
              <w:rPr>
                <w:rFonts w:ascii="Arial Narrow" w:hAnsi="Arial Narrow"/>
                <w:sz w:val="20"/>
                <w:szCs w:val="20"/>
              </w:rPr>
            </w:pPr>
            <w:r w:rsidRPr="00B31A07">
              <w:rPr>
                <w:rFonts w:ascii="Arial Narrow" w:eastAsia="Arial Narrow" w:hAnsi="Arial Narrow" w:cs="Arial Narrow"/>
                <w:color w:val="FF0000"/>
                <w:sz w:val="20"/>
                <w:szCs w:val="20"/>
              </w:rPr>
              <w:t xml:space="preserve"> </w:t>
            </w:r>
          </w:p>
        </w:tc>
      </w:tr>
      <w:tr w:rsidR="00B31A07" w:rsidRPr="00B31A07" w14:paraId="1D5059F0" w14:textId="77777777" w:rsidTr="002032F6">
        <w:trPr>
          <w:cantSplit/>
          <w:trHeight w:val="20"/>
        </w:trPr>
        <w:tc>
          <w:tcPr>
            <w:tcW w:w="9014" w:type="dxa"/>
            <w:gridSpan w:val="6"/>
            <w:tcMar>
              <w:left w:w="20" w:type="dxa"/>
              <w:right w:w="20" w:type="dxa"/>
            </w:tcMar>
          </w:tcPr>
          <w:p w14:paraId="6EA0790A" w14:textId="75547BBF" w:rsidR="00B31A07" w:rsidRPr="00B31A07" w:rsidRDefault="00B31A07" w:rsidP="1797D1E5">
            <w:pPr>
              <w:rPr>
                <w:rFonts w:ascii="Arial Narrow" w:eastAsia="Arial Narrow" w:hAnsi="Arial Narrow" w:cs="Arial Narrow"/>
                <w:sz w:val="20"/>
                <w:szCs w:val="20"/>
              </w:rPr>
            </w:pPr>
            <w:r w:rsidRPr="1797D1E5">
              <w:rPr>
                <w:rFonts w:ascii="Arial Narrow" w:eastAsia="Arial Narrow" w:hAnsi="Arial Narrow" w:cs="Arial Narrow"/>
                <w:b/>
                <w:bCs/>
                <w:sz w:val="20"/>
                <w:szCs w:val="20"/>
              </w:rPr>
              <w:t xml:space="preserve">Edit Restriction Summary [new] / Treatment of Concept: [new] </w:t>
            </w:r>
          </w:p>
        </w:tc>
      </w:tr>
      <w:tr w:rsidR="00B31A07" w:rsidRPr="00B31A07" w14:paraId="78643AFC" w14:textId="77777777" w:rsidTr="002032F6">
        <w:trPr>
          <w:cantSplit/>
          <w:trHeight w:val="20"/>
        </w:trPr>
        <w:tc>
          <w:tcPr>
            <w:tcW w:w="1271" w:type="dxa"/>
            <w:gridSpan w:val="2"/>
            <w:vMerge w:val="restart"/>
            <w:tcMar>
              <w:left w:w="20" w:type="dxa"/>
              <w:right w:w="20" w:type="dxa"/>
            </w:tcMar>
          </w:tcPr>
          <w:p w14:paraId="2E9715D8" w14:textId="27DFE46B" w:rsidR="00B31A07" w:rsidRPr="00B31A07" w:rsidRDefault="00B31A07" w:rsidP="1797D1E5">
            <w:pPr>
              <w:jc w:val="center"/>
              <w:rPr>
                <w:rFonts w:ascii="Arial Narrow" w:eastAsia="Arial Narrow" w:hAnsi="Arial Narrow" w:cs="Arial Narrow"/>
                <w:sz w:val="20"/>
                <w:szCs w:val="20"/>
              </w:rPr>
            </w:pPr>
            <w:r>
              <w:br/>
            </w:r>
          </w:p>
        </w:tc>
        <w:tc>
          <w:tcPr>
            <w:tcW w:w="7743" w:type="dxa"/>
            <w:gridSpan w:val="4"/>
            <w:tcMar>
              <w:left w:w="20" w:type="dxa"/>
              <w:right w:w="20" w:type="dxa"/>
            </w:tcMar>
          </w:tcPr>
          <w:p w14:paraId="752DC825"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b/>
                <w:bCs/>
                <w:sz w:val="20"/>
                <w:szCs w:val="20"/>
              </w:rPr>
              <w:t xml:space="preserve">Category / Program: </w:t>
            </w:r>
            <w:r w:rsidRPr="00B31A07">
              <w:rPr>
                <w:rFonts w:ascii="Arial Narrow" w:eastAsia="Arial Narrow" w:hAnsi="Arial Narrow" w:cs="Arial Narrow"/>
                <w:sz w:val="20"/>
                <w:szCs w:val="20"/>
              </w:rPr>
              <w:t xml:space="preserve">Section 100 – Efficient Funding of Chemotherapy Public/Private hospitals {Related Benefits}  </w:t>
            </w:r>
          </w:p>
        </w:tc>
      </w:tr>
      <w:tr w:rsidR="00B31A07" w:rsidRPr="00B31A07" w14:paraId="76FA2374" w14:textId="77777777" w:rsidTr="002032F6">
        <w:trPr>
          <w:cantSplit/>
          <w:trHeight w:val="20"/>
        </w:trPr>
        <w:tc>
          <w:tcPr>
            <w:tcW w:w="1271" w:type="dxa"/>
            <w:gridSpan w:val="2"/>
            <w:vMerge/>
            <w:tcMar>
              <w:left w:w="20" w:type="dxa"/>
              <w:right w:w="20" w:type="dxa"/>
            </w:tcMar>
            <w:vAlign w:val="center"/>
          </w:tcPr>
          <w:p w14:paraId="3837C604" w14:textId="77777777" w:rsidR="00B31A07" w:rsidRPr="00B31A07" w:rsidRDefault="00B31A07" w:rsidP="00B31A07">
            <w:pPr>
              <w:rPr>
                <w:rFonts w:ascii="Arial Narrow" w:hAnsi="Arial Narrow"/>
                <w:sz w:val="20"/>
                <w:szCs w:val="20"/>
              </w:rPr>
            </w:pPr>
          </w:p>
        </w:tc>
        <w:tc>
          <w:tcPr>
            <w:tcW w:w="7743" w:type="dxa"/>
            <w:gridSpan w:val="4"/>
            <w:tcMar>
              <w:left w:w="20" w:type="dxa"/>
              <w:right w:w="20" w:type="dxa"/>
            </w:tcMar>
          </w:tcPr>
          <w:p w14:paraId="4EB453A8"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b/>
                <w:bCs/>
                <w:sz w:val="20"/>
                <w:szCs w:val="20"/>
              </w:rPr>
              <w:t>Prescriber type:</w:t>
            </w:r>
            <w:r w:rsidRPr="00B31A07">
              <w:rPr>
                <w:rFonts w:ascii="Arial Narrow" w:eastAsia="Arial Narrow" w:hAnsi="Arial Narrow" w:cs="Arial Narrow"/>
                <w:sz w:val="20"/>
                <w:szCs w:val="20"/>
              </w:rPr>
              <w:t xml:space="preserve"> Medical Practitioners  </w:t>
            </w:r>
          </w:p>
        </w:tc>
      </w:tr>
      <w:tr w:rsidR="00B31A07" w:rsidRPr="00B31A07" w14:paraId="1546ACB8" w14:textId="77777777" w:rsidTr="002032F6">
        <w:trPr>
          <w:cantSplit/>
          <w:trHeight w:val="20"/>
        </w:trPr>
        <w:tc>
          <w:tcPr>
            <w:tcW w:w="1271" w:type="dxa"/>
            <w:gridSpan w:val="2"/>
            <w:vMerge/>
            <w:tcMar>
              <w:left w:w="20" w:type="dxa"/>
              <w:right w:w="20" w:type="dxa"/>
            </w:tcMar>
            <w:vAlign w:val="center"/>
          </w:tcPr>
          <w:p w14:paraId="752F07A8" w14:textId="77777777" w:rsidR="00B31A07" w:rsidRPr="00B31A07" w:rsidRDefault="00B31A07" w:rsidP="00B31A07">
            <w:pPr>
              <w:rPr>
                <w:rFonts w:ascii="Arial Narrow" w:hAnsi="Arial Narrow"/>
                <w:sz w:val="20"/>
                <w:szCs w:val="20"/>
              </w:rPr>
            </w:pPr>
          </w:p>
        </w:tc>
        <w:tc>
          <w:tcPr>
            <w:tcW w:w="7743" w:type="dxa"/>
            <w:gridSpan w:val="4"/>
            <w:tcMar>
              <w:left w:w="20" w:type="dxa"/>
              <w:right w:w="20" w:type="dxa"/>
            </w:tcMar>
          </w:tcPr>
          <w:p w14:paraId="2845B53D"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b/>
                <w:bCs/>
                <w:sz w:val="20"/>
                <w:szCs w:val="20"/>
              </w:rPr>
              <w:t xml:space="preserve">Restriction type: </w:t>
            </w:r>
            <w:r w:rsidRPr="00B31A07">
              <w:rPr>
                <w:rFonts w:ascii="Arial Narrow" w:eastAsia="Arial Narrow" w:hAnsi="Arial Narrow" w:cs="Arial Narrow"/>
                <w:sz w:val="20"/>
                <w:szCs w:val="20"/>
              </w:rPr>
              <w:t>Authority Required (in writing only via post/HPOS upload)</w:t>
            </w:r>
          </w:p>
        </w:tc>
      </w:tr>
      <w:tr w:rsidR="00B31A07" w:rsidRPr="00B31A07" w14:paraId="54A702D5" w14:textId="77777777" w:rsidTr="002032F6">
        <w:trPr>
          <w:cantSplit/>
          <w:trHeight w:val="20"/>
        </w:trPr>
        <w:tc>
          <w:tcPr>
            <w:tcW w:w="562" w:type="dxa"/>
            <w:vMerge w:val="restart"/>
            <w:tcMar>
              <w:left w:w="20" w:type="dxa"/>
              <w:right w:w="20" w:type="dxa"/>
            </w:tcMar>
            <w:textDirection w:val="btLr"/>
          </w:tcPr>
          <w:p w14:paraId="535CD43A" w14:textId="2CF738FE" w:rsidR="00B31A07" w:rsidRPr="00B31A07" w:rsidRDefault="00B31A07" w:rsidP="1797D1E5">
            <w:pPr>
              <w:ind w:left="113" w:right="105"/>
              <w:jc w:val="center"/>
              <w:rPr>
                <w:rFonts w:ascii="Arial Narrow" w:eastAsia="Arial Narrow" w:hAnsi="Arial Narrow" w:cs="Arial Narrow"/>
                <w:color w:val="333333"/>
                <w:sz w:val="20"/>
                <w:szCs w:val="20"/>
              </w:rPr>
            </w:pPr>
          </w:p>
        </w:tc>
        <w:tc>
          <w:tcPr>
            <w:tcW w:w="709" w:type="dxa"/>
            <w:tcMar>
              <w:left w:w="20" w:type="dxa"/>
              <w:right w:w="20" w:type="dxa"/>
            </w:tcMar>
          </w:tcPr>
          <w:p w14:paraId="2B46968E" w14:textId="4299E0E9" w:rsidR="00B31A07" w:rsidRPr="00B31A07" w:rsidRDefault="00B31A07" w:rsidP="1797D1E5">
            <w:pPr>
              <w:ind w:left="30" w:hanging="30"/>
              <w:jc w:val="center"/>
              <w:rPr>
                <w:rFonts w:ascii="Arial Narrow" w:eastAsia="Arial Narrow" w:hAnsi="Arial Narrow" w:cs="Arial Narrow"/>
                <w:color w:val="333333"/>
                <w:sz w:val="20"/>
                <w:szCs w:val="20"/>
              </w:rPr>
            </w:pPr>
          </w:p>
        </w:tc>
        <w:tc>
          <w:tcPr>
            <w:tcW w:w="7743" w:type="dxa"/>
            <w:gridSpan w:val="4"/>
            <w:tcMar>
              <w:left w:w="20" w:type="dxa"/>
              <w:right w:w="20" w:type="dxa"/>
            </w:tcMar>
          </w:tcPr>
          <w:p w14:paraId="4E0A8520"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b/>
                <w:bCs/>
                <w:color w:val="333333"/>
                <w:sz w:val="20"/>
                <w:szCs w:val="20"/>
              </w:rPr>
              <w:t>Administrative Advice:</w:t>
            </w:r>
            <w:r w:rsidRPr="00B31A07">
              <w:rPr>
                <w:rFonts w:ascii="Arial Narrow" w:eastAsia="Arial Narrow" w:hAnsi="Arial Narrow" w:cs="Arial Narrow"/>
                <w:color w:val="333333"/>
                <w:sz w:val="20"/>
                <w:szCs w:val="20"/>
              </w:rPr>
              <w:t xml:space="preserve"> </w:t>
            </w:r>
          </w:p>
          <w:p w14:paraId="04A1F7AB"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sz w:val="20"/>
                <w:szCs w:val="20"/>
              </w:rPr>
              <w:t>No increase in the maximum quantity or number of units may be authorised.</w:t>
            </w:r>
          </w:p>
        </w:tc>
      </w:tr>
      <w:tr w:rsidR="00B31A07" w:rsidRPr="00B31A07" w14:paraId="4903CC56" w14:textId="77777777" w:rsidTr="002032F6">
        <w:trPr>
          <w:cantSplit/>
          <w:trHeight w:val="20"/>
        </w:trPr>
        <w:tc>
          <w:tcPr>
            <w:tcW w:w="562" w:type="dxa"/>
            <w:vMerge/>
            <w:tcMar>
              <w:left w:w="20" w:type="dxa"/>
              <w:right w:w="20" w:type="dxa"/>
            </w:tcMar>
            <w:vAlign w:val="center"/>
          </w:tcPr>
          <w:p w14:paraId="2624898F" w14:textId="77777777" w:rsidR="00B31A07" w:rsidRPr="00B31A07" w:rsidRDefault="00B31A07" w:rsidP="00B31A07">
            <w:pPr>
              <w:rPr>
                <w:rFonts w:ascii="Arial Narrow" w:hAnsi="Arial Narrow"/>
                <w:sz w:val="20"/>
                <w:szCs w:val="20"/>
              </w:rPr>
            </w:pPr>
          </w:p>
        </w:tc>
        <w:tc>
          <w:tcPr>
            <w:tcW w:w="709" w:type="dxa"/>
            <w:tcMar>
              <w:left w:w="20" w:type="dxa"/>
              <w:right w:w="20" w:type="dxa"/>
            </w:tcMar>
          </w:tcPr>
          <w:p w14:paraId="62BE072B" w14:textId="2C64B746" w:rsidR="00B31A07" w:rsidRPr="00B31A07" w:rsidRDefault="00B31A07" w:rsidP="1797D1E5">
            <w:pPr>
              <w:ind w:left="30" w:hanging="30"/>
              <w:jc w:val="center"/>
              <w:rPr>
                <w:rFonts w:ascii="Arial Narrow" w:eastAsia="Arial Narrow" w:hAnsi="Arial Narrow" w:cs="Arial Narrow"/>
                <w:color w:val="333333"/>
                <w:sz w:val="20"/>
                <w:szCs w:val="20"/>
              </w:rPr>
            </w:pPr>
          </w:p>
        </w:tc>
        <w:tc>
          <w:tcPr>
            <w:tcW w:w="7743" w:type="dxa"/>
            <w:gridSpan w:val="4"/>
            <w:tcMar>
              <w:left w:w="20" w:type="dxa"/>
              <w:right w:w="20" w:type="dxa"/>
            </w:tcMar>
          </w:tcPr>
          <w:p w14:paraId="2F25DCC1"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b/>
                <w:bCs/>
                <w:color w:val="333333"/>
                <w:sz w:val="20"/>
                <w:szCs w:val="20"/>
              </w:rPr>
              <w:t>Administrative Advice:</w:t>
            </w:r>
          </w:p>
          <w:p w14:paraId="5A92B3AD"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color w:val="333333"/>
                <w:sz w:val="20"/>
                <w:szCs w:val="20"/>
              </w:rPr>
              <w:t>No increase in the maximum number of repeats may be authorised.</w:t>
            </w:r>
          </w:p>
        </w:tc>
      </w:tr>
      <w:tr w:rsidR="00B31A07" w:rsidRPr="00B31A07" w14:paraId="275DECA1" w14:textId="77777777" w:rsidTr="002032F6">
        <w:trPr>
          <w:cantSplit/>
          <w:trHeight w:val="20"/>
        </w:trPr>
        <w:tc>
          <w:tcPr>
            <w:tcW w:w="562" w:type="dxa"/>
            <w:vMerge/>
            <w:tcMar>
              <w:left w:w="20" w:type="dxa"/>
              <w:right w:w="20" w:type="dxa"/>
            </w:tcMar>
            <w:vAlign w:val="center"/>
          </w:tcPr>
          <w:p w14:paraId="31C2ECF0" w14:textId="77777777" w:rsidR="00B31A07" w:rsidRPr="00B31A07" w:rsidRDefault="00B31A07" w:rsidP="00B31A07">
            <w:pPr>
              <w:rPr>
                <w:rFonts w:ascii="Arial Narrow" w:hAnsi="Arial Narrow"/>
                <w:sz w:val="20"/>
                <w:szCs w:val="20"/>
              </w:rPr>
            </w:pPr>
          </w:p>
        </w:tc>
        <w:tc>
          <w:tcPr>
            <w:tcW w:w="709" w:type="dxa"/>
            <w:tcMar>
              <w:left w:w="20" w:type="dxa"/>
              <w:right w:w="20" w:type="dxa"/>
            </w:tcMar>
          </w:tcPr>
          <w:p w14:paraId="1E088A08" w14:textId="54CD3C26" w:rsidR="00B31A07" w:rsidRPr="00B31A07" w:rsidRDefault="00B31A07" w:rsidP="1797D1E5">
            <w:pPr>
              <w:ind w:left="30" w:hanging="30"/>
              <w:jc w:val="center"/>
              <w:rPr>
                <w:rFonts w:ascii="Arial Narrow" w:eastAsia="Arial Narrow" w:hAnsi="Arial Narrow" w:cs="Arial Narrow"/>
                <w:color w:val="333333"/>
                <w:sz w:val="20"/>
                <w:szCs w:val="20"/>
              </w:rPr>
            </w:pPr>
          </w:p>
        </w:tc>
        <w:tc>
          <w:tcPr>
            <w:tcW w:w="7743" w:type="dxa"/>
            <w:gridSpan w:val="4"/>
            <w:tcMar>
              <w:left w:w="20" w:type="dxa"/>
              <w:right w:w="20" w:type="dxa"/>
            </w:tcMar>
          </w:tcPr>
          <w:p w14:paraId="48A41C63"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b/>
                <w:bCs/>
                <w:color w:val="333333"/>
                <w:sz w:val="20"/>
                <w:szCs w:val="20"/>
              </w:rPr>
              <w:t>Administrative Advice:</w:t>
            </w:r>
            <w:r w:rsidRPr="00B31A07">
              <w:rPr>
                <w:rFonts w:ascii="Arial Narrow" w:eastAsia="Arial Narrow" w:hAnsi="Arial Narrow" w:cs="Arial Narrow"/>
                <w:color w:val="333333"/>
                <w:sz w:val="20"/>
                <w:szCs w:val="20"/>
              </w:rPr>
              <w:t xml:space="preserve"> </w:t>
            </w:r>
          </w:p>
          <w:p w14:paraId="5AE1E6BE"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sz w:val="20"/>
                <w:szCs w:val="20"/>
              </w:rPr>
              <w:t>Special Pricing Arrangements apply.</w:t>
            </w:r>
          </w:p>
        </w:tc>
      </w:tr>
      <w:tr w:rsidR="00B31A07" w:rsidRPr="00B31A07" w14:paraId="2AA377C1" w14:textId="77777777" w:rsidTr="002032F6">
        <w:trPr>
          <w:cantSplit/>
          <w:trHeight w:val="20"/>
        </w:trPr>
        <w:tc>
          <w:tcPr>
            <w:tcW w:w="1271" w:type="dxa"/>
            <w:gridSpan w:val="2"/>
            <w:vMerge w:val="restart"/>
            <w:tcMar>
              <w:left w:w="20" w:type="dxa"/>
              <w:right w:w="20" w:type="dxa"/>
            </w:tcMar>
          </w:tcPr>
          <w:p w14:paraId="594B9BA7" w14:textId="77777777" w:rsidR="00B31A07" w:rsidRPr="00B31A07" w:rsidRDefault="00B31A07" w:rsidP="00B31A07">
            <w:pPr>
              <w:jc w:val="center"/>
              <w:rPr>
                <w:rFonts w:ascii="Arial Narrow" w:hAnsi="Arial Narrow"/>
                <w:sz w:val="20"/>
                <w:szCs w:val="20"/>
              </w:rPr>
            </w:pPr>
          </w:p>
        </w:tc>
        <w:tc>
          <w:tcPr>
            <w:tcW w:w="7743" w:type="dxa"/>
            <w:gridSpan w:val="4"/>
            <w:tcMar>
              <w:left w:w="20" w:type="dxa"/>
              <w:right w:w="20" w:type="dxa"/>
            </w:tcMar>
          </w:tcPr>
          <w:p w14:paraId="449F343A" w14:textId="77777777" w:rsidR="00B31A07" w:rsidRPr="00B31A07" w:rsidRDefault="00B31A07" w:rsidP="00B31A07">
            <w:pPr>
              <w:jc w:val="left"/>
              <w:rPr>
                <w:rFonts w:ascii="Arial Narrow" w:hAnsi="Arial Narrow"/>
                <w:sz w:val="20"/>
                <w:szCs w:val="20"/>
              </w:rPr>
            </w:pPr>
            <w:r w:rsidRPr="007779E7">
              <w:rPr>
                <w:rFonts w:ascii="Arial Narrow" w:eastAsia="Arial Narrow" w:hAnsi="Arial Narrow" w:cs="Arial Narrow"/>
                <w:b/>
                <w:bCs/>
                <w:color w:val="595959" w:themeColor="text1" w:themeTint="A6"/>
                <w:sz w:val="20"/>
                <w:szCs w:val="20"/>
              </w:rPr>
              <w:t xml:space="preserve">Episodicity: </w:t>
            </w:r>
            <w:r w:rsidRPr="007779E7">
              <w:rPr>
                <w:rFonts w:ascii="Arial Narrow" w:eastAsia="Arial Narrow" w:hAnsi="Arial Narrow" w:cs="Arial Narrow"/>
                <w:color w:val="595959" w:themeColor="text1" w:themeTint="A6"/>
                <w:sz w:val="20"/>
                <w:szCs w:val="20"/>
              </w:rPr>
              <w:t xml:space="preserve">[blank] </w:t>
            </w:r>
          </w:p>
        </w:tc>
      </w:tr>
      <w:tr w:rsidR="00B31A07" w:rsidRPr="00B31A07" w14:paraId="353C6614" w14:textId="77777777" w:rsidTr="002032F6">
        <w:trPr>
          <w:cantSplit/>
          <w:trHeight w:val="20"/>
        </w:trPr>
        <w:tc>
          <w:tcPr>
            <w:tcW w:w="1271" w:type="dxa"/>
            <w:gridSpan w:val="2"/>
            <w:vMerge/>
            <w:tcMar>
              <w:left w:w="20" w:type="dxa"/>
              <w:right w:w="20" w:type="dxa"/>
            </w:tcMar>
            <w:vAlign w:val="center"/>
          </w:tcPr>
          <w:p w14:paraId="5C35E30E" w14:textId="77777777" w:rsidR="00B31A07" w:rsidRPr="00B31A07" w:rsidRDefault="00B31A07" w:rsidP="00B31A07">
            <w:pPr>
              <w:rPr>
                <w:rFonts w:ascii="Arial Narrow" w:hAnsi="Arial Narrow"/>
                <w:sz w:val="20"/>
                <w:szCs w:val="20"/>
              </w:rPr>
            </w:pPr>
          </w:p>
        </w:tc>
        <w:tc>
          <w:tcPr>
            <w:tcW w:w="7743" w:type="dxa"/>
            <w:gridSpan w:val="4"/>
            <w:tcMar>
              <w:left w:w="20" w:type="dxa"/>
              <w:right w:w="20" w:type="dxa"/>
            </w:tcMar>
          </w:tcPr>
          <w:p w14:paraId="1A5475EB" w14:textId="77777777" w:rsidR="00B31A07" w:rsidRPr="00B31A07" w:rsidRDefault="00B31A07" w:rsidP="00B31A07">
            <w:pPr>
              <w:jc w:val="left"/>
              <w:rPr>
                <w:rFonts w:ascii="Arial Narrow" w:hAnsi="Arial Narrow"/>
                <w:sz w:val="20"/>
                <w:szCs w:val="20"/>
              </w:rPr>
            </w:pPr>
            <w:r w:rsidRPr="007779E7">
              <w:rPr>
                <w:rFonts w:ascii="Arial Narrow" w:eastAsia="Arial Narrow" w:hAnsi="Arial Narrow" w:cs="Arial Narrow"/>
                <w:b/>
                <w:bCs/>
                <w:color w:val="595959" w:themeColor="text1" w:themeTint="A6"/>
                <w:sz w:val="20"/>
                <w:szCs w:val="20"/>
              </w:rPr>
              <w:t xml:space="preserve">Severity: </w:t>
            </w:r>
            <w:r w:rsidRPr="007779E7">
              <w:rPr>
                <w:rFonts w:ascii="Arial Narrow" w:eastAsia="Arial Narrow" w:hAnsi="Arial Narrow" w:cs="Arial Narrow"/>
                <w:color w:val="595959" w:themeColor="text1" w:themeTint="A6"/>
                <w:sz w:val="20"/>
                <w:szCs w:val="20"/>
              </w:rPr>
              <w:t xml:space="preserve">[blank] </w:t>
            </w:r>
          </w:p>
        </w:tc>
      </w:tr>
      <w:tr w:rsidR="00B31A07" w:rsidRPr="00B31A07" w14:paraId="2683BF3A" w14:textId="77777777" w:rsidTr="002032F6">
        <w:trPr>
          <w:cantSplit/>
          <w:trHeight w:val="20"/>
        </w:trPr>
        <w:tc>
          <w:tcPr>
            <w:tcW w:w="1271" w:type="dxa"/>
            <w:gridSpan w:val="2"/>
            <w:vMerge/>
            <w:tcMar>
              <w:left w:w="20" w:type="dxa"/>
              <w:right w:w="20" w:type="dxa"/>
            </w:tcMar>
            <w:vAlign w:val="center"/>
          </w:tcPr>
          <w:p w14:paraId="6924DF76" w14:textId="77777777" w:rsidR="00B31A07" w:rsidRPr="00B31A07" w:rsidRDefault="00B31A07" w:rsidP="00B31A07">
            <w:pPr>
              <w:rPr>
                <w:rFonts w:ascii="Arial Narrow" w:hAnsi="Arial Narrow"/>
                <w:sz w:val="20"/>
                <w:szCs w:val="20"/>
              </w:rPr>
            </w:pPr>
          </w:p>
        </w:tc>
        <w:tc>
          <w:tcPr>
            <w:tcW w:w="7743" w:type="dxa"/>
            <w:gridSpan w:val="4"/>
            <w:tcMar>
              <w:left w:w="20" w:type="dxa"/>
              <w:right w:w="20" w:type="dxa"/>
            </w:tcMar>
          </w:tcPr>
          <w:p w14:paraId="469D95AC" w14:textId="77777777" w:rsidR="00B31A07" w:rsidRPr="00B31A07" w:rsidRDefault="00B31A07" w:rsidP="00B31A07">
            <w:pPr>
              <w:jc w:val="left"/>
              <w:rPr>
                <w:rFonts w:ascii="Arial Narrow" w:hAnsi="Arial Narrow"/>
                <w:sz w:val="20"/>
                <w:szCs w:val="20"/>
              </w:rPr>
            </w:pPr>
            <w:r w:rsidRPr="007779E7">
              <w:rPr>
                <w:rFonts w:ascii="Arial Narrow" w:eastAsia="Arial Narrow" w:hAnsi="Arial Narrow" w:cs="Arial Narrow"/>
                <w:b/>
                <w:bCs/>
                <w:color w:val="595959" w:themeColor="text1" w:themeTint="A6"/>
                <w:sz w:val="20"/>
                <w:szCs w:val="20"/>
              </w:rPr>
              <w:t xml:space="preserve">Condition: </w:t>
            </w:r>
            <w:r w:rsidRPr="007779E7">
              <w:rPr>
                <w:rFonts w:ascii="Arial Narrow" w:eastAsia="Arial Narrow" w:hAnsi="Arial Narrow" w:cs="Arial Narrow"/>
                <w:color w:val="595959" w:themeColor="text1" w:themeTint="A6"/>
                <w:sz w:val="20"/>
                <w:szCs w:val="20"/>
              </w:rPr>
              <w:t xml:space="preserve">[blank] </w:t>
            </w:r>
          </w:p>
        </w:tc>
      </w:tr>
      <w:tr w:rsidR="00B31A07" w:rsidRPr="00B31A07" w14:paraId="76F5FA20" w14:textId="77777777" w:rsidTr="002032F6">
        <w:trPr>
          <w:cantSplit/>
          <w:trHeight w:val="20"/>
        </w:trPr>
        <w:tc>
          <w:tcPr>
            <w:tcW w:w="1271" w:type="dxa"/>
            <w:gridSpan w:val="2"/>
            <w:tcMar>
              <w:left w:w="20" w:type="dxa"/>
              <w:right w:w="20" w:type="dxa"/>
            </w:tcMar>
          </w:tcPr>
          <w:p w14:paraId="274BE272" w14:textId="172A2C94" w:rsidR="00B31A07" w:rsidRPr="00B31A07" w:rsidRDefault="00B31A07" w:rsidP="1797D1E5">
            <w:pPr>
              <w:jc w:val="center"/>
              <w:rPr>
                <w:rFonts w:ascii="Arial Narrow" w:eastAsia="Arial Narrow" w:hAnsi="Arial Narrow" w:cs="Arial Narrow"/>
                <w:color w:val="333333"/>
                <w:sz w:val="20"/>
                <w:szCs w:val="20"/>
              </w:rPr>
            </w:pPr>
          </w:p>
        </w:tc>
        <w:tc>
          <w:tcPr>
            <w:tcW w:w="7743" w:type="dxa"/>
            <w:gridSpan w:val="4"/>
            <w:tcMar>
              <w:left w:w="20" w:type="dxa"/>
              <w:right w:w="20" w:type="dxa"/>
            </w:tcMar>
          </w:tcPr>
          <w:p w14:paraId="253B091B"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b/>
                <w:bCs/>
                <w:color w:val="333333"/>
                <w:sz w:val="20"/>
                <w:szCs w:val="20"/>
              </w:rPr>
              <w:t>Indication:</w:t>
            </w:r>
          </w:p>
          <w:p w14:paraId="64D9148B" w14:textId="77777777" w:rsidR="00B31A07" w:rsidRPr="00B31A07" w:rsidRDefault="00B31A07" w:rsidP="00B31A07">
            <w:pPr>
              <w:jc w:val="left"/>
              <w:rPr>
                <w:rFonts w:ascii="Arial Narrow" w:eastAsia="Arial Narrow" w:hAnsi="Arial Narrow" w:cs="Arial Narrow"/>
                <w:i/>
                <w:iCs/>
                <w:color w:val="333333"/>
                <w:sz w:val="20"/>
                <w:szCs w:val="20"/>
              </w:rPr>
            </w:pPr>
            <w:r w:rsidRPr="00B31A07">
              <w:rPr>
                <w:rFonts w:ascii="Arial Narrow" w:eastAsia="Arial Narrow" w:hAnsi="Arial Narrow" w:cs="Arial Narrow"/>
                <w:strike/>
                <w:color w:val="333333"/>
                <w:sz w:val="20"/>
                <w:szCs w:val="20"/>
              </w:rPr>
              <w:t>Measurable residual disease</w:t>
            </w:r>
            <w:r w:rsidRPr="00B31A07">
              <w:rPr>
                <w:rFonts w:ascii="Arial Narrow" w:eastAsia="Arial Narrow" w:hAnsi="Arial Narrow" w:cs="Arial Narrow"/>
                <w:color w:val="333333"/>
                <w:sz w:val="20"/>
                <w:szCs w:val="20"/>
              </w:rPr>
              <w:t xml:space="preserve"> </w:t>
            </w:r>
            <w:r w:rsidRPr="00B31A07">
              <w:rPr>
                <w:rFonts w:ascii="Arial Narrow" w:eastAsia="Arial Narrow" w:hAnsi="Arial Narrow" w:cs="Arial Narrow"/>
                <w:strike/>
                <w:color w:val="333333"/>
                <w:sz w:val="20"/>
                <w:szCs w:val="20"/>
              </w:rPr>
              <w:t>of</w:t>
            </w:r>
            <w:r w:rsidRPr="00B31A07">
              <w:rPr>
                <w:rFonts w:ascii="Arial Narrow" w:eastAsia="Arial Narrow" w:hAnsi="Arial Narrow" w:cs="Arial Narrow"/>
                <w:color w:val="333333"/>
                <w:sz w:val="20"/>
                <w:szCs w:val="20"/>
              </w:rPr>
              <w:t xml:space="preserve"> Precursor B-cell acute lymphoblastic leukaemia (Pre-B-cell ALL)</w:t>
            </w:r>
          </w:p>
        </w:tc>
      </w:tr>
      <w:tr w:rsidR="00B31A07" w:rsidRPr="00B31A07" w14:paraId="47441311" w14:textId="77777777" w:rsidTr="002032F6">
        <w:trPr>
          <w:cantSplit/>
          <w:trHeight w:val="20"/>
        </w:trPr>
        <w:tc>
          <w:tcPr>
            <w:tcW w:w="1271" w:type="dxa"/>
            <w:gridSpan w:val="2"/>
            <w:tcMar>
              <w:left w:w="20" w:type="dxa"/>
              <w:right w:w="20" w:type="dxa"/>
            </w:tcMar>
          </w:tcPr>
          <w:p w14:paraId="55899177" w14:textId="1D589D4C" w:rsidR="00B31A07" w:rsidRPr="00B31A07" w:rsidRDefault="00B31A07" w:rsidP="1797D1E5">
            <w:pPr>
              <w:jc w:val="center"/>
              <w:rPr>
                <w:rFonts w:ascii="Arial Narrow" w:eastAsia="Arial Narrow" w:hAnsi="Arial Narrow" w:cs="Arial Narrow"/>
                <w:color w:val="333333"/>
                <w:sz w:val="20"/>
                <w:szCs w:val="20"/>
              </w:rPr>
            </w:pPr>
          </w:p>
        </w:tc>
        <w:tc>
          <w:tcPr>
            <w:tcW w:w="7743" w:type="dxa"/>
            <w:gridSpan w:val="4"/>
            <w:tcMar>
              <w:left w:w="20" w:type="dxa"/>
              <w:right w:w="20" w:type="dxa"/>
            </w:tcMar>
          </w:tcPr>
          <w:p w14:paraId="199E552E"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b/>
                <w:bCs/>
                <w:color w:val="333333"/>
                <w:sz w:val="20"/>
                <w:szCs w:val="20"/>
              </w:rPr>
              <w:t>Treatment Phase:</w:t>
            </w:r>
          </w:p>
          <w:p w14:paraId="6A367C1B"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color w:val="333333"/>
                <w:sz w:val="20"/>
                <w:szCs w:val="20"/>
              </w:rPr>
              <w:t xml:space="preserve">Initial treatment </w:t>
            </w:r>
            <w:r w:rsidRPr="00B31A07">
              <w:rPr>
                <w:rFonts w:ascii="Arial Narrow" w:eastAsia="Arial Narrow" w:hAnsi="Arial Narrow" w:cs="Arial Narrow"/>
                <w:strike/>
                <w:color w:val="333333"/>
                <w:sz w:val="20"/>
                <w:szCs w:val="20"/>
              </w:rPr>
              <w:t>of measurable residual disease</w:t>
            </w:r>
            <w:r w:rsidRPr="00B31A07">
              <w:rPr>
                <w:rFonts w:ascii="Arial Narrow" w:eastAsia="Arial Narrow" w:hAnsi="Arial Narrow" w:cs="Arial Narrow"/>
                <w:color w:val="333333"/>
                <w:sz w:val="20"/>
                <w:szCs w:val="20"/>
              </w:rPr>
              <w:t xml:space="preserve"> of Pre-B-cell ALL </w:t>
            </w:r>
            <w:r w:rsidRPr="00B31A07">
              <w:rPr>
                <w:rFonts w:ascii="Arial Narrow" w:eastAsia="Arial Narrow" w:hAnsi="Arial Narrow" w:cs="Arial Narrow"/>
                <w:i/>
                <w:iCs/>
                <w:color w:val="333333"/>
                <w:sz w:val="20"/>
                <w:szCs w:val="20"/>
              </w:rPr>
              <w:t>in complete haematological remission (CR)</w:t>
            </w:r>
          </w:p>
        </w:tc>
      </w:tr>
      <w:tr w:rsidR="00B31A07" w:rsidRPr="00B31A07" w14:paraId="02105E48" w14:textId="77777777" w:rsidTr="002032F6">
        <w:trPr>
          <w:cantSplit/>
          <w:trHeight w:val="20"/>
        </w:trPr>
        <w:tc>
          <w:tcPr>
            <w:tcW w:w="1271" w:type="dxa"/>
            <w:gridSpan w:val="2"/>
            <w:tcMar>
              <w:left w:w="20" w:type="dxa"/>
              <w:right w:w="20" w:type="dxa"/>
            </w:tcMar>
          </w:tcPr>
          <w:p w14:paraId="199C454D" w14:textId="47266D82" w:rsidR="00B31A07" w:rsidRPr="00B31A07" w:rsidRDefault="00B31A07" w:rsidP="1797D1E5">
            <w:pPr>
              <w:jc w:val="center"/>
              <w:rPr>
                <w:rFonts w:ascii="Arial Narrow" w:eastAsia="Arial Narrow" w:hAnsi="Arial Narrow" w:cs="Arial Narrow"/>
                <w:color w:val="333333"/>
                <w:sz w:val="20"/>
                <w:szCs w:val="20"/>
              </w:rPr>
            </w:pPr>
          </w:p>
        </w:tc>
        <w:tc>
          <w:tcPr>
            <w:tcW w:w="7743" w:type="dxa"/>
            <w:gridSpan w:val="4"/>
            <w:tcMar>
              <w:left w:w="20" w:type="dxa"/>
              <w:right w:w="20" w:type="dxa"/>
            </w:tcMar>
          </w:tcPr>
          <w:p w14:paraId="1B1B5173"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b/>
                <w:bCs/>
                <w:color w:val="333333"/>
                <w:sz w:val="20"/>
                <w:szCs w:val="20"/>
              </w:rPr>
              <w:t>Treatment criteria:</w:t>
            </w:r>
          </w:p>
        </w:tc>
      </w:tr>
      <w:tr w:rsidR="00B31A07" w:rsidRPr="00B31A07" w14:paraId="17315D5A" w14:textId="77777777" w:rsidTr="002032F6">
        <w:trPr>
          <w:cantSplit/>
          <w:trHeight w:val="20"/>
        </w:trPr>
        <w:tc>
          <w:tcPr>
            <w:tcW w:w="1271" w:type="dxa"/>
            <w:gridSpan w:val="2"/>
            <w:tcMar>
              <w:left w:w="20" w:type="dxa"/>
              <w:right w:w="20" w:type="dxa"/>
            </w:tcMar>
          </w:tcPr>
          <w:p w14:paraId="48FD97CB" w14:textId="6ABEB79E" w:rsidR="00B31A07" w:rsidRPr="00B31A07" w:rsidRDefault="00B31A07" w:rsidP="1797D1E5">
            <w:pPr>
              <w:jc w:val="center"/>
              <w:rPr>
                <w:rFonts w:ascii="Arial Narrow" w:eastAsia="Arial Narrow" w:hAnsi="Arial Narrow" w:cs="Arial Narrow"/>
                <w:color w:val="333333"/>
                <w:sz w:val="20"/>
                <w:szCs w:val="20"/>
              </w:rPr>
            </w:pPr>
          </w:p>
        </w:tc>
        <w:tc>
          <w:tcPr>
            <w:tcW w:w="7743" w:type="dxa"/>
            <w:gridSpan w:val="4"/>
            <w:tcMar>
              <w:left w:w="20" w:type="dxa"/>
              <w:right w:w="20" w:type="dxa"/>
            </w:tcMar>
          </w:tcPr>
          <w:p w14:paraId="43B523F6"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color w:val="333333"/>
                <w:sz w:val="20"/>
                <w:szCs w:val="20"/>
              </w:rPr>
              <w:t>Must be treated by a physician experienced in the treatment of haematological malignancies</w:t>
            </w:r>
          </w:p>
        </w:tc>
      </w:tr>
      <w:tr w:rsidR="00B31A07" w:rsidRPr="00B31A07" w14:paraId="53DA4D03" w14:textId="77777777" w:rsidTr="002032F6">
        <w:trPr>
          <w:cantSplit/>
          <w:trHeight w:val="20"/>
        </w:trPr>
        <w:tc>
          <w:tcPr>
            <w:tcW w:w="1271" w:type="dxa"/>
            <w:gridSpan w:val="2"/>
            <w:tcMar>
              <w:left w:w="20" w:type="dxa"/>
              <w:right w:w="20" w:type="dxa"/>
            </w:tcMar>
          </w:tcPr>
          <w:p w14:paraId="5BD6F606" w14:textId="78F00BC6" w:rsidR="00B31A07" w:rsidRPr="00B31A07" w:rsidRDefault="00B31A07" w:rsidP="1797D1E5">
            <w:pPr>
              <w:jc w:val="center"/>
              <w:rPr>
                <w:rFonts w:ascii="Arial Narrow" w:eastAsia="Arial Narrow" w:hAnsi="Arial Narrow" w:cs="Arial Narrow"/>
                <w:color w:val="333333"/>
                <w:sz w:val="20"/>
                <w:szCs w:val="20"/>
              </w:rPr>
            </w:pPr>
          </w:p>
        </w:tc>
        <w:tc>
          <w:tcPr>
            <w:tcW w:w="7743" w:type="dxa"/>
            <w:gridSpan w:val="4"/>
            <w:tcMar>
              <w:left w:w="20" w:type="dxa"/>
              <w:right w:w="20" w:type="dxa"/>
            </w:tcMar>
          </w:tcPr>
          <w:p w14:paraId="60A92416"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b/>
                <w:bCs/>
                <w:color w:val="333333"/>
                <w:sz w:val="20"/>
                <w:szCs w:val="20"/>
              </w:rPr>
              <w:t>Clinical criteria:</w:t>
            </w:r>
          </w:p>
        </w:tc>
      </w:tr>
      <w:tr w:rsidR="00B31A07" w:rsidRPr="00B31A07" w14:paraId="697DF8BE" w14:textId="77777777" w:rsidTr="002032F6">
        <w:trPr>
          <w:cantSplit/>
          <w:trHeight w:val="20"/>
        </w:trPr>
        <w:tc>
          <w:tcPr>
            <w:tcW w:w="1271" w:type="dxa"/>
            <w:gridSpan w:val="2"/>
            <w:tcMar>
              <w:left w:w="20" w:type="dxa"/>
              <w:right w:w="20" w:type="dxa"/>
            </w:tcMar>
          </w:tcPr>
          <w:p w14:paraId="78C950F1" w14:textId="13FD54B0" w:rsidR="00B31A07" w:rsidRPr="00B31A07" w:rsidRDefault="00B31A07" w:rsidP="1797D1E5">
            <w:pPr>
              <w:jc w:val="center"/>
              <w:rPr>
                <w:rFonts w:ascii="Arial Narrow" w:eastAsia="Arial Narrow" w:hAnsi="Arial Narrow" w:cs="Arial Narrow"/>
                <w:color w:val="333333"/>
                <w:sz w:val="20"/>
                <w:szCs w:val="20"/>
              </w:rPr>
            </w:pPr>
          </w:p>
        </w:tc>
        <w:tc>
          <w:tcPr>
            <w:tcW w:w="7743" w:type="dxa"/>
            <w:gridSpan w:val="4"/>
            <w:tcMar>
              <w:left w:w="20" w:type="dxa"/>
              <w:right w:w="20" w:type="dxa"/>
            </w:tcMar>
          </w:tcPr>
          <w:p w14:paraId="5E331A1F"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color w:val="333333"/>
                <w:sz w:val="20"/>
                <w:szCs w:val="20"/>
              </w:rPr>
              <w:t>Patient must have an Eastern Cooperative Oncology Group (ECOG) performance status of 0 or 1</w:t>
            </w:r>
          </w:p>
        </w:tc>
      </w:tr>
      <w:tr w:rsidR="00B31A07" w:rsidRPr="00B31A07" w14:paraId="0AD535CB" w14:textId="77777777" w:rsidTr="002032F6">
        <w:trPr>
          <w:cantSplit/>
          <w:trHeight w:val="20"/>
        </w:trPr>
        <w:tc>
          <w:tcPr>
            <w:tcW w:w="1271" w:type="dxa"/>
            <w:gridSpan w:val="2"/>
            <w:tcMar>
              <w:left w:w="20" w:type="dxa"/>
              <w:right w:w="20" w:type="dxa"/>
            </w:tcMar>
          </w:tcPr>
          <w:p w14:paraId="20BC76EE" w14:textId="5858B1FE" w:rsidR="00B31A07" w:rsidRPr="00B31A07" w:rsidRDefault="00B31A07" w:rsidP="1797D1E5">
            <w:pPr>
              <w:jc w:val="center"/>
              <w:rPr>
                <w:rFonts w:ascii="Arial Narrow" w:eastAsia="Arial Narrow" w:hAnsi="Arial Narrow" w:cs="Arial Narrow"/>
                <w:color w:val="333333"/>
                <w:sz w:val="20"/>
                <w:szCs w:val="20"/>
              </w:rPr>
            </w:pPr>
          </w:p>
        </w:tc>
        <w:tc>
          <w:tcPr>
            <w:tcW w:w="7743" w:type="dxa"/>
            <w:gridSpan w:val="4"/>
            <w:tcMar>
              <w:left w:w="20" w:type="dxa"/>
              <w:right w:w="20" w:type="dxa"/>
            </w:tcMar>
          </w:tcPr>
          <w:p w14:paraId="792B3D22"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b/>
                <w:bCs/>
                <w:color w:val="333333"/>
                <w:sz w:val="20"/>
                <w:szCs w:val="20"/>
              </w:rPr>
              <w:t>AND</w:t>
            </w:r>
          </w:p>
        </w:tc>
      </w:tr>
      <w:tr w:rsidR="00B31A07" w:rsidRPr="00B31A07" w14:paraId="2E581752" w14:textId="77777777" w:rsidTr="002032F6">
        <w:trPr>
          <w:cantSplit/>
          <w:trHeight w:val="20"/>
        </w:trPr>
        <w:tc>
          <w:tcPr>
            <w:tcW w:w="1271" w:type="dxa"/>
            <w:gridSpan w:val="2"/>
            <w:tcMar>
              <w:left w:w="20" w:type="dxa"/>
              <w:right w:w="20" w:type="dxa"/>
            </w:tcMar>
          </w:tcPr>
          <w:p w14:paraId="307D6AB7" w14:textId="24128538" w:rsidR="00B31A07" w:rsidRPr="00B31A07" w:rsidRDefault="00B31A07" w:rsidP="1797D1E5">
            <w:pPr>
              <w:jc w:val="center"/>
              <w:rPr>
                <w:rFonts w:ascii="Arial Narrow" w:eastAsia="Arial Narrow" w:hAnsi="Arial Narrow" w:cs="Arial Narrow"/>
                <w:color w:val="333333"/>
                <w:sz w:val="20"/>
                <w:szCs w:val="20"/>
              </w:rPr>
            </w:pPr>
          </w:p>
        </w:tc>
        <w:tc>
          <w:tcPr>
            <w:tcW w:w="7743" w:type="dxa"/>
            <w:gridSpan w:val="4"/>
            <w:tcMar>
              <w:left w:w="20" w:type="dxa"/>
              <w:right w:w="20" w:type="dxa"/>
            </w:tcMar>
          </w:tcPr>
          <w:p w14:paraId="5673AA46"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b/>
                <w:bCs/>
                <w:color w:val="333333"/>
                <w:sz w:val="20"/>
                <w:szCs w:val="20"/>
              </w:rPr>
              <w:t>Clinical criteria:</w:t>
            </w:r>
          </w:p>
        </w:tc>
      </w:tr>
      <w:tr w:rsidR="00B31A07" w:rsidRPr="00B31A07" w14:paraId="4BC27CAD" w14:textId="77777777" w:rsidTr="002032F6">
        <w:trPr>
          <w:cantSplit/>
          <w:trHeight w:val="20"/>
        </w:trPr>
        <w:tc>
          <w:tcPr>
            <w:tcW w:w="1271" w:type="dxa"/>
            <w:gridSpan w:val="2"/>
            <w:tcMar>
              <w:left w:w="20" w:type="dxa"/>
              <w:right w:w="20" w:type="dxa"/>
            </w:tcMar>
          </w:tcPr>
          <w:p w14:paraId="0483811B" w14:textId="2D9B6A6E" w:rsidR="00B31A07" w:rsidRPr="00B31A07" w:rsidRDefault="00B31A07" w:rsidP="1797D1E5">
            <w:pPr>
              <w:jc w:val="center"/>
              <w:rPr>
                <w:rFonts w:ascii="Arial Narrow" w:eastAsia="Arial Narrow" w:hAnsi="Arial Narrow" w:cs="Arial Narrow"/>
                <w:color w:val="333333"/>
                <w:sz w:val="20"/>
                <w:szCs w:val="20"/>
              </w:rPr>
            </w:pPr>
          </w:p>
        </w:tc>
        <w:tc>
          <w:tcPr>
            <w:tcW w:w="7743" w:type="dxa"/>
            <w:gridSpan w:val="4"/>
            <w:tcMar>
              <w:left w:w="20" w:type="dxa"/>
              <w:right w:w="20" w:type="dxa"/>
            </w:tcMar>
          </w:tcPr>
          <w:p w14:paraId="43FC93E4"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color w:val="333333"/>
                <w:sz w:val="20"/>
                <w:szCs w:val="20"/>
              </w:rPr>
              <w:t>The condition must not be present in the central nervous system or testis</w:t>
            </w:r>
          </w:p>
        </w:tc>
      </w:tr>
      <w:tr w:rsidR="00B31A07" w:rsidRPr="00B31A07" w14:paraId="63B30BF7" w14:textId="77777777" w:rsidTr="002032F6">
        <w:trPr>
          <w:cantSplit/>
          <w:trHeight w:val="20"/>
        </w:trPr>
        <w:tc>
          <w:tcPr>
            <w:tcW w:w="1271" w:type="dxa"/>
            <w:gridSpan w:val="2"/>
            <w:tcMar>
              <w:left w:w="20" w:type="dxa"/>
              <w:right w:w="20" w:type="dxa"/>
            </w:tcMar>
          </w:tcPr>
          <w:p w14:paraId="7F35D36F" w14:textId="00E1A25B" w:rsidR="00B31A07" w:rsidRPr="00B31A07" w:rsidRDefault="00B31A07" w:rsidP="1797D1E5">
            <w:pPr>
              <w:jc w:val="center"/>
              <w:rPr>
                <w:rFonts w:ascii="Arial Narrow" w:eastAsia="Arial Narrow" w:hAnsi="Arial Narrow" w:cs="Arial Narrow"/>
                <w:color w:val="333333"/>
                <w:sz w:val="20"/>
                <w:szCs w:val="20"/>
              </w:rPr>
            </w:pPr>
          </w:p>
        </w:tc>
        <w:tc>
          <w:tcPr>
            <w:tcW w:w="7743" w:type="dxa"/>
            <w:gridSpan w:val="4"/>
            <w:tcMar>
              <w:left w:w="20" w:type="dxa"/>
              <w:right w:w="20" w:type="dxa"/>
            </w:tcMar>
          </w:tcPr>
          <w:p w14:paraId="4EFD3A51"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b/>
                <w:bCs/>
                <w:color w:val="333333"/>
                <w:sz w:val="20"/>
                <w:szCs w:val="20"/>
              </w:rPr>
              <w:t>AND</w:t>
            </w:r>
          </w:p>
        </w:tc>
      </w:tr>
      <w:tr w:rsidR="00B31A07" w:rsidRPr="00B31A07" w14:paraId="6087DF01" w14:textId="77777777" w:rsidTr="002032F6">
        <w:trPr>
          <w:cantSplit/>
          <w:trHeight w:val="20"/>
        </w:trPr>
        <w:tc>
          <w:tcPr>
            <w:tcW w:w="1271" w:type="dxa"/>
            <w:gridSpan w:val="2"/>
            <w:tcMar>
              <w:left w:w="20" w:type="dxa"/>
              <w:right w:w="20" w:type="dxa"/>
            </w:tcMar>
          </w:tcPr>
          <w:p w14:paraId="66DEFB10" w14:textId="56CEA136" w:rsidR="00B31A07" w:rsidRPr="00B31A07" w:rsidRDefault="00B31A07" w:rsidP="1797D1E5">
            <w:pPr>
              <w:jc w:val="center"/>
              <w:rPr>
                <w:rFonts w:ascii="Arial Narrow" w:eastAsia="Arial Narrow" w:hAnsi="Arial Narrow" w:cs="Arial Narrow"/>
                <w:color w:val="333333"/>
                <w:sz w:val="20"/>
                <w:szCs w:val="20"/>
              </w:rPr>
            </w:pPr>
          </w:p>
        </w:tc>
        <w:tc>
          <w:tcPr>
            <w:tcW w:w="7743" w:type="dxa"/>
            <w:gridSpan w:val="4"/>
            <w:tcMar>
              <w:left w:w="20" w:type="dxa"/>
              <w:right w:w="20" w:type="dxa"/>
            </w:tcMar>
          </w:tcPr>
          <w:p w14:paraId="13528A14"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b/>
                <w:bCs/>
                <w:color w:val="333333"/>
                <w:sz w:val="20"/>
                <w:szCs w:val="20"/>
              </w:rPr>
              <w:t>Clinical criteria:</w:t>
            </w:r>
          </w:p>
        </w:tc>
      </w:tr>
      <w:tr w:rsidR="00B31A07" w:rsidRPr="00B31A07" w14:paraId="5B79BF17" w14:textId="77777777" w:rsidTr="002032F6">
        <w:trPr>
          <w:cantSplit/>
          <w:trHeight w:val="20"/>
        </w:trPr>
        <w:tc>
          <w:tcPr>
            <w:tcW w:w="1271" w:type="dxa"/>
            <w:gridSpan w:val="2"/>
            <w:tcMar>
              <w:left w:w="20" w:type="dxa"/>
              <w:right w:w="20" w:type="dxa"/>
            </w:tcMar>
          </w:tcPr>
          <w:p w14:paraId="57831CFA" w14:textId="3D915EEE" w:rsidR="00B31A07" w:rsidRPr="00B31A07" w:rsidRDefault="00B31A07" w:rsidP="1797D1E5">
            <w:pPr>
              <w:jc w:val="center"/>
              <w:rPr>
                <w:rFonts w:ascii="Arial Narrow" w:eastAsia="Arial Narrow" w:hAnsi="Arial Narrow" w:cs="Arial Narrow"/>
                <w:color w:val="333333"/>
                <w:sz w:val="20"/>
                <w:szCs w:val="20"/>
              </w:rPr>
            </w:pPr>
          </w:p>
        </w:tc>
        <w:tc>
          <w:tcPr>
            <w:tcW w:w="7743" w:type="dxa"/>
            <w:gridSpan w:val="4"/>
            <w:tcMar>
              <w:left w:w="20" w:type="dxa"/>
              <w:right w:w="20" w:type="dxa"/>
            </w:tcMar>
          </w:tcPr>
          <w:p w14:paraId="5BFB8713"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color w:val="333333"/>
                <w:sz w:val="20"/>
                <w:szCs w:val="20"/>
              </w:rPr>
              <w:t xml:space="preserve">Patient must have achieved complete remission following intensive combination chemotherapy for initial treatment of acute lymphoblastic leukaemia (ALL) </w:t>
            </w:r>
            <w:r w:rsidRPr="00B31A07">
              <w:rPr>
                <w:rFonts w:ascii="Arial Narrow" w:eastAsia="Arial Narrow" w:hAnsi="Arial Narrow" w:cs="Arial Narrow"/>
                <w:strike/>
                <w:color w:val="333333"/>
                <w:sz w:val="20"/>
                <w:szCs w:val="20"/>
              </w:rPr>
              <w:t>or for subsequent salvage therapy</w:t>
            </w:r>
          </w:p>
        </w:tc>
      </w:tr>
      <w:tr w:rsidR="00B31A07" w:rsidRPr="00B31A07" w14:paraId="42C203F6" w14:textId="77777777" w:rsidTr="002032F6">
        <w:trPr>
          <w:cantSplit/>
          <w:trHeight w:val="20"/>
        </w:trPr>
        <w:tc>
          <w:tcPr>
            <w:tcW w:w="1271" w:type="dxa"/>
            <w:gridSpan w:val="2"/>
            <w:tcMar>
              <w:left w:w="20" w:type="dxa"/>
              <w:right w:w="20" w:type="dxa"/>
            </w:tcMar>
          </w:tcPr>
          <w:p w14:paraId="68A4B15E" w14:textId="6F025FC8" w:rsidR="00B31A07" w:rsidRPr="00B31A07" w:rsidRDefault="00B31A07" w:rsidP="1797D1E5">
            <w:pPr>
              <w:jc w:val="center"/>
              <w:rPr>
                <w:rFonts w:ascii="Arial Narrow" w:eastAsia="Arial Narrow" w:hAnsi="Arial Narrow" w:cs="Arial Narrow"/>
                <w:color w:val="333333"/>
                <w:sz w:val="20"/>
                <w:szCs w:val="20"/>
              </w:rPr>
            </w:pPr>
          </w:p>
        </w:tc>
        <w:tc>
          <w:tcPr>
            <w:tcW w:w="7743" w:type="dxa"/>
            <w:gridSpan w:val="4"/>
            <w:tcMar>
              <w:left w:w="20" w:type="dxa"/>
              <w:right w:w="20" w:type="dxa"/>
            </w:tcMar>
          </w:tcPr>
          <w:p w14:paraId="11353F17"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b/>
                <w:bCs/>
                <w:strike/>
                <w:color w:val="333333"/>
                <w:sz w:val="20"/>
                <w:szCs w:val="20"/>
              </w:rPr>
              <w:t>AND</w:t>
            </w:r>
            <w:r w:rsidRPr="00B31A07">
              <w:rPr>
                <w:rFonts w:ascii="Arial Narrow" w:eastAsia="Arial Narrow" w:hAnsi="Arial Narrow" w:cs="Arial Narrow"/>
                <w:b/>
                <w:bCs/>
                <w:color w:val="333333"/>
                <w:sz w:val="20"/>
                <w:szCs w:val="20"/>
              </w:rPr>
              <w:t xml:space="preserve"> </w:t>
            </w:r>
            <w:r w:rsidRPr="00B31A07">
              <w:rPr>
                <w:rFonts w:ascii="Arial Narrow" w:eastAsia="Arial Narrow" w:hAnsi="Arial Narrow" w:cs="Arial Narrow"/>
                <w:b/>
                <w:bCs/>
                <w:i/>
                <w:iCs/>
                <w:color w:val="333333"/>
                <w:sz w:val="20"/>
                <w:szCs w:val="20"/>
              </w:rPr>
              <w:t>OR</w:t>
            </w:r>
          </w:p>
        </w:tc>
      </w:tr>
      <w:tr w:rsidR="00B31A07" w:rsidRPr="00B31A07" w14:paraId="280C7295" w14:textId="77777777" w:rsidTr="002032F6">
        <w:trPr>
          <w:cantSplit/>
          <w:trHeight w:val="20"/>
        </w:trPr>
        <w:tc>
          <w:tcPr>
            <w:tcW w:w="1271" w:type="dxa"/>
            <w:gridSpan w:val="2"/>
            <w:tcMar>
              <w:left w:w="20" w:type="dxa"/>
              <w:right w:w="20" w:type="dxa"/>
            </w:tcMar>
          </w:tcPr>
          <w:p w14:paraId="281ECD75" w14:textId="0D5C4EEB" w:rsidR="00B31A07" w:rsidRPr="00B31A07" w:rsidRDefault="00B31A07" w:rsidP="1797D1E5">
            <w:pPr>
              <w:jc w:val="center"/>
              <w:rPr>
                <w:rFonts w:ascii="Arial Narrow" w:eastAsia="Arial Narrow" w:hAnsi="Arial Narrow" w:cs="Arial Narrow"/>
                <w:color w:val="333333"/>
                <w:sz w:val="20"/>
                <w:szCs w:val="20"/>
              </w:rPr>
            </w:pPr>
          </w:p>
        </w:tc>
        <w:tc>
          <w:tcPr>
            <w:tcW w:w="7743" w:type="dxa"/>
            <w:gridSpan w:val="4"/>
            <w:tcMar>
              <w:left w:w="20" w:type="dxa"/>
              <w:right w:w="20" w:type="dxa"/>
            </w:tcMar>
          </w:tcPr>
          <w:p w14:paraId="40BCDA38"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b/>
                <w:bCs/>
                <w:color w:val="333333"/>
                <w:sz w:val="20"/>
                <w:szCs w:val="20"/>
              </w:rPr>
              <w:t>Clinical criteria:</w:t>
            </w:r>
          </w:p>
        </w:tc>
      </w:tr>
      <w:tr w:rsidR="00B31A07" w:rsidRPr="00B31A07" w14:paraId="6A572B01" w14:textId="77777777" w:rsidTr="002032F6">
        <w:trPr>
          <w:cantSplit/>
          <w:trHeight w:val="20"/>
        </w:trPr>
        <w:tc>
          <w:tcPr>
            <w:tcW w:w="1271" w:type="dxa"/>
            <w:gridSpan w:val="2"/>
            <w:tcMar>
              <w:left w:w="20" w:type="dxa"/>
              <w:right w:w="20" w:type="dxa"/>
            </w:tcMar>
          </w:tcPr>
          <w:p w14:paraId="0094889D" w14:textId="46E4546B" w:rsidR="00B31A07" w:rsidRPr="00B31A07" w:rsidRDefault="00B31A07" w:rsidP="00B31A07">
            <w:pPr>
              <w:jc w:val="center"/>
              <w:rPr>
                <w:rFonts w:ascii="Arial Narrow" w:eastAsia="Arial Narrow" w:hAnsi="Arial Narrow" w:cs="Arial Narrow"/>
                <w:color w:val="333333"/>
                <w:sz w:val="20"/>
                <w:szCs w:val="20"/>
              </w:rPr>
            </w:pPr>
          </w:p>
        </w:tc>
        <w:tc>
          <w:tcPr>
            <w:tcW w:w="7743" w:type="dxa"/>
            <w:gridSpan w:val="4"/>
            <w:tcMar>
              <w:left w:w="20" w:type="dxa"/>
              <w:right w:w="20" w:type="dxa"/>
            </w:tcMar>
          </w:tcPr>
          <w:p w14:paraId="5D499147"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color w:val="333333"/>
                <w:sz w:val="20"/>
                <w:szCs w:val="20"/>
              </w:rPr>
              <w:t xml:space="preserve">Patient must have </w:t>
            </w:r>
            <w:r w:rsidRPr="00B31A07">
              <w:rPr>
                <w:rFonts w:ascii="Arial Narrow" w:eastAsia="Arial Narrow" w:hAnsi="Arial Narrow" w:cs="Arial Narrow"/>
                <w:i/>
                <w:iCs/>
                <w:color w:val="333333"/>
                <w:sz w:val="20"/>
                <w:szCs w:val="20"/>
              </w:rPr>
              <w:t>(i)</w:t>
            </w:r>
            <w:r w:rsidRPr="00B31A07">
              <w:rPr>
                <w:rFonts w:ascii="Arial Narrow" w:eastAsia="Arial Narrow" w:hAnsi="Arial Narrow" w:cs="Arial Narrow"/>
                <w:color w:val="333333"/>
                <w:sz w:val="20"/>
                <w:szCs w:val="20"/>
              </w:rPr>
              <w:t xml:space="preserve"> </w:t>
            </w:r>
            <w:r w:rsidRPr="00B31A07">
              <w:rPr>
                <w:rFonts w:ascii="Arial Narrow" w:eastAsia="Arial Narrow" w:hAnsi="Arial Narrow" w:cs="Arial Narrow"/>
                <w:i/>
                <w:iCs/>
                <w:color w:val="333333"/>
                <w:sz w:val="20"/>
                <w:szCs w:val="20"/>
              </w:rPr>
              <w:t xml:space="preserve">achieved complete remission following intensive combination chemotherapy, </w:t>
            </w:r>
            <w:r w:rsidRPr="00B31A07">
              <w:rPr>
                <w:rFonts w:ascii="Arial Narrow" w:eastAsia="Arial Narrow" w:hAnsi="Arial Narrow" w:cs="Arial Narrow"/>
                <w:i/>
                <w:iCs/>
                <w:strike/>
                <w:color w:val="333333"/>
                <w:sz w:val="20"/>
                <w:szCs w:val="20"/>
              </w:rPr>
              <w:t>and</w:t>
            </w:r>
            <w:r w:rsidRPr="00B31A07">
              <w:rPr>
                <w:rFonts w:ascii="Arial Narrow" w:eastAsia="Arial Narrow" w:hAnsi="Arial Narrow" w:cs="Arial Narrow"/>
                <w:strike/>
                <w:color w:val="333333"/>
                <w:sz w:val="20"/>
                <w:szCs w:val="20"/>
              </w:rPr>
              <w:t xml:space="preserve"> </w:t>
            </w:r>
            <w:r w:rsidRPr="00B31A07">
              <w:rPr>
                <w:rFonts w:ascii="Arial Narrow" w:eastAsia="Arial Narrow" w:hAnsi="Arial Narrow" w:cs="Arial Narrow"/>
                <w:i/>
                <w:iCs/>
                <w:color w:val="333333"/>
                <w:sz w:val="20"/>
                <w:szCs w:val="20"/>
              </w:rPr>
              <w:t>(ii)</w:t>
            </w:r>
            <w:r w:rsidRPr="00B31A07">
              <w:rPr>
                <w:rFonts w:ascii="Arial Narrow" w:eastAsia="Arial Narrow" w:hAnsi="Arial Narrow" w:cs="Arial Narrow"/>
                <w:color w:val="333333"/>
                <w:sz w:val="20"/>
                <w:szCs w:val="20"/>
              </w:rPr>
              <w:t xml:space="preserve"> measurable residual disease based on measurement in bone marrow, documented after </w:t>
            </w:r>
            <w:r w:rsidRPr="00B31A07">
              <w:rPr>
                <w:rFonts w:ascii="Arial Narrow" w:eastAsia="Arial Narrow" w:hAnsi="Arial Narrow" w:cs="Arial Narrow"/>
                <w:strike/>
                <w:color w:val="333333"/>
                <w:sz w:val="20"/>
                <w:szCs w:val="20"/>
              </w:rPr>
              <w:t>an interval of at least 2 weeks from</w:t>
            </w:r>
            <w:r w:rsidRPr="00B31A07">
              <w:rPr>
                <w:rFonts w:ascii="Arial Narrow" w:eastAsia="Arial Narrow" w:hAnsi="Arial Narrow" w:cs="Arial Narrow"/>
                <w:color w:val="333333"/>
                <w:sz w:val="20"/>
                <w:szCs w:val="20"/>
              </w:rPr>
              <w:t xml:space="preserve"> the last course of systemic chemotherapy given as intensive combination chemotherapy treatment of ALL/as subsequent salvage therapy, whichever was the later, measured using flow cytometry/molecular methods</w:t>
            </w:r>
          </w:p>
        </w:tc>
      </w:tr>
      <w:tr w:rsidR="00B31A07" w:rsidRPr="00B31A07" w14:paraId="37487B0D" w14:textId="77777777" w:rsidTr="002032F6">
        <w:trPr>
          <w:cantSplit/>
          <w:trHeight w:val="20"/>
        </w:trPr>
        <w:tc>
          <w:tcPr>
            <w:tcW w:w="1271" w:type="dxa"/>
            <w:gridSpan w:val="2"/>
            <w:tcMar>
              <w:left w:w="20" w:type="dxa"/>
              <w:right w:w="20" w:type="dxa"/>
            </w:tcMar>
          </w:tcPr>
          <w:p w14:paraId="2D19C558" w14:textId="77777777" w:rsidR="00B31A07" w:rsidRPr="00B31A07" w:rsidRDefault="00B31A07" w:rsidP="00B31A07">
            <w:pPr>
              <w:jc w:val="center"/>
              <w:rPr>
                <w:rFonts w:ascii="Arial Narrow" w:hAnsi="Arial Narrow"/>
                <w:sz w:val="20"/>
                <w:szCs w:val="20"/>
              </w:rPr>
            </w:pPr>
            <w:r w:rsidRPr="00B31A07">
              <w:rPr>
                <w:rFonts w:ascii="Arial Narrow" w:eastAsia="Arial Narrow" w:hAnsi="Arial Narrow" w:cs="Arial Narrow"/>
                <w:color w:val="333333"/>
                <w:sz w:val="20"/>
                <w:szCs w:val="20"/>
              </w:rPr>
              <w:t xml:space="preserve"> </w:t>
            </w:r>
          </w:p>
        </w:tc>
        <w:tc>
          <w:tcPr>
            <w:tcW w:w="7743" w:type="dxa"/>
            <w:gridSpan w:val="4"/>
            <w:tcMar>
              <w:left w:w="20" w:type="dxa"/>
              <w:right w:w="20" w:type="dxa"/>
            </w:tcMar>
          </w:tcPr>
          <w:p w14:paraId="50B47DBC"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b/>
                <w:bCs/>
                <w:color w:val="333333"/>
                <w:sz w:val="20"/>
                <w:szCs w:val="20"/>
              </w:rPr>
              <w:t>AND</w:t>
            </w:r>
          </w:p>
        </w:tc>
      </w:tr>
      <w:tr w:rsidR="00B31A07" w:rsidRPr="00B31A07" w14:paraId="4BA98F86" w14:textId="77777777" w:rsidTr="002032F6">
        <w:trPr>
          <w:cantSplit/>
          <w:trHeight w:val="20"/>
        </w:trPr>
        <w:tc>
          <w:tcPr>
            <w:tcW w:w="1271" w:type="dxa"/>
            <w:gridSpan w:val="2"/>
            <w:tcMar>
              <w:left w:w="20" w:type="dxa"/>
              <w:right w:w="20" w:type="dxa"/>
            </w:tcMar>
          </w:tcPr>
          <w:p w14:paraId="72A56ED2" w14:textId="3119FEDD" w:rsidR="00B31A07" w:rsidRPr="00B31A07" w:rsidRDefault="00B31A07" w:rsidP="1797D1E5">
            <w:pPr>
              <w:jc w:val="center"/>
              <w:rPr>
                <w:rFonts w:ascii="Arial Narrow" w:eastAsia="Arial Narrow" w:hAnsi="Arial Narrow" w:cs="Arial Narrow"/>
                <w:color w:val="333333"/>
                <w:sz w:val="20"/>
                <w:szCs w:val="20"/>
              </w:rPr>
            </w:pPr>
          </w:p>
        </w:tc>
        <w:tc>
          <w:tcPr>
            <w:tcW w:w="7743" w:type="dxa"/>
            <w:gridSpan w:val="4"/>
            <w:tcMar>
              <w:left w:w="20" w:type="dxa"/>
              <w:right w:w="20" w:type="dxa"/>
            </w:tcMar>
          </w:tcPr>
          <w:p w14:paraId="4F996AF8"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b/>
                <w:bCs/>
                <w:color w:val="333333"/>
                <w:sz w:val="20"/>
                <w:szCs w:val="20"/>
              </w:rPr>
              <w:t>Clinical criteria:</w:t>
            </w:r>
          </w:p>
        </w:tc>
      </w:tr>
      <w:tr w:rsidR="00B31A07" w:rsidRPr="00B31A07" w14:paraId="7F44AB38" w14:textId="77777777" w:rsidTr="002032F6">
        <w:trPr>
          <w:cantSplit/>
          <w:trHeight w:val="20"/>
        </w:trPr>
        <w:tc>
          <w:tcPr>
            <w:tcW w:w="1271" w:type="dxa"/>
            <w:gridSpan w:val="2"/>
            <w:tcMar>
              <w:left w:w="20" w:type="dxa"/>
              <w:right w:w="20" w:type="dxa"/>
            </w:tcMar>
          </w:tcPr>
          <w:p w14:paraId="42F3E2F1" w14:textId="7564021F" w:rsidR="00B31A07" w:rsidRPr="00B31A07" w:rsidRDefault="00B31A07" w:rsidP="1797D1E5">
            <w:pPr>
              <w:jc w:val="center"/>
              <w:rPr>
                <w:rFonts w:ascii="Arial Narrow" w:eastAsia="Arial Narrow" w:hAnsi="Arial Narrow" w:cs="Arial Narrow"/>
                <w:color w:val="333333"/>
                <w:sz w:val="20"/>
                <w:szCs w:val="20"/>
              </w:rPr>
            </w:pPr>
          </w:p>
        </w:tc>
        <w:tc>
          <w:tcPr>
            <w:tcW w:w="7743" w:type="dxa"/>
            <w:gridSpan w:val="4"/>
            <w:tcMar>
              <w:left w:w="20" w:type="dxa"/>
              <w:right w:w="20" w:type="dxa"/>
            </w:tcMar>
          </w:tcPr>
          <w:p w14:paraId="21561A89"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color w:val="333333"/>
                <w:sz w:val="20"/>
                <w:szCs w:val="20"/>
              </w:rPr>
              <w:t>The treatment must not be more than 2 treatment cycles under this restriction in a lifetime</w:t>
            </w:r>
          </w:p>
        </w:tc>
      </w:tr>
      <w:tr w:rsidR="00B31A07" w:rsidRPr="00B31A07" w14:paraId="13C9CB10" w14:textId="77777777" w:rsidTr="002032F6">
        <w:trPr>
          <w:cantSplit/>
          <w:trHeight w:val="20"/>
        </w:trPr>
        <w:tc>
          <w:tcPr>
            <w:tcW w:w="1271" w:type="dxa"/>
            <w:gridSpan w:val="2"/>
            <w:tcMar>
              <w:left w:w="20" w:type="dxa"/>
              <w:right w:w="20" w:type="dxa"/>
            </w:tcMar>
          </w:tcPr>
          <w:p w14:paraId="08697F0E" w14:textId="02918946" w:rsidR="00B31A07" w:rsidRPr="00B31A07" w:rsidRDefault="00B31A07" w:rsidP="1797D1E5">
            <w:pPr>
              <w:jc w:val="center"/>
              <w:rPr>
                <w:rFonts w:ascii="Arial Narrow" w:eastAsia="Arial Narrow" w:hAnsi="Arial Narrow" w:cs="Arial Narrow"/>
                <w:color w:val="333333"/>
                <w:sz w:val="20"/>
                <w:szCs w:val="20"/>
              </w:rPr>
            </w:pPr>
          </w:p>
        </w:tc>
        <w:tc>
          <w:tcPr>
            <w:tcW w:w="7743" w:type="dxa"/>
            <w:gridSpan w:val="4"/>
            <w:tcMar>
              <w:left w:w="20" w:type="dxa"/>
              <w:right w:w="20" w:type="dxa"/>
            </w:tcMar>
          </w:tcPr>
          <w:p w14:paraId="523BEB5D"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b/>
                <w:bCs/>
                <w:color w:val="333333"/>
                <w:sz w:val="20"/>
                <w:szCs w:val="20"/>
              </w:rPr>
              <w:t>Caution:</w:t>
            </w:r>
          </w:p>
          <w:p w14:paraId="5FC1403A"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color w:val="333333"/>
                <w:sz w:val="20"/>
                <w:szCs w:val="20"/>
              </w:rPr>
              <w:t>Careful monitoring of patients is required due to risk of developing life-threatening Cytokine Release Syndrome, neurological toxicities and reactivation of John Cunningham virus (JC) viral infection.</w:t>
            </w:r>
          </w:p>
        </w:tc>
      </w:tr>
      <w:tr w:rsidR="00B31A07" w:rsidRPr="00B31A07" w14:paraId="2F9864A9" w14:textId="77777777" w:rsidTr="002032F6">
        <w:trPr>
          <w:cantSplit/>
          <w:trHeight w:val="20"/>
        </w:trPr>
        <w:tc>
          <w:tcPr>
            <w:tcW w:w="1271" w:type="dxa"/>
            <w:gridSpan w:val="2"/>
            <w:tcMar>
              <w:left w:w="20" w:type="dxa"/>
              <w:right w:w="20" w:type="dxa"/>
            </w:tcMar>
          </w:tcPr>
          <w:p w14:paraId="3F7FDE0F" w14:textId="506AE966" w:rsidR="00B31A07" w:rsidRPr="00B31A07" w:rsidRDefault="00B31A07" w:rsidP="1797D1E5">
            <w:pPr>
              <w:jc w:val="center"/>
              <w:rPr>
                <w:rFonts w:ascii="Arial Narrow" w:eastAsia="Arial Narrow" w:hAnsi="Arial Narrow" w:cs="Arial Narrow"/>
                <w:color w:val="333333"/>
                <w:sz w:val="20"/>
                <w:szCs w:val="20"/>
              </w:rPr>
            </w:pPr>
          </w:p>
        </w:tc>
        <w:tc>
          <w:tcPr>
            <w:tcW w:w="7743" w:type="dxa"/>
            <w:gridSpan w:val="4"/>
            <w:tcMar>
              <w:left w:w="20" w:type="dxa"/>
              <w:right w:w="20" w:type="dxa"/>
            </w:tcMar>
          </w:tcPr>
          <w:p w14:paraId="2776B699"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b/>
                <w:bCs/>
                <w:color w:val="333333"/>
                <w:sz w:val="20"/>
                <w:szCs w:val="20"/>
              </w:rPr>
              <w:t>Prescribing Instructions:</w:t>
            </w:r>
          </w:p>
          <w:p w14:paraId="1047DA8F"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color w:val="333333"/>
                <w:sz w:val="20"/>
                <w:szCs w:val="20"/>
              </w:rPr>
              <w:t>According to the TGA-approved Product Information, hospitalisation is recommended at minimum for the first 3 days of the first cycle and the first 2 days of the second cycle.</w:t>
            </w:r>
          </w:p>
        </w:tc>
      </w:tr>
      <w:tr w:rsidR="00B31A07" w:rsidRPr="00B31A07" w14:paraId="15E2C48F" w14:textId="77777777" w:rsidTr="002032F6">
        <w:trPr>
          <w:cantSplit/>
          <w:trHeight w:val="20"/>
        </w:trPr>
        <w:tc>
          <w:tcPr>
            <w:tcW w:w="1271" w:type="dxa"/>
            <w:gridSpan w:val="2"/>
            <w:tcMar>
              <w:left w:w="20" w:type="dxa"/>
              <w:right w:w="20" w:type="dxa"/>
            </w:tcMar>
          </w:tcPr>
          <w:p w14:paraId="045A7087" w14:textId="1162AB11" w:rsidR="00B31A07" w:rsidRPr="00B31A07" w:rsidRDefault="00B31A07" w:rsidP="1797D1E5">
            <w:pPr>
              <w:jc w:val="center"/>
              <w:rPr>
                <w:rFonts w:ascii="Arial Narrow" w:eastAsia="Arial Narrow" w:hAnsi="Arial Narrow" w:cs="Arial Narrow"/>
                <w:color w:val="333333"/>
                <w:sz w:val="20"/>
                <w:szCs w:val="20"/>
              </w:rPr>
            </w:pPr>
          </w:p>
        </w:tc>
        <w:tc>
          <w:tcPr>
            <w:tcW w:w="7743" w:type="dxa"/>
            <w:gridSpan w:val="4"/>
            <w:tcMar>
              <w:left w:w="20" w:type="dxa"/>
              <w:right w:w="20" w:type="dxa"/>
            </w:tcMar>
          </w:tcPr>
          <w:p w14:paraId="1C9BA950"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b/>
                <w:bCs/>
                <w:color w:val="333333"/>
                <w:sz w:val="20"/>
                <w:szCs w:val="20"/>
              </w:rPr>
              <w:t>Prescribing Instructions:</w:t>
            </w:r>
          </w:p>
          <w:p w14:paraId="1ABB135E"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color w:val="333333"/>
                <w:sz w:val="20"/>
                <w:szCs w:val="20"/>
              </w:rPr>
              <w:t>For all subsequent cycle starts and re-initiation (e.g. if treatment is interrupted for four or more hours), supervision by a health care professional or hospitalisation is recommended.</w:t>
            </w:r>
          </w:p>
        </w:tc>
      </w:tr>
      <w:tr w:rsidR="00B31A07" w:rsidRPr="00B31A07" w14:paraId="7A96A979" w14:textId="77777777" w:rsidTr="002032F6">
        <w:trPr>
          <w:cantSplit/>
          <w:trHeight w:val="20"/>
        </w:trPr>
        <w:tc>
          <w:tcPr>
            <w:tcW w:w="1271" w:type="dxa"/>
            <w:gridSpan w:val="2"/>
            <w:tcMar>
              <w:left w:w="20" w:type="dxa"/>
              <w:right w:w="20" w:type="dxa"/>
            </w:tcMar>
          </w:tcPr>
          <w:p w14:paraId="379B5966" w14:textId="15B198AB" w:rsidR="00B31A07" w:rsidRPr="00B31A07" w:rsidRDefault="00B31A07" w:rsidP="1797D1E5">
            <w:pPr>
              <w:jc w:val="center"/>
              <w:rPr>
                <w:rFonts w:ascii="Arial Narrow" w:eastAsia="Arial Narrow" w:hAnsi="Arial Narrow" w:cs="Arial Narrow"/>
                <w:color w:val="333333"/>
                <w:sz w:val="20"/>
                <w:szCs w:val="20"/>
              </w:rPr>
            </w:pPr>
          </w:p>
        </w:tc>
        <w:tc>
          <w:tcPr>
            <w:tcW w:w="7743" w:type="dxa"/>
            <w:gridSpan w:val="4"/>
            <w:tcMar>
              <w:left w:w="20" w:type="dxa"/>
              <w:right w:w="20" w:type="dxa"/>
            </w:tcMar>
          </w:tcPr>
          <w:p w14:paraId="5DC1616A"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b/>
                <w:bCs/>
                <w:color w:val="333333"/>
                <w:sz w:val="20"/>
                <w:szCs w:val="20"/>
              </w:rPr>
              <w:t>Prescribing Instructions:</w:t>
            </w:r>
          </w:p>
          <w:p w14:paraId="5EC304A9"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color w:val="333333"/>
                <w:sz w:val="20"/>
                <w:szCs w:val="20"/>
              </w:rPr>
              <w:t>An amount of 784 mcg will be sufficient for a continuous infusion of blinatumomab over 28 days in each cycle.</w:t>
            </w:r>
          </w:p>
        </w:tc>
      </w:tr>
      <w:tr w:rsidR="00B31A07" w:rsidRPr="00B31A07" w14:paraId="0EC9AAC7" w14:textId="77777777" w:rsidTr="002032F6">
        <w:trPr>
          <w:cantSplit/>
          <w:trHeight w:val="20"/>
        </w:trPr>
        <w:tc>
          <w:tcPr>
            <w:tcW w:w="1271" w:type="dxa"/>
            <w:gridSpan w:val="2"/>
            <w:tcMar>
              <w:left w:w="20" w:type="dxa"/>
              <w:right w:w="20" w:type="dxa"/>
            </w:tcMar>
          </w:tcPr>
          <w:p w14:paraId="00F07E3F" w14:textId="44F1C216" w:rsidR="00B31A07" w:rsidRPr="00B31A07" w:rsidRDefault="00B31A07" w:rsidP="1797D1E5">
            <w:pPr>
              <w:jc w:val="center"/>
              <w:rPr>
                <w:rFonts w:ascii="Arial Narrow" w:eastAsia="Arial Narrow" w:hAnsi="Arial Narrow" w:cs="Arial Narrow"/>
                <w:color w:val="333333"/>
                <w:sz w:val="20"/>
                <w:szCs w:val="20"/>
              </w:rPr>
            </w:pPr>
          </w:p>
        </w:tc>
        <w:tc>
          <w:tcPr>
            <w:tcW w:w="7743" w:type="dxa"/>
            <w:gridSpan w:val="4"/>
            <w:tcMar>
              <w:left w:w="20" w:type="dxa"/>
              <w:right w:w="20" w:type="dxa"/>
            </w:tcMar>
          </w:tcPr>
          <w:p w14:paraId="2527F0F5"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b/>
                <w:bCs/>
                <w:color w:val="333333"/>
                <w:sz w:val="20"/>
                <w:szCs w:val="20"/>
              </w:rPr>
              <w:t>Prescribing Instructions:</w:t>
            </w:r>
          </w:p>
          <w:p w14:paraId="0853B815"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color w:val="333333"/>
                <w:sz w:val="20"/>
                <w:szCs w:val="20"/>
              </w:rPr>
              <w:t>Blinatumomab is not PBS-subsidised if it is administered to an in-patient in a public hospital setting.</w:t>
            </w:r>
          </w:p>
        </w:tc>
      </w:tr>
      <w:tr w:rsidR="00B31A07" w:rsidRPr="00B31A07" w14:paraId="593E35F1" w14:textId="77777777" w:rsidTr="002032F6">
        <w:trPr>
          <w:cantSplit/>
          <w:trHeight w:val="20"/>
        </w:trPr>
        <w:tc>
          <w:tcPr>
            <w:tcW w:w="1271" w:type="dxa"/>
            <w:gridSpan w:val="2"/>
            <w:tcMar>
              <w:left w:w="20" w:type="dxa"/>
              <w:right w:w="20" w:type="dxa"/>
            </w:tcMar>
          </w:tcPr>
          <w:p w14:paraId="69A94568" w14:textId="689085D9" w:rsidR="00B31A07" w:rsidRPr="00B31A07" w:rsidRDefault="00B31A07" w:rsidP="1797D1E5">
            <w:pPr>
              <w:jc w:val="center"/>
              <w:rPr>
                <w:rFonts w:ascii="Arial Narrow" w:eastAsia="Arial Narrow" w:hAnsi="Arial Narrow" w:cs="Arial Narrow"/>
                <w:color w:val="333333"/>
                <w:sz w:val="20"/>
                <w:szCs w:val="20"/>
              </w:rPr>
            </w:pPr>
          </w:p>
        </w:tc>
        <w:tc>
          <w:tcPr>
            <w:tcW w:w="7743" w:type="dxa"/>
            <w:gridSpan w:val="4"/>
            <w:tcMar>
              <w:left w:w="20" w:type="dxa"/>
              <w:right w:w="20" w:type="dxa"/>
            </w:tcMar>
          </w:tcPr>
          <w:p w14:paraId="1DD89650"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b/>
                <w:bCs/>
                <w:color w:val="333333"/>
                <w:sz w:val="20"/>
                <w:szCs w:val="20"/>
              </w:rPr>
              <w:t>Prescribing Instructions:</w:t>
            </w:r>
          </w:p>
          <w:p w14:paraId="190B5009"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color w:val="333333"/>
                <w:sz w:val="20"/>
                <w:szCs w:val="20"/>
              </w:rPr>
              <w:t>The authority application must be made in writing and must include:</w:t>
            </w:r>
          </w:p>
          <w:p w14:paraId="620A1BFF"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color w:val="333333"/>
                <w:sz w:val="20"/>
                <w:szCs w:val="20"/>
              </w:rPr>
              <w:t>(1) details of the proposed prescription; and</w:t>
            </w:r>
          </w:p>
          <w:p w14:paraId="38E0DE5A"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color w:val="333333"/>
                <w:sz w:val="20"/>
                <w:szCs w:val="20"/>
              </w:rPr>
              <w:t xml:space="preserve">(2) a completed </w:t>
            </w:r>
            <w:r w:rsidRPr="00B31A07">
              <w:rPr>
                <w:rFonts w:ascii="Arial Narrow" w:eastAsia="Arial Narrow" w:hAnsi="Arial Narrow" w:cs="Arial Narrow"/>
                <w:strike/>
                <w:color w:val="333333"/>
                <w:sz w:val="20"/>
                <w:szCs w:val="20"/>
              </w:rPr>
              <w:t>Measurable residual disease positive</w:t>
            </w:r>
            <w:r w:rsidRPr="00B31A07">
              <w:rPr>
                <w:rFonts w:ascii="Arial Narrow" w:eastAsia="Arial Narrow" w:hAnsi="Arial Narrow" w:cs="Arial Narrow"/>
                <w:color w:val="333333"/>
                <w:sz w:val="20"/>
                <w:szCs w:val="20"/>
              </w:rPr>
              <w:t xml:space="preserve"> Acute Lymphoblastic Leukaemia </w:t>
            </w:r>
            <w:r w:rsidRPr="00B31A07">
              <w:rPr>
                <w:rFonts w:ascii="Arial Narrow" w:eastAsia="Arial Narrow" w:hAnsi="Arial Narrow" w:cs="Arial Narrow"/>
                <w:i/>
                <w:iCs/>
                <w:color w:val="333333"/>
                <w:sz w:val="20"/>
                <w:szCs w:val="20"/>
              </w:rPr>
              <w:t>in complete haematological remission</w:t>
            </w:r>
            <w:r w:rsidRPr="00B31A07">
              <w:rPr>
                <w:rFonts w:ascii="Arial Narrow" w:eastAsia="Arial Narrow" w:hAnsi="Arial Narrow" w:cs="Arial Narrow"/>
                <w:color w:val="333333"/>
                <w:sz w:val="20"/>
                <w:szCs w:val="20"/>
              </w:rPr>
              <w:t xml:space="preserve"> PBS Authority Application - Supporting Information Form; and</w:t>
            </w:r>
          </w:p>
          <w:p w14:paraId="25BEFEEF"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color w:val="333333"/>
                <w:sz w:val="20"/>
                <w:szCs w:val="20"/>
              </w:rPr>
              <w:t>(3) date of most recent chemotherapy, and if this was the initial chemotherapy regimen or salvage therapy; and</w:t>
            </w:r>
          </w:p>
          <w:p w14:paraId="2B46E14E"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color w:val="333333"/>
                <w:sz w:val="20"/>
                <w:szCs w:val="20"/>
              </w:rPr>
              <w:t>(4) the percentage blasts in bone marrow count that is no more than 4 weeks old at the time of application.</w:t>
            </w:r>
          </w:p>
        </w:tc>
      </w:tr>
      <w:tr w:rsidR="00B31A07" w:rsidRPr="00B31A07" w14:paraId="4A6E0691" w14:textId="77777777" w:rsidTr="002032F6">
        <w:trPr>
          <w:cantSplit/>
          <w:trHeight w:val="20"/>
        </w:trPr>
        <w:tc>
          <w:tcPr>
            <w:tcW w:w="1271" w:type="dxa"/>
            <w:gridSpan w:val="2"/>
            <w:tcMar>
              <w:left w:w="20" w:type="dxa"/>
              <w:right w:w="20" w:type="dxa"/>
            </w:tcMar>
          </w:tcPr>
          <w:p w14:paraId="42A838C4" w14:textId="34456F95" w:rsidR="00B31A07" w:rsidRPr="00B31A07" w:rsidRDefault="00B31A07" w:rsidP="1797D1E5">
            <w:pPr>
              <w:jc w:val="center"/>
              <w:rPr>
                <w:rFonts w:ascii="Arial Narrow" w:eastAsia="Arial Narrow" w:hAnsi="Arial Narrow" w:cs="Arial Narrow"/>
                <w:color w:val="333333"/>
                <w:sz w:val="20"/>
                <w:szCs w:val="20"/>
              </w:rPr>
            </w:pPr>
          </w:p>
        </w:tc>
        <w:tc>
          <w:tcPr>
            <w:tcW w:w="7743" w:type="dxa"/>
            <w:gridSpan w:val="4"/>
            <w:tcMar>
              <w:left w:w="20" w:type="dxa"/>
              <w:right w:w="20" w:type="dxa"/>
            </w:tcMar>
          </w:tcPr>
          <w:p w14:paraId="4A96855A"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b/>
                <w:bCs/>
                <w:color w:val="333333"/>
                <w:sz w:val="20"/>
                <w:szCs w:val="20"/>
              </w:rPr>
              <w:t>Prescribing Instructions:</w:t>
            </w:r>
          </w:p>
          <w:p w14:paraId="0B86B8D9"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color w:val="333333"/>
                <w:sz w:val="20"/>
                <w:szCs w:val="20"/>
              </w:rPr>
              <w:t>Patients who fail to demonstrate a response to PBS-subsidised treatment with this agent at the time where an assessment is required must cease PBS-subsidised therapy with this agent.</w:t>
            </w:r>
          </w:p>
        </w:tc>
      </w:tr>
      <w:tr w:rsidR="00B31A07" w:rsidRPr="00B31A07" w14:paraId="6874EA18" w14:textId="77777777" w:rsidTr="002032F6">
        <w:trPr>
          <w:cantSplit/>
          <w:trHeight w:val="20"/>
        </w:trPr>
        <w:tc>
          <w:tcPr>
            <w:tcW w:w="1271" w:type="dxa"/>
            <w:gridSpan w:val="2"/>
            <w:tcMar>
              <w:left w:w="20" w:type="dxa"/>
              <w:right w:w="20" w:type="dxa"/>
            </w:tcMar>
          </w:tcPr>
          <w:p w14:paraId="79FEC92E" w14:textId="4B26F847" w:rsidR="00B31A07" w:rsidRPr="00B31A07" w:rsidRDefault="00B31A07" w:rsidP="1797D1E5">
            <w:pPr>
              <w:jc w:val="center"/>
              <w:rPr>
                <w:rFonts w:ascii="Arial Narrow" w:eastAsia="Arial Narrow" w:hAnsi="Arial Narrow" w:cs="Arial Narrow"/>
                <w:color w:val="333333"/>
                <w:sz w:val="20"/>
                <w:szCs w:val="20"/>
              </w:rPr>
            </w:pPr>
          </w:p>
        </w:tc>
        <w:tc>
          <w:tcPr>
            <w:tcW w:w="7743" w:type="dxa"/>
            <w:gridSpan w:val="4"/>
            <w:tcMar>
              <w:left w:w="20" w:type="dxa"/>
              <w:right w:w="20" w:type="dxa"/>
            </w:tcMar>
          </w:tcPr>
          <w:p w14:paraId="3E78E81E"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b/>
                <w:bCs/>
                <w:color w:val="333333"/>
                <w:sz w:val="20"/>
                <w:szCs w:val="20"/>
              </w:rPr>
              <w:t>Administrative Advice:</w:t>
            </w:r>
          </w:p>
          <w:p w14:paraId="3F6D8ADC"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color w:val="333333"/>
                <w:sz w:val="20"/>
                <w:szCs w:val="20"/>
              </w:rPr>
              <w:t>A complete remission is defined as bone marrow blasts of less than or equal to 5%, no evidence of disease and a full recovery of peripheral blood counts with platelets of greater than 100,000 per microliter, and absolute neutrophil count (ANC) of greater than 1,000 per microliter.</w:t>
            </w:r>
          </w:p>
        </w:tc>
      </w:tr>
      <w:tr w:rsidR="00B31A07" w:rsidRPr="00B31A07" w14:paraId="6CD5A8C2" w14:textId="77777777" w:rsidTr="002032F6">
        <w:trPr>
          <w:cantSplit/>
          <w:trHeight w:val="20"/>
        </w:trPr>
        <w:tc>
          <w:tcPr>
            <w:tcW w:w="1271" w:type="dxa"/>
            <w:gridSpan w:val="2"/>
            <w:tcMar>
              <w:left w:w="20" w:type="dxa"/>
              <w:right w:w="20" w:type="dxa"/>
            </w:tcMar>
          </w:tcPr>
          <w:p w14:paraId="4DA08C15" w14:textId="2D28EE74" w:rsidR="00B31A07" w:rsidRPr="00B31A07" w:rsidRDefault="00B31A07" w:rsidP="1797D1E5">
            <w:pPr>
              <w:jc w:val="center"/>
              <w:rPr>
                <w:rFonts w:ascii="Arial Narrow" w:eastAsia="Arial Narrow" w:hAnsi="Arial Narrow" w:cs="Arial Narrow"/>
                <w:color w:val="333333"/>
                <w:sz w:val="20"/>
                <w:szCs w:val="20"/>
              </w:rPr>
            </w:pPr>
          </w:p>
        </w:tc>
        <w:tc>
          <w:tcPr>
            <w:tcW w:w="7743" w:type="dxa"/>
            <w:gridSpan w:val="4"/>
            <w:tcMar>
              <w:left w:w="20" w:type="dxa"/>
              <w:right w:w="20" w:type="dxa"/>
            </w:tcMar>
          </w:tcPr>
          <w:p w14:paraId="232AEC41"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b/>
                <w:bCs/>
                <w:color w:val="333333"/>
                <w:sz w:val="20"/>
                <w:szCs w:val="20"/>
              </w:rPr>
              <w:t>Administrative Advice:</w:t>
            </w:r>
          </w:p>
          <w:p w14:paraId="40B63F4C"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color w:val="333333"/>
                <w:sz w:val="20"/>
                <w:szCs w:val="20"/>
              </w:rPr>
              <w:t>Any queries concerning the arrangements to prescribe may be directed to Services Australia on 1800 700 270 (hours of operation 8 a.m. to 5 p.m. Monday to Friday).</w:t>
            </w:r>
          </w:p>
          <w:p w14:paraId="2AA71D9A"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color w:val="333333"/>
                <w:sz w:val="20"/>
                <w:szCs w:val="20"/>
              </w:rPr>
              <w:t xml:space="preserve">Prescribing information (including Authority Application forms and other relevant documentation as applicable) is available on the Services Australia website at </w:t>
            </w:r>
            <w:hyperlink>
              <w:r w:rsidRPr="00B31A07">
                <w:rPr>
                  <w:rFonts w:ascii="Arial Narrow" w:eastAsia="Arial Narrow" w:hAnsi="Arial Narrow" w:cs="Arial Narrow"/>
                  <w:color w:val="0000FF" w:themeColor="hyperlink"/>
                  <w:sz w:val="20"/>
                  <w:szCs w:val="20"/>
                  <w:u w:val="single"/>
                </w:rPr>
                <w:t>www.servicesaustralia.gov.au</w:t>
              </w:r>
            </w:hyperlink>
          </w:p>
          <w:p w14:paraId="6827725D"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color w:val="333333"/>
                <w:sz w:val="20"/>
                <w:szCs w:val="20"/>
              </w:rPr>
              <w:t xml:space="preserve">Applications for authority to prescribe should be submitted online using the form upload facility in Health Professional Online Services (HPOS) at </w:t>
            </w:r>
            <w:hyperlink>
              <w:r w:rsidRPr="00B31A07">
                <w:rPr>
                  <w:rFonts w:ascii="Arial Narrow" w:eastAsia="Arial Narrow" w:hAnsi="Arial Narrow" w:cs="Arial Narrow"/>
                  <w:color w:val="0000FF" w:themeColor="hyperlink"/>
                  <w:sz w:val="20"/>
                  <w:szCs w:val="20"/>
                  <w:u w:val="single"/>
                </w:rPr>
                <w:t>www.servicesaustralia.gov.au/hpos</w:t>
              </w:r>
            </w:hyperlink>
          </w:p>
          <w:p w14:paraId="4C5B3652"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color w:val="333333"/>
                <w:sz w:val="20"/>
                <w:szCs w:val="20"/>
              </w:rPr>
              <w:t>Or mailed to:</w:t>
            </w:r>
          </w:p>
          <w:p w14:paraId="623FCE24"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color w:val="333333"/>
                <w:sz w:val="20"/>
                <w:szCs w:val="20"/>
              </w:rPr>
              <w:t>Services Australia</w:t>
            </w:r>
          </w:p>
          <w:p w14:paraId="44D41990"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color w:val="333333"/>
                <w:sz w:val="20"/>
                <w:szCs w:val="20"/>
              </w:rPr>
              <w:t>Complex Drugs</w:t>
            </w:r>
          </w:p>
          <w:p w14:paraId="17E58507"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color w:val="333333"/>
                <w:sz w:val="20"/>
                <w:szCs w:val="20"/>
              </w:rPr>
              <w:t>Reply Paid 9826</w:t>
            </w:r>
          </w:p>
          <w:p w14:paraId="5B2D1D9B"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color w:val="333333"/>
                <w:sz w:val="20"/>
                <w:szCs w:val="20"/>
              </w:rPr>
              <w:t>HOBART TAS 7001</w:t>
            </w:r>
          </w:p>
        </w:tc>
      </w:tr>
      <w:tr w:rsidR="00B31A07" w:rsidRPr="00B31A07" w14:paraId="408E1AD6" w14:textId="77777777" w:rsidTr="002032F6">
        <w:trPr>
          <w:cantSplit/>
          <w:trHeight w:val="20"/>
        </w:trPr>
        <w:tc>
          <w:tcPr>
            <w:tcW w:w="9014" w:type="dxa"/>
            <w:gridSpan w:val="6"/>
            <w:tcMar>
              <w:left w:w="20" w:type="dxa"/>
              <w:right w:w="20" w:type="dxa"/>
            </w:tcMar>
          </w:tcPr>
          <w:p w14:paraId="5BB8186E" w14:textId="77777777" w:rsidR="00B31A07" w:rsidRPr="00B31A07" w:rsidRDefault="00B31A07" w:rsidP="00B31A07">
            <w:pPr>
              <w:jc w:val="left"/>
              <w:rPr>
                <w:rFonts w:ascii="Arial Narrow" w:hAnsi="Arial Narrow"/>
                <w:sz w:val="20"/>
                <w:szCs w:val="20"/>
              </w:rPr>
            </w:pPr>
          </w:p>
        </w:tc>
      </w:tr>
      <w:tr w:rsidR="00B31A07" w:rsidRPr="00B31A07" w14:paraId="265CB4CF" w14:textId="77777777" w:rsidTr="002032F6">
        <w:trPr>
          <w:cantSplit/>
          <w:trHeight w:val="20"/>
        </w:trPr>
        <w:tc>
          <w:tcPr>
            <w:tcW w:w="9014" w:type="dxa"/>
            <w:gridSpan w:val="6"/>
            <w:tcMar>
              <w:left w:w="20" w:type="dxa"/>
              <w:right w:w="20" w:type="dxa"/>
            </w:tcMar>
          </w:tcPr>
          <w:p w14:paraId="26A86CA5"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color w:val="FF0000"/>
                <w:sz w:val="20"/>
                <w:szCs w:val="20"/>
              </w:rPr>
              <w:t xml:space="preserve"> </w:t>
            </w:r>
          </w:p>
        </w:tc>
      </w:tr>
      <w:tr w:rsidR="00B31A07" w:rsidRPr="00B31A07" w14:paraId="554D7044" w14:textId="77777777" w:rsidTr="002032F6">
        <w:trPr>
          <w:cantSplit/>
          <w:trHeight w:val="20"/>
        </w:trPr>
        <w:tc>
          <w:tcPr>
            <w:tcW w:w="9014" w:type="dxa"/>
            <w:gridSpan w:val="6"/>
            <w:tcMar>
              <w:left w:w="20" w:type="dxa"/>
              <w:right w:w="20" w:type="dxa"/>
            </w:tcMar>
          </w:tcPr>
          <w:p w14:paraId="4D912BE3" w14:textId="24EB1E65" w:rsidR="00B31A07" w:rsidRPr="00B31A07" w:rsidRDefault="00B31A07" w:rsidP="1797D1E5">
            <w:pPr>
              <w:jc w:val="left"/>
              <w:rPr>
                <w:rFonts w:ascii="Arial Narrow" w:eastAsia="Arial Narrow" w:hAnsi="Arial Narrow" w:cs="Arial Narrow"/>
                <w:b/>
                <w:bCs/>
                <w:sz w:val="20"/>
                <w:szCs w:val="20"/>
              </w:rPr>
            </w:pPr>
            <w:r w:rsidRPr="1797D1E5">
              <w:rPr>
                <w:rFonts w:ascii="Arial Narrow" w:eastAsia="Arial Narrow" w:hAnsi="Arial Narrow" w:cs="Arial Narrow"/>
                <w:b/>
                <w:bCs/>
                <w:sz w:val="20"/>
                <w:szCs w:val="20"/>
              </w:rPr>
              <w:t xml:space="preserve">Edit Restriction Summary [new] / Treatment of Concept: [new] </w:t>
            </w:r>
          </w:p>
        </w:tc>
      </w:tr>
      <w:tr w:rsidR="00B31A07" w:rsidRPr="00B31A07" w14:paraId="3C011AD8" w14:textId="77777777" w:rsidTr="002032F6">
        <w:trPr>
          <w:cantSplit/>
          <w:trHeight w:val="20"/>
        </w:trPr>
        <w:tc>
          <w:tcPr>
            <w:tcW w:w="1271" w:type="dxa"/>
            <w:gridSpan w:val="2"/>
            <w:vMerge w:val="restart"/>
            <w:tcMar>
              <w:left w:w="20" w:type="dxa"/>
              <w:right w:w="20" w:type="dxa"/>
            </w:tcMar>
          </w:tcPr>
          <w:p w14:paraId="16D8C183" w14:textId="60CD1DF5" w:rsidR="00B31A07" w:rsidRPr="00B31A07" w:rsidRDefault="00B31A07" w:rsidP="1797D1E5">
            <w:pPr>
              <w:jc w:val="center"/>
              <w:rPr>
                <w:rFonts w:ascii="Arial Narrow" w:eastAsia="Arial Narrow" w:hAnsi="Arial Narrow" w:cs="Arial Narrow"/>
                <w:sz w:val="20"/>
                <w:szCs w:val="20"/>
              </w:rPr>
            </w:pPr>
            <w:r>
              <w:lastRenderedPageBreak/>
              <w:br/>
            </w:r>
          </w:p>
        </w:tc>
        <w:tc>
          <w:tcPr>
            <w:tcW w:w="7743" w:type="dxa"/>
            <w:gridSpan w:val="4"/>
            <w:tcMar>
              <w:left w:w="20" w:type="dxa"/>
              <w:right w:w="20" w:type="dxa"/>
            </w:tcMar>
          </w:tcPr>
          <w:p w14:paraId="14848C25"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b/>
                <w:bCs/>
                <w:sz w:val="20"/>
                <w:szCs w:val="20"/>
              </w:rPr>
              <w:t xml:space="preserve">Category / Program: </w:t>
            </w:r>
            <w:r w:rsidRPr="00B31A07">
              <w:rPr>
                <w:rFonts w:ascii="Arial Narrow" w:eastAsia="Arial Narrow" w:hAnsi="Arial Narrow" w:cs="Arial Narrow"/>
                <w:sz w:val="20"/>
                <w:szCs w:val="20"/>
              </w:rPr>
              <w:t xml:space="preserve">Section 100 – Efficient Funding of Chemotherapy Public/Private hospitals {Related Benefits} </w:t>
            </w:r>
          </w:p>
        </w:tc>
      </w:tr>
      <w:tr w:rsidR="00B31A07" w:rsidRPr="00B31A07" w14:paraId="0F9F09FE" w14:textId="77777777" w:rsidTr="002032F6">
        <w:trPr>
          <w:cantSplit/>
          <w:trHeight w:val="20"/>
        </w:trPr>
        <w:tc>
          <w:tcPr>
            <w:tcW w:w="1271" w:type="dxa"/>
            <w:gridSpan w:val="2"/>
            <w:vMerge/>
            <w:tcMar>
              <w:left w:w="20" w:type="dxa"/>
              <w:right w:w="20" w:type="dxa"/>
            </w:tcMar>
            <w:vAlign w:val="center"/>
          </w:tcPr>
          <w:p w14:paraId="116F9B2D" w14:textId="77777777" w:rsidR="00B31A07" w:rsidRPr="00B31A07" w:rsidRDefault="00B31A07" w:rsidP="00B31A07">
            <w:pPr>
              <w:rPr>
                <w:rFonts w:ascii="Arial Narrow" w:hAnsi="Arial Narrow"/>
                <w:sz w:val="20"/>
                <w:szCs w:val="20"/>
              </w:rPr>
            </w:pPr>
          </w:p>
        </w:tc>
        <w:tc>
          <w:tcPr>
            <w:tcW w:w="7743" w:type="dxa"/>
            <w:gridSpan w:val="4"/>
            <w:tcMar>
              <w:left w:w="20" w:type="dxa"/>
              <w:right w:w="20" w:type="dxa"/>
            </w:tcMar>
          </w:tcPr>
          <w:p w14:paraId="01A0C480"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b/>
                <w:bCs/>
                <w:sz w:val="20"/>
                <w:szCs w:val="20"/>
              </w:rPr>
              <w:t xml:space="preserve">Prescriber type: </w:t>
            </w:r>
            <w:r w:rsidRPr="00B31A07">
              <w:rPr>
                <w:rFonts w:ascii="Arial Narrow" w:eastAsia="Arial Narrow" w:hAnsi="Arial Narrow" w:cs="Arial Narrow"/>
                <w:sz w:val="20"/>
                <w:szCs w:val="20"/>
              </w:rPr>
              <w:t xml:space="preserve">Medical Practitioners  </w:t>
            </w:r>
          </w:p>
        </w:tc>
      </w:tr>
      <w:tr w:rsidR="00B31A07" w:rsidRPr="00B31A07" w14:paraId="3489153A" w14:textId="77777777" w:rsidTr="002032F6">
        <w:trPr>
          <w:cantSplit/>
          <w:trHeight w:val="20"/>
        </w:trPr>
        <w:tc>
          <w:tcPr>
            <w:tcW w:w="1271" w:type="dxa"/>
            <w:gridSpan w:val="2"/>
            <w:vMerge/>
            <w:tcMar>
              <w:left w:w="20" w:type="dxa"/>
              <w:right w:w="20" w:type="dxa"/>
            </w:tcMar>
            <w:vAlign w:val="center"/>
          </w:tcPr>
          <w:p w14:paraId="634EFE2F" w14:textId="77777777" w:rsidR="00B31A07" w:rsidRPr="00B31A07" w:rsidRDefault="00B31A07" w:rsidP="00B31A07">
            <w:pPr>
              <w:rPr>
                <w:rFonts w:ascii="Arial Narrow" w:hAnsi="Arial Narrow"/>
                <w:sz w:val="20"/>
                <w:szCs w:val="20"/>
              </w:rPr>
            </w:pPr>
          </w:p>
        </w:tc>
        <w:tc>
          <w:tcPr>
            <w:tcW w:w="7743" w:type="dxa"/>
            <w:gridSpan w:val="4"/>
            <w:tcMar>
              <w:left w:w="20" w:type="dxa"/>
              <w:right w:w="20" w:type="dxa"/>
            </w:tcMar>
          </w:tcPr>
          <w:p w14:paraId="687A3D28"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b/>
                <w:bCs/>
                <w:sz w:val="20"/>
                <w:szCs w:val="20"/>
              </w:rPr>
              <w:t xml:space="preserve">Restriction type: </w:t>
            </w:r>
            <w:r w:rsidRPr="00B31A07">
              <w:rPr>
                <w:rFonts w:ascii="Arial Narrow" w:eastAsia="Arial Narrow" w:hAnsi="Arial Narrow" w:cs="Arial Narrow"/>
                <w:sz w:val="20"/>
                <w:szCs w:val="20"/>
              </w:rPr>
              <w:t xml:space="preserve">Authority Required (telephone/online PBS Authorities system) </w:t>
            </w:r>
          </w:p>
        </w:tc>
      </w:tr>
      <w:tr w:rsidR="00B31A07" w:rsidRPr="00B31A07" w14:paraId="1CA1402A" w14:textId="77777777" w:rsidTr="002032F6">
        <w:trPr>
          <w:cantSplit/>
          <w:trHeight w:val="20"/>
        </w:trPr>
        <w:tc>
          <w:tcPr>
            <w:tcW w:w="562" w:type="dxa"/>
            <w:vMerge w:val="restart"/>
            <w:tcMar>
              <w:left w:w="20" w:type="dxa"/>
              <w:right w:w="20" w:type="dxa"/>
            </w:tcMar>
            <w:textDirection w:val="btLr"/>
          </w:tcPr>
          <w:p w14:paraId="0A0028EA" w14:textId="522A4C46" w:rsidR="00B31A07" w:rsidRPr="00B31A07" w:rsidRDefault="00B31A07" w:rsidP="1797D1E5">
            <w:pPr>
              <w:ind w:left="113" w:right="105"/>
              <w:jc w:val="center"/>
              <w:rPr>
                <w:rFonts w:ascii="Arial Narrow" w:eastAsia="Arial Narrow" w:hAnsi="Arial Narrow" w:cs="Arial Narrow"/>
                <w:color w:val="333333"/>
                <w:sz w:val="20"/>
                <w:szCs w:val="20"/>
              </w:rPr>
            </w:pPr>
          </w:p>
        </w:tc>
        <w:tc>
          <w:tcPr>
            <w:tcW w:w="709" w:type="dxa"/>
            <w:tcMar>
              <w:left w:w="20" w:type="dxa"/>
              <w:right w:w="20" w:type="dxa"/>
            </w:tcMar>
          </w:tcPr>
          <w:p w14:paraId="432E607D" w14:textId="4C2D8E9F" w:rsidR="00B31A07" w:rsidRPr="00B31A07" w:rsidRDefault="00B31A07" w:rsidP="1797D1E5">
            <w:pPr>
              <w:ind w:left="30" w:hanging="30"/>
              <w:jc w:val="center"/>
              <w:rPr>
                <w:rFonts w:ascii="Arial Narrow" w:eastAsia="Arial Narrow" w:hAnsi="Arial Narrow" w:cs="Arial Narrow"/>
                <w:color w:val="333333"/>
                <w:sz w:val="20"/>
                <w:szCs w:val="20"/>
              </w:rPr>
            </w:pPr>
          </w:p>
        </w:tc>
        <w:tc>
          <w:tcPr>
            <w:tcW w:w="7743" w:type="dxa"/>
            <w:gridSpan w:val="4"/>
            <w:tcMar>
              <w:left w:w="20" w:type="dxa"/>
              <w:right w:w="20" w:type="dxa"/>
            </w:tcMar>
          </w:tcPr>
          <w:p w14:paraId="65388030"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b/>
                <w:bCs/>
                <w:color w:val="333333"/>
                <w:sz w:val="20"/>
                <w:szCs w:val="20"/>
              </w:rPr>
              <w:t>Administrative Advice:</w:t>
            </w:r>
            <w:r w:rsidRPr="00B31A07">
              <w:rPr>
                <w:rFonts w:ascii="Arial Narrow" w:eastAsia="Arial Narrow" w:hAnsi="Arial Narrow" w:cs="Arial Narrow"/>
                <w:color w:val="333333"/>
                <w:sz w:val="20"/>
                <w:szCs w:val="20"/>
              </w:rPr>
              <w:t xml:space="preserve"> </w:t>
            </w:r>
          </w:p>
          <w:p w14:paraId="439A970A"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sz w:val="20"/>
                <w:szCs w:val="20"/>
              </w:rPr>
              <w:t>No increase in the maximum quantity or number of units may be authorised.</w:t>
            </w:r>
          </w:p>
        </w:tc>
      </w:tr>
      <w:tr w:rsidR="00B31A07" w:rsidRPr="00B31A07" w14:paraId="30F79452" w14:textId="77777777" w:rsidTr="002032F6">
        <w:trPr>
          <w:cantSplit/>
          <w:trHeight w:val="20"/>
        </w:trPr>
        <w:tc>
          <w:tcPr>
            <w:tcW w:w="562" w:type="dxa"/>
            <w:vMerge/>
            <w:tcMar>
              <w:left w:w="20" w:type="dxa"/>
              <w:right w:w="20" w:type="dxa"/>
            </w:tcMar>
            <w:vAlign w:val="center"/>
          </w:tcPr>
          <w:p w14:paraId="71274374" w14:textId="77777777" w:rsidR="00B31A07" w:rsidRPr="00B31A07" w:rsidRDefault="00B31A07" w:rsidP="00B31A07">
            <w:pPr>
              <w:rPr>
                <w:rFonts w:ascii="Arial Narrow" w:hAnsi="Arial Narrow"/>
                <w:sz w:val="20"/>
                <w:szCs w:val="20"/>
              </w:rPr>
            </w:pPr>
          </w:p>
        </w:tc>
        <w:tc>
          <w:tcPr>
            <w:tcW w:w="709" w:type="dxa"/>
            <w:tcMar>
              <w:left w:w="20" w:type="dxa"/>
              <w:right w:w="20" w:type="dxa"/>
            </w:tcMar>
          </w:tcPr>
          <w:p w14:paraId="0A539BD3" w14:textId="4B87F4B8" w:rsidR="00B31A07" w:rsidRPr="00B31A07" w:rsidRDefault="00B31A07" w:rsidP="1797D1E5">
            <w:pPr>
              <w:ind w:left="30" w:hanging="30"/>
              <w:jc w:val="center"/>
              <w:rPr>
                <w:rFonts w:ascii="Arial Narrow" w:eastAsia="Arial Narrow" w:hAnsi="Arial Narrow" w:cs="Arial Narrow"/>
                <w:color w:val="333333"/>
                <w:sz w:val="20"/>
                <w:szCs w:val="20"/>
              </w:rPr>
            </w:pPr>
          </w:p>
        </w:tc>
        <w:tc>
          <w:tcPr>
            <w:tcW w:w="7743" w:type="dxa"/>
            <w:gridSpan w:val="4"/>
            <w:tcMar>
              <w:left w:w="20" w:type="dxa"/>
              <w:right w:w="20" w:type="dxa"/>
            </w:tcMar>
          </w:tcPr>
          <w:p w14:paraId="448DA9AC"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b/>
                <w:bCs/>
                <w:color w:val="333333"/>
                <w:sz w:val="20"/>
                <w:szCs w:val="20"/>
              </w:rPr>
              <w:t>Administrative Advice:</w:t>
            </w:r>
          </w:p>
          <w:p w14:paraId="09B2F1EC"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color w:val="333333"/>
                <w:sz w:val="20"/>
                <w:szCs w:val="20"/>
              </w:rPr>
              <w:t>No increase in the maximum number of repeats may be authorised.</w:t>
            </w:r>
          </w:p>
        </w:tc>
      </w:tr>
      <w:tr w:rsidR="00B31A07" w:rsidRPr="00B31A07" w14:paraId="74C2956B" w14:textId="77777777" w:rsidTr="002032F6">
        <w:trPr>
          <w:cantSplit/>
          <w:trHeight w:val="20"/>
        </w:trPr>
        <w:tc>
          <w:tcPr>
            <w:tcW w:w="562" w:type="dxa"/>
            <w:vMerge/>
            <w:tcMar>
              <w:left w:w="20" w:type="dxa"/>
              <w:right w:w="20" w:type="dxa"/>
            </w:tcMar>
            <w:vAlign w:val="center"/>
          </w:tcPr>
          <w:p w14:paraId="2501E05D" w14:textId="77777777" w:rsidR="00B31A07" w:rsidRPr="00B31A07" w:rsidRDefault="00B31A07" w:rsidP="00B31A07">
            <w:pPr>
              <w:rPr>
                <w:rFonts w:ascii="Arial Narrow" w:hAnsi="Arial Narrow"/>
                <w:sz w:val="20"/>
                <w:szCs w:val="20"/>
              </w:rPr>
            </w:pPr>
          </w:p>
        </w:tc>
        <w:tc>
          <w:tcPr>
            <w:tcW w:w="709" w:type="dxa"/>
            <w:tcMar>
              <w:left w:w="20" w:type="dxa"/>
              <w:right w:w="20" w:type="dxa"/>
            </w:tcMar>
          </w:tcPr>
          <w:p w14:paraId="540909B4" w14:textId="6ACE5D43" w:rsidR="00B31A07" w:rsidRPr="00B31A07" w:rsidRDefault="00B31A07" w:rsidP="1797D1E5">
            <w:pPr>
              <w:ind w:left="30" w:hanging="30"/>
              <w:jc w:val="center"/>
              <w:rPr>
                <w:rFonts w:ascii="Arial Narrow" w:eastAsia="Arial Narrow" w:hAnsi="Arial Narrow" w:cs="Arial Narrow"/>
                <w:color w:val="333333"/>
                <w:sz w:val="20"/>
                <w:szCs w:val="20"/>
              </w:rPr>
            </w:pPr>
          </w:p>
        </w:tc>
        <w:tc>
          <w:tcPr>
            <w:tcW w:w="7743" w:type="dxa"/>
            <w:gridSpan w:val="4"/>
            <w:tcMar>
              <w:left w:w="20" w:type="dxa"/>
              <w:right w:w="20" w:type="dxa"/>
            </w:tcMar>
          </w:tcPr>
          <w:p w14:paraId="79C627E3"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b/>
                <w:bCs/>
                <w:color w:val="333333"/>
                <w:sz w:val="20"/>
                <w:szCs w:val="20"/>
              </w:rPr>
              <w:t>Administrative Advice:</w:t>
            </w:r>
            <w:r w:rsidRPr="00B31A07">
              <w:rPr>
                <w:rFonts w:ascii="Arial Narrow" w:eastAsia="Arial Narrow" w:hAnsi="Arial Narrow" w:cs="Arial Narrow"/>
                <w:color w:val="333333"/>
                <w:sz w:val="20"/>
                <w:szCs w:val="20"/>
              </w:rPr>
              <w:t xml:space="preserve"> </w:t>
            </w:r>
          </w:p>
          <w:p w14:paraId="41F52614"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sz w:val="20"/>
                <w:szCs w:val="20"/>
              </w:rPr>
              <w:t>Special Pricing Arrangements apply.</w:t>
            </w:r>
          </w:p>
        </w:tc>
      </w:tr>
      <w:tr w:rsidR="00B31A07" w:rsidRPr="00B31A07" w14:paraId="7DA0E170" w14:textId="77777777" w:rsidTr="002032F6">
        <w:trPr>
          <w:cantSplit/>
          <w:trHeight w:val="20"/>
        </w:trPr>
        <w:tc>
          <w:tcPr>
            <w:tcW w:w="1271" w:type="dxa"/>
            <w:gridSpan w:val="2"/>
            <w:tcMar>
              <w:left w:w="20" w:type="dxa"/>
              <w:right w:w="20" w:type="dxa"/>
            </w:tcMar>
          </w:tcPr>
          <w:p w14:paraId="67EB2700" w14:textId="6E6F1A91" w:rsidR="00B31A07" w:rsidRPr="00B31A07" w:rsidRDefault="00B31A07" w:rsidP="1797D1E5">
            <w:pPr>
              <w:jc w:val="center"/>
              <w:rPr>
                <w:rFonts w:ascii="Arial Narrow" w:eastAsia="Arial Narrow" w:hAnsi="Arial Narrow" w:cs="Arial Narrow"/>
                <w:color w:val="333333"/>
                <w:sz w:val="20"/>
                <w:szCs w:val="20"/>
              </w:rPr>
            </w:pPr>
          </w:p>
        </w:tc>
        <w:tc>
          <w:tcPr>
            <w:tcW w:w="7743" w:type="dxa"/>
            <w:gridSpan w:val="4"/>
            <w:tcMar>
              <w:left w:w="20" w:type="dxa"/>
              <w:right w:w="20" w:type="dxa"/>
            </w:tcMar>
          </w:tcPr>
          <w:p w14:paraId="43441207"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b/>
                <w:bCs/>
                <w:color w:val="333333"/>
                <w:sz w:val="20"/>
                <w:szCs w:val="20"/>
              </w:rPr>
              <w:t>Indication:</w:t>
            </w:r>
          </w:p>
          <w:p w14:paraId="25746705" w14:textId="77777777" w:rsidR="00B31A07" w:rsidRPr="00B31A07" w:rsidRDefault="00B31A07" w:rsidP="00B31A07">
            <w:pPr>
              <w:jc w:val="left"/>
              <w:rPr>
                <w:rFonts w:ascii="Arial Narrow" w:eastAsia="Arial Narrow" w:hAnsi="Arial Narrow" w:cs="Arial Narrow"/>
                <w:i/>
                <w:iCs/>
                <w:color w:val="333333"/>
                <w:sz w:val="20"/>
                <w:szCs w:val="20"/>
              </w:rPr>
            </w:pPr>
            <w:r w:rsidRPr="00B31A07">
              <w:rPr>
                <w:rFonts w:ascii="Arial Narrow" w:eastAsia="Arial Narrow" w:hAnsi="Arial Narrow" w:cs="Arial Narrow"/>
                <w:strike/>
                <w:color w:val="333333"/>
                <w:sz w:val="20"/>
                <w:szCs w:val="20"/>
              </w:rPr>
              <w:t>Measurable residual disease of</w:t>
            </w:r>
            <w:r w:rsidRPr="00B31A07">
              <w:rPr>
                <w:rFonts w:ascii="Arial Narrow" w:eastAsia="Arial Narrow" w:hAnsi="Arial Narrow" w:cs="Arial Narrow"/>
                <w:color w:val="333333"/>
                <w:sz w:val="20"/>
                <w:szCs w:val="20"/>
              </w:rPr>
              <w:t xml:space="preserve"> Precursor B-cell acute lymphoblastic leukaemia (Pre-B-cell ALL) </w:t>
            </w:r>
          </w:p>
        </w:tc>
      </w:tr>
      <w:tr w:rsidR="00B31A07" w:rsidRPr="00B31A07" w14:paraId="775D4C6C" w14:textId="77777777" w:rsidTr="002032F6">
        <w:trPr>
          <w:cantSplit/>
          <w:trHeight w:val="20"/>
        </w:trPr>
        <w:tc>
          <w:tcPr>
            <w:tcW w:w="1271" w:type="dxa"/>
            <w:gridSpan w:val="2"/>
            <w:tcMar>
              <w:left w:w="20" w:type="dxa"/>
              <w:right w:w="20" w:type="dxa"/>
            </w:tcMar>
          </w:tcPr>
          <w:p w14:paraId="1FF56F7D" w14:textId="2EB5257B" w:rsidR="00B31A07" w:rsidRPr="00B31A07" w:rsidRDefault="00B31A07" w:rsidP="1797D1E5">
            <w:pPr>
              <w:jc w:val="center"/>
              <w:rPr>
                <w:rFonts w:ascii="Arial Narrow" w:eastAsia="Arial Narrow" w:hAnsi="Arial Narrow" w:cs="Arial Narrow"/>
                <w:color w:val="333333"/>
                <w:sz w:val="20"/>
                <w:szCs w:val="20"/>
              </w:rPr>
            </w:pPr>
          </w:p>
        </w:tc>
        <w:tc>
          <w:tcPr>
            <w:tcW w:w="7743" w:type="dxa"/>
            <w:gridSpan w:val="4"/>
            <w:tcMar>
              <w:left w:w="20" w:type="dxa"/>
              <w:right w:w="20" w:type="dxa"/>
            </w:tcMar>
          </w:tcPr>
          <w:p w14:paraId="25C2D42C"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b/>
                <w:bCs/>
                <w:color w:val="333333"/>
                <w:sz w:val="20"/>
                <w:szCs w:val="20"/>
              </w:rPr>
              <w:t xml:space="preserve">Treatment Phase: </w:t>
            </w:r>
          </w:p>
          <w:p w14:paraId="3E525395"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color w:val="333333"/>
                <w:sz w:val="20"/>
                <w:szCs w:val="20"/>
              </w:rPr>
              <w:t xml:space="preserve">Continuing treatment </w:t>
            </w:r>
            <w:r w:rsidRPr="00B31A07">
              <w:rPr>
                <w:rFonts w:ascii="Arial Narrow" w:eastAsia="Arial Narrow" w:hAnsi="Arial Narrow" w:cs="Arial Narrow"/>
                <w:strike/>
                <w:color w:val="333333"/>
                <w:sz w:val="20"/>
                <w:szCs w:val="20"/>
              </w:rPr>
              <w:t>of previously</w:t>
            </w:r>
            <w:r w:rsidRPr="00B31A07">
              <w:rPr>
                <w:rFonts w:ascii="Arial Narrow" w:eastAsia="Arial Narrow" w:hAnsi="Arial Narrow" w:cs="Arial Narrow"/>
                <w:color w:val="333333"/>
                <w:sz w:val="20"/>
                <w:szCs w:val="20"/>
              </w:rPr>
              <w:t xml:space="preserve"> </w:t>
            </w:r>
            <w:r w:rsidRPr="00B31A07">
              <w:rPr>
                <w:rFonts w:ascii="Arial Narrow" w:eastAsia="Arial Narrow" w:hAnsi="Arial Narrow" w:cs="Arial Narrow"/>
                <w:strike/>
                <w:color w:val="333333"/>
                <w:sz w:val="20"/>
                <w:szCs w:val="20"/>
              </w:rPr>
              <w:t>measurable residual disease</w:t>
            </w:r>
            <w:r w:rsidRPr="00B31A07">
              <w:rPr>
                <w:rFonts w:ascii="Arial Narrow" w:eastAsia="Arial Narrow" w:hAnsi="Arial Narrow" w:cs="Arial Narrow"/>
                <w:color w:val="333333"/>
                <w:sz w:val="20"/>
                <w:szCs w:val="20"/>
              </w:rPr>
              <w:t xml:space="preserve"> of Pre-B-cell ALL </w:t>
            </w:r>
            <w:r w:rsidRPr="00B31A07">
              <w:rPr>
                <w:rFonts w:ascii="Arial Narrow" w:eastAsia="Arial Narrow" w:hAnsi="Arial Narrow" w:cs="Arial Narrow"/>
                <w:i/>
                <w:iCs/>
                <w:color w:val="333333"/>
                <w:sz w:val="20"/>
                <w:szCs w:val="20"/>
              </w:rPr>
              <w:t>in complete haematological remission (CR)</w:t>
            </w:r>
          </w:p>
        </w:tc>
      </w:tr>
      <w:tr w:rsidR="00B31A07" w:rsidRPr="00B31A07" w14:paraId="45CDED54" w14:textId="77777777" w:rsidTr="002032F6">
        <w:trPr>
          <w:cantSplit/>
          <w:trHeight w:val="20"/>
        </w:trPr>
        <w:tc>
          <w:tcPr>
            <w:tcW w:w="1271" w:type="dxa"/>
            <w:gridSpan w:val="2"/>
            <w:tcMar>
              <w:left w:w="20" w:type="dxa"/>
              <w:right w:w="20" w:type="dxa"/>
            </w:tcMar>
          </w:tcPr>
          <w:p w14:paraId="5149CE82" w14:textId="7D530A01" w:rsidR="00B31A07" w:rsidRPr="00B31A07" w:rsidRDefault="00B31A07" w:rsidP="1797D1E5">
            <w:pPr>
              <w:jc w:val="center"/>
              <w:rPr>
                <w:rFonts w:ascii="Arial Narrow" w:eastAsia="Arial Narrow" w:hAnsi="Arial Narrow" w:cs="Arial Narrow"/>
                <w:color w:val="333333"/>
                <w:sz w:val="20"/>
                <w:szCs w:val="20"/>
              </w:rPr>
            </w:pPr>
          </w:p>
        </w:tc>
        <w:tc>
          <w:tcPr>
            <w:tcW w:w="7743" w:type="dxa"/>
            <w:gridSpan w:val="4"/>
            <w:tcMar>
              <w:left w:w="20" w:type="dxa"/>
              <w:right w:w="20" w:type="dxa"/>
            </w:tcMar>
          </w:tcPr>
          <w:p w14:paraId="1784340F"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b/>
                <w:bCs/>
                <w:color w:val="333333"/>
                <w:sz w:val="20"/>
                <w:szCs w:val="20"/>
              </w:rPr>
              <w:t>Treatment criteria:</w:t>
            </w:r>
          </w:p>
        </w:tc>
      </w:tr>
      <w:tr w:rsidR="00B31A07" w:rsidRPr="00B31A07" w14:paraId="1E9442DC" w14:textId="77777777" w:rsidTr="002032F6">
        <w:trPr>
          <w:cantSplit/>
          <w:trHeight w:val="20"/>
        </w:trPr>
        <w:tc>
          <w:tcPr>
            <w:tcW w:w="1271" w:type="dxa"/>
            <w:gridSpan w:val="2"/>
            <w:tcMar>
              <w:left w:w="20" w:type="dxa"/>
              <w:right w:w="20" w:type="dxa"/>
            </w:tcMar>
          </w:tcPr>
          <w:p w14:paraId="08168D1B" w14:textId="7725C335" w:rsidR="00B31A07" w:rsidRPr="00B31A07" w:rsidRDefault="00B31A07" w:rsidP="1797D1E5">
            <w:pPr>
              <w:jc w:val="center"/>
              <w:rPr>
                <w:rFonts w:ascii="Arial Narrow" w:eastAsia="Arial Narrow" w:hAnsi="Arial Narrow" w:cs="Arial Narrow"/>
                <w:color w:val="333333"/>
                <w:sz w:val="20"/>
                <w:szCs w:val="20"/>
              </w:rPr>
            </w:pPr>
          </w:p>
        </w:tc>
        <w:tc>
          <w:tcPr>
            <w:tcW w:w="7743" w:type="dxa"/>
            <w:gridSpan w:val="4"/>
            <w:tcMar>
              <w:left w:w="20" w:type="dxa"/>
              <w:right w:w="20" w:type="dxa"/>
            </w:tcMar>
          </w:tcPr>
          <w:p w14:paraId="642FF343"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color w:val="333333"/>
                <w:sz w:val="20"/>
                <w:szCs w:val="20"/>
              </w:rPr>
              <w:t>Must be treated by a physician experienced in the treatment of haematological malignancies</w:t>
            </w:r>
          </w:p>
        </w:tc>
      </w:tr>
      <w:tr w:rsidR="00B31A07" w:rsidRPr="00B31A07" w14:paraId="01EB0394" w14:textId="77777777" w:rsidTr="002032F6">
        <w:trPr>
          <w:cantSplit/>
          <w:trHeight w:val="20"/>
        </w:trPr>
        <w:tc>
          <w:tcPr>
            <w:tcW w:w="1271" w:type="dxa"/>
            <w:gridSpan w:val="2"/>
            <w:tcMar>
              <w:left w:w="20" w:type="dxa"/>
              <w:right w:w="20" w:type="dxa"/>
            </w:tcMar>
          </w:tcPr>
          <w:p w14:paraId="38D5AC84" w14:textId="54C849C9" w:rsidR="00B31A07" w:rsidRPr="00B31A07" w:rsidRDefault="00B31A07" w:rsidP="1797D1E5">
            <w:pPr>
              <w:jc w:val="center"/>
              <w:rPr>
                <w:rFonts w:ascii="Arial Narrow" w:eastAsia="Arial Narrow" w:hAnsi="Arial Narrow" w:cs="Arial Narrow"/>
                <w:color w:val="333333"/>
                <w:sz w:val="20"/>
                <w:szCs w:val="20"/>
              </w:rPr>
            </w:pPr>
          </w:p>
        </w:tc>
        <w:tc>
          <w:tcPr>
            <w:tcW w:w="7743" w:type="dxa"/>
            <w:gridSpan w:val="4"/>
            <w:tcMar>
              <w:left w:w="20" w:type="dxa"/>
              <w:right w:w="20" w:type="dxa"/>
            </w:tcMar>
          </w:tcPr>
          <w:p w14:paraId="78481F70"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b/>
                <w:bCs/>
                <w:color w:val="333333"/>
                <w:sz w:val="20"/>
                <w:szCs w:val="20"/>
              </w:rPr>
              <w:t>Clinical criteria:</w:t>
            </w:r>
          </w:p>
        </w:tc>
      </w:tr>
      <w:tr w:rsidR="00B31A07" w:rsidRPr="00B31A07" w14:paraId="0FE3E78D" w14:textId="77777777" w:rsidTr="002032F6">
        <w:trPr>
          <w:cantSplit/>
          <w:trHeight w:val="20"/>
        </w:trPr>
        <w:tc>
          <w:tcPr>
            <w:tcW w:w="1271" w:type="dxa"/>
            <w:gridSpan w:val="2"/>
            <w:tcMar>
              <w:left w:w="20" w:type="dxa"/>
              <w:right w:w="20" w:type="dxa"/>
            </w:tcMar>
          </w:tcPr>
          <w:p w14:paraId="2FF4E9DB" w14:textId="0ABD9B0F" w:rsidR="00B31A07" w:rsidRPr="00B31A07" w:rsidRDefault="00B31A07" w:rsidP="1797D1E5">
            <w:pPr>
              <w:jc w:val="center"/>
              <w:rPr>
                <w:rFonts w:ascii="Arial Narrow" w:eastAsia="Arial Narrow" w:hAnsi="Arial Narrow" w:cs="Arial Narrow"/>
                <w:color w:val="333333"/>
                <w:sz w:val="20"/>
                <w:szCs w:val="20"/>
              </w:rPr>
            </w:pPr>
          </w:p>
        </w:tc>
        <w:tc>
          <w:tcPr>
            <w:tcW w:w="7743" w:type="dxa"/>
            <w:gridSpan w:val="4"/>
            <w:tcMar>
              <w:left w:w="20" w:type="dxa"/>
              <w:right w:w="20" w:type="dxa"/>
            </w:tcMar>
          </w:tcPr>
          <w:p w14:paraId="61BC4D07"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color w:val="333333"/>
                <w:sz w:val="20"/>
                <w:szCs w:val="20"/>
              </w:rPr>
              <w:t>Patient must have previously received PBS-subsidised initial treatment with this drug for this condition</w:t>
            </w:r>
          </w:p>
        </w:tc>
      </w:tr>
      <w:tr w:rsidR="00B31A07" w:rsidRPr="00B31A07" w14:paraId="49694E9E" w14:textId="77777777" w:rsidTr="002032F6">
        <w:trPr>
          <w:cantSplit/>
          <w:trHeight w:val="20"/>
        </w:trPr>
        <w:tc>
          <w:tcPr>
            <w:tcW w:w="1271" w:type="dxa"/>
            <w:gridSpan w:val="2"/>
            <w:tcMar>
              <w:left w:w="20" w:type="dxa"/>
              <w:right w:w="20" w:type="dxa"/>
            </w:tcMar>
          </w:tcPr>
          <w:p w14:paraId="3536D62E" w14:textId="6CE87ED3" w:rsidR="00B31A07" w:rsidRPr="00B31A07" w:rsidRDefault="00B31A07" w:rsidP="1797D1E5">
            <w:pPr>
              <w:jc w:val="center"/>
              <w:rPr>
                <w:rFonts w:ascii="Arial Narrow" w:eastAsia="Arial Narrow" w:hAnsi="Arial Narrow" w:cs="Arial Narrow"/>
                <w:color w:val="333333"/>
                <w:sz w:val="20"/>
                <w:szCs w:val="20"/>
              </w:rPr>
            </w:pPr>
          </w:p>
        </w:tc>
        <w:tc>
          <w:tcPr>
            <w:tcW w:w="7743" w:type="dxa"/>
            <w:gridSpan w:val="4"/>
            <w:tcMar>
              <w:left w:w="20" w:type="dxa"/>
              <w:right w:w="20" w:type="dxa"/>
            </w:tcMar>
          </w:tcPr>
          <w:p w14:paraId="13C360E8"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b/>
                <w:bCs/>
                <w:color w:val="333333"/>
                <w:sz w:val="20"/>
                <w:szCs w:val="20"/>
              </w:rPr>
              <w:t>AND</w:t>
            </w:r>
          </w:p>
        </w:tc>
      </w:tr>
      <w:tr w:rsidR="00B31A07" w:rsidRPr="00B31A07" w14:paraId="6C5349A6" w14:textId="77777777" w:rsidTr="002032F6">
        <w:trPr>
          <w:cantSplit/>
          <w:trHeight w:val="20"/>
        </w:trPr>
        <w:tc>
          <w:tcPr>
            <w:tcW w:w="1271" w:type="dxa"/>
            <w:gridSpan w:val="2"/>
            <w:tcMar>
              <w:left w:w="20" w:type="dxa"/>
              <w:right w:w="20" w:type="dxa"/>
            </w:tcMar>
          </w:tcPr>
          <w:p w14:paraId="67F9CEED" w14:textId="5A418CB2" w:rsidR="00B31A07" w:rsidRPr="00B31A07" w:rsidRDefault="00B31A07" w:rsidP="1797D1E5">
            <w:pPr>
              <w:jc w:val="center"/>
              <w:rPr>
                <w:rFonts w:ascii="Arial Narrow" w:eastAsia="Arial Narrow" w:hAnsi="Arial Narrow" w:cs="Arial Narrow"/>
                <w:color w:val="333333"/>
                <w:sz w:val="20"/>
                <w:szCs w:val="20"/>
              </w:rPr>
            </w:pPr>
          </w:p>
        </w:tc>
        <w:tc>
          <w:tcPr>
            <w:tcW w:w="7743" w:type="dxa"/>
            <w:gridSpan w:val="4"/>
            <w:tcMar>
              <w:left w:w="20" w:type="dxa"/>
              <w:right w:w="20" w:type="dxa"/>
            </w:tcMar>
          </w:tcPr>
          <w:p w14:paraId="75843788"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b/>
                <w:bCs/>
                <w:color w:val="333333"/>
                <w:sz w:val="20"/>
                <w:szCs w:val="20"/>
              </w:rPr>
              <w:t>Clinical criteria:</w:t>
            </w:r>
          </w:p>
        </w:tc>
      </w:tr>
      <w:tr w:rsidR="00B31A07" w:rsidRPr="00B31A07" w14:paraId="52E05B00" w14:textId="77777777" w:rsidTr="002032F6">
        <w:trPr>
          <w:cantSplit/>
          <w:trHeight w:val="20"/>
        </w:trPr>
        <w:tc>
          <w:tcPr>
            <w:tcW w:w="1271" w:type="dxa"/>
            <w:gridSpan w:val="2"/>
            <w:tcMar>
              <w:left w:w="20" w:type="dxa"/>
              <w:right w:w="20" w:type="dxa"/>
            </w:tcMar>
          </w:tcPr>
          <w:p w14:paraId="523D5F36" w14:textId="2A2A6D0B" w:rsidR="00B31A07" w:rsidRPr="00B31A07" w:rsidRDefault="00B31A07" w:rsidP="1797D1E5">
            <w:pPr>
              <w:jc w:val="center"/>
              <w:rPr>
                <w:rFonts w:ascii="Arial Narrow" w:eastAsia="Arial Narrow" w:hAnsi="Arial Narrow" w:cs="Arial Narrow"/>
                <w:color w:val="333333"/>
                <w:sz w:val="20"/>
                <w:szCs w:val="20"/>
              </w:rPr>
            </w:pPr>
          </w:p>
        </w:tc>
        <w:tc>
          <w:tcPr>
            <w:tcW w:w="7743" w:type="dxa"/>
            <w:gridSpan w:val="4"/>
            <w:tcMar>
              <w:left w:w="20" w:type="dxa"/>
              <w:right w:w="20" w:type="dxa"/>
            </w:tcMar>
          </w:tcPr>
          <w:p w14:paraId="177A88D7"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color w:val="333333"/>
                <w:sz w:val="20"/>
                <w:szCs w:val="20"/>
              </w:rPr>
              <w:t>Patient must have achieved a complete remission</w:t>
            </w:r>
          </w:p>
        </w:tc>
      </w:tr>
      <w:tr w:rsidR="00B31A07" w:rsidRPr="00B31A07" w14:paraId="5C2D4995" w14:textId="77777777" w:rsidTr="002032F6">
        <w:trPr>
          <w:cantSplit/>
          <w:trHeight w:val="20"/>
        </w:trPr>
        <w:tc>
          <w:tcPr>
            <w:tcW w:w="1271" w:type="dxa"/>
            <w:gridSpan w:val="2"/>
            <w:tcMar>
              <w:left w:w="20" w:type="dxa"/>
              <w:right w:w="20" w:type="dxa"/>
            </w:tcMar>
          </w:tcPr>
          <w:p w14:paraId="040FE000" w14:textId="305CA1E1" w:rsidR="00B31A07" w:rsidRPr="00B31A07" w:rsidRDefault="00B31A07" w:rsidP="1797D1E5">
            <w:pPr>
              <w:jc w:val="center"/>
              <w:rPr>
                <w:rFonts w:ascii="Arial Narrow" w:eastAsia="Arial Narrow" w:hAnsi="Arial Narrow" w:cs="Arial Narrow"/>
                <w:color w:val="333333"/>
                <w:sz w:val="20"/>
                <w:szCs w:val="20"/>
              </w:rPr>
            </w:pPr>
          </w:p>
        </w:tc>
        <w:tc>
          <w:tcPr>
            <w:tcW w:w="7743" w:type="dxa"/>
            <w:gridSpan w:val="4"/>
            <w:tcMar>
              <w:left w:w="20" w:type="dxa"/>
              <w:right w:w="20" w:type="dxa"/>
            </w:tcMar>
          </w:tcPr>
          <w:p w14:paraId="70112109"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b/>
                <w:bCs/>
                <w:color w:val="333333"/>
                <w:sz w:val="20"/>
                <w:szCs w:val="20"/>
              </w:rPr>
              <w:t>AND</w:t>
            </w:r>
          </w:p>
        </w:tc>
      </w:tr>
      <w:tr w:rsidR="00B31A07" w:rsidRPr="00B31A07" w14:paraId="3759FAFB" w14:textId="77777777" w:rsidTr="002032F6">
        <w:trPr>
          <w:cantSplit/>
          <w:trHeight w:val="20"/>
        </w:trPr>
        <w:tc>
          <w:tcPr>
            <w:tcW w:w="1271" w:type="dxa"/>
            <w:gridSpan w:val="2"/>
            <w:tcMar>
              <w:left w:w="20" w:type="dxa"/>
              <w:right w:w="20" w:type="dxa"/>
            </w:tcMar>
          </w:tcPr>
          <w:p w14:paraId="506CC7F2" w14:textId="7FA7B0E0" w:rsidR="00B31A07" w:rsidRPr="00B31A07" w:rsidRDefault="00B31A07" w:rsidP="1797D1E5">
            <w:pPr>
              <w:jc w:val="center"/>
              <w:rPr>
                <w:rFonts w:ascii="Arial Narrow" w:eastAsia="Arial Narrow" w:hAnsi="Arial Narrow" w:cs="Arial Narrow"/>
                <w:color w:val="333333"/>
                <w:sz w:val="20"/>
                <w:szCs w:val="20"/>
              </w:rPr>
            </w:pPr>
          </w:p>
        </w:tc>
        <w:tc>
          <w:tcPr>
            <w:tcW w:w="7743" w:type="dxa"/>
            <w:gridSpan w:val="4"/>
            <w:tcMar>
              <w:left w:w="20" w:type="dxa"/>
              <w:right w:w="20" w:type="dxa"/>
            </w:tcMar>
          </w:tcPr>
          <w:p w14:paraId="783F818D"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b/>
                <w:bCs/>
                <w:color w:val="333333"/>
                <w:sz w:val="20"/>
                <w:szCs w:val="20"/>
              </w:rPr>
              <w:t>Clinical criteria:</w:t>
            </w:r>
          </w:p>
        </w:tc>
      </w:tr>
      <w:tr w:rsidR="00B31A07" w:rsidRPr="00B31A07" w14:paraId="601B5C4A" w14:textId="77777777" w:rsidTr="002032F6">
        <w:trPr>
          <w:cantSplit/>
          <w:trHeight w:val="20"/>
        </w:trPr>
        <w:tc>
          <w:tcPr>
            <w:tcW w:w="1271" w:type="dxa"/>
            <w:gridSpan w:val="2"/>
            <w:tcMar>
              <w:left w:w="20" w:type="dxa"/>
              <w:right w:w="20" w:type="dxa"/>
            </w:tcMar>
          </w:tcPr>
          <w:p w14:paraId="11FE334C" w14:textId="3D1DBFF4" w:rsidR="00B31A07" w:rsidRPr="00B31A07" w:rsidRDefault="00B31A07" w:rsidP="1797D1E5">
            <w:pPr>
              <w:jc w:val="center"/>
              <w:rPr>
                <w:rFonts w:ascii="Arial Narrow" w:eastAsia="Arial Narrow" w:hAnsi="Arial Narrow" w:cs="Arial Narrow"/>
                <w:color w:val="333333"/>
                <w:sz w:val="20"/>
                <w:szCs w:val="20"/>
              </w:rPr>
            </w:pPr>
          </w:p>
        </w:tc>
        <w:tc>
          <w:tcPr>
            <w:tcW w:w="7743" w:type="dxa"/>
            <w:gridSpan w:val="4"/>
            <w:tcMar>
              <w:left w:w="20" w:type="dxa"/>
              <w:right w:w="20" w:type="dxa"/>
            </w:tcMar>
          </w:tcPr>
          <w:p w14:paraId="6002A25B"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color w:val="333333"/>
                <w:sz w:val="20"/>
                <w:szCs w:val="20"/>
              </w:rPr>
              <w:t xml:space="preserve">The condition must be negative for measurable residual disease (MRD) using the same method used </w:t>
            </w:r>
            <w:r w:rsidRPr="00B31A07">
              <w:rPr>
                <w:rFonts w:ascii="Arial Narrow" w:eastAsia="Arial Narrow" w:hAnsi="Arial Narrow" w:cs="Arial Narrow"/>
                <w:strike/>
                <w:color w:val="333333"/>
                <w:sz w:val="20"/>
                <w:szCs w:val="20"/>
              </w:rPr>
              <w:t xml:space="preserve">to determine initial PBS eligibility </w:t>
            </w:r>
            <w:r w:rsidRPr="00B31A07">
              <w:rPr>
                <w:rFonts w:ascii="Arial Narrow" w:eastAsia="Arial Narrow" w:hAnsi="Arial Narrow" w:cs="Arial Narrow"/>
                <w:i/>
                <w:iCs/>
                <w:color w:val="333333"/>
                <w:sz w:val="20"/>
                <w:szCs w:val="20"/>
              </w:rPr>
              <w:t>establish initial MRD status,</w:t>
            </w:r>
          </w:p>
        </w:tc>
      </w:tr>
      <w:tr w:rsidR="00B31A07" w:rsidRPr="00B31A07" w14:paraId="67A22CB0" w14:textId="77777777" w:rsidTr="002032F6">
        <w:trPr>
          <w:cantSplit/>
          <w:trHeight w:val="20"/>
        </w:trPr>
        <w:tc>
          <w:tcPr>
            <w:tcW w:w="1271" w:type="dxa"/>
            <w:gridSpan w:val="2"/>
            <w:tcMar>
              <w:left w:w="20" w:type="dxa"/>
              <w:right w:w="20" w:type="dxa"/>
            </w:tcMar>
          </w:tcPr>
          <w:p w14:paraId="14B07DEB" w14:textId="77777777" w:rsidR="00B31A07" w:rsidRPr="00B31A07" w:rsidRDefault="00B31A07" w:rsidP="00B31A07">
            <w:pPr>
              <w:jc w:val="center"/>
              <w:rPr>
                <w:rFonts w:ascii="Arial Narrow" w:hAnsi="Arial Narrow"/>
                <w:sz w:val="20"/>
                <w:szCs w:val="20"/>
              </w:rPr>
            </w:pPr>
            <w:r w:rsidRPr="00B31A07">
              <w:rPr>
                <w:rFonts w:ascii="Arial Narrow" w:eastAsia="Arial Narrow" w:hAnsi="Arial Narrow" w:cs="Arial Narrow"/>
                <w:color w:val="333333"/>
                <w:sz w:val="20"/>
                <w:szCs w:val="20"/>
              </w:rPr>
              <w:t xml:space="preserve"> </w:t>
            </w:r>
          </w:p>
        </w:tc>
        <w:tc>
          <w:tcPr>
            <w:tcW w:w="7743" w:type="dxa"/>
            <w:gridSpan w:val="4"/>
            <w:tcMar>
              <w:left w:w="20" w:type="dxa"/>
              <w:right w:w="20" w:type="dxa"/>
            </w:tcMar>
          </w:tcPr>
          <w:p w14:paraId="51DB5D96"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b/>
                <w:bCs/>
                <w:color w:val="333333"/>
                <w:sz w:val="20"/>
                <w:szCs w:val="20"/>
              </w:rPr>
              <w:t>AND</w:t>
            </w:r>
          </w:p>
        </w:tc>
      </w:tr>
      <w:tr w:rsidR="00B31A07" w:rsidRPr="00B31A07" w14:paraId="506D6FD4" w14:textId="77777777" w:rsidTr="002032F6">
        <w:trPr>
          <w:cantSplit/>
          <w:trHeight w:val="20"/>
        </w:trPr>
        <w:tc>
          <w:tcPr>
            <w:tcW w:w="1271" w:type="dxa"/>
            <w:gridSpan w:val="2"/>
            <w:tcMar>
              <w:left w:w="20" w:type="dxa"/>
              <w:right w:w="20" w:type="dxa"/>
            </w:tcMar>
          </w:tcPr>
          <w:p w14:paraId="53995D0A" w14:textId="1F3D1A31" w:rsidR="00B31A07" w:rsidRPr="00B31A07" w:rsidRDefault="00B31A07" w:rsidP="1797D1E5">
            <w:pPr>
              <w:jc w:val="center"/>
              <w:rPr>
                <w:rFonts w:ascii="Arial Narrow" w:eastAsia="Arial Narrow" w:hAnsi="Arial Narrow" w:cs="Arial Narrow"/>
                <w:color w:val="333333"/>
                <w:sz w:val="20"/>
                <w:szCs w:val="20"/>
              </w:rPr>
            </w:pPr>
          </w:p>
        </w:tc>
        <w:tc>
          <w:tcPr>
            <w:tcW w:w="7743" w:type="dxa"/>
            <w:gridSpan w:val="4"/>
            <w:tcMar>
              <w:left w:w="20" w:type="dxa"/>
              <w:right w:w="20" w:type="dxa"/>
            </w:tcMar>
          </w:tcPr>
          <w:p w14:paraId="3D932133"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b/>
                <w:bCs/>
                <w:color w:val="333333"/>
                <w:sz w:val="20"/>
                <w:szCs w:val="20"/>
              </w:rPr>
              <w:t>Clinical criteria:</w:t>
            </w:r>
          </w:p>
        </w:tc>
      </w:tr>
      <w:tr w:rsidR="00B31A07" w:rsidRPr="00B31A07" w14:paraId="0B43D537" w14:textId="77777777" w:rsidTr="002032F6">
        <w:trPr>
          <w:cantSplit/>
          <w:trHeight w:val="20"/>
        </w:trPr>
        <w:tc>
          <w:tcPr>
            <w:tcW w:w="1271" w:type="dxa"/>
            <w:gridSpan w:val="2"/>
            <w:tcMar>
              <w:left w:w="20" w:type="dxa"/>
              <w:right w:w="20" w:type="dxa"/>
            </w:tcMar>
          </w:tcPr>
          <w:p w14:paraId="1167EABD" w14:textId="54014415" w:rsidR="00B31A07" w:rsidRPr="00B31A07" w:rsidRDefault="00B31A07" w:rsidP="1797D1E5">
            <w:pPr>
              <w:jc w:val="center"/>
              <w:rPr>
                <w:rFonts w:ascii="Arial Narrow" w:eastAsia="Arial Narrow" w:hAnsi="Arial Narrow" w:cs="Arial Narrow"/>
                <w:color w:val="333333"/>
                <w:sz w:val="20"/>
                <w:szCs w:val="20"/>
              </w:rPr>
            </w:pPr>
          </w:p>
        </w:tc>
        <w:tc>
          <w:tcPr>
            <w:tcW w:w="7743" w:type="dxa"/>
            <w:gridSpan w:val="4"/>
            <w:tcMar>
              <w:left w:w="20" w:type="dxa"/>
              <w:right w:w="20" w:type="dxa"/>
            </w:tcMar>
          </w:tcPr>
          <w:p w14:paraId="5AA51C84"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color w:val="333333"/>
                <w:sz w:val="20"/>
                <w:szCs w:val="20"/>
              </w:rPr>
              <w:t>Patient must not have developed disease progression while receiving treatment with this drug for this condition</w:t>
            </w:r>
          </w:p>
        </w:tc>
      </w:tr>
      <w:tr w:rsidR="00B31A07" w:rsidRPr="00B31A07" w14:paraId="701ADCA3" w14:textId="77777777" w:rsidTr="002032F6">
        <w:trPr>
          <w:cantSplit/>
          <w:trHeight w:val="20"/>
        </w:trPr>
        <w:tc>
          <w:tcPr>
            <w:tcW w:w="1271" w:type="dxa"/>
            <w:gridSpan w:val="2"/>
            <w:tcMar>
              <w:left w:w="20" w:type="dxa"/>
              <w:right w:w="20" w:type="dxa"/>
            </w:tcMar>
          </w:tcPr>
          <w:p w14:paraId="4457499D" w14:textId="10F8214F" w:rsidR="00B31A07" w:rsidRPr="00B31A07" w:rsidRDefault="00B31A07" w:rsidP="1797D1E5">
            <w:pPr>
              <w:jc w:val="center"/>
              <w:rPr>
                <w:rFonts w:ascii="Arial Narrow" w:eastAsia="Arial Narrow" w:hAnsi="Arial Narrow" w:cs="Arial Narrow"/>
                <w:color w:val="333333"/>
                <w:sz w:val="20"/>
                <w:szCs w:val="20"/>
              </w:rPr>
            </w:pPr>
          </w:p>
        </w:tc>
        <w:tc>
          <w:tcPr>
            <w:tcW w:w="7743" w:type="dxa"/>
            <w:gridSpan w:val="4"/>
            <w:tcMar>
              <w:left w:w="20" w:type="dxa"/>
              <w:right w:w="20" w:type="dxa"/>
            </w:tcMar>
          </w:tcPr>
          <w:p w14:paraId="63AFF36F"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b/>
                <w:bCs/>
                <w:color w:val="333333"/>
                <w:sz w:val="20"/>
                <w:szCs w:val="20"/>
              </w:rPr>
              <w:t>AND</w:t>
            </w:r>
          </w:p>
        </w:tc>
      </w:tr>
      <w:tr w:rsidR="00B31A07" w:rsidRPr="00B31A07" w14:paraId="242A201B" w14:textId="77777777" w:rsidTr="002032F6">
        <w:trPr>
          <w:cantSplit/>
          <w:trHeight w:val="20"/>
        </w:trPr>
        <w:tc>
          <w:tcPr>
            <w:tcW w:w="1271" w:type="dxa"/>
            <w:gridSpan w:val="2"/>
            <w:tcMar>
              <w:left w:w="20" w:type="dxa"/>
              <w:right w:w="20" w:type="dxa"/>
            </w:tcMar>
          </w:tcPr>
          <w:p w14:paraId="518F47F5" w14:textId="4D931BA2" w:rsidR="00B31A07" w:rsidRPr="00B31A07" w:rsidRDefault="00B31A07" w:rsidP="1797D1E5">
            <w:pPr>
              <w:jc w:val="center"/>
              <w:rPr>
                <w:rFonts w:ascii="Arial Narrow" w:eastAsia="Arial Narrow" w:hAnsi="Arial Narrow" w:cs="Arial Narrow"/>
                <w:color w:val="333333"/>
                <w:sz w:val="20"/>
                <w:szCs w:val="20"/>
              </w:rPr>
            </w:pPr>
          </w:p>
        </w:tc>
        <w:tc>
          <w:tcPr>
            <w:tcW w:w="7743" w:type="dxa"/>
            <w:gridSpan w:val="4"/>
            <w:tcMar>
              <w:left w:w="20" w:type="dxa"/>
              <w:right w:w="20" w:type="dxa"/>
            </w:tcMar>
          </w:tcPr>
          <w:p w14:paraId="00C86DD4"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b/>
                <w:bCs/>
                <w:color w:val="333333"/>
                <w:sz w:val="20"/>
                <w:szCs w:val="20"/>
              </w:rPr>
              <w:t>Clinical criteria:</w:t>
            </w:r>
          </w:p>
        </w:tc>
      </w:tr>
      <w:tr w:rsidR="00B31A07" w:rsidRPr="00B31A07" w14:paraId="405E56C9" w14:textId="77777777" w:rsidTr="002032F6">
        <w:trPr>
          <w:cantSplit/>
          <w:trHeight w:val="20"/>
        </w:trPr>
        <w:tc>
          <w:tcPr>
            <w:tcW w:w="1271" w:type="dxa"/>
            <w:gridSpan w:val="2"/>
            <w:tcMar>
              <w:left w:w="20" w:type="dxa"/>
              <w:right w:w="20" w:type="dxa"/>
            </w:tcMar>
          </w:tcPr>
          <w:p w14:paraId="7F1E6739" w14:textId="38654B5D" w:rsidR="00B31A07" w:rsidRPr="00B31A07" w:rsidRDefault="00B31A07" w:rsidP="1797D1E5">
            <w:pPr>
              <w:jc w:val="center"/>
              <w:rPr>
                <w:rFonts w:ascii="Arial Narrow" w:eastAsia="Arial Narrow" w:hAnsi="Arial Narrow" w:cs="Arial Narrow"/>
                <w:color w:val="333333"/>
                <w:sz w:val="20"/>
                <w:szCs w:val="20"/>
              </w:rPr>
            </w:pPr>
          </w:p>
        </w:tc>
        <w:tc>
          <w:tcPr>
            <w:tcW w:w="7743" w:type="dxa"/>
            <w:gridSpan w:val="4"/>
            <w:tcMar>
              <w:left w:w="20" w:type="dxa"/>
              <w:right w:w="20" w:type="dxa"/>
            </w:tcMar>
          </w:tcPr>
          <w:p w14:paraId="4C6B02FC"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color w:val="333333"/>
                <w:sz w:val="20"/>
                <w:szCs w:val="20"/>
              </w:rPr>
              <w:t>The treatment must not be more than 2 treatment cycles under this restriction in a lifetime</w:t>
            </w:r>
          </w:p>
        </w:tc>
      </w:tr>
      <w:tr w:rsidR="00B31A07" w:rsidRPr="00B31A07" w14:paraId="535EA071" w14:textId="77777777" w:rsidTr="002032F6">
        <w:trPr>
          <w:cantSplit/>
          <w:trHeight w:val="20"/>
        </w:trPr>
        <w:tc>
          <w:tcPr>
            <w:tcW w:w="1271" w:type="dxa"/>
            <w:gridSpan w:val="2"/>
            <w:tcMar>
              <w:left w:w="20" w:type="dxa"/>
              <w:right w:w="20" w:type="dxa"/>
            </w:tcMar>
          </w:tcPr>
          <w:p w14:paraId="7E3443AB" w14:textId="49D81199" w:rsidR="00B31A07" w:rsidRPr="00B31A07" w:rsidRDefault="00B31A07" w:rsidP="1797D1E5">
            <w:pPr>
              <w:jc w:val="center"/>
              <w:rPr>
                <w:rFonts w:ascii="Arial Narrow" w:eastAsia="Arial Narrow" w:hAnsi="Arial Narrow" w:cs="Arial Narrow"/>
                <w:color w:val="333333"/>
                <w:sz w:val="20"/>
                <w:szCs w:val="20"/>
              </w:rPr>
            </w:pPr>
          </w:p>
        </w:tc>
        <w:tc>
          <w:tcPr>
            <w:tcW w:w="7743" w:type="dxa"/>
            <w:gridSpan w:val="4"/>
            <w:tcMar>
              <w:left w:w="20" w:type="dxa"/>
              <w:right w:w="20" w:type="dxa"/>
            </w:tcMar>
          </w:tcPr>
          <w:p w14:paraId="3614F17B"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b/>
                <w:bCs/>
                <w:color w:val="333333"/>
                <w:sz w:val="20"/>
                <w:szCs w:val="20"/>
              </w:rPr>
              <w:t>Caution:</w:t>
            </w:r>
          </w:p>
          <w:p w14:paraId="5C80C6FC"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color w:val="333333"/>
                <w:sz w:val="20"/>
                <w:szCs w:val="20"/>
              </w:rPr>
              <w:t>Careful monitoring of patients is required due to risk of developing life-threatening Cytokine Release Syndrome, neurological toxicities and reactivation of John Cunningham virus (JC) viral infection.</w:t>
            </w:r>
          </w:p>
        </w:tc>
      </w:tr>
      <w:tr w:rsidR="00B31A07" w:rsidRPr="00B31A07" w14:paraId="670B15F3" w14:textId="77777777" w:rsidTr="002032F6">
        <w:trPr>
          <w:cantSplit/>
          <w:trHeight w:val="20"/>
        </w:trPr>
        <w:tc>
          <w:tcPr>
            <w:tcW w:w="1271" w:type="dxa"/>
            <w:gridSpan w:val="2"/>
            <w:tcMar>
              <w:left w:w="20" w:type="dxa"/>
              <w:right w:w="20" w:type="dxa"/>
            </w:tcMar>
          </w:tcPr>
          <w:p w14:paraId="703DE24B" w14:textId="70FC6A69" w:rsidR="00B31A07" w:rsidRPr="00B31A07" w:rsidRDefault="00B31A07" w:rsidP="1797D1E5">
            <w:pPr>
              <w:jc w:val="center"/>
              <w:rPr>
                <w:rFonts w:ascii="Arial Narrow" w:eastAsia="Arial Narrow" w:hAnsi="Arial Narrow" w:cs="Arial Narrow"/>
                <w:color w:val="333333"/>
                <w:sz w:val="20"/>
                <w:szCs w:val="20"/>
              </w:rPr>
            </w:pPr>
          </w:p>
        </w:tc>
        <w:tc>
          <w:tcPr>
            <w:tcW w:w="7743" w:type="dxa"/>
            <w:gridSpan w:val="4"/>
            <w:tcMar>
              <w:left w:w="20" w:type="dxa"/>
              <w:right w:w="20" w:type="dxa"/>
            </w:tcMar>
          </w:tcPr>
          <w:p w14:paraId="111F4FE2"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b/>
                <w:bCs/>
                <w:color w:val="333333"/>
                <w:sz w:val="20"/>
                <w:szCs w:val="20"/>
              </w:rPr>
              <w:t>Prescribing Instructions:</w:t>
            </w:r>
          </w:p>
          <w:p w14:paraId="794855A8"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color w:val="333333"/>
                <w:sz w:val="20"/>
                <w:szCs w:val="20"/>
              </w:rPr>
              <w:t>For all subsequent cycle starts and re-initiation (e.g. if treatment is interrupted for four or more hours), supervision by a health care professional or hospitalisation is recommended.</w:t>
            </w:r>
          </w:p>
        </w:tc>
      </w:tr>
      <w:tr w:rsidR="00B31A07" w:rsidRPr="00B31A07" w14:paraId="69E45918" w14:textId="77777777" w:rsidTr="002032F6">
        <w:trPr>
          <w:cantSplit/>
          <w:trHeight w:val="20"/>
        </w:trPr>
        <w:tc>
          <w:tcPr>
            <w:tcW w:w="1271" w:type="dxa"/>
            <w:gridSpan w:val="2"/>
            <w:tcMar>
              <w:left w:w="20" w:type="dxa"/>
              <w:right w:w="20" w:type="dxa"/>
            </w:tcMar>
          </w:tcPr>
          <w:p w14:paraId="2F55F84D" w14:textId="0FDF6BD4" w:rsidR="00B31A07" w:rsidRPr="00B31A07" w:rsidRDefault="00B31A07" w:rsidP="1797D1E5">
            <w:pPr>
              <w:jc w:val="center"/>
              <w:rPr>
                <w:rFonts w:ascii="Arial Narrow" w:eastAsia="Arial Narrow" w:hAnsi="Arial Narrow" w:cs="Arial Narrow"/>
                <w:color w:val="333333"/>
                <w:sz w:val="20"/>
                <w:szCs w:val="20"/>
              </w:rPr>
            </w:pPr>
          </w:p>
        </w:tc>
        <w:tc>
          <w:tcPr>
            <w:tcW w:w="7743" w:type="dxa"/>
            <w:gridSpan w:val="4"/>
            <w:tcMar>
              <w:left w:w="20" w:type="dxa"/>
              <w:right w:w="20" w:type="dxa"/>
            </w:tcMar>
          </w:tcPr>
          <w:p w14:paraId="10236077"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b/>
                <w:bCs/>
                <w:color w:val="333333"/>
                <w:sz w:val="20"/>
                <w:szCs w:val="20"/>
              </w:rPr>
              <w:t>Prescribing Instructions:</w:t>
            </w:r>
          </w:p>
          <w:p w14:paraId="38387B70"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color w:val="333333"/>
                <w:sz w:val="20"/>
                <w:szCs w:val="20"/>
              </w:rPr>
              <w:t>An amount of 784 microgram will be sufficient for a continuous infusion of blinatumomab over 28 days in each cycle.</w:t>
            </w:r>
          </w:p>
        </w:tc>
      </w:tr>
      <w:tr w:rsidR="00B31A07" w:rsidRPr="00B31A07" w14:paraId="2A62E6ED" w14:textId="77777777" w:rsidTr="002032F6">
        <w:trPr>
          <w:cantSplit/>
          <w:trHeight w:val="20"/>
        </w:trPr>
        <w:tc>
          <w:tcPr>
            <w:tcW w:w="1271" w:type="dxa"/>
            <w:gridSpan w:val="2"/>
            <w:tcMar>
              <w:left w:w="20" w:type="dxa"/>
              <w:right w:w="20" w:type="dxa"/>
            </w:tcMar>
          </w:tcPr>
          <w:p w14:paraId="783ACCA6" w14:textId="67B681DA" w:rsidR="00B31A07" w:rsidRPr="00B31A07" w:rsidRDefault="00B31A07" w:rsidP="1797D1E5">
            <w:pPr>
              <w:jc w:val="center"/>
              <w:rPr>
                <w:rFonts w:ascii="Arial Narrow" w:eastAsia="Arial Narrow" w:hAnsi="Arial Narrow" w:cs="Arial Narrow"/>
                <w:color w:val="333333"/>
                <w:sz w:val="20"/>
                <w:szCs w:val="20"/>
              </w:rPr>
            </w:pPr>
          </w:p>
        </w:tc>
        <w:tc>
          <w:tcPr>
            <w:tcW w:w="7743" w:type="dxa"/>
            <w:gridSpan w:val="4"/>
            <w:tcMar>
              <w:left w:w="20" w:type="dxa"/>
              <w:right w:w="20" w:type="dxa"/>
            </w:tcMar>
          </w:tcPr>
          <w:p w14:paraId="02CA01D5"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b/>
                <w:bCs/>
                <w:color w:val="333333"/>
                <w:sz w:val="20"/>
                <w:szCs w:val="20"/>
              </w:rPr>
              <w:t>Prescribing Instructions:</w:t>
            </w:r>
          </w:p>
          <w:p w14:paraId="1AB4EFDE"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color w:val="333333"/>
                <w:sz w:val="20"/>
                <w:szCs w:val="20"/>
              </w:rPr>
              <w:t>Blinatumomab is not PBS-subsidised if it is administered to an in-patient in a public hospital setting.</w:t>
            </w:r>
          </w:p>
        </w:tc>
      </w:tr>
      <w:tr w:rsidR="00B31A07" w:rsidRPr="00B31A07" w14:paraId="7E524FF7" w14:textId="77777777" w:rsidTr="002032F6">
        <w:trPr>
          <w:cantSplit/>
          <w:trHeight w:val="20"/>
        </w:trPr>
        <w:tc>
          <w:tcPr>
            <w:tcW w:w="1271" w:type="dxa"/>
            <w:gridSpan w:val="2"/>
            <w:tcMar>
              <w:left w:w="20" w:type="dxa"/>
              <w:right w:w="20" w:type="dxa"/>
            </w:tcMar>
          </w:tcPr>
          <w:p w14:paraId="2F41E352" w14:textId="6193C550" w:rsidR="00B31A07" w:rsidRPr="00B31A07" w:rsidRDefault="00B31A07" w:rsidP="1797D1E5">
            <w:pPr>
              <w:jc w:val="center"/>
              <w:rPr>
                <w:rFonts w:ascii="Arial Narrow" w:eastAsia="Arial Narrow" w:hAnsi="Arial Narrow" w:cs="Arial Narrow"/>
                <w:color w:val="333333"/>
                <w:sz w:val="20"/>
                <w:szCs w:val="20"/>
              </w:rPr>
            </w:pPr>
          </w:p>
        </w:tc>
        <w:tc>
          <w:tcPr>
            <w:tcW w:w="7743" w:type="dxa"/>
            <w:gridSpan w:val="4"/>
            <w:tcMar>
              <w:left w:w="20" w:type="dxa"/>
              <w:right w:w="20" w:type="dxa"/>
            </w:tcMar>
          </w:tcPr>
          <w:p w14:paraId="0DBA96BC"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b/>
                <w:bCs/>
                <w:color w:val="333333"/>
                <w:sz w:val="20"/>
                <w:szCs w:val="20"/>
              </w:rPr>
              <w:t>Prescribing Instructions:</w:t>
            </w:r>
          </w:p>
          <w:p w14:paraId="4A356AE3"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color w:val="333333"/>
                <w:sz w:val="20"/>
                <w:szCs w:val="20"/>
              </w:rPr>
              <w:t>Patients who fail to demonstrate a response to PBS-subsidised treatment with this agent at the time where an assessment is required must cease PBS-subsidised therapy with this agent.</w:t>
            </w:r>
          </w:p>
        </w:tc>
      </w:tr>
      <w:tr w:rsidR="00B31A07" w:rsidRPr="00B31A07" w14:paraId="421CE9F0" w14:textId="77777777" w:rsidTr="002032F6">
        <w:trPr>
          <w:cantSplit/>
          <w:trHeight w:val="20"/>
        </w:trPr>
        <w:tc>
          <w:tcPr>
            <w:tcW w:w="1271" w:type="dxa"/>
            <w:gridSpan w:val="2"/>
            <w:tcMar>
              <w:left w:w="20" w:type="dxa"/>
              <w:right w:w="20" w:type="dxa"/>
            </w:tcMar>
          </w:tcPr>
          <w:p w14:paraId="36D2BE34" w14:textId="07512FA9" w:rsidR="00B31A07" w:rsidRPr="00B31A07" w:rsidRDefault="00B31A07" w:rsidP="1797D1E5">
            <w:pPr>
              <w:jc w:val="center"/>
              <w:rPr>
                <w:rFonts w:ascii="Arial Narrow" w:eastAsia="Arial Narrow" w:hAnsi="Arial Narrow" w:cs="Arial Narrow"/>
                <w:color w:val="333333"/>
                <w:sz w:val="20"/>
                <w:szCs w:val="20"/>
              </w:rPr>
            </w:pPr>
          </w:p>
        </w:tc>
        <w:tc>
          <w:tcPr>
            <w:tcW w:w="7743" w:type="dxa"/>
            <w:gridSpan w:val="4"/>
            <w:tcMar>
              <w:left w:w="20" w:type="dxa"/>
              <w:right w:w="20" w:type="dxa"/>
            </w:tcMar>
          </w:tcPr>
          <w:p w14:paraId="4DD793F3"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b/>
                <w:bCs/>
                <w:color w:val="333333"/>
                <w:sz w:val="20"/>
                <w:szCs w:val="20"/>
              </w:rPr>
              <w:t>Administrative Advice:</w:t>
            </w:r>
          </w:p>
          <w:p w14:paraId="6253C0EB"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color w:val="333333"/>
                <w:sz w:val="20"/>
                <w:szCs w:val="20"/>
              </w:rPr>
              <w:t>A complete remission is defined as bone marrow blasts of less than or equal to 5%, no evidence of disease and a full recovery of peripheral blood counts with platelets of greater than 100,000 per microliter, and absolute neutrophil count (ANC) of greater than 1,000 per microliter.</w:t>
            </w:r>
          </w:p>
        </w:tc>
      </w:tr>
      <w:tr w:rsidR="00B31A07" w:rsidRPr="00B31A07" w14:paraId="78338B1F" w14:textId="77777777" w:rsidTr="002032F6">
        <w:trPr>
          <w:cantSplit/>
          <w:trHeight w:val="20"/>
        </w:trPr>
        <w:tc>
          <w:tcPr>
            <w:tcW w:w="1271" w:type="dxa"/>
            <w:gridSpan w:val="2"/>
            <w:tcMar>
              <w:left w:w="20" w:type="dxa"/>
              <w:right w:w="20" w:type="dxa"/>
            </w:tcMar>
          </w:tcPr>
          <w:p w14:paraId="50F82E31" w14:textId="53F02570" w:rsidR="00B31A07" w:rsidRPr="00B31A07" w:rsidRDefault="00B31A07" w:rsidP="1797D1E5">
            <w:pPr>
              <w:jc w:val="center"/>
              <w:rPr>
                <w:rFonts w:ascii="Arial Narrow" w:eastAsia="Arial Narrow" w:hAnsi="Arial Narrow" w:cs="Arial Narrow"/>
                <w:color w:val="333333"/>
                <w:sz w:val="20"/>
                <w:szCs w:val="20"/>
              </w:rPr>
            </w:pPr>
          </w:p>
        </w:tc>
        <w:tc>
          <w:tcPr>
            <w:tcW w:w="7743" w:type="dxa"/>
            <w:gridSpan w:val="4"/>
            <w:tcMar>
              <w:left w:w="20" w:type="dxa"/>
              <w:right w:w="20" w:type="dxa"/>
            </w:tcMar>
          </w:tcPr>
          <w:p w14:paraId="5C10E491"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b/>
                <w:bCs/>
                <w:color w:val="333333"/>
                <w:sz w:val="20"/>
                <w:szCs w:val="20"/>
              </w:rPr>
              <w:t>Administrative Advice:</w:t>
            </w:r>
          </w:p>
          <w:p w14:paraId="0F1D758E"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color w:val="333333"/>
                <w:sz w:val="20"/>
                <w:szCs w:val="20"/>
              </w:rPr>
              <w:t xml:space="preserve">Applications for authorisation under this restriction may be made in real time using the Online PBS Authorities system (see </w:t>
            </w:r>
            <w:hyperlink>
              <w:r w:rsidRPr="00B31A07">
                <w:rPr>
                  <w:rFonts w:ascii="Arial Narrow" w:eastAsia="Arial Narrow" w:hAnsi="Arial Narrow" w:cs="Arial Narrow"/>
                  <w:color w:val="0000FF" w:themeColor="hyperlink"/>
                  <w:sz w:val="20"/>
                  <w:szCs w:val="20"/>
                  <w:u w:val="single"/>
                </w:rPr>
                <w:t>www.servicesaustralia.gov.au/HPOS</w:t>
              </w:r>
            </w:hyperlink>
            <w:r w:rsidRPr="00B31A07">
              <w:rPr>
                <w:rFonts w:ascii="Arial Narrow" w:eastAsia="Arial Narrow" w:hAnsi="Arial Narrow" w:cs="Arial Narrow"/>
                <w:color w:val="333333"/>
                <w:sz w:val="20"/>
                <w:szCs w:val="20"/>
              </w:rPr>
              <w:t>) or by telephone by contacting Services Australia on 1800 700 270 (hours of operation 8 a.m. to 5 p.m. Monday to Friday).</w:t>
            </w:r>
          </w:p>
        </w:tc>
      </w:tr>
    </w:tbl>
    <w:p w14:paraId="6C6D097D" w14:textId="77777777" w:rsidR="00B31A07" w:rsidRPr="00B31A07" w:rsidRDefault="00B31A07" w:rsidP="00B31A07">
      <w:pPr>
        <w:numPr>
          <w:ilvl w:val="1"/>
          <w:numId w:val="5"/>
        </w:numPr>
        <w:spacing w:before="120" w:after="120"/>
        <w:ind w:left="720"/>
        <w:rPr>
          <w:rFonts w:asciiTheme="minorHAnsi" w:hAnsiTheme="minorHAnsi"/>
          <w:snapToGrid w:val="0"/>
        </w:rPr>
      </w:pPr>
      <w:r w:rsidRPr="00B31A07">
        <w:rPr>
          <w:rFonts w:asciiTheme="minorHAnsi" w:hAnsiTheme="minorHAnsi"/>
          <w:snapToGrid w:val="0"/>
        </w:rPr>
        <w:t>Add new item:</w:t>
      </w:r>
    </w:p>
    <w:tbl>
      <w:tblPr>
        <w:tblStyle w:val="TableGrid"/>
        <w:tblW w:w="9015" w:type="dxa"/>
        <w:tblLayout w:type="fixed"/>
        <w:tblLook w:val="04A0" w:firstRow="1" w:lastRow="0" w:firstColumn="1" w:lastColumn="0" w:noHBand="0" w:noVBand="1"/>
      </w:tblPr>
      <w:tblGrid>
        <w:gridCol w:w="562"/>
        <w:gridCol w:w="567"/>
        <w:gridCol w:w="2701"/>
        <w:gridCol w:w="2280"/>
        <w:gridCol w:w="1560"/>
        <w:gridCol w:w="1345"/>
      </w:tblGrid>
      <w:tr w:rsidR="00B31A07" w:rsidRPr="00B31A07" w14:paraId="71F011B4" w14:textId="77777777" w:rsidTr="00AE61DE">
        <w:trPr>
          <w:cantSplit/>
          <w:trHeight w:val="20"/>
        </w:trPr>
        <w:tc>
          <w:tcPr>
            <w:tcW w:w="3830" w:type="dxa"/>
            <w:gridSpan w:val="3"/>
            <w:tcMar>
              <w:left w:w="108" w:type="dxa"/>
              <w:right w:w="108" w:type="dxa"/>
            </w:tcMar>
          </w:tcPr>
          <w:p w14:paraId="2E11E989" w14:textId="77777777" w:rsidR="00B31A07" w:rsidRPr="00B31A07" w:rsidRDefault="00B31A07" w:rsidP="00B31A07">
            <w:pPr>
              <w:keepNext/>
              <w:jc w:val="left"/>
              <w:rPr>
                <w:rFonts w:ascii="Arial Narrow" w:hAnsi="Arial Narrow"/>
                <w:sz w:val="20"/>
                <w:szCs w:val="20"/>
              </w:rPr>
            </w:pPr>
            <w:r w:rsidRPr="00B31A07">
              <w:rPr>
                <w:rFonts w:ascii="Arial Narrow" w:eastAsia="Arial Narrow" w:hAnsi="Arial Narrow" w:cs="Arial Narrow"/>
                <w:b/>
                <w:bCs/>
                <w:sz w:val="20"/>
                <w:szCs w:val="20"/>
              </w:rPr>
              <w:t>MEDICINAL PRODUCT</w:t>
            </w:r>
            <w:r w:rsidRPr="00B31A07">
              <w:rPr>
                <w:rFonts w:ascii="Arial Narrow" w:eastAsia="Arial Narrow" w:hAnsi="Arial Narrow" w:cs="Arial Narrow"/>
                <w:sz w:val="20"/>
                <w:szCs w:val="20"/>
              </w:rPr>
              <w:t xml:space="preserve"> </w:t>
            </w:r>
          </w:p>
          <w:p w14:paraId="0039009E" w14:textId="77777777" w:rsidR="00B31A07" w:rsidRPr="00B31A07" w:rsidRDefault="00B31A07" w:rsidP="00B31A07">
            <w:pPr>
              <w:keepNext/>
              <w:jc w:val="left"/>
              <w:rPr>
                <w:rFonts w:ascii="Arial Narrow" w:hAnsi="Arial Narrow"/>
                <w:sz w:val="20"/>
                <w:szCs w:val="20"/>
              </w:rPr>
            </w:pPr>
            <w:r w:rsidRPr="00B31A07">
              <w:rPr>
                <w:rFonts w:ascii="Arial Narrow" w:eastAsia="Arial Narrow" w:hAnsi="Arial Narrow" w:cs="Arial Narrow"/>
                <w:b/>
                <w:bCs/>
                <w:sz w:val="20"/>
                <w:szCs w:val="20"/>
              </w:rPr>
              <w:t>Form</w:t>
            </w:r>
            <w:r w:rsidRPr="00B31A07">
              <w:rPr>
                <w:rFonts w:ascii="Arial Narrow" w:eastAsia="Arial Narrow" w:hAnsi="Arial Narrow" w:cs="Arial Narrow"/>
                <w:sz w:val="20"/>
                <w:szCs w:val="20"/>
              </w:rPr>
              <w:t xml:space="preserve"> </w:t>
            </w:r>
          </w:p>
        </w:tc>
        <w:tc>
          <w:tcPr>
            <w:tcW w:w="2280" w:type="dxa"/>
            <w:tcMar>
              <w:left w:w="108" w:type="dxa"/>
              <w:right w:w="108" w:type="dxa"/>
            </w:tcMar>
          </w:tcPr>
          <w:p w14:paraId="25D96AB1" w14:textId="77777777" w:rsidR="00B31A07" w:rsidRPr="00B31A07" w:rsidRDefault="00B31A07" w:rsidP="00B31A07">
            <w:pPr>
              <w:keepNext/>
              <w:jc w:val="center"/>
              <w:rPr>
                <w:rFonts w:ascii="Arial Narrow" w:hAnsi="Arial Narrow"/>
                <w:sz w:val="20"/>
                <w:szCs w:val="20"/>
              </w:rPr>
            </w:pPr>
            <w:r w:rsidRPr="00B31A07">
              <w:rPr>
                <w:rFonts w:ascii="Arial Narrow" w:eastAsia="Arial Narrow" w:hAnsi="Arial Narrow" w:cs="Arial Narrow"/>
                <w:b/>
                <w:bCs/>
                <w:sz w:val="20"/>
                <w:szCs w:val="20"/>
              </w:rPr>
              <w:t>PBS item code</w:t>
            </w:r>
          </w:p>
        </w:tc>
        <w:tc>
          <w:tcPr>
            <w:tcW w:w="1560" w:type="dxa"/>
            <w:tcMar>
              <w:left w:w="108" w:type="dxa"/>
              <w:right w:w="108" w:type="dxa"/>
            </w:tcMar>
          </w:tcPr>
          <w:p w14:paraId="20DED21C" w14:textId="77777777" w:rsidR="00B31A07" w:rsidRPr="00B31A07" w:rsidRDefault="00B31A07" w:rsidP="00B31A07">
            <w:pPr>
              <w:keepNext/>
              <w:jc w:val="center"/>
              <w:rPr>
                <w:rFonts w:ascii="Arial Narrow" w:hAnsi="Arial Narrow"/>
                <w:sz w:val="20"/>
                <w:szCs w:val="20"/>
              </w:rPr>
            </w:pPr>
            <w:r w:rsidRPr="00B31A07">
              <w:rPr>
                <w:rFonts w:ascii="Arial Narrow" w:eastAsia="Arial Narrow" w:hAnsi="Arial Narrow" w:cs="Arial Narrow"/>
                <w:b/>
                <w:bCs/>
                <w:sz w:val="20"/>
                <w:szCs w:val="20"/>
              </w:rPr>
              <w:t>Max. Amount</w:t>
            </w:r>
          </w:p>
        </w:tc>
        <w:tc>
          <w:tcPr>
            <w:tcW w:w="1345" w:type="dxa"/>
            <w:tcMar>
              <w:left w:w="108" w:type="dxa"/>
              <w:right w:w="108" w:type="dxa"/>
            </w:tcMar>
          </w:tcPr>
          <w:p w14:paraId="1F2F3AD0" w14:textId="77777777" w:rsidR="00B31A07" w:rsidRPr="00B31A07" w:rsidRDefault="00B31A07" w:rsidP="00B31A07">
            <w:pPr>
              <w:keepNext/>
              <w:jc w:val="center"/>
              <w:rPr>
                <w:rFonts w:ascii="Arial Narrow" w:hAnsi="Arial Narrow"/>
                <w:sz w:val="20"/>
                <w:szCs w:val="20"/>
              </w:rPr>
            </w:pPr>
            <w:r w:rsidRPr="00B31A07">
              <w:rPr>
                <w:rFonts w:ascii="Arial Narrow" w:eastAsia="Arial Narrow" w:hAnsi="Arial Narrow" w:cs="Arial Narrow"/>
                <w:b/>
                <w:bCs/>
                <w:sz w:val="20"/>
                <w:szCs w:val="20"/>
              </w:rPr>
              <w:t>№.of Rpts</w:t>
            </w:r>
          </w:p>
        </w:tc>
      </w:tr>
      <w:tr w:rsidR="00B31A07" w:rsidRPr="00B31A07" w14:paraId="44801183" w14:textId="77777777" w:rsidTr="00AE61DE">
        <w:trPr>
          <w:cantSplit/>
          <w:trHeight w:val="20"/>
        </w:trPr>
        <w:tc>
          <w:tcPr>
            <w:tcW w:w="3830" w:type="dxa"/>
            <w:gridSpan w:val="3"/>
            <w:tcMar>
              <w:left w:w="108" w:type="dxa"/>
              <w:right w:w="108" w:type="dxa"/>
            </w:tcMar>
          </w:tcPr>
          <w:p w14:paraId="21E425EC"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sz w:val="20"/>
                <w:szCs w:val="20"/>
              </w:rPr>
              <w:t xml:space="preserve">Blinatumomab 38.5 microgram injection [1 vial] &amp; inert substance solution [10 mL vial], 1 pack </w:t>
            </w:r>
          </w:p>
        </w:tc>
        <w:tc>
          <w:tcPr>
            <w:tcW w:w="2280" w:type="dxa"/>
            <w:tcMar>
              <w:left w:w="108" w:type="dxa"/>
              <w:right w:w="108" w:type="dxa"/>
            </w:tcMar>
          </w:tcPr>
          <w:p w14:paraId="488F8834" w14:textId="77777777" w:rsidR="00B31A07" w:rsidRPr="00B31A07" w:rsidRDefault="00B31A07" w:rsidP="00B31A07">
            <w:pPr>
              <w:jc w:val="center"/>
              <w:rPr>
                <w:rFonts w:ascii="Arial Narrow" w:hAnsi="Arial Narrow"/>
                <w:sz w:val="20"/>
                <w:szCs w:val="20"/>
              </w:rPr>
            </w:pPr>
            <w:r w:rsidRPr="00B31A07">
              <w:rPr>
                <w:rFonts w:ascii="Arial Narrow" w:eastAsia="Arial Narrow" w:hAnsi="Arial Narrow" w:cs="Arial Narrow"/>
                <w:sz w:val="20"/>
                <w:szCs w:val="20"/>
              </w:rPr>
              <w:t>New</w:t>
            </w:r>
          </w:p>
          <w:p w14:paraId="456918F1" w14:textId="77777777" w:rsidR="00B31A07" w:rsidRPr="00B31A07" w:rsidRDefault="00B31A07" w:rsidP="00B31A07">
            <w:pPr>
              <w:jc w:val="center"/>
              <w:rPr>
                <w:rFonts w:ascii="Arial Narrow" w:hAnsi="Arial Narrow"/>
                <w:sz w:val="20"/>
                <w:szCs w:val="20"/>
              </w:rPr>
            </w:pPr>
            <w:r w:rsidRPr="00B31A07">
              <w:rPr>
                <w:rFonts w:ascii="Arial Narrow" w:eastAsia="Arial Narrow" w:hAnsi="Arial Narrow" w:cs="Arial Narrow"/>
                <w:sz w:val="20"/>
                <w:szCs w:val="20"/>
              </w:rPr>
              <w:t>New</w:t>
            </w:r>
          </w:p>
        </w:tc>
        <w:tc>
          <w:tcPr>
            <w:tcW w:w="1560" w:type="dxa"/>
            <w:tcMar>
              <w:left w:w="108" w:type="dxa"/>
              <w:right w:w="108" w:type="dxa"/>
            </w:tcMar>
          </w:tcPr>
          <w:p w14:paraId="6BEEBE86" w14:textId="77777777" w:rsidR="00B31A07" w:rsidRPr="00B31A07" w:rsidRDefault="00B31A07" w:rsidP="00B31A07">
            <w:pPr>
              <w:jc w:val="center"/>
              <w:rPr>
                <w:rFonts w:ascii="Arial Narrow" w:hAnsi="Arial Narrow"/>
                <w:sz w:val="20"/>
                <w:szCs w:val="20"/>
              </w:rPr>
            </w:pPr>
            <w:r w:rsidRPr="00B31A07">
              <w:rPr>
                <w:rFonts w:ascii="Arial Narrow" w:eastAsia="Arial Narrow" w:hAnsi="Arial Narrow" w:cs="Arial Narrow"/>
                <w:sz w:val="20"/>
                <w:szCs w:val="20"/>
              </w:rPr>
              <w:t>784 mcg</w:t>
            </w:r>
          </w:p>
          <w:p w14:paraId="411006E0" w14:textId="77777777" w:rsidR="00B31A07" w:rsidRPr="00B31A07" w:rsidRDefault="00B31A07" w:rsidP="00B31A07">
            <w:pPr>
              <w:jc w:val="center"/>
              <w:rPr>
                <w:rFonts w:ascii="Arial Narrow" w:hAnsi="Arial Narrow"/>
                <w:sz w:val="20"/>
                <w:szCs w:val="20"/>
              </w:rPr>
            </w:pPr>
          </w:p>
        </w:tc>
        <w:tc>
          <w:tcPr>
            <w:tcW w:w="1345" w:type="dxa"/>
            <w:tcMar>
              <w:left w:w="108" w:type="dxa"/>
              <w:right w:w="108" w:type="dxa"/>
            </w:tcMar>
          </w:tcPr>
          <w:p w14:paraId="1EE4A44E" w14:textId="77777777" w:rsidR="00B31A07" w:rsidRPr="00B31A07" w:rsidRDefault="00B31A07" w:rsidP="00B31A07">
            <w:pPr>
              <w:jc w:val="center"/>
              <w:rPr>
                <w:rFonts w:ascii="Arial Narrow" w:hAnsi="Arial Narrow"/>
                <w:sz w:val="20"/>
                <w:szCs w:val="20"/>
              </w:rPr>
            </w:pPr>
            <w:r w:rsidRPr="00B31A07">
              <w:rPr>
                <w:rFonts w:ascii="Arial Narrow" w:eastAsia="Arial Narrow" w:hAnsi="Arial Narrow" w:cs="Arial Narrow"/>
                <w:sz w:val="20"/>
                <w:szCs w:val="20"/>
              </w:rPr>
              <w:t>1</w:t>
            </w:r>
          </w:p>
        </w:tc>
      </w:tr>
      <w:tr w:rsidR="00B31A07" w:rsidRPr="00B31A07" w14:paraId="4CCA8FAF" w14:textId="77777777" w:rsidTr="00AE61DE">
        <w:trPr>
          <w:cantSplit/>
          <w:trHeight w:val="20"/>
        </w:trPr>
        <w:tc>
          <w:tcPr>
            <w:tcW w:w="9015" w:type="dxa"/>
            <w:gridSpan w:val="6"/>
            <w:tcMar>
              <w:left w:w="108" w:type="dxa"/>
              <w:right w:w="108" w:type="dxa"/>
            </w:tcMar>
          </w:tcPr>
          <w:p w14:paraId="002CABE1"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b/>
                <w:bCs/>
                <w:sz w:val="20"/>
                <w:szCs w:val="20"/>
              </w:rPr>
              <w:t xml:space="preserve">Available brands </w:t>
            </w:r>
            <w:r w:rsidRPr="00B31A07">
              <w:rPr>
                <w:rFonts w:ascii="Arial Narrow" w:eastAsia="Arial Narrow" w:hAnsi="Arial Narrow" w:cs="Arial Narrow"/>
                <w:sz w:val="20"/>
                <w:szCs w:val="20"/>
              </w:rPr>
              <w:t xml:space="preserve"> </w:t>
            </w:r>
          </w:p>
        </w:tc>
      </w:tr>
      <w:tr w:rsidR="00B31A07" w:rsidRPr="00B31A07" w14:paraId="4D02ED76" w14:textId="77777777" w:rsidTr="00AE61DE">
        <w:trPr>
          <w:cantSplit/>
          <w:trHeight w:val="20"/>
        </w:trPr>
        <w:tc>
          <w:tcPr>
            <w:tcW w:w="9015" w:type="dxa"/>
            <w:gridSpan w:val="6"/>
            <w:tcMar>
              <w:left w:w="108" w:type="dxa"/>
              <w:right w:w="108" w:type="dxa"/>
            </w:tcMar>
          </w:tcPr>
          <w:p w14:paraId="11F70837"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sz w:val="20"/>
                <w:szCs w:val="20"/>
              </w:rPr>
              <w:t xml:space="preserve">Blincyto </w:t>
            </w:r>
          </w:p>
        </w:tc>
      </w:tr>
      <w:tr w:rsidR="00B31A07" w:rsidRPr="00B31A07" w14:paraId="72581B8B" w14:textId="77777777" w:rsidTr="00AE61DE">
        <w:trPr>
          <w:cantSplit/>
          <w:trHeight w:val="20"/>
        </w:trPr>
        <w:tc>
          <w:tcPr>
            <w:tcW w:w="9015" w:type="dxa"/>
            <w:gridSpan w:val="6"/>
            <w:tcMar>
              <w:left w:w="108" w:type="dxa"/>
              <w:right w:w="108" w:type="dxa"/>
            </w:tcMar>
          </w:tcPr>
          <w:p w14:paraId="045CACA6"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color w:val="FF0000"/>
                <w:sz w:val="20"/>
                <w:szCs w:val="20"/>
              </w:rPr>
              <w:t xml:space="preserve"> </w:t>
            </w:r>
          </w:p>
        </w:tc>
      </w:tr>
      <w:tr w:rsidR="00B31A07" w:rsidRPr="00B31A07" w14:paraId="700689D0" w14:textId="77777777" w:rsidTr="00AE61DE">
        <w:trPr>
          <w:cantSplit/>
          <w:trHeight w:val="20"/>
        </w:trPr>
        <w:tc>
          <w:tcPr>
            <w:tcW w:w="9015" w:type="dxa"/>
            <w:gridSpan w:val="6"/>
            <w:tcMar>
              <w:left w:w="108" w:type="dxa"/>
              <w:right w:w="108" w:type="dxa"/>
            </w:tcMar>
          </w:tcPr>
          <w:p w14:paraId="39258906" w14:textId="67AF255F" w:rsidR="00B31A07" w:rsidRPr="00B31A07" w:rsidRDefault="00B31A07" w:rsidP="1797D1E5">
            <w:pPr>
              <w:jc w:val="left"/>
              <w:rPr>
                <w:rFonts w:ascii="Arial Narrow" w:eastAsia="Arial Narrow" w:hAnsi="Arial Narrow" w:cs="Arial Narrow"/>
                <w:sz w:val="20"/>
                <w:szCs w:val="20"/>
              </w:rPr>
            </w:pPr>
            <w:r w:rsidRPr="1797D1E5">
              <w:rPr>
                <w:rFonts w:ascii="Arial Narrow" w:eastAsia="Arial Narrow" w:hAnsi="Arial Narrow" w:cs="Arial Narrow"/>
                <w:b/>
                <w:bCs/>
                <w:sz w:val="20"/>
                <w:szCs w:val="20"/>
              </w:rPr>
              <w:t xml:space="preserve">Edit Restriction Summary [new] / Treatment of Concept: [new] </w:t>
            </w:r>
          </w:p>
        </w:tc>
      </w:tr>
      <w:tr w:rsidR="00B31A07" w:rsidRPr="00B31A07" w14:paraId="5072896A" w14:textId="77777777" w:rsidTr="00AE61DE">
        <w:trPr>
          <w:cantSplit/>
          <w:trHeight w:val="20"/>
        </w:trPr>
        <w:tc>
          <w:tcPr>
            <w:tcW w:w="1129" w:type="dxa"/>
            <w:gridSpan w:val="2"/>
            <w:vMerge w:val="restart"/>
            <w:tcMar>
              <w:left w:w="108" w:type="dxa"/>
              <w:right w:w="108" w:type="dxa"/>
            </w:tcMar>
          </w:tcPr>
          <w:p w14:paraId="45E1DA36" w14:textId="798853F5" w:rsidR="00B31A07" w:rsidRPr="00B31A07" w:rsidRDefault="00B31A07" w:rsidP="1797D1E5">
            <w:pPr>
              <w:jc w:val="center"/>
              <w:rPr>
                <w:rFonts w:ascii="Arial Narrow" w:eastAsia="Arial Narrow" w:hAnsi="Arial Narrow" w:cs="Arial Narrow"/>
                <w:sz w:val="20"/>
                <w:szCs w:val="20"/>
              </w:rPr>
            </w:pPr>
            <w:r>
              <w:br/>
            </w:r>
          </w:p>
        </w:tc>
        <w:tc>
          <w:tcPr>
            <w:tcW w:w="7886" w:type="dxa"/>
            <w:gridSpan w:val="4"/>
            <w:tcMar>
              <w:left w:w="108" w:type="dxa"/>
              <w:right w:w="108" w:type="dxa"/>
            </w:tcMar>
          </w:tcPr>
          <w:p w14:paraId="047D27F5"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b/>
                <w:bCs/>
                <w:sz w:val="20"/>
                <w:szCs w:val="20"/>
              </w:rPr>
              <w:t xml:space="preserve">Category / Program: </w:t>
            </w:r>
            <w:r w:rsidRPr="00B31A07">
              <w:rPr>
                <w:rFonts w:ascii="Arial Narrow" w:eastAsia="Arial Narrow" w:hAnsi="Arial Narrow" w:cs="Arial Narrow"/>
                <w:sz w:val="20"/>
                <w:szCs w:val="20"/>
              </w:rPr>
              <w:t xml:space="preserve">Section 100 – Efficient Funding of Chemotherapy Public/Private hospitals {Related Benefits}  </w:t>
            </w:r>
          </w:p>
        </w:tc>
      </w:tr>
      <w:tr w:rsidR="00B31A07" w:rsidRPr="00B31A07" w14:paraId="5294CE5B" w14:textId="77777777" w:rsidTr="00AE61DE">
        <w:trPr>
          <w:cantSplit/>
          <w:trHeight w:val="20"/>
        </w:trPr>
        <w:tc>
          <w:tcPr>
            <w:tcW w:w="1129" w:type="dxa"/>
            <w:gridSpan w:val="2"/>
            <w:vMerge/>
          </w:tcPr>
          <w:p w14:paraId="550E962D" w14:textId="77777777" w:rsidR="00B31A07" w:rsidRPr="00B31A07" w:rsidRDefault="00B31A07" w:rsidP="00B31A07">
            <w:pPr>
              <w:jc w:val="center"/>
              <w:rPr>
                <w:rFonts w:ascii="Arial Narrow" w:hAnsi="Arial Narrow"/>
                <w:sz w:val="20"/>
                <w:szCs w:val="20"/>
              </w:rPr>
            </w:pPr>
          </w:p>
        </w:tc>
        <w:tc>
          <w:tcPr>
            <w:tcW w:w="7886" w:type="dxa"/>
            <w:gridSpan w:val="4"/>
            <w:tcMar>
              <w:left w:w="108" w:type="dxa"/>
              <w:right w:w="108" w:type="dxa"/>
            </w:tcMar>
          </w:tcPr>
          <w:p w14:paraId="2BA4210E"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b/>
                <w:bCs/>
                <w:sz w:val="20"/>
                <w:szCs w:val="20"/>
              </w:rPr>
              <w:t>Prescriber type:</w:t>
            </w:r>
            <w:r w:rsidRPr="00B31A07">
              <w:rPr>
                <w:rFonts w:ascii="Arial Narrow" w:eastAsia="Arial Narrow" w:hAnsi="Arial Narrow" w:cs="Arial Narrow"/>
                <w:sz w:val="20"/>
                <w:szCs w:val="20"/>
              </w:rPr>
              <w:t xml:space="preserve"> Medical Practitioners  </w:t>
            </w:r>
          </w:p>
        </w:tc>
      </w:tr>
      <w:tr w:rsidR="00B31A07" w:rsidRPr="00B31A07" w14:paraId="6551B863" w14:textId="77777777" w:rsidTr="00AE61DE">
        <w:trPr>
          <w:cantSplit/>
          <w:trHeight w:val="20"/>
        </w:trPr>
        <w:tc>
          <w:tcPr>
            <w:tcW w:w="1129" w:type="dxa"/>
            <w:gridSpan w:val="2"/>
            <w:vMerge/>
          </w:tcPr>
          <w:p w14:paraId="31BD62B5" w14:textId="77777777" w:rsidR="00B31A07" w:rsidRPr="00B31A07" w:rsidRDefault="00B31A07" w:rsidP="00B31A07">
            <w:pPr>
              <w:jc w:val="center"/>
              <w:rPr>
                <w:rFonts w:ascii="Arial Narrow" w:hAnsi="Arial Narrow"/>
                <w:sz w:val="20"/>
                <w:szCs w:val="20"/>
              </w:rPr>
            </w:pPr>
          </w:p>
        </w:tc>
        <w:tc>
          <w:tcPr>
            <w:tcW w:w="7886" w:type="dxa"/>
            <w:gridSpan w:val="4"/>
            <w:tcMar>
              <w:left w:w="108" w:type="dxa"/>
              <w:right w:w="108" w:type="dxa"/>
            </w:tcMar>
          </w:tcPr>
          <w:p w14:paraId="498097F0"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b/>
                <w:bCs/>
                <w:sz w:val="20"/>
                <w:szCs w:val="20"/>
              </w:rPr>
              <w:t xml:space="preserve">Restriction type: </w:t>
            </w:r>
            <w:r w:rsidRPr="00B31A07">
              <w:rPr>
                <w:rFonts w:ascii="Arial Narrow" w:eastAsia="Arial Narrow" w:hAnsi="Arial Narrow" w:cs="Arial Narrow"/>
                <w:sz w:val="20"/>
                <w:szCs w:val="20"/>
              </w:rPr>
              <w:t>Authority Required (in writing only via post/HPOS upload)</w:t>
            </w:r>
          </w:p>
        </w:tc>
      </w:tr>
      <w:tr w:rsidR="00B31A07" w:rsidRPr="00B31A07" w14:paraId="01F87B0D" w14:textId="77777777" w:rsidTr="00AE61DE">
        <w:trPr>
          <w:cantSplit/>
          <w:trHeight w:val="20"/>
        </w:trPr>
        <w:tc>
          <w:tcPr>
            <w:tcW w:w="562" w:type="dxa"/>
            <w:vMerge w:val="restart"/>
            <w:tcMar>
              <w:left w:w="108" w:type="dxa"/>
              <w:right w:w="108" w:type="dxa"/>
            </w:tcMar>
            <w:textDirection w:val="btLr"/>
          </w:tcPr>
          <w:p w14:paraId="0B1BA4E1" w14:textId="2D114615" w:rsidR="00B31A07" w:rsidRPr="00B31A07" w:rsidRDefault="00B31A07" w:rsidP="1797D1E5">
            <w:pPr>
              <w:ind w:left="113" w:right="105"/>
              <w:jc w:val="center"/>
              <w:rPr>
                <w:rFonts w:ascii="Arial Narrow" w:eastAsia="Arial Narrow" w:hAnsi="Arial Narrow" w:cs="Arial Narrow"/>
                <w:color w:val="333333"/>
                <w:sz w:val="20"/>
                <w:szCs w:val="20"/>
              </w:rPr>
            </w:pPr>
          </w:p>
        </w:tc>
        <w:tc>
          <w:tcPr>
            <w:tcW w:w="567" w:type="dxa"/>
            <w:tcMar>
              <w:left w:w="108" w:type="dxa"/>
              <w:right w:w="108" w:type="dxa"/>
            </w:tcMar>
          </w:tcPr>
          <w:p w14:paraId="3E910954" w14:textId="0F014176" w:rsidR="00B31A07" w:rsidRPr="00B31A07" w:rsidRDefault="00B31A07" w:rsidP="1797D1E5">
            <w:pPr>
              <w:ind w:left="30" w:hanging="30"/>
              <w:jc w:val="center"/>
              <w:rPr>
                <w:rFonts w:ascii="Arial Narrow" w:eastAsia="Arial Narrow" w:hAnsi="Arial Narrow" w:cs="Arial Narrow"/>
                <w:color w:val="333333"/>
                <w:sz w:val="20"/>
                <w:szCs w:val="20"/>
              </w:rPr>
            </w:pPr>
          </w:p>
        </w:tc>
        <w:tc>
          <w:tcPr>
            <w:tcW w:w="7886" w:type="dxa"/>
            <w:gridSpan w:val="4"/>
            <w:tcMar>
              <w:left w:w="108" w:type="dxa"/>
              <w:right w:w="108" w:type="dxa"/>
            </w:tcMar>
          </w:tcPr>
          <w:p w14:paraId="5D1FC131"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b/>
                <w:bCs/>
                <w:color w:val="333333"/>
                <w:sz w:val="20"/>
                <w:szCs w:val="20"/>
              </w:rPr>
              <w:t>Administrative Advice:</w:t>
            </w:r>
            <w:r w:rsidRPr="00B31A07">
              <w:rPr>
                <w:rFonts w:ascii="Arial Narrow" w:eastAsia="Arial Narrow" w:hAnsi="Arial Narrow" w:cs="Arial Narrow"/>
                <w:color w:val="333333"/>
                <w:sz w:val="20"/>
                <w:szCs w:val="20"/>
              </w:rPr>
              <w:t xml:space="preserve"> </w:t>
            </w:r>
          </w:p>
          <w:p w14:paraId="2643614D"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sz w:val="20"/>
                <w:szCs w:val="20"/>
              </w:rPr>
              <w:t>No increase in the maximum quantity or number of units may be authorised.</w:t>
            </w:r>
          </w:p>
        </w:tc>
      </w:tr>
      <w:tr w:rsidR="00B31A07" w:rsidRPr="00B31A07" w14:paraId="191ED94F" w14:textId="77777777" w:rsidTr="00AE61DE">
        <w:trPr>
          <w:cantSplit/>
          <w:trHeight w:val="20"/>
        </w:trPr>
        <w:tc>
          <w:tcPr>
            <w:tcW w:w="562" w:type="dxa"/>
            <w:vMerge/>
          </w:tcPr>
          <w:p w14:paraId="34955E6A" w14:textId="77777777" w:rsidR="00B31A07" w:rsidRPr="00B31A07" w:rsidRDefault="00B31A07" w:rsidP="00B31A07">
            <w:pPr>
              <w:jc w:val="left"/>
              <w:rPr>
                <w:rFonts w:ascii="Arial Narrow" w:hAnsi="Arial Narrow"/>
                <w:sz w:val="20"/>
                <w:szCs w:val="20"/>
              </w:rPr>
            </w:pPr>
          </w:p>
        </w:tc>
        <w:tc>
          <w:tcPr>
            <w:tcW w:w="567" w:type="dxa"/>
            <w:tcMar>
              <w:left w:w="108" w:type="dxa"/>
              <w:right w:w="108" w:type="dxa"/>
            </w:tcMar>
          </w:tcPr>
          <w:p w14:paraId="6153E74B" w14:textId="2EBEF5B9" w:rsidR="00B31A07" w:rsidRPr="00B31A07" w:rsidRDefault="00B31A07" w:rsidP="1797D1E5">
            <w:pPr>
              <w:ind w:left="30" w:hanging="30"/>
              <w:jc w:val="center"/>
              <w:rPr>
                <w:rFonts w:ascii="Arial Narrow" w:eastAsia="Arial Narrow" w:hAnsi="Arial Narrow" w:cs="Arial Narrow"/>
                <w:color w:val="333333"/>
                <w:sz w:val="20"/>
                <w:szCs w:val="20"/>
              </w:rPr>
            </w:pPr>
          </w:p>
        </w:tc>
        <w:tc>
          <w:tcPr>
            <w:tcW w:w="7886" w:type="dxa"/>
            <w:gridSpan w:val="4"/>
            <w:tcMar>
              <w:left w:w="108" w:type="dxa"/>
              <w:right w:w="108" w:type="dxa"/>
            </w:tcMar>
          </w:tcPr>
          <w:p w14:paraId="6ADD1078"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b/>
                <w:bCs/>
                <w:color w:val="333333"/>
                <w:sz w:val="20"/>
                <w:szCs w:val="20"/>
              </w:rPr>
              <w:t>Administrative Advice:</w:t>
            </w:r>
          </w:p>
          <w:p w14:paraId="3DCDBED5"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color w:val="333333"/>
                <w:sz w:val="20"/>
                <w:szCs w:val="20"/>
              </w:rPr>
              <w:t>No increase in the maximum number of repeats may be authorised.</w:t>
            </w:r>
          </w:p>
        </w:tc>
      </w:tr>
      <w:tr w:rsidR="00B31A07" w:rsidRPr="00B31A07" w14:paraId="3F445A56" w14:textId="77777777" w:rsidTr="00AE61DE">
        <w:trPr>
          <w:cantSplit/>
          <w:trHeight w:val="20"/>
        </w:trPr>
        <w:tc>
          <w:tcPr>
            <w:tcW w:w="562" w:type="dxa"/>
            <w:vMerge/>
          </w:tcPr>
          <w:p w14:paraId="4F835CB4" w14:textId="77777777" w:rsidR="00B31A07" w:rsidRPr="00B31A07" w:rsidRDefault="00B31A07" w:rsidP="00B31A07">
            <w:pPr>
              <w:jc w:val="left"/>
              <w:rPr>
                <w:rFonts w:ascii="Arial Narrow" w:hAnsi="Arial Narrow"/>
                <w:sz w:val="20"/>
                <w:szCs w:val="20"/>
              </w:rPr>
            </w:pPr>
          </w:p>
        </w:tc>
        <w:tc>
          <w:tcPr>
            <w:tcW w:w="567" w:type="dxa"/>
            <w:tcMar>
              <w:left w:w="108" w:type="dxa"/>
              <w:right w:w="108" w:type="dxa"/>
            </w:tcMar>
          </w:tcPr>
          <w:p w14:paraId="7D883749" w14:textId="6C0A907D" w:rsidR="00B31A07" w:rsidRPr="00B31A07" w:rsidRDefault="00B31A07" w:rsidP="1797D1E5">
            <w:pPr>
              <w:ind w:left="30" w:hanging="30"/>
              <w:jc w:val="center"/>
              <w:rPr>
                <w:rFonts w:ascii="Arial Narrow" w:eastAsia="Arial Narrow" w:hAnsi="Arial Narrow" w:cs="Arial Narrow"/>
                <w:color w:val="333333"/>
                <w:sz w:val="20"/>
                <w:szCs w:val="20"/>
              </w:rPr>
            </w:pPr>
          </w:p>
        </w:tc>
        <w:tc>
          <w:tcPr>
            <w:tcW w:w="7886" w:type="dxa"/>
            <w:gridSpan w:val="4"/>
            <w:tcMar>
              <w:left w:w="108" w:type="dxa"/>
              <w:right w:w="108" w:type="dxa"/>
            </w:tcMar>
          </w:tcPr>
          <w:p w14:paraId="6DBDD9D0"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b/>
                <w:bCs/>
                <w:color w:val="333333"/>
                <w:sz w:val="20"/>
                <w:szCs w:val="20"/>
              </w:rPr>
              <w:t>Administrative Advice:</w:t>
            </w:r>
            <w:r w:rsidRPr="00B31A07">
              <w:rPr>
                <w:rFonts w:ascii="Arial Narrow" w:eastAsia="Arial Narrow" w:hAnsi="Arial Narrow" w:cs="Arial Narrow"/>
                <w:color w:val="333333"/>
                <w:sz w:val="20"/>
                <w:szCs w:val="20"/>
              </w:rPr>
              <w:t xml:space="preserve"> </w:t>
            </w:r>
          </w:p>
          <w:p w14:paraId="2759E8CA"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sz w:val="20"/>
                <w:szCs w:val="20"/>
              </w:rPr>
              <w:t>Special Pricing Arrangements apply.</w:t>
            </w:r>
          </w:p>
        </w:tc>
      </w:tr>
      <w:tr w:rsidR="00B31A07" w:rsidRPr="00B31A07" w14:paraId="0BDCE4D7" w14:textId="77777777" w:rsidTr="00AE61DE">
        <w:trPr>
          <w:cantSplit/>
          <w:trHeight w:val="20"/>
        </w:trPr>
        <w:tc>
          <w:tcPr>
            <w:tcW w:w="1129" w:type="dxa"/>
            <w:gridSpan w:val="2"/>
            <w:vMerge w:val="restart"/>
            <w:tcMar>
              <w:left w:w="108" w:type="dxa"/>
              <w:right w:w="108" w:type="dxa"/>
            </w:tcMar>
          </w:tcPr>
          <w:p w14:paraId="3C4A5DA0" w14:textId="17B6446E" w:rsidR="00B31A07" w:rsidRPr="00B31A07" w:rsidRDefault="00B31A07" w:rsidP="1797D1E5">
            <w:pPr>
              <w:jc w:val="left"/>
              <w:rPr>
                <w:rFonts w:ascii="Arial Narrow" w:eastAsia="Arial Narrow" w:hAnsi="Arial Narrow" w:cs="Arial Narrow"/>
                <w:color w:val="333333"/>
                <w:sz w:val="20"/>
                <w:szCs w:val="20"/>
              </w:rPr>
            </w:pPr>
          </w:p>
        </w:tc>
        <w:tc>
          <w:tcPr>
            <w:tcW w:w="7886" w:type="dxa"/>
            <w:gridSpan w:val="4"/>
            <w:tcMar>
              <w:left w:w="108" w:type="dxa"/>
              <w:right w:w="108" w:type="dxa"/>
            </w:tcMar>
          </w:tcPr>
          <w:p w14:paraId="0BF68870" w14:textId="77777777" w:rsidR="00B31A07" w:rsidRPr="00B31A07" w:rsidRDefault="00B31A07" w:rsidP="00B31A07">
            <w:pPr>
              <w:jc w:val="left"/>
              <w:rPr>
                <w:rFonts w:ascii="Arial Narrow" w:hAnsi="Arial Narrow"/>
                <w:sz w:val="20"/>
                <w:szCs w:val="20"/>
              </w:rPr>
            </w:pPr>
            <w:r w:rsidRPr="007779E7">
              <w:rPr>
                <w:rFonts w:ascii="Arial Narrow" w:eastAsia="Arial Narrow" w:hAnsi="Arial Narrow" w:cs="Arial Narrow"/>
                <w:b/>
                <w:bCs/>
                <w:color w:val="595959" w:themeColor="text1" w:themeTint="A6"/>
                <w:sz w:val="20"/>
                <w:szCs w:val="20"/>
              </w:rPr>
              <w:t xml:space="preserve">Episodicity: </w:t>
            </w:r>
            <w:r w:rsidRPr="007779E7">
              <w:rPr>
                <w:rFonts w:ascii="Arial Narrow" w:eastAsia="Arial Narrow" w:hAnsi="Arial Narrow" w:cs="Arial Narrow"/>
                <w:color w:val="595959" w:themeColor="text1" w:themeTint="A6"/>
                <w:sz w:val="20"/>
                <w:szCs w:val="20"/>
              </w:rPr>
              <w:t xml:space="preserve">[blank] </w:t>
            </w:r>
          </w:p>
        </w:tc>
      </w:tr>
      <w:tr w:rsidR="00B31A07" w:rsidRPr="00B31A07" w14:paraId="480B523F" w14:textId="77777777" w:rsidTr="00AE61DE">
        <w:trPr>
          <w:cantSplit/>
          <w:trHeight w:val="20"/>
        </w:trPr>
        <w:tc>
          <w:tcPr>
            <w:tcW w:w="1129" w:type="dxa"/>
            <w:gridSpan w:val="2"/>
            <w:vMerge/>
          </w:tcPr>
          <w:p w14:paraId="3443CFC4" w14:textId="77777777" w:rsidR="00B31A07" w:rsidRPr="00B31A07" w:rsidRDefault="00B31A07" w:rsidP="00B31A07">
            <w:pPr>
              <w:jc w:val="left"/>
              <w:rPr>
                <w:rFonts w:ascii="Arial Narrow" w:hAnsi="Arial Narrow"/>
                <w:sz w:val="20"/>
                <w:szCs w:val="20"/>
              </w:rPr>
            </w:pPr>
          </w:p>
        </w:tc>
        <w:tc>
          <w:tcPr>
            <w:tcW w:w="7886" w:type="dxa"/>
            <w:gridSpan w:val="4"/>
            <w:tcMar>
              <w:left w:w="108" w:type="dxa"/>
              <w:right w:w="108" w:type="dxa"/>
            </w:tcMar>
          </w:tcPr>
          <w:p w14:paraId="28866CDE" w14:textId="77777777" w:rsidR="00B31A07" w:rsidRPr="00B31A07" w:rsidRDefault="00B31A07" w:rsidP="00B31A07">
            <w:pPr>
              <w:jc w:val="left"/>
              <w:rPr>
                <w:rFonts w:ascii="Arial Narrow" w:hAnsi="Arial Narrow"/>
                <w:sz w:val="20"/>
                <w:szCs w:val="20"/>
              </w:rPr>
            </w:pPr>
            <w:r w:rsidRPr="007779E7">
              <w:rPr>
                <w:rFonts w:ascii="Arial Narrow" w:eastAsia="Arial Narrow" w:hAnsi="Arial Narrow" w:cs="Arial Narrow"/>
                <w:b/>
                <w:bCs/>
                <w:color w:val="595959" w:themeColor="text1" w:themeTint="A6"/>
                <w:sz w:val="20"/>
                <w:szCs w:val="20"/>
              </w:rPr>
              <w:t xml:space="preserve">Severity: </w:t>
            </w:r>
            <w:r w:rsidRPr="007779E7">
              <w:rPr>
                <w:rFonts w:ascii="Arial Narrow" w:eastAsia="Arial Narrow" w:hAnsi="Arial Narrow" w:cs="Arial Narrow"/>
                <w:color w:val="595959" w:themeColor="text1" w:themeTint="A6"/>
                <w:sz w:val="20"/>
                <w:szCs w:val="20"/>
              </w:rPr>
              <w:t xml:space="preserve">[blank] </w:t>
            </w:r>
          </w:p>
        </w:tc>
      </w:tr>
      <w:tr w:rsidR="00B31A07" w:rsidRPr="00B31A07" w14:paraId="235431D0" w14:textId="77777777" w:rsidTr="00AE61DE">
        <w:trPr>
          <w:cantSplit/>
          <w:trHeight w:val="20"/>
        </w:trPr>
        <w:tc>
          <w:tcPr>
            <w:tcW w:w="1129" w:type="dxa"/>
            <w:gridSpan w:val="2"/>
            <w:vMerge/>
          </w:tcPr>
          <w:p w14:paraId="755F0D4E" w14:textId="77777777" w:rsidR="00B31A07" w:rsidRPr="00B31A07" w:rsidRDefault="00B31A07" w:rsidP="00B31A07">
            <w:pPr>
              <w:jc w:val="left"/>
              <w:rPr>
                <w:rFonts w:ascii="Arial Narrow" w:hAnsi="Arial Narrow"/>
                <w:sz w:val="20"/>
                <w:szCs w:val="20"/>
              </w:rPr>
            </w:pPr>
          </w:p>
        </w:tc>
        <w:tc>
          <w:tcPr>
            <w:tcW w:w="7886" w:type="dxa"/>
            <w:gridSpan w:val="4"/>
            <w:tcMar>
              <w:left w:w="108" w:type="dxa"/>
              <w:right w:w="108" w:type="dxa"/>
            </w:tcMar>
          </w:tcPr>
          <w:p w14:paraId="5A8E620B" w14:textId="77777777" w:rsidR="00B31A07" w:rsidRPr="00B31A07" w:rsidRDefault="00B31A07" w:rsidP="00B31A07">
            <w:pPr>
              <w:jc w:val="left"/>
              <w:rPr>
                <w:rFonts w:ascii="Arial Narrow" w:hAnsi="Arial Narrow"/>
                <w:sz w:val="20"/>
                <w:szCs w:val="20"/>
              </w:rPr>
            </w:pPr>
            <w:r w:rsidRPr="007779E7">
              <w:rPr>
                <w:rFonts w:ascii="Arial Narrow" w:eastAsia="Arial Narrow" w:hAnsi="Arial Narrow" w:cs="Arial Narrow"/>
                <w:b/>
                <w:bCs/>
                <w:color w:val="595959" w:themeColor="text1" w:themeTint="A6"/>
                <w:sz w:val="20"/>
                <w:szCs w:val="20"/>
              </w:rPr>
              <w:t xml:space="preserve">Condition: </w:t>
            </w:r>
            <w:r w:rsidRPr="007779E7">
              <w:rPr>
                <w:rFonts w:ascii="Arial Narrow" w:eastAsia="Arial Narrow" w:hAnsi="Arial Narrow" w:cs="Arial Narrow"/>
                <w:color w:val="595959" w:themeColor="text1" w:themeTint="A6"/>
                <w:sz w:val="20"/>
                <w:szCs w:val="20"/>
              </w:rPr>
              <w:t xml:space="preserve">[blank] </w:t>
            </w:r>
          </w:p>
        </w:tc>
      </w:tr>
      <w:tr w:rsidR="00B31A07" w:rsidRPr="00B31A07" w14:paraId="4D32966F" w14:textId="77777777" w:rsidTr="00AE61DE">
        <w:trPr>
          <w:cantSplit/>
          <w:trHeight w:val="20"/>
        </w:trPr>
        <w:tc>
          <w:tcPr>
            <w:tcW w:w="1129" w:type="dxa"/>
            <w:gridSpan w:val="2"/>
            <w:tcMar>
              <w:left w:w="108" w:type="dxa"/>
              <w:right w:w="108" w:type="dxa"/>
            </w:tcMar>
          </w:tcPr>
          <w:p w14:paraId="7007CF07" w14:textId="588ACF17" w:rsidR="00B31A07" w:rsidRPr="00B31A07" w:rsidRDefault="00B31A07" w:rsidP="1797D1E5">
            <w:pPr>
              <w:jc w:val="center"/>
              <w:rPr>
                <w:rFonts w:ascii="Arial Narrow" w:eastAsia="Arial Narrow" w:hAnsi="Arial Narrow" w:cs="Arial Narrow"/>
                <w:color w:val="333333"/>
                <w:sz w:val="20"/>
                <w:szCs w:val="20"/>
              </w:rPr>
            </w:pPr>
          </w:p>
        </w:tc>
        <w:tc>
          <w:tcPr>
            <w:tcW w:w="7886" w:type="dxa"/>
            <w:gridSpan w:val="4"/>
            <w:tcMar>
              <w:left w:w="108" w:type="dxa"/>
              <w:right w:w="108" w:type="dxa"/>
            </w:tcMar>
          </w:tcPr>
          <w:p w14:paraId="769E30E8"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b/>
                <w:bCs/>
                <w:color w:val="333333"/>
                <w:sz w:val="20"/>
                <w:szCs w:val="20"/>
              </w:rPr>
              <w:t>Indication:</w:t>
            </w:r>
          </w:p>
          <w:p w14:paraId="2DC72DBE" w14:textId="77777777" w:rsidR="00B31A07" w:rsidRPr="00B31A07" w:rsidRDefault="00B31A07" w:rsidP="00B31A07">
            <w:pPr>
              <w:jc w:val="left"/>
              <w:rPr>
                <w:rFonts w:ascii="Arial Narrow" w:eastAsia="Arial Narrow" w:hAnsi="Arial Narrow" w:cs="Arial Narrow"/>
                <w:color w:val="333333"/>
                <w:sz w:val="20"/>
                <w:szCs w:val="20"/>
              </w:rPr>
            </w:pPr>
            <w:r w:rsidRPr="00B31A07">
              <w:rPr>
                <w:rFonts w:ascii="Arial Narrow" w:eastAsia="Arial Narrow" w:hAnsi="Arial Narrow" w:cs="Arial Narrow"/>
                <w:color w:val="333333"/>
                <w:sz w:val="20"/>
                <w:szCs w:val="20"/>
              </w:rPr>
              <w:t xml:space="preserve">Precursor B-cell acute lymphoblastic leukaemia (Pre-B-cell ALL) </w:t>
            </w:r>
          </w:p>
        </w:tc>
      </w:tr>
      <w:tr w:rsidR="00B31A07" w:rsidRPr="00B31A07" w14:paraId="4254A4ED" w14:textId="77777777" w:rsidTr="00AE61DE">
        <w:trPr>
          <w:cantSplit/>
          <w:trHeight w:val="20"/>
        </w:trPr>
        <w:tc>
          <w:tcPr>
            <w:tcW w:w="1129" w:type="dxa"/>
            <w:gridSpan w:val="2"/>
            <w:tcMar>
              <w:left w:w="108" w:type="dxa"/>
              <w:right w:w="108" w:type="dxa"/>
            </w:tcMar>
          </w:tcPr>
          <w:p w14:paraId="28C1F3F2" w14:textId="77777777" w:rsidR="00B31A07" w:rsidRPr="00B31A07" w:rsidRDefault="00B31A07" w:rsidP="00B31A07">
            <w:pPr>
              <w:jc w:val="left"/>
              <w:rPr>
                <w:rFonts w:ascii="Arial Narrow" w:hAnsi="Arial Narrow"/>
                <w:sz w:val="20"/>
                <w:szCs w:val="20"/>
              </w:rPr>
            </w:pPr>
          </w:p>
        </w:tc>
        <w:tc>
          <w:tcPr>
            <w:tcW w:w="7886" w:type="dxa"/>
            <w:gridSpan w:val="4"/>
            <w:tcMar>
              <w:left w:w="108" w:type="dxa"/>
              <w:right w:w="108" w:type="dxa"/>
            </w:tcMar>
          </w:tcPr>
          <w:p w14:paraId="33B859AA"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b/>
                <w:bCs/>
                <w:color w:val="333333"/>
                <w:sz w:val="20"/>
                <w:szCs w:val="20"/>
              </w:rPr>
              <w:t xml:space="preserve">Treatment Phase: </w:t>
            </w:r>
            <w:r w:rsidRPr="00B31A07">
              <w:rPr>
                <w:rFonts w:ascii="Arial Narrow" w:eastAsia="Arial Narrow" w:hAnsi="Arial Narrow" w:cs="Arial Narrow"/>
                <w:color w:val="333333"/>
                <w:sz w:val="20"/>
                <w:szCs w:val="20"/>
              </w:rPr>
              <w:t>Grandfather (transition from non-PBS-subsidised treatment) of Pre-B-cell ALL in complete haematological remission (CR)</w:t>
            </w:r>
          </w:p>
        </w:tc>
      </w:tr>
      <w:tr w:rsidR="00B31A07" w:rsidRPr="00B31A07" w14:paraId="460BB4A7" w14:textId="77777777" w:rsidTr="00AE61DE">
        <w:trPr>
          <w:cantSplit/>
          <w:trHeight w:val="20"/>
        </w:trPr>
        <w:tc>
          <w:tcPr>
            <w:tcW w:w="1129" w:type="dxa"/>
            <w:gridSpan w:val="2"/>
            <w:tcMar>
              <w:left w:w="108" w:type="dxa"/>
              <w:right w:w="108" w:type="dxa"/>
            </w:tcMar>
          </w:tcPr>
          <w:p w14:paraId="4447ED97" w14:textId="58641B59" w:rsidR="00B31A07" w:rsidRPr="00B31A07" w:rsidRDefault="00B31A07" w:rsidP="1797D1E5">
            <w:pPr>
              <w:jc w:val="center"/>
              <w:rPr>
                <w:rFonts w:ascii="Arial Narrow" w:eastAsia="Arial Narrow" w:hAnsi="Arial Narrow" w:cs="Arial Narrow"/>
                <w:color w:val="333333"/>
                <w:sz w:val="20"/>
                <w:szCs w:val="20"/>
              </w:rPr>
            </w:pPr>
          </w:p>
        </w:tc>
        <w:tc>
          <w:tcPr>
            <w:tcW w:w="7886" w:type="dxa"/>
            <w:gridSpan w:val="4"/>
            <w:tcMar>
              <w:left w:w="108" w:type="dxa"/>
              <w:right w:w="108" w:type="dxa"/>
            </w:tcMar>
          </w:tcPr>
          <w:p w14:paraId="16729D5D"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b/>
                <w:bCs/>
                <w:color w:val="333333"/>
                <w:sz w:val="20"/>
                <w:szCs w:val="20"/>
              </w:rPr>
              <w:t>Treatment criteria:</w:t>
            </w:r>
          </w:p>
        </w:tc>
      </w:tr>
      <w:tr w:rsidR="00B31A07" w:rsidRPr="00B31A07" w14:paraId="6398079E" w14:textId="77777777" w:rsidTr="00AE61DE">
        <w:trPr>
          <w:cantSplit/>
          <w:trHeight w:val="20"/>
        </w:trPr>
        <w:tc>
          <w:tcPr>
            <w:tcW w:w="1129" w:type="dxa"/>
            <w:gridSpan w:val="2"/>
            <w:tcMar>
              <w:left w:w="108" w:type="dxa"/>
              <w:right w:w="108" w:type="dxa"/>
            </w:tcMar>
          </w:tcPr>
          <w:p w14:paraId="4A1E4987" w14:textId="22F57129" w:rsidR="00B31A07" w:rsidRPr="00B31A07" w:rsidRDefault="00B31A07" w:rsidP="1797D1E5">
            <w:pPr>
              <w:jc w:val="center"/>
              <w:rPr>
                <w:rFonts w:ascii="Arial Narrow" w:eastAsia="Arial Narrow" w:hAnsi="Arial Narrow" w:cs="Arial Narrow"/>
                <w:color w:val="333333"/>
                <w:sz w:val="20"/>
                <w:szCs w:val="20"/>
              </w:rPr>
            </w:pPr>
          </w:p>
        </w:tc>
        <w:tc>
          <w:tcPr>
            <w:tcW w:w="7886" w:type="dxa"/>
            <w:gridSpan w:val="4"/>
            <w:tcMar>
              <w:left w:w="108" w:type="dxa"/>
              <w:right w:w="108" w:type="dxa"/>
            </w:tcMar>
          </w:tcPr>
          <w:p w14:paraId="06F7983D"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color w:val="333333"/>
                <w:sz w:val="20"/>
                <w:szCs w:val="20"/>
              </w:rPr>
              <w:t>Must be treated by a physician experienced in the treatment of haematological malignancies</w:t>
            </w:r>
          </w:p>
        </w:tc>
      </w:tr>
      <w:tr w:rsidR="00B31A07" w:rsidRPr="00B31A07" w14:paraId="3AD05C17" w14:textId="77777777" w:rsidTr="00AE61DE">
        <w:trPr>
          <w:cantSplit/>
          <w:trHeight w:val="20"/>
        </w:trPr>
        <w:tc>
          <w:tcPr>
            <w:tcW w:w="1129" w:type="dxa"/>
            <w:gridSpan w:val="2"/>
            <w:tcMar>
              <w:left w:w="108" w:type="dxa"/>
              <w:right w:w="108" w:type="dxa"/>
            </w:tcMar>
          </w:tcPr>
          <w:p w14:paraId="5A691FB9" w14:textId="258A0705" w:rsidR="00B31A07" w:rsidRPr="00B31A07" w:rsidRDefault="00B31A07" w:rsidP="00B31A07">
            <w:pPr>
              <w:jc w:val="center"/>
              <w:rPr>
                <w:rFonts w:ascii="Arial Narrow" w:eastAsia="Arial Narrow" w:hAnsi="Arial Narrow" w:cs="Arial Narrow"/>
                <w:color w:val="333333"/>
                <w:sz w:val="20"/>
                <w:szCs w:val="20"/>
              </w:rPr>
            </w:pPr>
          </w:p>
        </w:tc>
        <w:tc>
          <w:tcPr>
            <w:tcW w:w="7886" w:type="dxa"/>
            <w:gridSpan w:val="4"/>
            <w:tcMar>
              <w:left w:w="108" w:type="dxa"/>
              <w:right w:w="108" w:type="dxa"/>
            </w:tcMar>
          </w:tcPr>
          <w:p w14:paraId="0DF2E88F" w14:textId="77777777" w:rsidR="00B31A07" w:rsidRPr="00B31A07" w:rsidRDefault="00B31A07" w:rsidP="00B31A07">
            <w:pPr>
              <w:jc w:val="left"/>
              <w:rPr>
                <w:rFonts w:ascii="Arial Narrow" w:eastAsia="Arial Narrow" w:hAnsi="Arial Narrow" w:cs="Arial Narrow"/>
                <w:b/>
                <w:bCs/>
                <w:color w:val="333333"/>
                <w:sz w:val="20"/>
                <w:szCs w:val="20"/>
              </w:rPr>
            </w:pPr>
            <w:r w:rsidRPr="00B31A07">
              <w:rPr>
                <w:rFonts w:ascii="Arial Narrow" w:eastAsia="Arial Narrow" w:hAnsi="Arial Narrow" w:cs="Arial Narrow"/>
                <w:b/>
                <w:bCs/>
                <w:color w:val="333333"/>
                <w:sz w:val="20"/>
                <w:szCs w:val="20"/>
              </w:rPr>
              <w:t>Clinical criteria:</w:t>
            </w:r>
          </w:p>
        </w:tc>
      </w:tr>
      <w:tr w:rsidR="00B31A07" w:rsidRPr="00B31A07" w14:paraId="0463AEA4" w14:textId="77777777" w:rsidTr="00AE61DE">
        <w:trPr>
          <w:cantSplit/>
          <w:trHeight w:val="20"/>
        </w:trPr>
        <w:tc>
          <w:tcPr>
            <w:tcW w:w="1129" w:type="dxa"/>
            <w:gridSpan w:val="2"/>
            <w:tcMar>
              <w:left w:w="108" w:type="dxa"/>
              <w:right w:w="108" w:type="dxa"/>
            </w:tcMar>
          </w:tcPr>
          <w:p w14:paraId="6669A34A" w14:textId="31AD3E70" w:rsidR="00B31A07" w:rsidRPr="00B31A07" w:rsidRDefault="00B31A07" w:rsidP="00B31A07">
            <w:pPr>
              <w:jc w:val="center"/>
              <w:rPr>
                <w:rFonts w:ascii="Arial Narrow" w:eastAsia="Arial Narrow" w:hAnsi="Arial Narrow" w:cs="Arial Narrow"/>
                <w:color w:val="333333"/>
                <w:sz w:val="20"/>
                <w:szCs w:val="20"/>
              </w:rPr>
            </w:pPr>
          </w:p>
        </w:tc>
        <w:tc>
          <w:tcPr>
            <w:tcW w:w="7886" w:type="dxa"/>
            <w:gridSpan w:val="4"/>
            <w:tcMar>
              <w:left w:w="108" w:type="dxa"/>
              <w:right w:w="108" w:type="dxa"/>
            </w:tcMar>
          </w:tcPr>
          <w:p w14:paraId="7DAA2BEA" w14:textId="77777777" w:rsidR="00B31A07" w:rsidRPr="00B31A07" w:rsidRDefault="00B31A07" w:rsidP="00B31A07">
            <w:pPr>
              <w:jc w:val="left"/>
              <w:rPr>
                <w:rFonts w:ascii="Arial Narrow" w:eastAsia="Arial Narrow" w:hAnsi="Arial Narrow" w:cs="Arial Narrow"/>
                <w:color w:val="333333"/>
                <w:sz w:val="20"/>
                <w:szCs w:val="20"/>
              </w:rPr>
            </w:pPr>
            <w:r w:rsidRPr="00B31A07">
              <w:rPr>
                <w:rFonts w:ascii="Arial Narrow" w:eastAsia="Arial Narrow" w:hAnsi="Arial Narrow" w:cs="Arial Narrow"/>
                <w:color w:val="333333"/>
                <w:sz w:val="20"/>
                <w:szCs w:val="20"/>
              </w:rPr>
              <w:t xml:space="preserve">Patient must have commenced treatment with this medicine for this condition prior to [PBS listing date]   </w:t>
            </w:r>
          </w:p>
        </w:tc>
      </w:tr>
      <w:tr w:rsidR="00B31A07" w:rsidRPr="00B31A07" w14:paraId="29961C54" w14:textId="77777777" w:rsidTr="00AE61DE">
        <w:trPr>
          <w:cantSplit/>
          <w:trHeight w:val="20"/>
        </w:trPr>
        <w:tc>
          <w:tcPr>
            <w:tcW w:w="1129" w:type="dxa"/>
            <w:gridSpan w:val="2"/>
            <w:tcMar>
              <w:left w:w="108" w:type="dxa"/>
              <w:right w:w="108" w:type="dxa"/>
            </w:tcMar>
          </w:tcPr>
          <w:p w14:paraId="7F2F7C27" w14:textId="77777777" w:rsidR="00B31A07" w:rsidRPr="00B31A07" w:rsidRDefault="00B31A07" w:rsidP="00B31A07">
            <w:pPr>
              <w:jc w:val="center"/>
              <w:rPr>
                <w:rFonts w:ascii="Arial Narrow" w:eastAsia="Arial Narrow" w:hAnsi="Arial Narrow" w:cs="Arial Narrow"/>
                <w:color w:val="333333"/>
                <w:sz w:val="20"/>
                <w:szCs w:val="20"/>
              </w:rPr>
            </w:pPr>
          </w:p>
        </w:tc>
        <w:tc>
          <w:tcPr>
            <w:tcW w:w="7886" w:type="dxa"/>
            <w:gridSpan w:val="4"/>
            <w:tcMar>
              <w:left w:w="108" w:type="dxa"/>
              <w:right w:w="108" w:type="dxa"/>
            </w:tcMar>
          </w:tcPr>
          <w:p w14:paraId="5BBAD54F" w14:textId="77777777" w:rsidR="00B31A07" w:rsidRPr="00B31A07" w:rsidRDefault="00B31A07" w:rsidP="00B31A07">
            <w:pPr>
              <w:jc w:val="left"/>
              <w:rPr>
                <w:rFonts w:ascii="Arial Narrow" w:eastAsia="Arial Narrow" w:hAnsi="Arial Narrow" w:cs="Arial Narrow"/>
                <w:b/>
                <w:bCs/>
                <w:color w:val="333333"/>
                <w:sz w:val="20"/>
                <w:szCs w:val="20"/>
              </w:rPr>
            </w:pPr>
            <w:r w:rsidRPr="00B31A07">
              <w:rPr>
                <w:rFonts w:ascii="Arial Narrow" w:eastAsia="Arial Narrow" w:hAnsi="Arial Narrow" w:cs="Arial Narrow"/>
                <w:b/>
                <w:bCs/>
                <w:color w:val="333333"/>
                <w:sz w:val="20"/>
                <w:szCs w:val="20"/>
              </w:rPr>
              <w:t>AND</w:t>
            </w:r>
          </w:p>
        </w:tc>
      </w:tr>
      <w:tr w:rsidR="00B31A07" w:rsidRPr="00B31A07" w14:paraId="2B7A8092" w14:textId="77777777" w:rsidTr="00AE61DE">
        <w:trPr>
          <w:cantSplit/>
          <w:trHeight w:val="20"/>
        </w:trPr>
        <w:tc>
          <w:tcPr>
            <w:tcW w:w="1129" w:type="dxa"/>
            <w:gridSpan w:val="2"/>
            <w:tcMar>
              <w:left w:w="108" w:type="dxa"/>
              <w:right w:w="108" w:type="dxa"/>
            </w:tcMar>
          </w:tcPr>
          <w:p w14:paraId="7EC99A2E" w14:textId="38B354C6" w:rsidR="00B31A07" w:rsidRPr="00B31A07" w:rsidRDefault="00B31A07" w:rsidP="1797D1E5">
            <w:pPr>
              <w:jc w:val="center"/>
              <w:rPr>
                <w:rFonts w:ascii="Arial Narrow" w:eastAsia="Arial Narrow" w:hAnsi="Arial Narrow" w:cs="Arial Narrow"/>
                <w:color w:val="333333"/>
                <w:sz w:val="20"/>
                <w:szCs w:val="20"/>
              </w:rPr>
            </w:pPr>
          </w:p>
        </w:tc>
        <w:tc>
          <w:tcPr>
            <w:tcW w:w="7886" w:type="dxa"/>
            <w:gridSpan w:val="4"/>
            <w:tcMar>
              <w:left w:w="108" w:type="dxa"/>
              <w:right w:w="108" w:type="dxa"/>
            </w:tcMar>
          </w:tcPr>
          <w:p w14:paraId="172CC47C"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b/>
                <w:bCs/>
                <w:color w:val="333333"/>
                <w:sz w:val="20"/>
                <w:szCs w:val="20"/>
              </w:rPr>
              <w:t>Clinical criteria:</w:t>
            </w:r>
          </w:p>
        </w:tc>
      </w:tr>
      <w:tr w:rsidR="00B31A07" w:rsidRPr="00B31A07" w14:paraId="7D65452A" w14:textId="77777777" w:rsidTr="00AE61DE">
        <w:trPr>
          <w:cantSplit/>
          <w:trHeight w:val="20"/>
        </w:trPr>
        <w:tc>
          <w:tcPr>
            <w:tcW w:w="1129" w:type="dxa"/>
            <w:gridSpan w:val="2"/>
            <w:tcMar>
              <w:left w:w="108" w:type="dxa"/>
              <w:right w:w="108" w:type="dxa"/>
            </w:tcMar>
          </w:tcPr>
          <w:p w14:paraId="15A32B5F" w14:textId="70C2A1DE" w:rsidR="00B31A07" w:rsidRPr="00B31A07" w:rsidRDefault="00B31A07" w:rsidP="1797D1E5">
            <w:pPr>
              <w:jc w:val="center"/>
              <w:rPr>
                <w:rFonts w:ascii="Arial Narrow" w:eastAsia="Arial Narrow" w:hAnsi="Arial Narrow" w:cs="Arial Narrow"/>
                <w:color w:val="333333"/>
                <w:sz w:val="20"/>
                <w:szCs w:val="20"/>
              </w:rPr>
            </w:pPr>
          </w:p>
        </w:tc>
        <w:tc>
          <w:tcPr>
            <w:tcW w:w="7886" w:type="dxa"/>
            <w:gridSpan w:val="4"/>
            <w:tcMar>
              <w:left w:w="108" w:type="dxa"/>
              <w:right w:w="108" w:type="dxa"/>
            </w:tcMar>
          </w:tcPr>
          <w:p w14:paraId="2FC3962F"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color w:val="333333"/>
                <w:sz w:val="20"/>
                <w:szCs w:val="20"/>
              </w:rPr>
              <w:t xml:space="preserve">Patient must have had an Eastern Cooperative Oncology Group (ECOG) performance status of 0 or 1, at initiation of non-PBS-subsidised treatment with this drug. </w:t>
            </w:r>
          </w:p>
        </w:tc>
      </w:tr>
      <w:tr w:rsidR="00B31A07" w:rsidRPr="00B31A07" w14:paraId="5FF7798B" w14:textId="77777777" w:rsidTr="00AE61DE">
        <w:trPr>
          <w:cantSplit/>
          <w:trHeight w:val="20"/>
        </w:trPr>
        <w:tc>
          <w:tcPr>
            <w:tcW w:w="1129" w:type="dxa"/>
            <w:gridSpan w:val="2"/>
            <w:tcMar>
              <w:left w:w="108" w:type="dxa"/>
              <w:right w:w="108" w:type="dxa"/>
            </w:tcMar>
          </w:tcPr>
          <w:p w14:paraId="311B5006" w14:textId="77777777" w:rsidR="00B31A07" w:rsidRPr="00B31A07" w:rsidRDefault="00B31A07" w:rsidP="00B31A07">
            <w:pPr>
              <w:jc w:val="center"/>
              <w:rPr>
                <w:rFonts w:ascii="Arial Narrow" w:hAnsi="Arial Narrow"/>
                <w:sz w:val="20"/>
                <w:szCs w:val="20"/>
              </w:rPr>
            </w:pPr>
          </w:p>
        </w:tc>
        <w:tc>
          <w:tcPr>
            <w:tcW w:w="7886" w:type="dxa"/>
            <w:gridSpan w:val="4"/>
            <w:tcMar>
              <w:left w:w="108" w:type="dxa"/>
              <w:right w:w="108" w:type="dxa"/>
            </w:tcMar>
          </w:tcPr>
          <w:p w14:paraId="7FD9C214"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b/>
                <w:bCs/>
                <w:color w:val="333333"/>
                <w:sz w:val="20"/>
                <w:szCs w:val="20"/>
              </w:rPr>
              <w:t>AND</w:t>
            </w:r>
          </w:p>
        </w:tc>
      </w:tr>
      <w:tr w:rsidR="00B31A07" w:rsidRPr="00B31A07" w14:paraId="4E1CAB25" w14:textId="77777777" w:rsidTr="00AE61DE">
        <w:trPr>
          <w:cantSplit/>
          <w:trHeight w:val="20"/>
        </w:trPr>
        <w:tc>
          <w:tcPr>
            <w:tcW w:w="1129" w:type="dxa"/>
            <w:gridSpan w:val="2"/>
            <w:tcMar>
              <w:left w:w="108" w:type="dxa"/>
              <w:right w:w="108" w:type="dxa"/>
            </w:tcMar>
          </w:tcPr>
          <w:p w14:paraId="33FEA223" w14:textId="5EAD101D" w:rsidR="00B31A07" w:rsidRPr="00B31A07" w:rsidRDefault="00B31A07" w:rsidP="1797D1E5">
            <w:pPr>
              <w:jc w:val="center"/>
              <w:rPr>
                <w:rFonts w:ascii="Arial Narrow" w:eastAsia="Arial Narrow" w:hAnsi="Arial Narrow" w:cs="Arial Narrow"/>
                <w:color w:val="333333"/>
                <w:sz w:val="20"/>
                <w:szCs w:val="20"/>
              </w:rPr>
            </w:pPr>
          </w:p>
        </w:tc>
        <w:tc>
          <w:tcPr>
            <w:tcW w:w="7886" w:type="dxa"/>
            <w:gridSpan w:val="4"/>
            <w:tcMar>
              <w:left w:w="108" w:type="dxa"/>
              <w:right w:w="108" w:type="dxa"/>
            </w:tcMar>
          </w:tcPr>
          <w:p w14:paraId="4A9EEDFC"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b/>
                <w:bCs/>
                <w:color w:val="333333"/>
                <w:sz w:val="20"/>
                <w:szCs w:val="20"/>
              </w:rPr>
              <w:t>Clinical criteria:</w:t>
            </w:r>
          </w:p>
        </w:tc>
      </w:tr>
      <w:tr w:rsidR="00B31A07" w:rsidRPr="00B31A07" w14:paraId="541C251E" w14:textId="77777777" w:rsidTr="00AE61DE">
        <w:trPr>
          <w:cantSplit/>
          <w:trHeight w:val="20"/>
        </w:trPr>
        <w:tc>
          <w:tcPr>
            <w:tcW w:w="1129" w:type="dxa"/>
            <w:gridSpan w:val="2"/>
            <w:tcMar>
              <w:left w:w="108" w:type="dxa"/>
              <w:right w:w="108" w:type="dxa"/>
            </w:tcMar>
          </w:tcPr>
          <w:p w14:paraId="3CDE9909" w14:textId="5E2E60A8" w:rsidR="00B31A07" w:rsidRPr="00B31A07" w:rsidRDefault="00B31A07" w:rsidP="1797D1E5">
            <w:pPr>
              <w:jc w:val="center"/>
              <w:rPr>
                <w:rFonts w:ascii="Arial Narrow" w:eastAsia="Arial Narrow" w:hAnsi="Arial Narrow" w:cs="Arial Narrow"/>
                <w:color w:val="333333"/>
                <w:sz w:val="20"/>
                <w:szCs w:val="20"/>
              </w:rPr>
            </w:pPr>
          </w:p>
        </w:tc>
        <w:tc>
          <w:tcPr>
            <w:tcW w:w="7886" w:type="dxa"/>
            <w:gridSpan w:val="4"/>
            <w:tcMar>
              <w:left w:w="108" w:type="dxa"/>
              <w:right w:w="108" w:type="dxa"/>
            </w:tcMar>
          </w:tcPr>
          <w:p w14:paraId="42A1CC01" w14:textId="77777777" w:rsidR="00B31A07" w:rsidRPr="00B31A07" w:rsidRDefault="00B31A07" w:rsidP="00B31A07">
            <w:pPr>
              <w:jc w:val="left"/>
              <w:rPr>
                <w:rFonts w:ascii="Arial Narrow" w:eastAsia="Arial Narrow" w:hAnsi="Arial Narrow" w:cs="Arial Narrow"/>
                <w:color w:val="333333"/>
                <w:sz w:val="20"/>
                <w:szCs w:val="20"/>
              </w:rPr>
            </w:pPr>
            <w:r w:rsidRPr="00B31A07">
              <w:rPr>
                <w:rFonts w:ascii="Arial Narrow" w:eastAsia="Arial Narrow" w:hAnsi="Arial Narrow" w:cs="Arial Narrow"/>
                <w:color w:val="333333"/>
                <w:sz w:val="20"/>
                <w:szCs w:val="20"/>
              </w:rPr>
              <w:t>The condition must not be present in the central nervous system or testis</w:t>
            </w:r>
          </w:p>
        </w:tc>
      </w:tr>
      <w:tr w:rsidR="00B31A07" w:rsidRPr="00B31A07" w14:paraId="2817B0BF" w14:textId="77777777" w:rsidTr="00AE61DE">
        <w:trPr>
          <w:cantSplit/>
          <w:trHeight w:val="20"/>
        </w:trPr>
        <w:tc>
          <w:tcPr>
            <w:tcW w:w="1129" w:type="dxa"/>
            <w:gridSpan w:val="2"/>
            <w:tcMar>
              <w:left w:w="108" w:type="dxa"/>
              <w:right w:w="108" w:type="dxa"/>
            </w:tcMar>
          </w:tcPr>
          <w:p w14:paraId="56C8D92C" w14:textId="77777777" w:rsidR="00B31A07" w:rsidRPr="00B31A07" w:rsidRDefault="00B31A07" w:rsidP="00B31A07">
            <w:pPr>
              <w:jc w:val="center"/>
              <w:rPr>
                <w:rFonts w:ascii="Arial Narrow" w:hAnsi="Arial Narrow"/>
                <w:sz w:val="20"/>
                <w:szCs w:val="20"/>
              </w:rPr>
            </w:pPr>
          </w:p>
        </w:tc>
        <w:tc>
          <w:tcPr>
            <w:tcW w:w="7886" w:type="dxa"/>
            <w:gridSpan w:val="4"/>
            <w:tcMar>
              <w:left w:w="108" w:type="dxa"/>
              <w:right w:w="108" w:type="dxa"/>
            </w:tcMar>
          </w:tcPr>
          <w:p w14:paraId="72404EB0"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b/>
                <w:bCs/>
                <w:color w:val="333333"/>
                <w:sz w:val="20"/>
                <w:szCs w:val="20"/>
              </w:rPr>
              <w:t>AND</w:t>
            </w:r>
          </w:p>
        </w:tc>
      </w:tr>
      <w:tr w:rsidR="00B31A07" w:rsidRPr="00B31A07" w14:paraId="756BC598" w14:textId="77777777" w:rsidTr="00AE61DE">
        <w:trPr>
          <w:cantSplit/>
          <w:trHeight w:val="20"/>
        </w:trPr>
        <w:tc>
          <w:tcPr>
            <w:tcW w:w="1129" w:type="dxa"/>
            <w:gridSpan w:val="2"/>
            <w:tcMar>
              <w:left w:w="108" w:type="dxa"/>
              <w:right w:w="108" w:type="dxa"/>
            </w:tcMar>
          </w:tcPr>
          <w:p w14:paraId="2FE45E23" w14:textId="59F117FD" w:rsidR="00B31A07" w:rsidRPr="00B31A07" w:rsidRDefault="00B31A07" w:rsidP="1797D1E5">
            <w:pPr>
              <w:jc w:val="center"/>
              <w:rPr>
                <w:rFonts w:ascii="Arial Narrow" w:eastAsia="Arial Narrow" w:hAnsi="Arial Narrow" w:cs="Arial Narrow"/>
                <w:color w:val="333333"/>
                <w:sz w:val="20"/>
                <w:szCs w:val="20"/>
              </w:rPr>
            </w:pPr>
          </w:p>
        </w:tc>
        <w:tc>
          <w:tcPr>
            <w:tcW w:w="7886" w:type="dxa"/>
            <w:gridSpan w:val="4"/>
            <w:tcMar>
              <w:left w:w="108" w:type="dxa"/>
              <w:right w:w="108" w:type="dxa"/>
            </w:tcMar>
          </w:tcPr>
          <w:p w14:paraId="66FC3AE1"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b/>
                <w:bCs/>
                <w:color w:val="333333"/>
                <w:sz w:val="20"/>
                <w:szCs w:val="20"/>
              </w:rPr>
              <w:t>Clinical criteria:</w:t>
            </w:r>
          </w:p>
        </w:tc>
      </w:tr>
      <w:tr w:rsidR="00B31A07" w:rsidRPr="00B31A07" w14:paraId="5565498C" w14:textId="77777777" w:rsidTr="00AE61DE">
        <w:trPr>
          <w:cantSplit/>
          <w:trHeight w:val="20"/>
        </w:trPr>
        <w:tc>
          <w:tcPr>
            <w:tcW w:w="1129" w:type="dxa"/>
            <w:gridSpan w:val="2"/>
            <w:tcMar>
              <w:left w:w="108" w:type="dxa"/>
              <w:right w:w="108" w:type="dxa"/>
            </w:tcMar>
          </w:tcPr>
          <w:p w14:paraId="42883BB9" w14:textId="788787D1" w:rsidR="00B31A07" w:rsidRPr="00B31A07" w:rsidRDefault="00B31A07" w:rsidP="1797D1E5">
            <w:pPr>
              <w:jc w:val="center"/>
              <w:rPr>
                <w:rFonts w:ascii="Arial Narrow" w:eastAsia="Arial Narrow" w:hAnsi="Arial Narrow" w:cs="Arial Narrow"/>
                <w:color w:val="333333"/>
                <w:sz w:val="20"/>
                <w:szCs w:val="20"/>
              </w:rPr>
            </w:pPr>
          </w:p>
        </w:tc>
        <w:tc>
          <w:tcPr>
            <w:tcW w:w="7886" w:type="dxa"/>
            <w:gridSpan w:val="4"/>
            <w:tcMar>
              <w:left w:w="108" w:type="dxa"/>
              <w:right w:w="108" w:type="dxa"/>
            </w:tcMar>
          </w:tcPr>
          <w:p w14:paraId="7F680A6F" w14:textId="77777777" w:rsidR="00B31A07" w:rsidRPr="00B31A07" w:rsidRDefault="00B31A07" w:rsidP="00B31A07">
            <w:pPr>
              <w:jc w:val="left"/>
              <w:rPr>
                <w:rFonts w:ascii="Arial Narrow" w:eastAsia="Arial Narrow" w:hAnsi="Arial Narrow" w:cs="Arial Narrow"/>
                <w:b/>
                <w:bCs/>
                <w:color w:val="333333"/>
                <w:sz w:val="20"/>
                <w:szCs w:val="20"/>
              </w:rPr>
            </w:pPr>
            <w:r w:rsidRPr="00B31A07">
              <w:rPr>
                <w:rFonts w:ascii="Arial Narrow" w:eastAsia="Arial Narrow" w:hAnsi="Arial Narrow" w:cs="Arial Narrow"/>
                <w:color w:val="333333"/>
                <w:sz w:val="20"/>
                <w:szCs w:val="20"/>
              </w:rPr>
              <w:t>Patient must have achieved complete remission following intensive combination chemotherapy for initial treatment of acute lymphoblastic leukaemia (ALL) at initiation of non-PBS-subsidised treatment with this drug.</w:t>
            </w:r>
          </w:p>
        </w:tc>
      </w:tr>
      <w:tr w:rsidR="00B31A07" w:rsidRPr="00B31A07" w14:paraId="277BDB9B" w14:textId="77777777" w:rsidTr="00AE61DE">
        <w:trPr>
          <w:cantSplit/>
          <w:trHeight w:val="20"/>
        </w:trPr>
        <w:tc>
          <w:tcPr>
            <w:tcW w:w="1129" w:type="dxa"/>
            <w:gridSpan w:val="2"/>
            <w:tcMar>
              <w:left w:w="108" w:type="dxa"/>
              <w:right w:w="108" w:type="dxa"/>
            </w:tcMar>
          </w:tcPr>
          <w:p w14:paraId="29C35834" w14:textId="1B9D1A18" w:rsidR="00B31A07" w:rsidRPr="00B31A07" w:rsidRDefault="00B31A07" w:rsidP="1797D1E5">
            <w:pPr>
              <w:jc w:val="center"/>
              <w:rPr>
                <w:rFonts w:ascii="Arial Narrow" w:eastAsia="Arial Narrow" w:hAnsi="Arial Narrow" w:cs="Arial Narrow"/>
                <w:color w:val="333333"/>
                <w:sz w:val="20"/>
                <w:szCs w:val="20"/>
              </w:rPr>
            </w:pPr>
          </w:p>
        </w:tc>
        <w:tc>
          <w:tcPr>
            <w:tcW w:w="7886" w:type="dxa"/>
            <w:gridSpan w:val="4"/>
            <w:tcMar>
              <w:left w:w="108" w:type="dxa"/>
              <w:right w:w="108" w:type="dxa"/>
            </w:tcMar>
          </w:tcPr>
          <w:p w14:paraId="461B7C49"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b/>
                <w:bCs/>
                <w:color w:val="333333"/>
                <w:sz w:val="20"/>
                <w:szCs w:val="20"/>
              </w:rPr>
              <w:t>OR</w:t>
            </w:r>
          </w:p>
        </w:tc>
      </w:tr>
      <w:tr w:rsidR="00B31A07" w:rsidRPr="00B31A07" w14:paraId="3FC23997" w14:textId="77777777" w:rsidTr="00AE61DE">
        <w:trPr>
          <w:cantSplit/>
          <w:trHeight w:val="20"/>
        </w:trPr>
        <w:tc>
          <w:tcPr>
            <w:tcW w:w="1129" w:type="dxa"/>
            <w:gridSpan w:val="2"/>
            <w:tcMar>
              <w:left w:w="108" w:type="dxa"/>
              <w:right w:w="108" w:type="dxa"/>
            </w:tcMar>
          </w:tcPr>
          <w:p w14:paraId="55A4900A" w14:textId="033DDEAD" w:rsidR="00B31A07" w:rsidRPr="00B31A07" w:rsidRDefault="00B31A07" w:rsidP="1797D1E5">
            <w:pPr>
              <w:jc w:val="center"/>
              <w:rPr>
                <w:rFonts w:ascii="Arial Narrow" w:eastAsia="Arial Narrow" w:hAnsi="Arial Narrow" w:cs="Arial Narrow"/>
                <w:color w:val="333333"/>
                <w:sz w:val="20"/>
                <w:szCs w:val="20"/>
              </w:rPr>
            </w:pPr>
          </w:p>
        </w:tc>
        <w:tc>
          <w:tcPr>
            <w:tcW w:w="7886" w:type="dxa"/>
            <w:gridSpan w:val="4"/>
            <w:tcMar>
              <w:left w:w="108" w:type="dxa"/>
              <w:right w:w="108" w:type="dxa"/>
            </w:tcMar>
          </w:tcPr>
          <w:p w14:paraId="2536BB75"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b/>
                <w:bCs/>
                <w:color w:val="333333"/>
                <w:sz w:val="20"/>
                <w:szCs w:val="20"/>
              </w:rPr>
              <w:t>Clinical criteria:</w:t>
            </w:r>
          </w:p>
        </w:tc>
      </w:tr>
      <w:tr w:rsidR="00B31A07" w:rsidRPr="00B31A07" w14:paraId="7A8E420A" w14:textId="77777777" w:rsidTr="00AE61DE">
        <w:trPr>
          <w:cantSplit/>
          <w:trHeight w:val="20"/>
        </w:trPr>
        <w:tc>
          <w:tcPr>
            <w:tcW w:w="1129" w:type="dxa"/>
            <w:gridSpan w:val="2"/>
            <w:tcMar>
              <w:left w:w="108" w:type="dxa"/>
              <w:right w:w="108" w:type="dxa"/>
            </w:tcMar>
          </w:tcPr>
          <w:p w14:paraId="192837A4" w14:textId="75C02F01" w:rsidR="00B31A07" w:rsidRPr="00B31A07" w:rsidRDefault="00B31A07" w:rsidP="1797D1E5">
            <w:pPr>
              <w:jc w:val="center"/>
              <w:rPr>
                <w:rFonts w:ascii="Arial Narrow" w:eastAsia="Arial Narrow" w:hAnsi="Arial Narrow" w:cs="Arial Narrow"/>
                <w:color w:val="333333"/>
                <w:sz w:val="20"/>
                <w:szCs w:val="20"/>
              </w:rPr>
            </w:pPr>
          </w:p>
        </w:tc>
        <w:tc>
          <w:tcPr>
            <w:tcW w:w="7886" w:type="dxa"/>
            <w:gridSpan w:val="4"/>
            <w:tcMar>
              <w:left w:w="108" w:type="dxa"/>
              <w:right w:w="108" w:type="dxa"/>
            </w:tcMar>
          </w:tcPr>
          <w:p w14:paraId="36EB43A1" w14:textId="77777777" w:rsidR="00B31A07" w:rsidRPr="00B31A07" w:rsidRDefault="00B31A07" w:rsidP="00B31A07">
            <w:pPr>
              <w:jc w:val="left"/>
              <w:rPr>
                <w:rFonts w:ascii="Arial Narrow" w:eastAsia="Arial Narrow" w:hAnsi="Arial Narrow" w:cs="Arial Narrow"/>
                <w:color w:val="333333"/>
                <w:sz w:val="20"/>
                <w:szCs w:val="20"/>
              </w:rPr>
            </w:pPr>
            <w:r w:rsidRPr="00B31A07">
              <w:rPr>
                <w:rFonts w:ascii="Arial Narrow" w:eastAsia="Arial Narrow" w:hAnsi="Arial Narrow" w:cs="Arial Narrow"/>
                <w:color w:val="333333"/>
                <w:sz w:val="20"/>
                <w:szCs w:val="20"/>
              </w:rPr>
              <w:t>Patient must have had at initiation of non-PBS-subsidised treatment with this drug (i) achieved complete remission following intensive combination chemotherapy, (ii) measurable residual disease based on measurement in bone marrow, documented after the last course of systemic chemotherapy given as intensive combination chemotherapy treatment of ALL/as subsequent salvage therapy, whichever was the later, measured using flow cytometry/molecular methods</w:t>
            </w:r>
          </w:p>
        </w:tc>
      </w:tr>
      <w:tr w:rsidR="00B31A07" w:rsidRPr="00B31A07" w14:paraId="41F0489E" w14:textId="77777777" w:rsidTr="00AE61DE">
        <w:trPr>
          <w:cantSplit/>
          <w:trHeight w:val="20"/>
        </w:trPr>
        <w:tc>
          <w:tcPr>
            <w:tcW w:w="1129" w:type="dxa"/>
            <w:gridSpan w:val="2"/>
            <w:tcMar>
              <w:left w:w="108" w:type="dxa"/>
              <w:right w:w="108" w:type="dxa"/>
            </w:tcMar>
          </w:tcPr>
          <w:p w14:paraId="3E886F92" w14:textId="77777777" w:rsidR="00B31A07" w:rsidRPr="00B31A07" w:rsidRDefault="00B31A07" w:rsidP="00B31A07">
            <w:pPr>
              <w:jc w:val="center"/>
              <w:rPr>
                <w:rFonts w:ascii="Arial Narrow" w:eastAsia="Arial Narrow" w:hAnsi="Arial Narrow" w:cs="Arial Narrow"/>
                <w:color w:val="333333"/>
                <w:sz w:val="20"/>
                <w:szCs w:val="20"/>
              </w:rPr>
            </w:pPr>
          </w:p>
        </w:tc>
        <w:tc>
          <w:tcPr>
            <w:tcW w:w="7886" w:type="dxa"/>
            <w:gridSpan w:val="4"/>
            <w:tcMar>
              <w:left w:w="108" w:type="dxa"/>
              <w:right w:w="108" w:type="dxa"/>
            </w:tcMar>
          </w:tcPr>
          <w:p w14:paraId="132D0A49" w14:textId="77777777" w:rsidR="00B31A07" w:rsidRPr="00B31A07" w:rsidRDefault="00B31A07" w:rsidP="00B31A07">
            <w:pPr>
              <w:jc w:val="left"/>
              <w:rPr>
                <w:rFonts w:ascii="Arial Narrow" w:eastAsia="Arial Narrow" w:hAnsi="Arial Narrow" w:cs="Arial Narrow"/>
                <w:b/>
                <w:bCs/>
                <w:color w:val="333333"/>
                <w:sz w:val="20"/>
                <w:szCs w:val="20"/>
              </w:rPr>
            </w:pPr>
            <w:r w:rsidRPr="00B31A07">
              <w:rPr>
                <w:rFonts w:ascii="Arial Narrow" w:eastAsia="Arial Narrow" w:hAnsi="Arial Narrow" w:cs="Arial Narrow"/>
                <w:b/>
                <w:bCs/>
                <w:color w:val="333333"/>
                <w:sz w:val="20"/>
                <w:szCs w:val="20"/>
              </w:rPr>
              <w:t>AND</w:t>
            </w:r>
          </w:p>
        </w:tc>
      </w:tr>
      <w:tr w:rsidR="00B31A07" w:rsidRPr="00B31A07" w14:paraId="6F29C8AD" w14:textId="77777777" w:rsidTr="00AE61DE">
        <w:trPr>
          <w:cantSplit/>
          <w:trHeight w:val="20"/>
        </w:trPr>
        <w:tc>
          <w:tcPr>
            <w:tcW w:w="1129" w:type="dxa"/>
            <w:gridSpan w:val="2"/>
            <w:tcMar>
              <w:left w:w="108" w:type="dxa"/>
              <w:right w:w="108" w:type="dxa"/>
            </w:tcMar>
          </w:tcPr>
          <w:p w14:paraId="3A1EB4C8" w14:textId="6A95F0DB" w:rsidR="00B31A07" w:rsidRPr="00B31A07" w:rsidRDefault="00B31A07" w:rsidP="00B31A07">
            <w:pPr>
              <w:jc w:val="center"/>
              <w:rPr>
                <w:rFonts w:ascii="Arial Narrow" w:eastAsia="Arial Narrow" w:hAnsi="Arial Narrow" w:cs="Arial Narrow"/>
                <w:color w:val="333333"/>
                <w:sz w:val="20"/>
                <w:szCs w:val="20"/>
              </w:rPr>
            </w:pPr>
          </w:p>
        </w:tc>
        <w:tc>
          <w:tcPr>
            <w:tcW w:w="7886" w:type="dxa"/>
            <w:gridSpan w:val="4"/>
            <w:tcMar>
              <w:left w:w="108" w:type="dxa"/>
              <w:right w:w="108" w:type="dxa"/>
            </w:tcMar>
          </w:tcPr>
          <w:p w14:paraId="470A3F43" w14:textId="77777777" w:rsidR="00B31A07" w:rsidRPr="00B31A07" w:rsidRDefault="00B31A07" w:rsidP="00B31A07">
            <w:pPr>
              <w:jc w:val="left"/>
              <w:rPr>
                <w:rFonts w:ascii="Arial Narrow" w:eastAsia="Arial Narrow" w:hAnsi="Arial Narrow" w:cs="Arial Narrow"/>
                <w:b/>
                <w:bCs/>
                <w:color w:val="333333"/>
                <w:sz w:val="20"/>
                <w:szCs w:val="20"/>
              </w:rPr>
            </w:pPr>
            <w:r w:rsidRPr="00B31A07">
              <w:rPr>
                <w:rFonts w:ascii="Arial Narrow" w:eastAsia="Arial Narrow" w:hAnsi="Arial Narrow" w:cs="Arial Narrow"/>
                <w:b/>
                <w:bCs/>
                <w:color w:val="333333"/>
                <w:sz w:val="20"/>
                <w:szCs w:val="20"/>
              </w:rPr>
              <w:t>Clinical criteria:</w:t>
            </w:r>
          </w:p>
        </w:tc>
      </w:tr>
      <w:tr w:rsidR="00B31A07" w:rsidRPr="00B31A07" w14:paraId="3A80134C" w14:textId="77777777" w:rsidTr="00AE61DE">
        <w:trPr>
          <w:cantSplit/>
          <w:trHeight w:val="20"/>
        </w:trPr>
        <w:tc>
          <w:tcPr>
            <w:tcW w:w="1129" w:type="dxa"/>
            <w:gridSpan w:val="2"/>
            <w:tcMar>
              <w:left w:w="108" w:type="dxa"/>
              <w:right w:w="108" w:type="dxa"/>
            </w:tcMar>
          </w:tcPr>
          <w:p w14:paraId="31047ECC" w14:textId="2599C699" w:rsidR="00B31A07" w:rsidRPr="00B31A07" w:rsidRDefault="00B31A07" w:rsidP="00B31A07">
            <w:pPr>
              <w:jc w:val="center"/>
              <w:rPr>
                <w:rFonts w:ascii="Arial Narrow" w:eastAsia="Arial Narrow" w:hAnsi="Arial Narrow" w:cs="Arial Narrow"/>
                <w:color w:val="333333"/>
                <w:sz w:val="20"/>
                <w:szCs w:val="20"/>
              </w:rPr>
            </w:pPr>
          </w:p>
        </w:tc>
        <w:tc>
          <w:tcPr>
            <w:tcW w:w="7886" w:type="dxa"/>
            <w:gridSpan w:val="4"/>
            <w:tcMar>
              <w:left w:w="108" w:type="dxa"/>
              <w:right w:w="108" w:type="dxa"/>
            </w:tcMar>
          </w:tcPr>
          <w:p w14:paraId="14812BF5" w14:textId="77777777" w:rsidR="00B31A07" w:rsidRPr="00B31A07" w:rsidRDefault="00B31A07" w:rsidP="00B31A07">
            <w:pPr>
              <w:jc w:val="left"/>
              <w:rPr>
                <w:rFonts w:ascii="Arial Narrow" w:eastAsia="Arial Narrow" w:hAnsi="Arial Narrow" w:cs="Arial Narrow"/>
                <w:color w:val="333333"/>
                <w:sz w:val="20"/>
                <w:szCs w:val="20"/>
              </w:rPr>
            </w:pPr>
            <w:r w:rsidRPr="00B31A07">
              <w:rPr>
                <w:rFonts w:ascii="Arial Narrow" w:eastAsia="Arial Narrow" w:hAnsi="Arial Narrow" w:cs="Arial Narrow"/>
                <w:color w:val="333333"/>
                <w:sz w:val="20"/>
                <w:szCs w:val="20"/>
              </w:rPr>
              <w:t>Patient must not have developed disease progression while receiving treatment with this drug for this condition</w:t>
            </w:r>
          </w:p>
        </w:tc>
      </w:tr>
      <w:tr w:rsidR="00B31A07" w:rsidRPr="00B31A07" w14:paraId="46838D91" w14:textId="77777777" w:rsidTr="00AE61DE">
        <w:trPr>
          <w:cantSplit/>
          <w:trHeight w:val="20"/>
        </w:trPr>
        <w:tc>
          <w:tcPr>
            <w:tcW w:w="1129" w:type="dxa"/>
            <w:gridSpan w:val="2"/>
            <w:tcMar>
              <w:left w:w="108" w:type="dxa"/>
              <w:right w:w="108" w:type="dxa"/>
            </w:tcMar>
          </w:tcPr>
          <w:p w14:paraId="5E71146A" w14:textId="77777777" w:rsidR="00B31A07" w:rsidRPr="00B31A07" w:rsidRDefault="00B31A07" w:rsidP="00B31A07">
            <w:pPr>
              <w:jc w:val="center"/>
              <w:rPr>
                <w:rFonts w:ascii="Arial Narrow" w:hAnsi="Arial Narrow"/>
                <w:sz w:val="20"/>
                <w:szCs w:val="20"/>
              </w:rPr>
            </w:pPr>
          </w:p>
        </w:tc>
        <w:tc>
          <w:tcPr>
            <w:tcW w:w="7886" w:type="dxa"/>
            <w:gridSpan w:val="4"/>
            <w:tcMar>
              <w:left w:w="108" w:type="dxa"/>
              <w:right w:w="108" w:type="dxa"/>
            </w:tcMar>
          </w:tcPr>
          <w:p w14:paraId="3328FD20"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b/>
                <w:bCs/>
                <w:color w:val="333333"/>
                <w:sz w:val="20"/>
                <w:szCs w:val="20"/>
              </w:rPr>
              <w:t>AND</w:t>
            </w:r>
          </w:p>
        </w:tc>
      </w:tr>
      <w:tr w:rsidR="00B31A07" w:rsidRPr="00B31A07" w14:paraId="568D397D" w14:textId="77777777" w:rsidTr="00AE61DE">
        <w:trPr>
          <w:cantSplit/>
          <w:trHeight w:val="20"/>
        </w:trPr>
        <w:tc>
          <w:tcPr>
            <w:tcW w:w="1129" w:type="dxa"/>
            <w:gridSpan w:val="2"/>
            <w:tcMar>
              <w:left w:w="108" w:type="dxa"/>
              <w:right w:w="108" w:type="dxa"/>
            </w:tcMar>
          </w:tcPr>
          <w:p w14:paraId="3FDABE74" w14:textId="708FCA4B" w:rsidR="00B31A07" w:rsidRPr="00B31A07" w:rsidRDefault="00B31A07" w:rsidP="1797D1E5">
            <w:pPr>
              <w:jc w:val="center"/>
              <w:rPr>
                <w:rFonts w:ascii="Arial Narrow" w:eastAsia="Arial Narrow" w:hAnsi="Arial Narrow" w:cs="Arial Narrow"/>
                <w:color w:val="333333"/>
                <w:sz w:val="20"/>
                <w:szCs w:val="20"/>
              </w:rPr>
            </w:pPr>
          </w:p>
        </w:tc>
        <w:tc>
          <w:tcPr>
            <w:tcW w:w="7886" w:type="dxa"/>
            <w:gridSpan w:val="4"/>
            <w:tcMar>
              <w:left w:w="108" w:type="dxa"/>
              <w:right w:w="108" w:type="dxa"/>
            </w:tcMar>
          </w:tcPr>
          <w:p w14:paraId="45C94C9F"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b/>
                <w:bCs/>
                <w:color w:val="333333"/>
                <w:sz w:val="20"/>
                <w:szCs w:val="20"/>
              </w:rPr>
              <w:t>Clinical criteria:</w:t>
            </w:r>
          </w:p>
        </w:tc>
      </w:tr>
      <w:tr w:rsidR="00B31A07" w:rsidRPr="00B31A07" w14:paraId="0546A005" w14:textId="77777777" w:rsidTr="00AE61DE">
        <w:trPr>
          <w:cantSplit/>
          <w:trHeight w:val="20"/>
        </w:trPr>
        <w:tc>
          <w:tcPr>
            <w:tcW w:w="1129" w:type="dxa"/>
            <w:gridSpan w:val="2"/>
            <w:tcMar>
              <w:left w:w="108" w:type="dxa"/>
              <w:right w:w="108" w:type="dxa"/>
            </w:tcMar>
          </w:tcPr>
          <w:p w14:paraId="02E3666D" w14:textId="5C55E886" w:rsidR="00B31A07" w:rsidRPr="00B31A07" w:rsidRDefault="00B31A07" w:rsidP="1797D1E5">
            <w:pPr>
              <w:jc w:val="center"/>
              <w:rPr>
                <w:rFonts w:ascii="Arial Narrow" w:eastAsia="Arial Narrow" w:hAnsi="Arial Narrow" w:cs="Arial Narrow"/>
                <w:color w:val="333333"/>
                <w:sz w:val="20"/>
                <w:szCs w:val="20"/>
              </w:rPr>
            </w:pPr>
          </w:p>
        </w:tc>
        <w:tc>
          <w:tcPr>
            <w:tcW w:w="7886" w:type="dxa"/>
            <w:gridSpan w:val="4"/>
            <w:tcMar>
              <w:left w:w="108" w:type="dxa"/>
              <w:right w:w="108" w:type="dxa"/>
            </w:tcMar>
          </w:tcPr>
          <w:p w14:paraId="68DD1A4B" w14:textId="77777777" w:rsidR="00B31A07" w:rsidRPr="00B31A07" w:rsidRDefault="00B31A07" w:rsidP="00B31A07">
            <w:pPr>
              <w:jc w:val="left"/>
              <w:rPr>
                <w:rFonts w:ascii="Arial Narrow" w:eastAsia="Arial Narrow" w:hAnsi="Arial Narrow" w:cs="Arial Narrow"/>
                <w:color w:val="333333"/>
                <w:sz w:val="20"/>
                <w:szCs w:val="20"/>
              </w:rPr>
            </w:pPr>
            <w:r w:rsidRPr="00B31A07">
              <w:rPr>
                <w:rFonts w:ascii="Arial Narrow" w:eastAsia="Arial Narrow" w:hAnsi="Arial Narrow" w:cs="Arial Narrow"/>
                <w:color w:val="333333"/>
                <w:sz w:val="20"/>
                <w:szCs w:val="20"/>
              </w:rPr>
              <w:t xml:space="preserve">The treatment must not be more than 2 treatment cycles under this restriction in a lifetime. </w:t>
            </w:r>
          </w:p>
        </w:tc>
      </w:tr>
      <w:tr w:rsidR="00B31A07" w:rsidRPr="00B31A07" w14:paraId="6E97BC52" w14:textId="77777777" w:rsidTr="00AE61DE">
        <w:trPr>
          <w:cantSplit/>
          <w:trHeight w:val="20"/>
        </w:trPr>
        <w:tc>
          <w:tcPr>
            <w:tcW w:w="1129" w:type="dxa"/>
            <w:gridSpan w:val="2"/>
            <w:tcMar>
              <w:left w:w="108" w:type="dxa"/>
              <w:right w:w="108" w:type="dxa"/>
            </w:tcMar>
          </w:tcPr>
          <w:p w14:paraId="01759219" w14:textId="463F5490" w:rsidR="00B31A07" w:rsidRPr="00B31A07" w:rsidRDefault="00B31A07" w:rsidP="1797D1E5">
            <w:pPr>
              <w:jc w:val="center"/>
              <w:rPr>
                <w:rFonts w:ascii="Arial Narrow" w:eastAsia="Arial Narrow" w:hAnsi="Arial Narrow" w:cs="Arial Narrow"/>
                <w:color w:val="333333"/>
                <w:sz w:val="20"/>
                <w:szCs w:val="20"/>
              </w:rPr>
            </w:pPr>
          </w:p>
        </w:tc>
        <w:tc>
          <w:tcPr>
            <w:tcW w:w="7886" w:type="dxa"/>
            <w:gridSpan w:val="4"/>
            <w:tcMar>
              <w:left w:w="108" w:type="dxa"/>
              <w:right w:w="108" w:type="dxa"/>
            </w:tcMar>
          </w:tcPr>
          <w:p w14:paraId="167277FD"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b/>
                <w:bCs/>
                <w:color w:val="333333"/>
                <w:sz w:val="20"/>
                <w:szCs w:val="20"/>
              </w:rPr>
              <w:t>Caution:</w:t>
            </w:r>
          </w:p>
          <w:p w14:paraId="4071F383"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color w:val="333333"/>
                <w:sz w:val="20"/>
                <w:szCs w:val="20"/>
              </w:rPr>
              <w:t>Careful monitoring of patients is required due to risk of developing life-threatening Cytokine Release Syndrome, neurological toxicities and reactivation of John Cunningham virus (JC) viral infection.</w:t>
            </w:r>
          </w:p>
        </w:tc>
      </w:tr>
      <w:tr w:rsidR="00B31A07" w:rsidRPr="00B31A07" w14:paraId="4CE6679C" w14:textId="77777777" w:rsidTr="00AE61DE">
        <w:trPr>
          <w:cantSplit/>
          <w:trHeight w:val="20"/>
        </w:trPr>
        <w:tc>
          <w:tcPr>
            <w:tcW w:w="1129" w:type="dxa"/>
            <w:gridSpan w:val="2"/>
            <w:tcMar>
              <w:left w:w="108" w:type="dxa"/>
              <w:right w:w="108" w:type="dxa"/>
            </w:tcMar>
          </w:tcPr>
          <w:p w14:paraId="4E208223" w14:textId="4CAF96E6" w:rsidR="00B31A07" w:rsidRPr="00B31A07" w:rsidRDefault="00B31A07" w:rsidP="1797D1E5">
            <w:pPr>
              <w:jc w:val="center"/>
              <w:rPr>
                <w:rFonts w:ascii="Arial Narrow" w:eastAsia="Arial Narrow" w:hAnsi="Arial Narrow" w:cs="Arial Narrow"/>
                <w:color w:val="333333"/>
                <w:sz w:val="20"/>
                <w:szCs w:val="20"/>
              </w:rPr>
            </w:pPr>
          </w:p>
        </w:tc>
        <w:tc>
          <w:tcPr>
            <w:tcW w:w="7886" w:type="dxa"/>
            <w:gridSpan w:val="4"/>
            <w:tcMar>
              <w:left w:w="108" w:type="dxa"/>
              <w:right w:w="108" w:type="dxa"/>
            </w:tcMar>
          </w:tcPr>
          <w:p w14:paraId="502D455E"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b/>
                <w:bCs/>
                <w:color w:val="333333"/>
                <w:sz w:val="20"/>
                <w:szCs w:val="20"/>
              </w:rPr>
              <w:t>Prescribing Instructions:</w:t>
            </w:r>
          </w:p>
          <w:p w14:paraId="73CAFA04"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color w:val="333333"/>
                <w:sz w:val="20"/>
                <w:szCs w:val="20"/>
              </w:rPr>
              <w:t>According to the TGA-approved Product Information, hospitalisation is recommended at minimum for the first 3 days of the first cycle and the first 2 days of the second cycle.</w:t>
            </w:r>
          </w:p>
        </w:tc>
      </w:tr>
      <w:tr w:rsidR="00B31A07" w:rsidRPr="00B31A07" w14:paraId="4421AD22" w14:textId="77777777" w:rsidTr="00AE61DE">
        <w:trPr>
          <w:cantSplit/>
          <w:trHeight w:val="20"/>
        </w:trPr>
        <w:tc>
          <w:tcPr>
            <w:tcW w:w="1129" w:type="dxa"/>
            <w:gridSpan w:val="2"/>
            <w:tcMar>
              <w:left w:w="108" w:type="dxa"/>
              <w:right w:w="108" w:type="dxa"/>
            </w:tcMar>
          </w:tcPr>
          <w:p w14:paraId="3E21A4C3" w14:textId="4F120B17" w:rsidR="00B31A07" w:rsidRPr="00B31A07" w:rsidRDefault="00B31A07" w:rsidP="1797D1E5">
            <w:pPr>
              <w:jc w:val="center"/>
              <w:rPr>
                <w:rFonts w:ascii="Arial Narrow" w:eastAsia="Arial Narrow" w:hAnsi="Arial Narrow" w:cs="Arial Narrow"/>
                <w:color w:val="333333"/>
                <w:sz w:val="20"/>
                <w:szCs w:val="20"/>
              </w:rPr>
            </w:pPr>
          </w:p>
        </w:tc>
        <w:tc>
          <w:tcPr>
            <w:tcW w:w="7886" w:type="dxa"/>
            <w:gridSpan w:val="4"/>
            <w:tcMar>
              <w:left w:w="108" w:type="dxa"/>
              <w:right w:w="108" w:type="dxa"/>
            </w:tcMar>
          </w:tcPr>
          <w:p w14:paraId="2BBAA58E"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b/>
                <w:bCs/>
                <w:color w:val="333333"/>
                <w:sz w:val="20"/>
                <w:szCs w:val="20"/>
              </w:rPr>
              <w:t>Prescribing Instructions:</w:t>
            </w:r>
          </w:p>
          <w:p w14:paraId="326E14D3"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color w:val="333333"/>
                <w:sz w:val="20"/>
                <w:szCs w:val="20"/>
              </w:rPr>
              <w:t>For all subsequent cycle starts and re-initiation (e.g. if treatment is interrupted for four or more hours), supervision by a health care professional or hospitalisation is recommended.</w:t>
            </w:r>
          </w:p>
        </w:tc>
      </w:tr>
      <w:tr w:rsidR="00B31A07" w:rsidRPr="00B31A07" w14:paraId="22A96CEC" w14:textId="77777777" w:rsidTr="00AE61DE">
        <w:trPr>
          <w:cantSplit/>
          <w:trHeight w:val="20"/>
        </w:trPr>
        <w:tc>
          <w:tcPr>
            <w:tcW w:w="1129" w:type="dxa"/>
            <w:gridSpan w:val="2"/>
            <w:tcMar>
              <w:left w:w="108" w:type="dxa"/>
              <w:right w:w="108" w:type="dxa"/>
            </w:tcMar>
          </w:tcPr>
          <w:p w14:paraId="5AFBB9F5" w14:textId="02E5F3AF" w:rsidR="00B31A07" w:rsidRPr="00B31A07" w:rsidRDefault="00B31A07" w:rsidP="1797D1E5">
            <w:pPr>
              <w:jc w:val="center"/>
              <w:rPr>
                <w:rFonts w:ascii="Arial Narrow" w:eastAsia="Arial Narrow" w:hAnsi="Arial Narrow" w:cs="Arial Narrow"/>
                <w:color w:val="333333"/>
                <w:sz w:val="20"/>
                <w:szCs w:val="20"/>
              </w:rPr>
            </w:pPr>
          </w:p>
        </w:tc>
        <w:tc>
          <w:tcPr>
            <w:tcW w:w="7886" w:type="dxa"/>
            <w:gridSpan w:val="4"/>
            <w:tcMar>
              <w:left w:w="108" w:type="dxa"/>
              <w:right w:w="108" w:type="dxa"/>
            </w:tcMar>
          </w:tcPr>
          <w:p w14:paraId="0619C639"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b/>
                <w:bCs/>
                <w:color w:val="333333"/>
                <w:sz w:val="20"/>
                <w:szCs w:val="20"/>
              </w:rPr>
              <w:t>Prescribing Instructions:</w:t>
            </w:r>
          </w:p>
          <w:p w14:paraId="25D6207F"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color w:val="333333"/>
                <w:sz w:val="20"/>
                <w:szCs w:val="20"/>
              </w:rPr>
              <w:t>An amount of 784 mcg will be sufficient for a continuous infusion of blinatumomab over 28 days in each cycle.</w:t>
            </w:r>
          </w:p>
        </w:tc>
      </w:tr>
      <w:tr w:rsidR="00B31A07" w:rsidRPr="00B31A07" w14:paraId="05B69B1E" w14:textId="77777777" w:rsidTr="00AE61DE">
        <w:trPr>
          <w:cantSplit/>
          <w:trHeight w:val="20"/>
        </w:trPr>
        <w:tc>
          <w:tcPr>
            <w:tcW w:w="1129" w:type="dxa"/>
            <w:gridSpan w:val="2"/>
            <w:tcMar>
              <w:left w:w="108" w:type="dxa"/>
              <w:right w:w="108" w:type="dxa"/>
            </w:tcMar>
          </w:tcPr>
          <w:p w14:paraId="58C469D5" w14:textId="71F0831C" w:rsidR="00B31A07" w:rsidRPr="00B31A07" w:rsidRDefault="00B31A07" w:rsidP="1797D1E5">
            <w:pPr>
              <w:jc w:val="center"/>
              <w:rPr>
                <w:rFonts w:ascii="Arial Narrow" w:eastAsia="Arial Narrow" w:hAnsi="Arial Narrow" w:cs="Arial Narrow"/>
                <w:color w:val="333333"/>
                <w:sz w:val="20"/>
                <w:szCs w:val="20"/>
              </w:rPr>
            </w:pPr>
          </w:p>
        </w:tc>
        <w:tc>
          <w:tcPr>
            <w:tcW w:w="7886" w:type="dxa"/>
            <w:gridSpan w:val="4"/>
            <w:tcMar>
              <w:left w:w="108" w:type="dxa"/>
              <w:right w:w="108" w:type="dxa"/>
            </w:tcMar>
          </w:tcPr>
          <w:p w14:paraId="021CF0E4"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b/>
                <w:bCs/>
                <w:color w:val="333333"/>
                <w:sz w:val="20"/>
                <w:szCs w:val="20"/>
              </w:rPr>
              <w:t>Prescribing Instructions:</w:t>
            </w:r>
          </w:p>
          <w:p w14:paraId="2B520C82"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color w:val="333333"/>
                <w:sz w:val="20"/>
                <w:szCs w:val="20"/>
              </w:rPr>
              <w:t>Blinatumomab is not PBS-subsidised if it is administered to an in-patient in a public hospital setting.</w:t>
            </w:r>
          </w:p>
        </w:tc>
      </w:tr>
      <w:tr w:rsidR="00B31A07" w:rsidRPr="00B31A07" w14:paraId="54875743" w14:textId="77777777" w:rsidTr="00AE61DE">
        <w:trPr>
          <w:cantSplit/>
          <w:trHeight w:val="20"/>
        </w:trPr>
        <w:tc>
          <w:tcPr>
            <w:tcW w:w="1129" w:type="dxa"/>
            <w:gridSpan w:val="2"/>
            <w:tcMar>
              <w:left w:w="108" w:type="dxa"/>
              <w:right w:w="108" w:type="dxa"/>
            </w:tcMar>
          </w:tcPr>
          <w:p w14:paraId="496987BE" w14:textId="03C83580" w:rsidR="00B31A07" w:rsidRPr="00B31A07" w:rsidRDefault="00B31A07" w:rsidP="1797D1E5">
            <w:pPr>
              <w:jc w:val="center"/>
              <w:rPr>
                <w:rFonts w:ascii="Arial Narrow" w:eastAsia="Arial Narrow" w:hAnsi="Arial Narrow" w:cs="Arial Narrow"/>
                <w:color w:val="333333"/>
                <w:sz w:val="20"/>
                <w:szCs w:val="20"/>
              </w:rPr>
            </w:pPr>
          </w:p>
        </w:tc>
        <w:tc>
          <w:tcPr>
            <w:tcW w:w="7886" w:type="dxa"/>
            <w:gridSpan w:val="4"/>
            <w:tcMar>
              <w:left w:w="108" w:type="dxa"/>
              <w:right w:w="108" w:type="dxa"/>
            </w:tcMar>
          </w:tcPr>
          <w:p w14:paraId="7089668D"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b/>
                <w:bCs/>
                <w:color w:val="333333"/>
                <w:sz w:val="20"/>
                <w:szCs w:val="20"/>
              </w:rPr>
              <w:t>Prescribing Instructions:</w:t>
            </w:r>
          </w:p>
          <w:p w14:paraId="623029F4"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color w:val="333333"/>
                <w:sz w:val="20"/>
                <w:szCs w:val="20"/>
              </w:rPr>
              <w:t>The authority application must be made in writing and must include:</w:t>
            </w:r>
          </w:p>
          <w:p w14:paraId="6CC663DC"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color w:val="333333"/>
                <w:sz w:val="20"/>
                <w:szCs w:val="20"/>
              </w:rPr>
              <w:t>(1) details of the proposed prescription; and</w:t>
            </w:r>
          </w:p>
          <w:p w14:paraId="11F1D02F"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color w:val="333333"/>
                <w:sz w:val="20"/>
                <w:szCs w:val="20"/>
              </w:rPr>
              <w:t>(2) a completed Acute Lymphoblastic Leukaemia in complete haematological remission PBS Authority Application - Supporting Information Form; and</w:t>
            </w:r>
          </w:p>
          <w:p w14:paraId="04CC45DD"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color w:val="333333"/>
                <w:sz w:val="20"/>
                <w:szCs w:val="20"/>
              </w:rPr>
              <w:t>(3) date of most recent chemotherapy, and if this was the initial chemotherapy regimen or salvage therapy; and</w:t>
            </w:r>
          </w:p>
          <w:p w14:paraId="2BA0D7E6"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color w:val="333333"/>
                <w:sz w:val="20"/>
                <w:szCs w:val="20"/>
              </w:rPr>
              <w:t>(4) the percentage blasts in bone marrow count that is no more than 4 weeks old at the time of application.</w:t>
            </w:r>
          </w:p>
        </w:tc>
      </w:tr>
      <w:tr w:rsidR="00B31A07" w:rsidRPr="00B31A07" w14:paraId="0973321A" w14:textId="77777777" w:rsidTr="00AE61DE">
        <w:trPr>
          <w:cantSplit/>
          <w:trHeight w:val="20"/>
        </w:trPr>
        <w:tc>
          <w:tcPr>
            <w:tcW w:w="1129" w:type="dxa"/>
            <w:gridSpan w:val="2"/>
            <w:tcMar>
              <w:left w:w="108" w:type="dxa"/>
              <w:right w:w="108" w:type="dxa"/>
            </w:tcMar>
          </w:tcPr>
          <w:p w14:paraId="672B94D5" w14:textId="18AAF9B4" w:rsidR="00B31A07" w:rsidRPr="00B31A07" w:rsidRDefault="00B31A07" w:rsidP="1797D1E5">
            <w:pPr>
              <w:jc w:val="center"/>
              <w:rPr>
                <w:rFonts w:ascii="Arial Narrow" w:eastAsia="Arial Narrow" w:hAnsi="Arial Narrow" w:cs="Arial Narrow"/>
                <w:color w:val="333333"/>
                <w:sz w:val="20"/>
                <w:szCs w:val="20"/>
              </w:rPr>
            </w:pPr>
          </w:p>
        </w:tc>
        <w:tc>
          <w:tcPr>
            <w:tcW w:w="7886" w:type="dxa"/>
            <w:gridSpan w:val="4"/>
            <w:tcMar>
              <w:left w:w="108" w:type="dxa"/>
              <w:right w:w="108" w:type="dxa"/>
            </w:tcMar>
          </w:tcPr>
          <w:p w14:paraId="0DF99403"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b/>
                <w:bCs/>
                <w:color w:val="333333"/>
                <w:sz w:val="20"/>
                <w:szCs w:val="20"/>
              </w:rPr>
              <w:t>Prescribing Instructions:</w:t>
            </w:r>
          </w:p>
          <w:p w14:paraId="3AAFE865"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color w:val="333333"/>
                <w:sz w:val="20"/>
                <w:szCs w:val="20"/>
              </w:rPr>
              <w:t>Patients who fail to demonstrate a response to PBS-subsidised treatment with this agent at the time where an assessment is required must cease PBS-subsidised therapy with this agent.</w:t>
            </w:r>
          </w:p>
        </w:tc>
      </w:tr>
      <w:tr w:rsidR="00B31A07" w:rsidRPr="00B31A07" w14:paraId="6E7304F4" w14:textId="77777777" w:rsidTr="00AE61DE">
        <w:trPr>
          <w:cantSplit/>
          <w:trHeight w:val="20"/>
        </w:trPr>
        <w:tc>
          <w:tcPr>
            <w:tcW w:w="1129" w:type="dxa"/>
            <w:gridSpan w:val="2"/>
            <w:tcMar>
              <w:left w:w="108" w:type="dxa"/>
              <w:right w:w="108" w:type="dxa"/>
            </w:tcMar>
          </w:tcPr>
          <w:p w14:paraId="2355C6E5" w14:textId="367FC3C0" w:rsidR="00B31A07" w:rsidRPr="00B31A07" w:rsidRDefault="00B31A07" w:rsidP="1797D1E5">
            <w:pPr>
              <w:jc w:val="center"/>
              <w:rPr>
                <w:rFonts w:ascii="Arial Narrow" w:eastAsia="Arial Narrow" w:hAnsi="Arial Narrow" w:cs="Arial Narrow"/>
                <w:color w:val="333333"/>
                <w:sz w:val="20"/>
                <w:szCs w:val="20"/>
              </w:rPr>
            </w:pPr>
          </w:p>
        </w:tc>
        <w:tc>
          <w:tcPr>
            <w:tcW w:w="7886" w:type="dxa"/>
            <w:gridSpan w:val="4"/>
            <w:tcMar>
              <w:left w:w="108" w:type="dxa"/>
              <w:right w:w="108" w:type="dxa"/>
            </w:tcMar>
          </w:tcPr>
          <w:p w14:paraId="2CBC028E"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b/>
                <w:bCs/>
                <w:color w:val="333333"/>
                <w:sz w:val="20"/>
                <w:szCs w:val="20"/>
              </w:rPr>
              <w:t>Administrative Advice:</w:t>
            </w:r>
          </w:p>
          <w:p w14:paraId="43BAC060"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color w:val="333333"/>
                <w:sz w:val="20"/>
                <w:szCs w:val="20"/>
              </w:rPr>
              <w:t>A complete remission is defined as bone marrow blasts of less than or equal to 5%, no evidence of disease and a full recovery of peripheral blood counts with platelets of greater than 100,000 per microliter, and absolute neutrophil count (ANC) of greater than 1,000 per microliter.</w:t>
            </w:r>
          </w:p>
        </w:tc>
      </w:tr>
      <w:tr w:rsidR="00B31A07" w:rsidRPr="00B31A07" w14:paraId="3C1F0123" w14:textId="77777777" w:rsidTr="00AE61DE">
        <w:trPr>
          <w:cantSplit/>
          <w:trHeight w:val="20"/>
        </w:trPr>
        <w:tc>
          <w:tcPr>
            <w:tcW w:w="1129" w:type="dxa"/>
            <w:gridSpan w:val="2"/>
            <w:tcMar>
              <w:left w:w="108" w:type="dxa"/>
              <w:right w:w="108" w:type="dxa"/>
            </w:tcMar>
          </w:tcPr>
          <w:p w14:paraId="747A9387" w14:textId="10B2ED72" w:rsidR="00B31A07" w:rsidRPr="00B31A07" w:rsidRDefault="00B31A07" w:rsidP="1797D1E5">
            <w:pPr>
              <w:jc w:val="center"/>
              <w:rPr>
                <w:rFonts w:ascii="Arial Narrow" w:eastAsia="Arial Narrow" w:hAnsi="Arial Narrow" w:cs="Arial Narrow"/>
                <w:color w:val="333333"/>
                <w:sz w:val="20"/>
                <w:szCs w:val="20"/>
              </w:rPr>
            </w:pPr>
          </w:p>
        </w:tc>
        <w:tc>
          <w:tcPr>
            <w:tcW w:w="7886" w:type="dxa"/>
            <w:gridSpan w:val="4"/>
            <w:tcMar>
              <w:left w:w="108" w:type="dxa"/>
              <w:right w:w="108" w:type="dxa"/>
            </w:tcMar>
          </w:tcPr>
          <w:p w14:paraId="1D7A997B"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b/>
                <w:bCs/>
                <w:color w:val="333333"/>
                <w:sz w:val="20"/>
                <w:szCs w:val="20"/>
              </w:rPr>
              <w:t>Administrative Advice:</w:t>
            </w:r>
          </w:p>
          <w:p w14:paraId="035ECBD8"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color w:val="333333"/>
                <w:sz w:val="20"/>
                <w:szCs w:val="20"/>
              </w:rPr>
              <w:t>Any queries concerning the arrangements to prescribe may be directed to Services Australia on 1800 700 270 (hours of operation 8 a.m. to 5 p.m. Monday to Friday).</w:t>
            </w:r>
          </w:p>
          <w:p w14:paraId="66BECDDF"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color w:val="333333"/>
                <w:sz w:val="20"/>
                <w:szCs w:val="20"/>
              </w:rPr>
              <w:t xml:space="preserve">Prescribing information (including Authority Application forms and other relevant documentation as applicable) is available on the Services Australia website at </w:t>
            </w:r>
            <w:hyperlink>
              <w:r w:rsidRPr="00B31A07">
                <w:rPr>
                  <w:rFonts w:ascii="Arial Narrow" w:eastAsia="Arial Narrow" w:hAnsi="Arial Narrow" w:cs="Arial Narrow"/>
                  <w:color w:val="0000FF" w:themeColor="hyperlink"/>
                  <w:sz w:val="20"/>
                  <w:szCs w:val="20"/>
                  <w:u w:val="single"/>
                </w:rPr>
                <w:t>www.servicesaustralia.gov.au</w:t>
              </w:r>
            </w:hyperlink>
          </w:p>
          <w:p w14:paraId="40ECCAE3"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color w:val="333333"/>
                <w:sz w:val="20"/>
                <w:szCs w:val="20"/>
              </w:rPr>
              <w:t xml:space="preserve">Applications for authority to prescribe should be submitted online using the form upload facility in Health Professional Online Services (HPOS) at </w:t>
            </w:r>
            <w:hyperlink>
              <w:r w:rsidRPr="00B31A07">
                <w:rPr>
                  <w:rFonts w:ascii="Arial Narrow" w:eastAsia="Arial Narrow" w:hAnsi="Arial Narrow" w:cs="Arial Narrow"/>
                  <w:color w:val="0000FF" w:themeColor="hyperlink"/>
                  <w:sz w:val="20"/>
                  <w:szCs w:val="20"/>
                  <w:u w:val="single"/>
                </w:rPr>
                <w:t>www.servicesaustralia.gov.au/hpos</w:t>
              </w:r>
            </w:hyperlink>
          </w:p>
          <w:p w14:paraId="57304F5D"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color w:val="333333"/>
                <w:sz w:val="20"/>
                <w:szCs w:val="20"/>
              </w:rPr>
              <w:t>Or mailed to:</w:t>
            </w:r>
          </w:p>
          <w:p w14:paraId="73618803"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color w:val="333333"/>
                <w:sz w:val="20"/>
                <w:szCs w:val="20"/>
              </w:rPr>
              <w:t>Services Australia</w:t>
            </w:r>
          </w:p>
          <w:p w14:paraId="7FABC423"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color w:val="333333"/>
                <w:sz w:val="20"/>
                <w:szCs w:val="20"/>
              </w:rPr>
              <w:t>Complex Drugs</w:t>
            </w:r>
          </w:p>
          <w:p w14:paraId="7B906607"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color w:val="333333"/>
                <w:sz w:val="20"/>
                <w:szCs w:val="20"/>
              </w:rPr>
              <w:t>Reply Paid 9826</w:t>
            </w:r>
          </w:p>
          <w:p w14:paraId="6DA7095C"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color w:val="333333"/>
                <w:sz w:val="20"/>
                <w:szCs w:val="20"/>
              </w:rPr>
              <w:t>HOBART TAS 7001</w:t>
            </w:r>
          </w:p>
        </w:tc>
      </w:tr>
      <w:tr w:rsidR="00B31A07" w:rsidRPr="00B31A07" w14:paraId="70B38A1D" w14:textId="77777777" w:rsidTr="00AE61DE">
        <w:trPr>
          <w:cantSplit/>
          <w:trHeight w:val="20"/>
        </w:trPr>
        <w:tc>
          <w:tcPr>
            <w:tcW w:w="1129" w:type="dxa"/>
            <w:gridSpan w:val="2"/>
            <w:tcMar>
              <w:left w:w="108" w:type="dxa"/>
              <w:right w:w="108" w:type="dxa"/>
            </w:tcMar>
            <w:vAlign w:val="center"/>
          </w:tcPr>
          <w:p w14:paraId="0C7B7927" w14:textId="51E4B72A" w:rsidR="00B31A07" w:rsidRPr="00B31A07" w:rsidRDefault="00B31A07" w:rsidP="00B31A07">
            <w:pPr>
              <w:jc w:val="center"/>
              <w:rPr>
                <w:rFonts w:ascii="Arial Narrow" w:eastAsia="Arial Narrow" w:hAnsi="Arial Narrow" w:cs="Arial Narrow"/>
                <w:sz w:val="20"/>
                <w:szCs w:val="20"/>
              </w:rPr>
            </w:pPr>
          </w:p>
        </w:tc>
        <w:tc>
          <w:tcPr>
            <w:tcW w:w="7886" w:type="dxa"/>
            <w:gridSpan w:val="4"/>
            <w:tcMar>
              <w:left w:w="108" w:type="dxa"/>
              <w:right w:w="108" w:type="dxa"/>
            </w:tcMar>
            <w:vAlign w:val="center"/>
          </w:tcPr>
          <w:p w14:paraId="77E3940C"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b/>
                <w:bCs/>
                <w:color w:val="333333"/>
                <w:sz w:val="20"/>
                <w:szCs w:val="20"/>
              </w:rPr>
              <w:t xml:space="preserve">Administrative Advice: </w:t>
            </w:r>
            <w:r w:rsidRPr="00B31A07">
              <w:rPr>
                <w:rFonts w:ascii="Arial Narrow" w:eastAsia="Arial Narrow" w:hAnsi="Arial Narrow" w:cs="Arial Narrow"/>
                <w:color w:val="333333"/>
                <w:sz w:val="20"/>
                <w:szCs w:val="20"/>
              </w:rPr>
              <w:t>Patients may qualify for PBS-subsidised treatment under this restriction once only. For continuing PBS-subsidised treatment, a 'Grandfathered' patient must qualify under the 'Continuing treatment' criteria.</w:t>
            </w:r>
          </w:p>
        </w:tc>
      </w:tr>
      <w:tr w:rsidR="00B31A07" w:rsidRPr="00B31A07" w14:paraId="0BF5E6BD" w14:textId="77777777" w:rsidTr="00AE61DE">
        <w:trPr>
          <w:cantSplit/>
          <w:trHeight w:val="20"/>
        </w:trPr>
        <w:tc>
          <w:tcPr>
            <w:tcW w:w="1129" w:type="dxa"/>
            <w:gridSpan w:val="2"/>
            <w:tcMar>
              <w:left w:w="108" w:type="dxa"/>
              <w:right w:w="108" w:type="dxa"/>
            </w:tcMar>
            <w:vAlign w:val="center"/>
          </w:tcPr>
          <w:p w14:paraId="32C6812F" w14:textId="60B791A2" w:rsidR="00B31A07" w:rsidRPr="00B31A07" w:rsidRDefault="00B31A07" w:rsidP="00B31A07">
            <w:pPr>
              <w:jc w:val="center"/>
              <w:rPr>
                <w:rFonts w:ascii="Arial Narrow" w:eastAsia="Arial Narrow" w:hAnsi="Arial Narrow" w:cs="Arial Narrow"/>
                <w:sz w:val="20"/>
                <w:szCs w:val="20"/>
              </w:rPr>
            </w:pPr>
          </w:p>
        </w:tc>
        <w:tc>
          <w:tcPr>
            <w:tcW w:w="7886" w:type="dxa"/>
            <w:gridSpan w:val="4"/>
            <w:tcMar>
              <w:left w:w="108" w:type="dxa"/>
              <w:right w:w="108" w:type="dxa"/>
            </w:tcMar>
            <w:vAlign w:val="center"/>
          </w:tcPr>
          <w:p w14:paraId="0456AB4A" w14:textId="77777777" w:rsidR="00B31A07" w:rsidRPr="00B31A07" w:rsidRDefault="00B31A07" w:rsidP="00B31A07">
            <w:pPr>
              <w:jc w:val="left"/>
              <w:rPr>
                <w:rFonts w:ascii="Arial Narrow" w:hAnsi="Arial Narrow"/>
                <w:sz w:val="20"/>
                <w:szCs w:val="20"/>
              </w:rPr>
            </w:pPr>
            <w:r w:rsidRPr="00B31A07">
              <w:rPr>
                <w:rFonts w:ascii="Arial Narrow" w:eastAsia="Arial Narrow" w:hAnsi="Arial Narrow" w:cs="Arial Narrow"/>
                <w:b/>
                <w:bCs/>
                <w:color w:val="333333"/>
                <w:sz w:val="20"/>
                <w:szCs w:val="20"/>
              </w:rPr>
              <w:t xml:space="preserve">Administrative Advice: </w:t>
            </w:r>
            <w:r w:rsidRPr="00B31A07">
              <w:rPr>
                <w:rFonts w:ascii="Arial Narrow" w:eastAsia="Arial Narrow" w:hAnsi="Arial Narrow" w:cs="Arial Narrow"/>
                <w:color w:val="333333"/>
                <w:sz w:val="20"/>
                <w:szCs w:val="20"/>
              </w:rPr>
              <w:t>This grandfather restriction will cease to operate from 12 months after the date specified in the clinical criteria</w:t>
            </w:r>
          </w:p>
        </w:tc>
      </w:tr>
    </w:tbl>
    <w:p w14:paraId="73A1A49E" w14:textId="77777777" w:rsidR="00B31A07" w:rsidRPr="00B31A07" w:rsidRDefault="00B31A07" w:rsidP="00B31A07">
      <w:pPr>
        <w:numPr>
          <w:ilvl w:val="1"/>
          <w:numId w:val="5"/>
        </w:numPr>
        <w:spacing w:before="120" w:after="120"/>
        <w:ind w:left="720"/>
        <w:rPr>
          <w:rFonts w:asciiTheme="minorHAnsi" w:eastAsia="Calibri" w:hAnsiTheme="minorHAnsi"/>
          <w:snapToGrid w:val="0"/>
        </w:rPr>
      </w:pPr>
      <w:r w:rsidRPr="00B31A07">
        <w:rPr>
          <w:rFonts w:asciiTheme="minorHAnsi" w:eastAsia="Calibri" w:hAnsiTheme="minorHAnsi"/>
          <w:snapToGrid w:val="0"/>
        </w:rPr>
        <w:t xml:space="preserve">Flow on changes </w:t>
      </w:r>
      <w:bookmarkStart w:id="89" w:name="_Hlk174010791"/>
      <w:r w:rsidRPr="00B31A07">
        <w:rPr>
          <w:rFonts w:asciiTheme="minorHAnsi" w:eastAsia="Calibri" w:hAnsiTheme="minorHAnsi"/>
          <w:snapToGrid w:val="0"/>
        </w:rPr>
        <w:t xml:space="preserve">to other PBS listed medicines </w:t>
      </w:r>
      <w:bookmarkEnd w:id="89"/>
      <w:r w:rsidRPr="00B31A07">
        <w:rPr>
          <w:rFonts w:asciiTheme="minorHAnsi" w:eastAsia="Calibri" w:hAnsiTheme="minorHAnsi"/>
          <w:snapToGrid w:val="0"/>
        </w:rPr>
        <w:t>for the following items 11118E (Public) and 11116C (Private) indicated for Acute lymphoblastic leukaemia (for relapsed or refractory B-cell ALL) to allow use of blinatumomab in patients who are treatment naïve as well as in patients who received blinatumomab as frontline consolidation therapy:</w:t>
      </w:r>
    </w:p>
    <w:tbl>
      <w:tblPr>
        <w:tblStyle w:val="TableGrid"/>
        <w:tblW w:w="0" w:type="auto"/>
        <w:tblLayout w:type="fixed"/>
        <w:tblLook w:val="04A0" w:firstRow="1" w:lastRow="0" w:firstColumn="1" w:lastColumn="0" w:noHBand="0" w:noVBand="1"/>
      </w:tblPr>
      <w:tblGrid>
        <w:gridCol w:w="562"/>
        <w:gridCol w:w="709"/>
        <w:gridCol w:w="2564"/>
        <w:gridCol w:w="2280"/>
        <w:gridCol w:w="1440"/>
        <w:gridCol w:w="1460"/>
      </w:tblGrid>
      <w:tr w:rsidR="00B31A07" w:rsidRPr="00B31A07" w14:paraId="6C3CC061" w14:textId="77777777" w:rsidTr="00AE61DE">
        <w:trPr>
          <w:cantSplit/>
          <w:trHeight w:val="20"/>
        </w:trPr>
        <w:tc>
          <w:tcPr>
            <w:tcW w:w="3835" w:type="dxa"/>
            <w:gridSpan w:val="3"/>
            <w:tcMar>
              <w:left w:w="108" w:type="dxa"/>
              <w:right w:w="108" w:type="dxa"/>
            </w:tcMar>
          </w:tcPr>
          <w:p w14:paraId="1B3537F0" w14:textId="77777777" w:rsidR="00B31A07" w:rsidRPr="00B31A07" w:rsidRDefault="00B31A07" w:rsidP="00B31A07">
            <w:pPr>
              <w:rPr>
                <w:rFonts w:ascii="Arial Narrow" w:eastAsia="Arial Narrow" w:hAnsi="Arial Narrow" w:cs="Arial Narrow"/>
                <w:sz w:val="20"/>
                <w:szCs w:val="20"/>
              </w:rPr>
            </w:pPr>
            <w:r w:rsidRPr="00B31A07">
              <w:rPr>
                <w:rFonts w:ascii="Arial Narrow" w:eastAsia="Arial Narrow" w:hAnsi="Arial Narrow" w:cs="Arial Narrow"/>
                <w:b/>
                <w:bCs/>
                <w:sz w:val="20"/>
                <w:szCs w:val="20"/>
              </w:rPr>
              <w:t>MEDICINAL PRODUCT</w:t>
            </w:r>
            <w:r w:rsidRPr="00B31A07">
              <w:rPr>
                <w:rFonts w:ascii="Arial Narrow" w:eastAsia="Arial Narrow" w:hAnsi="Arial Narrow" w:cs="Arial Narrow"/>
                <w:sz w:val="20"/>
                <w:szCs w:val="20"/>
              </w:rPr>
              <w:t xml:space="preserve"> </w:t>
            </w:r>
          </w:p>
          <w:p w14:paraId="63AFB373" w14:textId="77777777" w:rsidR="00B31A07" w:rsidRPr="00B31A07" w:rsidRDefault="00B31A07" w:rsidP="00B31A07">
            <w:pPr>
              <w:rPr>
                <w:rFonts w:ascii="Arial Narrow" w:eastAsia="Arial Narrow" w:hAnsi="Arial Narrow" w:cs="Arial Narrow"/>
                <w:sz w:val="20"/>
                <w:szCs w:val="20"/>
              </w:rPr>
            </w:pPr>
            <w:r w:rsidRPr="00B31A07">
              <w:rPr>
                <w:rFonts w:ascii="Arial Narrow" w:eastAsia="Arial Narrow" w:hAnsi="Arial Narrow" w:cs="Arial Narrow"/>
                <w:b/>
                <w:bCs/>
                <w:sz w:val="20"/>
                <w:szCs w:val="20"/>
              </w:rPr>
              <w:t>Form</w:t>
            </w:r>
            <w:r w:rsidRPr="00B31A07">
              <w:rPr>
                <w:rFonts w:ascii="Arial Narrow" w:eastAsia="Arial Narrow" w:hAnsi="Arial Narrow" w:cs="Arial Narrow"/>
                <w:sz w:val="20"/>
                <w:szCs w:val="20"/>
              </w:rPr>
              <w:t xml:space="preserve"> </w:t>
            </w:r>
          </w:p>
        </w:tc>
        <w:tc>
          <w:tcPr>
            <w:tcW w:w="2280" w:type="dxa"/>
            <w:tcMar>
              <w:left w:w="108" w:type="dxa"/>
              <w:right w:w="108" w:type="dxa"/>
            </w:tcMar>
          </w:tcPr>
          <w:p w14:paraId="668424A2" w14:textId="77777777" w:rsidR="00B31A07" w:rsidRPr="00B31A07" w:rsidRDefault="00B31A07" w:rsidP="00B31A07">
            <w:pPr>
              <w:jc w:val="center"/>
              <w:rPr>
                <w:rFonts w:ascii="Arial Narrow" w:eastAsia="Arial Narrow" w:hAnsi="Arial Narrow" w:cs="Arial Narrow"/>
                <w:sz w:val="20"/>
                <w:szCs w:val="20"/>
              </w:rPr>
            </w:pPr>
            <w:r w:rsidRPr="00B31A07">
              <w:rPr>
                <w:rFonts w:ascii="Arial Narrow" w:eastAsia="Arial Narrow" w:hAnsi="Arial Narrow" w:cs="Arial Narrow"/>
                <w:b/>
                <w:bCs/>
                <w:sz w:val="20"/>
                <w:szCs w:val="20"/>
              </w:rPr>
              <w:t>PBS item code</w:t>
            </w:r>
            <w:r w:rsidRPr="00B31A07">
              <w:rPr>
                <w:rFonts w:ascii="Arial Narrow" w:eastAsia="Arial Narrow" w:hAnsi="Arial Narrow" w:cs="Arial Narrow"/>
                <w:sz w:val="20"/>
                <w:szCs w:val="20"/>
              </w:rPr>
              <w:t xml:space="preserve"> </w:t>
            </w:r>
          </w:p>
        </w:tc>
        <w:tc>
          <w:tcPr>
            <w:tcW w:w="1440" w:type="dxa"/>
            <w:tcMar>
              <w:left w:w="108" w:type="dxa"/>
              <w:right w:w="108" w:type="dxa"/>
            </w:tcMar>
          </w:tcPr>
          <w:p w14:paraId="767E3D3B" w14:textId="77777777" w:rsidR="00B31A07" w:rsidRPr="00B31A07" w:rsidRDefault="00B31A07" w:rsidP="00B31A07">
            <w:pPr>
              <w:jc w:val="center"/>
              <w:rPr>
                <w:rFonts w:ascii="Arial Narrow" w:eastAsia="Arial Narrow" w:hAnsi="Arial Narrow" w:cs="Arial Narrow"/>
                <w:sz w:val="20"/>
                <w:szCs w:val="20"/>
              </w:rPr>
            </w:pPr>
            <w:r w:rsidRPr="00B31A07">
              <w:rPr>
                <w:rFonts w:ascii="Arial Narrow" w:eastAsia="Arial Narrow" w:hAnsi="Arial Narrow" w:cs="Arial Narrow"/>
                <w:b/>
                <w:bCs/>
                <w:sz w:val="20"/>
                <w:szCs w:val="20"/>
              </w:rPr>
              <w:t>Max. Amount</w:t>
            </w:r>
            <w:r w:rsidRPr="00B31A07">
              <w:rPr>
                <w:rFonts w:ascii="Arial Narrow" w:eastAsia="Arial Narrow" w:hAnsi="Arial Narrow" w:cs="Arial Narrow"/>
                <w:sz w:val="20"/>
                <w:szCs w:val="20"/>
              </w:rPr>
              <w:t xml:space="preserve"> </w:t>
            </w:r>
          </w:p>
        </w:tc>
        <w:tc>
          <w:tcPr>
            <w:tcW w:w="1460" w:type="dxa"/>
            <w:tcMar>
              <w:left w:w="108" w:type="dxa"/>
              <w:right w:w="108" w:type="dxa"/>
            </w:tcMar>
          </w:tcPr>
          <w:p w14:paraId="63FFED3A" w14:textId="77777777" w:rsidR="00B31A07" w:rsidRPr="00B31A07" w:rsidRDefault="00B31A07" w:rsidP="00B31A07">
            <w:pPr>
              <w:jc w:val="center"/>
              <w:rPr>
                <w:rFonts w:ascii="Arial Narrow" w:eastAsia="Arial Narrow" w:hAnsi="Arial Narrow" w:cs="Arial Narrow"/>
                <w:sz w:val="20"/>
                <w:szCs w:val="20"/>
              </w:rPr>
            </w:pPr>
            <w:r w:rsidRPr="00B31A07">
              <w:rPr>
                <w:rFonts w:ascii="Arial Narrow" w:eastAsia="Arial Narrow" w:hAnsi="Arial Narrow" w:cs="Arial Narrow"/>
                <w:b/>
                <w:bCs/>
                <w:sz w:val="20"/>
                <w:szCs w:val="20"/>
              </w:rPr>
              <w:t>№.of Rpts</w:t>
            </w:r>
            <w:r w:rsidRPr="00B31A07">
              <w:rPr>
                <w:rFonts w:ascii="Arial Narrow" w:eastAsia="Arial Narrow" w:hAnsi="Arial Narrow" w:cs="Arial Narrow"/>
                <w:sz w:val="20"/>
                <w:szCs w:val="20"/>
              </w:rPr>
              <w:t xml:space="preserve"> </w:t>
            </w:r>
          </w:p>
        </w:tc>
      </w:tr>
      <w:tr w:rsidR="00B31A07" w:rsidRPr="00B31A07" w14:paraId="1A5493A3" w14:textId="77777777" w:rsidTr="00AE61DE">
        <w:trPr>
          <w:cantSplit/>
          <w:trHeight w:val="20"/>
        </w:trPr>
        <w:tc>
          <w:tcPr>
            <w:tcW w:w="3835" w:type="dxa"/>
            <w:gridSpan w:val="3"/>
            <w:tcMar>
              <w:left w:w="108" w:type="dxa"/>
              <w:right w:w="108" w:type="dxa"/>
            </w:tcMar>
          </w:tcPr>
          <w:p w14:paraId="71AD422B" w14:textId="77777777" w:rsidR="00B31A07" w:rsidRPr="00B31A07" w:rsidRDefault="00B31A07" w:rsidP="00B31A07">
            <w:pPr>
              <w:jc w:val="left"/>
              <w:rPr>
                <w:rFonts w:ascii="Arial Narrow" w:eastAsia="Arial Narrow" w:hAnsi="Arial Narrow" w:cs="Arial Narrow"/>
                <w:sz w:val="20"/>
                <w:szCs w:val="20"/>
              </w:rPr>
            </w:pPr>
            <w:r w:rsidRPr="00B31A07">
              <w:rPr>
                <w:rFonts w:ascii="Arial Narrow" w:eastAsia="Arial Narrow" w:hAnsi="Arial Narrow" w:cs="Arial Narrow"/>
                <w:sz w:val="20"/>
                <w:szCs w:val="20"/>
              </w:rPr>
              <w:t xml:space="preserve">Blinatumomab 38.5 microgram injection [1 vial] &amp; inert substance solution [10 mL vial], 1 pack </w:t>
            </w:r>
          </w:p>
        </w:tc>
        <w:tc>
          <w:tcPr>
            <w:tcW w:w="2280" w:type="dxa"/>
            <w:tcMar>
              <w:left w:w="108" w:type="dxa"/>
              <w:right w:w="108" w:type="dxa"/>
            </w:tcMar>
          </w:tcPr>
          <w:p w14:paraId="1ED0726B" w14:textId="77777777" w:rsidR="00B31A07" w:rsidRPr="00B31A07" w:rsidRDefault="00B31A07" w:rsidP="00B31A07">
            <w:pPr>
              <w:jc w:val="center"/>
              <w:rPr>
                <w:rFonts w:ascii="Arial Narrow" w:eastAsia="Arial Narrow" w:hAnsi="Arial Narrow" w:cs="Arial Narrow"/>
                <w:sz w:val="20"/>
                <w:szCs w:val="20"/>
              </w:rPr>
            </w:pPr>
            <w:r w:rsidRPr="00B31A07">
              <w:rPr>
                <w:rFonts w:ascii="Arial Narrow" w:eastAsia="Arial Narrow" w:hAnsi="Arial Narrow" w:cs="Arial Narrow"/>
                <w:sz w:val="20"/>
                <w:szCs w:val="20"/>
              </w:rPr>
              <w:t xml:space="preserve">Amend: 11118E (Public) </w:t>
            </w:r>
          </w:p>
          <w:p w14:paraId="3DC24405" w14:textId="77777777" w:rsidR="00B31A07" w:rsidRPr="00B31A07" w:rsidRDefault="00B31A07" w:rsidP="00B31A07">
            <w:pPr>
              <w:jc w:val="center"/>
              <w:rPr>
                <w:rFonts w:ascii="Arial Narrow" w:eastAsia="Arial Narrow" w:hAnsi="Arial Narrow" w:cs="Arial Narrow"/>
                <w:sz w:val="20"/>
                <w:szCs w:val="20"/>
              </w:rPr>
            </w:pPr>
            <w:r w:rsidRPr="00B31A07">
              <w:rPr>
                <w:rFonts w:ascii="Arial Narrow" w:eastAsia="Arial Narrow" w:hAnsi="Arial Narrow" w:cs="Arial Narrow"/>
                <w:sz w:val="20"/>
                <w:szCs w:val="20"/>
              </w:rPr>
              <w:t xml:space="preserve">Amend: 11116C (Private) </w:t>
            </w:r>
          </w:p>
        </w:tc>
        <w:tc>
          <w:tcPr>
            <w:tcW w:w="1440" w:type="dxa"/>
            <w:tcMar>
              <w:left w:w="108" w:type="dxa"/>
              <w:right w:w="108" w:type="dxa"/>
            </w:tcMar>
          </w:tcPr>
          <w:p w14:paraId="60B842CA" w14:textId="77777777" w:rsidR="00B31A07" w:rsidRPr="00B31A07" w:rsidRDefault="00B31A07" w:rsidP="00B31A07">
            <w:pPr>
              <w:jc w:val="center"/>
              <w:rPr>
                <w:rFonts w:ascii="Arial Narrow" w:eastAsia="Arial Narrow" w:hAnsi="Arial Narrow" w:cs="Arial Narrow"/>
                <w:sz w:val="20"/>
                <w:szCs w:val="20"/>
                <w:lang w:val="en-US"/>
              </w:rPr>
            </w:pPr>
            <w:r w:rsidRPr="00B31A07">
              <w:rPr>
                <w:rFonts w:ascii="Arial Narrow" w:eastAsia="Arial Narrow" w:hAnsi="Arial Narrow" w:cs="Arial Narrow"/>
                <w:sz w:val="20"/>
                <w:szCs w:val="20"/>
              </w:rPr>
              <w:t>651 mcg</w:t>
            </w:r>
            <w:r w:rsidRPr="00B31A07">
              <w:rPr>
                <w:rFonts w:ascii="Arial Narrow" w:eastAsia="Arial Narrow" w:hAnsi="Arial Narrow" w:cs="Arial Narrow"/>
                <w:sz w:val="20"/>
                <w:szCs w:val="20"/>
                <w:lang w:val="en-US"/>
              </w:rPr>
              <w:t xml:space="preserve"> </w:t>
            </w:r>
          </w:p>
        </w:tc>
        <w:tc>
          <w:tcPr>
            <w:tcW w:w="1460" w:type="dxa"/>
            <w:tcMar>
              <w:left w:w="108" w:type="dxa"/>
              <w:right w:w="108" w:type="dxa"/>
            </w:tcMar>
          </w:tcPr>
          <w:p w14:paraId="17E72A75" w14:textId="77777777" w:rsidR="00B31A07" w:rsidRPr="00B31A07" w:rsidRDefault="00B31A07" w:rsidP="00B31A07">
            <w:pPr>
              <w:jc w:val="center"/>
              <w:rPr>
                <w:rFonts w:ascii="Arial Narrow" w:eastAsia="Arial Narrow" w:hAnsi="Arial Narrow" w:cs="Arial Narrow"/>
                <w:sz w:val="20"/>
                <w:szCs w:val="20"/>
              </w:rPr>
            </w:pPr>
            <w:r w:rsidRPr="00B31A07">
              <w:rPr>
                <w:rFonts w:ascii="Arial Narrow" w:eastAsia="Arial Narrow" w:hAnsi="Arial Narrow" w:cs="Arial Narrow"/>
                <w:sz w:val="20"/>
                <w:szCs w:val="20"/>
              </w:rPr>
              <w:t xml:space="preserve">1 </w:t>
            </w:r>
          </w:p>
        </w:tc>
      </w:tr>
      <w:tr w:rsidR="00B31A07" w:rsidRPr="00B31A07" w14:paraId="45F0505A" w14:textId="77777777" w:rsidTr="00AE61DE">
        <w:trPr>
          <w:cantSplit/>
          <w:trHeight w:val="20"/>
        </w:trPr>
        <w:tc>
          <w:tcPr>
            <w:tcW w:w="9015" w:type="dxa"/>
            <w:gridSpan w:val="6"/>
            <w:tcMar>
              <w:left w:w="108" w:type="dxa"/>
              <w:right w:w="108" w:type="dxa"/>
            </w:tcMar>
          </w:tcPr>
          <w:p w14:paraId="39B0927B" w14:textId="77777777" w:rsidR="00B31A07" w:rsidRPr="00B31A07" w:rsidRDefault="00B31A07" w:rsidP="00B31A07">
            <w:pPr>
              <w:rPr>
                <w:rFonts w:ascii="Arial Narrow" w:eastAsia="Arial Narrow" w:hAnsi="Arial Narrow" w:cs="Arial Narrow"/>
                <w:sz w:val="20"/>
                <w:szCs w:val="20"/>
              </w:rPr>
            </w:pPr>
            <w:r w:rsidRPr="00B31A07">
              <w:rPr>
                <w:rFonts w:ascii="Arial Narrow" w:eastAsia="Arial Narrow" w:hAnsi="Arial Narrow" w:cs="Arial Narrow"/>
                <w:b/>
                <w:bCs/>
                <w:sz w:val="20"/>
                <w:szCs w:val="20"/>
              </w:rPr>
              <w:t xml:space="preserve">Available brands </w:t>
            </w:r>
            <w:r w:rsidRPr="00B31A07">
              <w:rPr>
                <w:rFonts w:ascii="Arial Narrow" w:eastAsia="Arial Narrow" w:hAnsi="Arial Narrow" w:cs="Arial Narrow"/>
                <w:sz w:val="20"/>
                <w:szCs w:val="20"/>
              </w:rPr>
              <w:t xml:space="preserve"> </w:t>
            </w:r>
          </w:p>
        </w:tc>
      </w:tr>
      <w:tr w:rsidR="00B31A07" w:rsidRPr="00B31A07" w14:paraId="5E724741" w14:textId="77777777" w:rsidTr="00AE61DE">
        <w:trPr>
          <w:cantSplit/>
          <w:trHeight w:val="20"/>
        </w:trPr>
        <w:tc>
          <w:tcPr>
            <w:tcW w:w="9015" w:type="dxa"/>
            <w:gridSpan w:val="6"/>
            <w:tcMar>
              <w:left w:w="108" w:type="dxa"/>
              <w:right w:w="108" w:type="dxa"/>
            </w:tcMar>
          </w:tcPr>
          <w:p w14:paraId="2F47541A" w14:textId="77777777" w:rsidR="00B31A07" w:rsidRPr="00B31A07" w:rsidRDefault="00B31A07" w:rsidP="00B31A07">
            <w:pPr>
              <w:rPr>
                <w:rFonts w:ascii="Arial Narrow" w:eastAsia="Arial Narrow" w:hAnsi="Arial Narrow" w:cs="Arial Narrow"/>
                <w:sz w:val="20"/>
                <w:szCs w:val="20"/>
              </w:rPr>
            </w:pPr>
            <w:r w:rsidRPr="00B31A07">
              <w:rPr>
                <w:rFonts w:ascii="Arial Narrow" w:eastAsia="Arial Narrow" w:hAnsi="Arial Narrow" w:cs="Arial Narrow"/>
                <w:sz w:val="20"/>
                <w:szCs w:val="20"/>
              </w:rPr>
              <w:t xml:space="preserve">Blincyto </w:t>
            </w:r>
          </w:p>
        </w:tc>
      </w:tr>
      <w:tr w:rsidR="00B31A07" w:rsidRPr="00B31A07" w14:paraId="4E433265" w14:textId="77777777" w:rsidTr="00AE61DE">
        <w:trPr>
          <w:cantSplit/>
          <w:trHeight w:val="20"/>
        </w:trPr>
        <w:tc>
          <w:tcPr>
            <w:tcW w:w="9015" w:type="dxa"/>
            <w:gridSpan w:val="6"/>
            <w:tcMar>
              <w:left w:w="108" w:type="dxa"/>
              <w:right w:w="108" w:type="dxa"/>
            </w:tcMar>
          </w:tcPr>
          <w:p w14:paraId="61247256" w14:textId="77777777" w:rsidR="00B31A07" w:rsidRPr="00B31A07" w:rsidRDefault="00B31A07" w:rsidP="00B31A07">
            <w:pPr>
              <w:rPr>
                <w:rFonts w:ascii="Arial Narrow" w:eastAsia="Arial Narrow" w:hAnsi="Arial Narrow" w:cs="Arial Narrow"/>
                <w:color w:val="FF0000"/>
                <w:sz w:val="20"/>
                <w:szCs w:val="20"/>
              </w:rPr>
            </w:pPr>
            <w:r w:rsidRPr="00B31A07">
              <w:rPr>
                <w:rFonts w:ascii="Arial Narrow" w:eastAsia="Arial Narrow" w:hAnsi="Arial Narrow" w:cs="Arial Narrow"/>
                <w:color w:val="FF0000"/>
                <w:sz w:val="20"/>
                <w:szCs w:val="20"/>
              </w:rPr>
              <w:t xml:space="preserve"> </w:t>
            </w:r>
          </w:p>
        </w:tc>
      </w:tr>
      <w:tr w:rsidR="00B31A07" w:rsidRPr="00B31A07" w14:paraId="799C32D9" w14:textId="77777777" w:rsidTr="00AE61DE">
        <w:trPr>
          <w:cantSplit/>
          <w:trHeight w:val="20"/>
        </w:trPr>
        <w:tc>
          <w:tcPr>
            <w:tcW w:w="9015" w:type="dxa"/>
            <w:gridSpan w:val="6"/>
            <w:tcMar>
              <w:left w:w="108" w:type="dxa"/>
              <w:right w:w="108" w:type="dxa"/>
            </w:tcMar>
          </w:tcPr>
          <w:p w14:paraId="02F12EC7" w14:textId="2493AF2D" w:rsidR="00B31A07" w:rsidRPr="00B31A07" w:rsidRDefault="00B31A07" w:rsidP="1797D1E5">
            <w:pPr>
              <w:rPr>
                <w:rFonts w:ascii="Arial Narrow" w:eastAsia="Arial Narrow" w:hAnsi="Arial Narrow" w:cs="Arial Narrow"/>
                <w:b/>
                <w:bCs/>
                <w:sz w:val="20"/>
                <w:szCs w:val="20"/>
              </w:rPr>
            </w:pPr>
            <w:r w:rsidRPr="1797D1E5">
              <w:rPr>
                <w:rFonts w:ascii="Arial Narrow" w:eastAsia="Arial Narrow" w:hAnsi="Arial Narrow" w:cs="Arial Narrow"/>
                <w:b/>
                <w:bCs/>
                <w:sz w:val="20"/>
                <w:szCs w:val="20"/>
              </w:rPr>
              <w:t xml:space="preserve">Edit Restriction Summary [new] / Treatment of Concept: [new] </w:t>
            </w:r>
          </w:p>
        </w:tc>
      </w:tr>
      <w:tr w:rsidR="00B31A07" w:rsidRPr="00B31A07" w14:paraId="3F447EB1" w14:textId="77777777" w:rsidTr="00AE61DE">
        <w:trPr>
          <w:cantSplit/>
          <w:trHeight w:val="20"/>
        </w:trPr>
        <w:tc>
          <w:tcPr>
            <w:tcW w:w="1271" w:type="dxa"/>
            <w:gridSpan w:val="2"/>
            <w:vMerge w:val="restart"/>
            <w:tcMar>
              <w:left w:w="108" w:type="dxa"/>
              <w:right w:w="108" w:type="dxa"/>
            </w:tcMar>
          </w:tcPr>
          <w:p w14:paraId="7857B5A1" w14:textId="3913F298" w:rsidR="00B31A07" w:rsidRPr="00B31A07" w:rsidRDefault="00B31A07" w:rsidP="00B31A07">
            <w:pPr>
              <w:jc w:val="center"/>
              <w:rPr>
                <w:rFonts w:ascii="Arial Narrow" w:eastAsia="Arial Narrow" w:hAnsi="Arial Narrow" w:cs="Arial Narrow"/>
                <w:sz w:val="20"/>
                <w:szCs w:val="20"/>
              </w:rPr>
            </w:pPr>
            <w:r>
              <w:br/>
            </w:r>
          </w:p>
        </w:tc>
        <w:tc>
          <w:tcPr>
            <w:tcW w:w="7744" w:type="dxa"/>
            <w:gridSpan w:val="4"/>
            <w:tcMar>
              <w:left w:w="108" w:type="dxa"/>
              <w:right w:w="108" w:type="dxa"/>
            </w:tcMar>
          </w:tcPr>
          <w:p w14:paraId="57DFC990" w14:textId="77777777" w:rsidR="00B31A07" w:rsidRPr="00B31A07" w:rsidRDefault="00B31A07" w:rsidP="00B31A07">
            <w:pPr>
              <w:rPr>
                <w:rFonts w:ascii="Arial Narrow" w:eastAsia="Arial Narrow" w:hAnsi="Arial Narrow" w:cs="Arial Narrow"/>
                <w:sz w:val="20"/>
                <w:szCs w:val="20"/>
              </w:rPr>
            </w:pPr>
            <w:r w:rsidRPr="00B31A07">
              <w:rPr>
                <w:rFonts w:ascii="Arial Narrow" w:eastAsia="Arial Narrow" w:hAnsi="Arial Narrow" w:cs="Arial Narrow"/>
                <w:b/>
                <w:bCs/>
                <w:sz w:val="20"/>
                <w:szCs w:val="20"/>
              </w:rPr>
              <w:t xml:space="preserve">Category / Program: </w:t>
            </w:r>
            <w:r w:rsidRPr="00B31A07">
              <w:rPr>
                <w:rFonts w:ascii="Arial Narrow" w:eastAsia="Arial Narrow" w:hAnsi="Arial Narrow" w:cs="Arial Narrow"/>
                <w:sz w:val="20"/>
                <w:szCs w:val="20"/>
              </w:rPr>
              <w:t xml:space="preserve">Section 100 – Efficient Funding of Chemotherapy Public/Private hospitals {Related Benefits}  </w:t>
            </w:r>
          </w:p>
        </w:tc>
      </w:tr>
      <w:tr w:rsidR="00B31A07" w:rsidRPr="00B31A07" w14:paraId="45873296" w14:textId="77777777" w:rsidTr="00AE61DE">
        <w:trPr>
          <w:cantSplit/>
          <w:trHeight w:val="20"/>
        </w:trPr>
        <w:tc>
          <w:tcPr>
            <w:tcW w:w="1271" w:type="dxa"/>
            <w:gridSpan w:val="2"/>
            <w:vMerge/>
            <w:vAlign w:val="center"/>
          </w:tcPr>
          <w:p w14:paraId="41BD1CED" w14:textId="77777777" w:rsidR="00B31A07" w:rsidRPr="00B31A07" w:rsidRDefault="00B31A07" w:rsidP="00B31A07">
            <w:pPr>
              <w:rPr>
                <w:rFonts w:ascii="Arial Narrow" w:hAnsi="Arial Narrow"/>
                <w:sz w:val="20"/>
                <w:szCs w:val="20"/>
              </w:rPr>
            </w:pPr>
          </w:p>
        </w:tc>
        <w:tc>
          <w:tcPr>
            <w:tcW w:w="7744" w:type="dxa"/>
            <w:gridSpan w:val="4"/>
            <w:tcMar>
              <w:left w:w="108" w:type="dxa"/>
              <w:right w:w="108" w:type="dxa"/>
            </w:tcMar>
          </w:tcPr>
          <w:p w14:paraId="0F0B74A9" w14:textId="77777777" w:rsidR="00B31A07" w:rsidRPr="00B31A07" w:rsidRDefault="00B31A07" w:rsidP="00B31A07">
            <w:pPr>
              <w:rPr>
                <w:rFonts w:ascii="Arial Narrow" w:eastAsia="Arial Narrow" w:hAnsi="Arial Narrow" w:cs="Arial Narrow"/>
                <w:sz w:val="20"/>
                <w:szCs w:val="20"/>
              </w:rPr>
            </w:pPr>
            <w:r w:rsidRPr="00B31A07">
              <w:rPr>
                <w:rFonts w:ascii="Arial Narrow" w:eastAsia="Arial Narrow" w:hAnsi="Arial Narrow" w:cs="Arial Narrow"/>
                <w:b/>
                <w:bCs/>
                <w:sz w:val="20"/>
                <w:szCs w:val="20"/>
              </w:rPr>
              <w:t xml:space="preserve">Prescriber type: </w:t>
            </w:r>
            <w:r w:rsidRPr="00B31A07">
              <w:rPr>
                <w:rFonts w:ascii="Arial Narrow" w:eastAsia="Arial Narrow" w:hAnsi="Arial Narrow" w:cs="Arial Narrow"/>
                <w:sz w:val="20"/>
                <w:szCs w:val="20"/>
              </w:rPr>
              <w:t xml:space="preserve">Medical Practitioners  </w:t>
            </w:r>
          </w:p>
        </w:tc>
      </w:tr>
      <w:tr w:rsidR="00B31A07" w:rsidRPr="00B31A07" w14:paraId="68D08ED7" w14:textId="77777777" w:rsidTr="00AE61DE">
        <w:trPr>
          <w:cantSplit/>
          <w:trHeight w:val="20"/>
        </w:trPr>
        <w:tc>
          <w:tcPr>
            <w:tcW w:w="1271" w:type="dxa"/>
            <w:gridSpan w:val="2"/>
            <w:vMerge/>
            <w:vAlign w:val="center"/>
          </w:tcPr>
          <w:p w14:paraId="6EAC915C" w14:textId="77777777" w:rsidR="00B31A07" w:rsidRPr="00B31A07" w:rsidRDefault="00B31A07" w:rsidP="00B31A07">
            <w:pPr>
              <w:rPr>
                <w:rFonts w:ascii="Arial Narrow" w:hAnsi="Arial Narrow"/>
                <w:sz w:val="20"/>
                <w:szCs w:val="20"/>
              </w:rPr>
            </w:pPr>
          </w:p>
        </w:tc>
        <w:tc>
          <w:tcPr>
            <w:tcW w:w="7744" w:type="dxa"/>
            <w:gridSpan w:val="4"/>
            <w:tcMar>
              <w:left w:w="108" w:type="dxa"/>
              <w:right w:w="108" w:type="dxa"/>
            </w:tcMar>
          </w:tcPr>
          <w:p w14:paraId="6D5173B3" w14:textId="77777777" w:rsidR="00B31A07" w:rsidRPr="00B31A07" w:rsidRDefault="00B31A07" w:rsidP="00B31A07">
            <w:pPr>
              <w:jc w:val="left"/>
              <w:rPr>
                <w:rFonts w:ascii="Arial Narrow" w:eastAsia="Arial Narrow" w:hAnsi="Arial Narrow" w:cs="Arial Narrow"/>
                <w:sz w:val="20"/>
                <w:szCs w:val="20"/>
              </w:rPr>
            </w:pPr>
            <w:r w:rsidRPr="00B31A07">
              <w:rPr>
                <w:rFonts w:ascii="Arial Narrow" w:eastAsia="Arial Narrow" w:hAnsi="Arial Narrow" w:cs="Arial Narrow"/>
                <w:b/>
                <w:bCs/>
                <w:sz w:val="20"/>
                <w:szCs w:val="20"/>
              </w:rPr>
              <w:t xml:space="preserve">Restriction type: </w:t>
            </w:r>
            <w:r w:rsidRPr="00B31A07">
              <w:rPr>
                <w:rFonts w:ascii="Arial Narrow" w:eastAsia="Arial Narrow" w:hAnsi="Arial Narrow" w:cs="Arial Narrow"/>
                <w:sz w:val="20"/>
                <w:szCs w:val="20"/>
              </w:rPr>
              <w:t xml:space="preserve">Authority Required (in writing only via post/HPOS upload)  </w:t>
            </w:r>
          </w:p>
        </w:tc>
      </w:tr>
      <w:tr w:rsidR="00B31A07" w:rsidRPr="00B31A07" w14:paraId="70C12F37" w14:textId="77777777" w:rsidTr="00AE61DE">
        <w:trPr>
          <w:cantSplit/>
          <w:trHeight w:val="20"/>
        </w:trPr>
        <w:tc>
          <w:tcPr>
            <w:tcW w:w="562" w:type="dxa"/>
            <w:vMerge w:val="restart"/>
            <w:tcMar>
              <w:left w:w="108" w:type="dxa"/>
              <w:right w:w="108" w:type="dxa"/>
            </w:tcMar>
            <w:textDirection w:val="btLr"/>
          </w:tcPr>
          <w:p w14:paraId="2404AED7" w14:textId="0B37F1A6" w:rsidR="00B31A07" w:rsidRPr="00B31A07" w:rsidRDefault="00B31A07" w:rsidP="00B31A07">
            <w:pPr>
              <w:ind w:left="113" w:right="105"/>
              <w:jc w:val="center"/>
              <w:rPr>
                <w:rFonts w:ascii="Arial Narrow" w:eastAsia="Arial Narrow" w:hAnsi="Arial Narrow" w:cs="Arial Narrow"/>
                <w:color w:val="333333"/>
                <w:sz w:val="20"/>
                <w:szCs w:val="20"/>
              </w:rPr>
            </w:pPr>
          </w:p>
        </w:tc>
        <w:tc>
          <w:tcPr>
            <w:tcW w:w="709" w:type="dxa"/>
            <w:tcMar>
              <w:left w:w="108" w:type="dxa"/>
              <w:right w:w="108" w:type="dxa"/>
            </w:tcMar>
          </w:tcPr>
          <w:p w14:paraId="62B434B0" w14:textId="6ACB784D" w:rsidR="00B31A07" w:rsidRPr="00B31A07" w:rsidRDefault="00B31A07" w:rsidP="00B31A07">
            <w:pPr>
              <w:ind w:left="30" w:hanging="30"/>
              <w:jc w:val="center"/>
              <w:rPr>
                <w:rFonts w:ascii="Arial Narrow" w:eastAsia="Arial Narrow" w:hAnsi="Arial Narrow" w:cs="Arial Narrow"/>
                <w:color w:val="333333"/>
                <w:sz w:val="20"/>
                <w:szCs w:val="20"/>
              </w:rPr>
            </w:pPr>
          </w:p>
        </w:tc>
        <w:tc>
          <w:tcPr>
            <w:tcW w:w="7744" w:type="dxa"/>
            <w:gridSpan w:val="4"/>
            <w:tcMar>
              <w:left w:w="108" w:type="dxa"/>
              <w:right w:w="108" w:type="dxa"/>
            </w:tcMar>
          </w:tcPr>
          <w:p w14:paraId="365621D3" w14:textId="77777777" w:rsidR="00B31A07" w:rsidRPr="00B31A07" w:rsidRDefault="00B31A07" w:rsidP="00B31A07">
            <w:pPr>
              <w:jc w:val="left"/>
              <w:rPr>
                <w:rFonts w:ascii="Arial Narrow" w:eastAsia="Arial Narrow" w:hAnsi="Arial Narrow" w:cs="Arial Narrow"/>
                <w:b/>
                <w:bCs/>
                <w:color w:val="333333"/>
                <w:sz w:val="20"/>
                <w:szCs w:val="20"/>
              </w:rPr>
            </w:pPr>
            <w:r w:rsidRPr="00B31A07">
              <w:rPr>
                <w:rFonts w:ascii="Arial Narrow" w:eastAsia="Arial Narrow" w:hAnsi="Arial Narrow" w:cs="Arial Narrow"/>
                <w:b/>
                <w:bCs/>
                <w:color w:val="333333"/>
                <w:sz w:val="20"/>
                <w:szCs w:val="20"/>
              </w:rPr>
              <w:t>Administrative Advice:</w:t>
            </w:r>
          </w:p>
          <w:p w14:paraId="215C65FC" w14:textId="77777777" w:rsidR="00B31A07" w:rsidRPr="00B31A07" w:rsidRDefault="00B31A07" w:rsidP="00B31A07">
            <w:pPr>
              <w:rPr>
                <w:rFonts w:ascii="Arial Narrow" w:eastAsia="Arial Narrow" w:hAnsi="Arial Narrow" w:cs="Arial Narrow"/>
                <w:color w:val="333333"/>
                <w:sz w:val="20"/>
                <w:szCs w:val="20"/>
              </w:rPr>
            </w:pPr>
            <w:r w:rsidRPr="00B31A07">
              <w:rPr>
                <w:rFonts w:ascii="Arial Narrow" w:eastAsia="Arial Narrow" w:hAnsi="Arial Narrow" w:cs="Arial Narrow"/>
                <w:color w:val="333333"/>
                <w:sz w:val="20"/>
                <w:szCs w:val="20"/>
              </w:rPr>
              <w:t>No increase in the maximum quantity or number of units may be authorised.</w:t>
            </w:r>
          </w:p>
        </w:tc>
      </w:tr>
      <w:tr w:rsidR="00B31A07" w:rsidRPr="00B31A07" w14:paraId="00982210" w14:textId="77777777" w:rsidTr="00AE61DE">
        <w:trPr>
          <w:cantSplit/>
          <w:trHeight w:val="20"/>
        </w:trPr>
        <w:tc>
          <w:tcPr>
            <w:tcW w:w="562" w:type="dxa"/>
            <w:vMerge/>
            <w:vAlign w:val="center"/>
          </w:tcPr>
          <w:p w14:paraId="3E3D3370" w14:textId="77777777" w:rsidR="00B31A07" w:rsidRPr="00B31A07" w:rsidRDefault="00B31A07" w:rsidP="00B31A07">
            <w:pPr>
              <w:rPr>
                <w:rFonts w:ascii="Arial Narrow" w:hAnsi="Arial Narrow"/>
                <w:sz w:val="20"/>
                <w:szCs w:val="20"/>
              </w:rPr>
            </w:pPr>
          </w:p>
        </w:tc>
        <w:tc>
          <w:tcPr>
            <w:tcW w:w="709" w:type="dxa"/>
            <w:tcMar>
              <w:left w:w="108" w:type="dxa"/>
              <w:right w:w="108" w:type="dxa"/>
            </w:tcMar>
          </w:tcPr>
          <w:p w14:paraId="4CEB1D3D" w14:textId="1A6C99E8" w:rsidR="00B31A07" w:rsidRPr="00B31A07" w:rsidRDefault="00B31A07" w:rsidP="00B31A07">
            <w:pPr>
              <w:ind w:left="30" w:hanging="30"/>
              <w:jc w:val="center"/>
              <w:rPr>
                <w:rFonts w:ascii="Arial Narrow" w:eastAsia="Arial Narrow" w:hAnsi="Arial Narrow" w:cs="Arial Narrow"/>
                <w:color w:val="333333"/>
                <w:sz w:val="20"/>
                <w:szCs w:val="20"/>
              </w:rPr>
            </w:pPr>
          </w:p>
        </w:tc>
        <w:tc>
          <w:tcPr>
            <w:tcW w:w="7744" w:type="dxa"/>
            <w:gridSpan w:val="4"/>
            <w:tcMar>
              <w:left w:w="108" w:type="dxa"/>
              <w:right w:w="108" w:type="dxa"/>
            </w:tcMar>
          </w:tcPr>
          <w:p w14:paraId="72CD86EC" w14:textId="77777777" w:rsidR="00B31A07" w:rsidRPr="00B31A07" w:rsidRDefault="00B31A07" w:rsidP="00B31A07">
            <w:pPr>
              <w:jc w:val="left"/>
              <w:rPr>
                <w:rFonts w:ascii="Arial Narrow" w:eastAsia="Arial Narrow" w:hAnsi="Arial Narrow" w:cs="Arial Narrow"/>
                <w:b/>
                <w:bCs/>
                <w:color w:val="333333"/>
                <w:sz w:val="20"/>
                <w:szCs w:val="20"/>
              </w:rPr>
            </w:pPr>
            <w:r w:rsidRPr="00B31A07">
              <w:rPr>
                <w:rFonts w:ascii="Arial Narrow" w:eastAsia="Arial Narrow" w:hAnsi="Arial Narrow" w:cs="Arial Narrow"/>
                <w:b/>
                <w:bCs/>
                <w:color w:val="333333"/>
                <w:sz w:val="20"/>
                <w:szCs w:val="20"/>
              </w:rPr>
              <w:t>Administrative Advice:</w:t>
            </w:r>
          </w:p>
          <w:p w14:paraId="51BDFCCD" w14:textId="77777777" w:rsidR="00B31A07" w:rsidRPr="00B31A07" w:rsidRDefault="00B31A07" w:rsidP="00B31A07">
            <w:pPr>
              <w:rPr>
                <w:rFonts w:ascii="Arial Narrow" w:eastAsia="Arial Narrow" w:hAnsi="Arial Narrow" w:cs="Arial Narrow"/>
                <w:color w:val="333333"/>
                <w:sz w:val="20"/>
                <w:szCs w:val="20"/>
              </w:rPr>
            </w:pPr>
            <w:r w:rsidRPr="00B31A07">
              <w:rPr>
                <w:rFonts w:ascii="Arial Narrow" w:eastAsia="Arial Narrow" w:hAnsi="Arial Narrow" w:cs="Arial Narrow"/>
                <w:color w:val="333333"/>
                <w:sz w:val="20"/>
                <w:szCs w:val="20"/>
              </w:rPr>
              <w:t>No increase in the maximum number of repeats may be authorised.</w:t>
            </w:r>
          </w:p>
        </w:tc>
      </w:tr>
      <w:tr w:rsidR="00B31A07" w:rsidRPr="00B31A07" w14:paraId="16E11FAA" w14:textId="77777777" w:rsidTr="00AE61DE">
        <w:trPr>
          <w:cantSplit/>
          <w:trHeight w:val="20"/>
        </w:trPr>
        <w:tc>
          <w:tcPr>
            <w:tcW w:w="562" w:type="dxa"/>
            <w:vMerge/>
            <w:vAlign w:val="center"/>
          </w:tcPr>
          <w:p w14:paraId="675F6E44" w14:textId="77777777" w:rsidR="00B31A07" w:rsidRPr="00B31A07" w:rsidRDefault="00B31A07" w:rsidP="00B31A07">
            <w:pPr>
              <w:rPr>
                <w:rFonts w:ascii="Arial Narrow" w:hAnsi="Arial Narrow"/>
                <w:sz w:val="20"/>
                <w:szCs w:val="20"/>
              </w:rPr>
            </w:pPr>
          </w:p>
        </w:tc>
        <w:tc>
          <w:tcPr>
            <w:tcW w:w="709" w:type="dxa"/>
            <w:tcMar>
              <w:left w:w="108" w:type="dxa"/>
              <w:right w:w="108" w:type="dxa"/>
            </w:tcMar>
          </w:tcPr>
          <w:p w14:paraId="53161838" w14:textId="594FAA05" w:rsidR="00B31A07" w:rsidRPr="00B31A07" w:rsidRDefault="00B31A07" w:rsidP="00B31A07">
            <w:pPr>
              <w:ind w:left="30" w:hanging="30"/>
              <w:jc w:val="center"/>
              <w:rPr>
                <w:rFonts w:ascii="Arial Narrow" w:eastAsia="Arial Narrow" w:hAnsi="Arial Narrow" w:cs="Arial Narrow"/>
                <w:color w:val="333333"/>
                <w:sz w:val="20"/>
                <w:szCs w:val="20"/>
              </w:rPr>
            </w:pPr>
          </w:p>
        </w:tc>
        <w:tc>
          <w:tcPr>
            <w:tcW w:w="7744" w:type="dxa"/>
            <w:gridSpan w:val="4"/>
            <w:tcMar>
              <w:left w:w="108" w:type="dxa"/>
              <w:right w:w="108" w:type="dxa"/>
            </w:tcMar>
          </w:tcPr>
          <w:p w14:paraId="11AC08C5" w14:textId="77777777" w:rsidR="00B31A07" w:rsidRPr="00B31A07" w:rsidRDefault="00B31A07" w:rsidP="00B31A07">
            <w:pPr>
              <w:jc w:val="left"/>
              <w:rPr>
                <w:rFonts w:ascii="Arial Narrow" w:eastAsia="Arial Narrow" w:hAnsi="Arial Narrow" w:cs="Arial Narrow"/>
                <w:b/>
                <w:bCs/>
                <w:color w:val="333333"/>
                <w:sz w:val="20"/>
                <w:szCs w:val="20"/>
              </w:rPr>
            </w:pPr>
            <w:r w:rsidRPr="00B31A07">
              <w:rPr>
                <w:rFonts w:ascii="Arial Narrow" w:eastAsia="Arial Narrow" w:hAnsi="Arial Narrow" w:cs="Arial Narrow"/>
                <w:b/>
                <w:bCs/>
                <w:color w:val="333333"/>
                <w:sz w:val="20"/>
                <w:szCs w:val="20"/>
              </w:rPr>
              <w:t>Administrative Advice:</w:t>
            </w:r>
          </w:p>
          <w:p w14:paraId="0FD91AAD" w14:textId="77777777" w:rsidR="00B31A07" w:rsidRPr="00B31A07" w:rsidRDefault="00B31A07" w:rsidP="00B31A07">
            <w:pPr>
              <w:rPr>
                <w:rFonts w:ascii="Arial Narrow" w:eastAsia="Arial Narrow" w:hAnsi="Arial Narrow" w:cs="Arial Narrow"/>
                <w:color w:val="333333"/>
                <w:sz w:val="20"/>
                <w:szCs w:val="20"/>
              </w:rPr>
            </w:pPr>
            <w:r w:rsidRPr="00B31A07">
              <w:rPr>
                <w:rFonts w:ascii="Arial Narrow" w:eastAsia="Arial Narrow" w:hAnsi="Arial Narrow" w:cs="Arial Narrow"/>
                <w:color w:val="333333"/>
                <w:sz w:val="20"/>
                <w:szCs w:val="20"/>
              </w:rPr>
              <w:t>Special Pricing Arrangements apply.</w:t>
            </w:r>
          </w:p>
        </w:tc>
      </w:tr>
      <w:tr w:rsidR="00B31A07" w:rsidRPr="00B31A07" w14:paraId="685C3350" w14:textId="77777777" w:rsidTr="00AE61DE">
        <w:trPr>
          <w:cantSplit/>
          <w:trHeight w:val="20"/>
        </w:trPr>
        <w:tc>
          <w:tcPr>
            <w:tcW w:w="1271" w:type="dxa"/>
            <w:gridSpan w:val="2"/>
            <w:vMerge w:val="restart"/>
            <w:tcMar>
              <w:left w:w="108" w:type="dxa"/>
              <w:right w:w="108" w:type="dxa"/>
            </w:tcMar>
          </w:tcPr>
          <w:p w14:paraId="558874CE" w14:textId="77777777" w:rsidR="00B31A07" w:rsidRPr="00B31A07" w:rsidRDefault="00B31A07" w:rsidP="00B31A07">
            <w:pPr>
              <w:jc w:val="center"/>
              <w:rPr>
                <w:rFonts w:ascii="Arial Narrow" w:eastAsia="Arial Narrow" w:hAnsi="Arial Narrow" w:cs="Arial Narrow"/>
                <w:color w:val="333333"/>
                <w:sz w:val="20"/>
                <w:szCs w:val="20"/>
              </w:rPr>
            </w:pPr>
            <w:r w:rsidRPr="00B31A07">
              <w:rPr>
                <w:rFonts w:ascii="Arial Narrow" w:eastAsia="Arial Narrow" w:hAnsi="Arial Narrow" w:cs="Arial Narrow"/>
                <w:color w:val="333333"/>
                <w:sz w:val="20"/>
                <w:szCs w:val="20"/>
              </w:rPr>
              <w:t xml:space="preserve"> </w:t>
            </w:r>
          </w:p>
        </w:tc>
        <w:tc>
          <w:tcPr>
            <w:tcW w:w="7744" w:type="dxa"/>
            <w:gridSpan w:val="4"/>
            <w:tcMar>
              <w:left w:w="108" w:type="dxa"/>
              <w:right w:w="108" w:type="dxa"/>
            </w:tcMar>
          </w:tcPr>
          <w:p w14:paraId="6EF5D794" w14:textId="77777777" w:rsidR="00B31A07" w:rsidRPr="007779E7" w:rsidRDefault="00B31A07" w:rsidP="00B31A07">
            <w:pPr>
              <w:rPr>
                <w:rFonts w:ascii="Arial Narrow" w:eastAsia="Arial Narrow" w:hAnsi="Arial Narrow" w:cs="Arial Narrow"/>
                <w:color w:val="595959" w:themeColor="text1" w:themeTint="A6"/>
                <w:sz w:val="20"/>
                <w:szCs w:val="20"/>
              </w:rPr>
            </w:pPr>
            <w:r w:rsidRPr="007779E7">
              <w:rPr>
                <w:rFonts w:ascii="Arial Narrow" w:eastAsia="Arial Narrow" w:hAnsi="Arial Narrow" w:cs="Arial Narrow"/>
                <w:b/>
                <w:bCs/>
                <w:color w:val="595959" w:themeColor="text1" w:themeTint="A6"/>
                <w:sz w:val="20"/>
                <w:szCs w:val="20"/>
              </w:rPr>
              <w:t xml:space="preserve">Episodicity: </w:t>
            </w:r>
            <w:r w:rsidRPr="007779E7">
              <w:rPr>
                <w:rFonts w:ascii="Arial Narrow" w:eastAsia="Arial Narrow" w:hAnsi="Arial Narrow" w:cs="Arial Narrow"/>
                <w:color w:val="595959" w:themeColor="text1" w:themeTint="A6"/>
                <w:sz w:val="20"/>
                <w:szCs w:val="20"/>
              </w:rPr>
              <w:t xml:space="preserve">[blank] </w:t>
            </w:r>
          </w:p>
        </w:tc>
      </w:tr>
      <w:tr w:rsidR="00B31A07" w:rsidRPr="00B31A07" w14:paraId="60CAB1A0" w14:textId="77777777" w:rsidTr="00AE61DE">
        <w:trPr>
          <w:cantSplit/>
          <w:trHeight w:val="20"/>
        </w:trPr>
        <w:tc>
          <w:tcPr>
            <w:tcW w:w="1271" w:type="dxa"/>
            <w:gridSpan w:val="2"/>
            <w:vMerge/>
            <w:vAlign w:val="center"/>
          </w:tcPr>
          <w:p w14:paraId="3429694B" w14:textId="77777777" w:rsidR="00B31A07" w:rsidRPr="00B31A07" w:rsidRDefault="00B31A07" w:rsidP="00B31A07">
            <w:pPr>
              <w:rPr>
                <w:rFonts w:ascii="Arial Narrow" w:hAnsi="Arial Narrow"/>
                <w:sz w:val="20"/>
                <w:szCs w:val="20"/>
              </w:rPr>
            </w:pPr>
          </w:p>
        </w:tc>
        <w:tc>
          <w:tcPr>
            <w:tcW w:w="7744" w:type="dxa"/>
            <w:gridSpan w:val="4"/>
            <w:tcMar>
              <w:left w:w="108" w:type="dxa"/>
              <w:right w:w="108" w:type="dxa"/>
            </w:tcMar>
          </w:tcPr>
          <w:p w14:paraId="33B924EF" w14:textId="77777777" w:rsidR="00B31A07" w:rsidRPr="007779E7" w:rsidRDefault="00B31A07" w:rsidP="00B31A07">
            <w:pPr>
              <w:rPr>
                <w:rFonts w:ascii="Arial Narrow" w:eastAsia="Arial Narrow" w:hAnsi="Arial Narrow" w:cs="Arial Narrow"/>
                <w:color w:val="595959" w:themeColor="text1" w:themeTint="A6"/>
                <w:sz w:val="20"/>
                <w:szCs w:val="20"/>
              </w:rPr>
            </w:pPr>
            <w:r w:rsidRPr="007779E7">
              <w:rPr>
                <w:rFonts w:ascii="Arial Narrow" w:eastAsia="Arial Narrow" w:hAnsi="Arial Narrow" w:cs="Arial Narrow"/>
                <w:b/>
                <w:bCs/>
                <w:color w:val="595959" w:themeColor="text1" w:themeTint="A6"/>
                <w:sz w:val="20"/>
                <w:szCs w:val="20"/>
              </w:rPr>
              <w:t xml:space="preserve">Severity: </w:t>
            </w:r>
            <w:r w:rsidRPr="007779E7">
              <w:rPr>
                <w:rFonts w:ascii="Arial Narrow" w:eastAsia="Arial Narrow" w:hAnsi="Arial Narrow" w:cs="Arial Narrow"/>
                <w:color w:val="595959" w:themeColor="text1" w:themeTint="A6"/>
                <w:sz w:val="20"/>
                <w:szCs w:val="20"/>
              </w:rPr>
              <w:t xml:space="preserve">[blank] </w:t>
            </w:r>
          </w:p>
        </w:tc>
      </w:tr>
      <w:tr w:rsidR="00B31A07" w:rsidRPr="00B31A07" w14:paraId="7F5741A3" w14:textId="77777777" w:rsidTr="00AE61DE">
        <w:trPr>
          <w:cantSplit/>
          <w:trHeight w:val="20"/>
        </w:trPr>
        <w:tc>
          <w:tcPr>
            <w:tcW w:w="1271" w:type="dxa"/>
            <w:gridSpan w:val="2"/>
            <w:vMerge/>
            <w:vAlign w:val="center"/>
          </w:tcPr>
          <w:p w14:paraId="5B0D27EE" w14:textId="77777777" w:rsidR="00B31A07" w:rsidRPr="00B31A07" w:rsidRDefault="00B31A07" w:rsidP="00B31A07">
            <w:pPr>
              <w:rPr>
                <w:rFonts w:ascii="Arial Narrow" w:hAnsi="Arial Narrow"/>
                <w:sz w:val="20"/>
                <w:szCs w:val="20"/>
              </w:rPr>
            </w:pPr>
          </w:p>
        </w:tc>
        <w:tc>
          <w:tcPr>
            <w:tcW w:w="7744" w:type="dxa"/>
            <w:gridSpan w:val="4"/>
            <w:tcMar>
              <w:left w:w="108" w:type="dxa"/>
              <w:right w:w="108" w:type="dxa"/>
            </w:tcMar>
          </w:tcPr>
          <w:p w14:paraId="22C1C961" w14:textId="77777777" w:rsidR="00B31A07" w:rsidRPr="007779E7" w:rsidRDefault="00B31A07" w:rsidP="00B31A07">
            <w:pPr>
              <w:rPr>
                <w:rFonts w:ascii="Arial Narrow" w:eastAsia="Arial Narrow" w:hAnsi="Arial Narrow" w:cs="Arial Narrow"/>
                <w:color w:val="595959" w:themeColor="text1" w:themeTint="A6"/>
                <w:sz w:val="20"/>
                <w:szCs w:val="20"/>
              </w:rPr>
            </w:pPr>
            <w:r w:rsidRPr="007779E7">
              <w:rPr>
                <w:rFonts w:ascii="Arial Narrow" w:eastAsia="Arial Narrow" w:hAnsi="Arial Narrow" w:cs="Arial Narrow"/>
                <w:b/>
                <w:bCs/>
                <w:color w:val="595959" w:themeColor="text1" w:themeTint="A6"/>
                <w:sz w:val="20"/>
                <w:szCs w:val="20"/>
              </w:rPr>
              <w:t xml:space="preserve">Condition: </w:t>
            </w:r>
            <w:r w:rsidRPr="007779E7">
              <w:rPr>
                <w:rFonts w:ascii="Arial Narrow" w:eastAsia="Arial Narrow" w:hAnsi="Arial Narrow" w:cs="Arial Narrow"/>
                <w:color w:val="595959" w:themeColor="text1" w:themeTint="A6"/>
                <w:sz w:val="20"/>
                <w:szCs w:val="20"/>
              </w:rPr>
              <w:t xml:space="preserve">[blank] </w:t>
            </w:r>
          </w:p>
        </w:tc>
      </w:tr>
      <w:tr w:rsidR="00B31A07" w:rsidRPr="00B31A07" w14:paraId="38C40BD8" w14:textId="77777777" w:rsidTr="00AE61DE">
        <w:trPr>
          <w:cantSplit/>
          <w:trHeight w:val="20"/>
        </w:trPr>
        <w:tc>
          <w:tcPr>
            <w:tcW w:w="1271" w:type="dxa"/>
            <w:gridSpan w:val="2"/>
            <w:tcMar>
              <w:left w:w="108" w:type="dxa"/>
              <w:right w:w="108" w:type="dxa"/>
            </w:tcMar>
            <w:vAlign w:val="center"/>
          </w:tcPr>
          <w:p w14:paraId="517DFB48" w14:textId="5B2D1316" w:rsidR="00B31A07" w:rsidRPr="00B31A07" w:rsidRDefault="00B31A07" w:rsidP="00B31A07">
            <w:pPr>
              <w:jc w:val="center"/>
              <w:rPr>
                <w:rFonts w:ascii="Arial Narrow" w:eastAsia="Arial Narrow" w:hAnsi="Arial Narrow" w:cs="Arial Narrow"/>
                <w:color w:val="333333"/>
                <w:sz w:val="20"/>
                <w:szCs w:val="20"/>
              </w:rPr>
            </w:pPr>
          </w:p>
        </w:tc>
        <w:tc>
          <w:tcPr>
            <w:tcW w:w="7744" w:type="dxa"/>
            <w:gridSpan w:val="4"/>
            <w:tcMar>
              <w:left w:w="108" w:type="dxa"/>
              <w:right w:w="108" w:type="dxa"/>
            </w:tcMar>
          </w:tcPr>
          <w:p w14:paraId="691DD6BD" w14:textId="77777777" w:rsidR="00B31A07" w:rsidRPr="00B31A07" w:rsidRDefault="00B31A07" w:rsidP="00B31A07">
            <w:pPr>
              <w:jc w:val="left"/>
              <w:rPr>
                <w:rFonts w:ascii="Arial Narrow" w:eastAsia="Arial Narrow" w:hAnsi="Arial Narrow" w:cs="Arial Narrow"/>
                <w:color w:val="333333"/>
                <w:sz w:val="20"/>
                <w:szCs w:val="20"/>
              </w:rPr>
            </w:pPr>
            <w:r w:rsidRPr="00B31A07">
              <w:rPr>
                <w:rFonts w:ascii="Arial Narrow" w:eastAsia="Arial Narrow" w:hAnsi="Arial Narrow" w:cs="Arial Narrow"/>
                <w:b/>
                <w:bCs/>
                <w:color w:val="333333"/>
                <w:sz w:val="20"/>
                <w:szCs w:val="20"/>
              </w:rPr>
              <w:t xml:space="preserve">Indication: </w:t>
            </w:r>
            <w:r w:rsidRPr="00B31A07">
              <w:rPr>
                <w:rFonts w:ascii="Arial Narrow" w:eastAsia="Arial Narrow" w:hAnsi="Arial Narrow" w:cs="Arial Narrow"/>
                <w:color w:val="333333"/>
                <w:sz w:val="20"/>
                <w:szCs w:val="20"/>
              </w:rPr>
              <w:t>Acute lymphoblastic leukaemia</w:t>
            </w:r>
          </w:p>
        </w:tc>
      </w:tr>
      <w:tr w:rsidR="00B31A07" w:rsidRPr="00B31A07" w14:paraId="045C3A56" w14:textId="77777777" w:rsidTr="00AE61DE">
        <w:trPr>
          <w:cantSplit/>
          <w:trHeight w:val="20"/>
        </w:trPr>
        <w:tc>
          <w:tcPr>
            <w:tcW w:w="1271" w:type="dxa"/>
            <w:gridSpan w:val="2"/>
            <w:tcMar>
              <w:left w:w="108" w:type="dxa"/>
              <w:right w:w="108" w:type="dxa"/>
            </w:tcMar>
            <w:vAlign w:val="center"/>
          </w:tcPr>
          <w:p w14:paraId="5407289F" w14:textId="77777777" w:rsidR="00B31A07" w:rsidRPr="00B31A07" w:rsidRDefault="00B31A07" w:rsidP="00B31A07">
            <w:pPr>
              <w:rPr>
                <w:rFonts w:ascii="Arial Narrow" w:hAnsi="Arial Narrow"/>
                <w:sz w:val="20"/>
                <w:szCs w:val="20"/>
              </w:rPr>
            </w:pPr>
          </w:p>
        </w:tc>
        <w:tc>
          <w:tcPr>
            <w:tcW w:w="7744" w:type="dxa"/>
            <w:gridSpan w:val="4"/>
            <w:tcMar>
              <w:left w:w="108" w:type="dxa"/>
              <w:right w:w="108" w:type="dxa"/>
            </w:tcMar>
          </w:tcPr>
          <w:p w14:paraId="31AE3CB8" w14:textId="77777777" w:rsidR="00B31A07" w:rsidRPr="00B31A07" w:rsidRDefault="00B31A07" w:rsidP="00B31A07">
            <w:pPr>
              <w:rPr>
                <w:rFonts w:ascii="Arial Narrow" w:eastAsia="Arial Narrow" w:hAnsi="Arial Narrow" w:cs="Arial Narrow"/>
                <w:sz w:val="20"/>
                <w:szCs w:val="20"/>
              </w:rPr>
            </w:pPr>
            <w:r w:rsidRPr="00B31A07">
              <w:rPr>
                <w:rFonts w:ascii="Arial Narrow" w:eastAsia="Arial Narrow" w:hAnsi="Arial Narrow" w:cs="Arial Narrow"/>
                <w:b/>
                <w:bCs/>
                <w:color w:val="333333"/>
                <w:sz w:val="20"/>
                <w:szCs w:val="20"/>
              </w:rPr>
              <w:t xml:space="preserve">Treatment </w:t>
            </w:r>
            <w:r w:rsidRPr="00B31A07">
              <w:rPr>
                <w:rFonts w:ascii="Arial Narrow" w:eastAsia="Arial Narrow" w:hAnsi="Arial Narrow" w:cs="Arial Narrow"/>
                <w:b/>
                <w:bCs/>
                <w:sz w:val="20"/>
                <w:szCs w:val="20"/>
              </w:rPr>
              <w:t>Phase:</w:t>
            </w:r>
            <w:r w:rsidRPr="00B31A07">
              <w:rPr>
                <w:rFonts w:ascii="Arial Narrow" w:eastAsia="Arial Narrow" w:hAnsi="Arial Narrow" w:cs="Arial Narrow"/>
                <w:sz w:val="20"/>
                <w:szCs w:val="20"/>
              </w:rPr>
              <w:t xml:space="preserve"> Induction treatment </w:t>
            </w:r>
          </w:p>
        </w:tc>
      </w:tr>
      <w:tr w:rsidR="00B31A07" w:rsidRPr="00B31A07" w14:paraId="2D0EF37B" w14:textId="77777777" w:rsidTr="00AE61DE">
        <w:trPr>
          <w:cantSplit/>
          <w:trHeight w:val="20"/>
        </w:trPr>
        <w:tc>
          <w:tcPr>
            <w:tcW w:w="1271" w:type="dxa"/>
            <w:gridSpan w:val="2"/>
            <w:tcMar>
              <w:left w:w="108" w:type="dxa"/>
              <w:right w:w="108" w:type="dxa"/>
            </w:tcMar>
            <w:vAlign w:val="center"/>
          </w:tcPr>
          <w:p w14:paraId="6136A066" w14:textId="13CB9BCC" w:rsidR="00B31A07" w:rsidRPr="00B31A07" w:rsidRDefault="00B31A07" w:rsidP="00B31A07">
            <w:pPr>
              <w:jc w:val="center"/>
              <w:rPr>
                <w:rFonts w:ascii="Arial Narrow" w:eastAsia="Arial Narrow" w:hAnsi="Arial Narrow" w:cs="Arial Narrow"/>
                <w:color w:val="333333"/>
                <w:sz w:val="20"/>
                <w:szCs w:val="20"/>
              </w:rPr>
            </w:pPr>
          </w:p>
        </w:tc>
        <w:tc>
          <w:tcPr>
            <w:tcW w:w="7744" w:type="dxa"/>
            <w:gridSpan w:val="4"/>
            <w:tcMar>
              <w:left w:w="108" w:type="dxa"/>
              <w:right w:w="108" w:type="dxa"/>
            </w:tcMar>
          </w:tcPr>
          <w:p w14:paraId="07B45AE0" w14:textId="77777777" w:rsidR="00B31A07" w:rsidRPr="00B31A07" w:rsidRDefault="00B31A07" w:rsidP="00B31A07">
            <w:pPr>
              <w:jc w:val="left"/>
              <w:rPr>
                <w:rFonts w:ascii="Arial Narrow" w:eastAsia="Arial Narrow" w:hAnsi="Arial Narrow" w:cs="Arial Narrow"/>
                <w:b/>
                <w:bCs/>
                <w:color w:val="333333"/>
                <w:sz w:val="20"/>
                <w:szCs w:val="20"/>
              </w:rPr>
            </w:pPr>
            <w:r w:rsidRPr="00B31A07">
              <w:rPr>
                <w:rFonts w:ascii="Arial Narrow" w:eastAsia="Arial Narrow" w:hAnsi="Arial Narrow" w:cs="Arial Narrow"/>
                <w:b/>
                <w:bCs/>
                <w:color w:val="333333"/>
                <w:sz w:val="20"/>
                <w:szCs w:val="20"/>
              </w:rPr>
              <w:t>Clinical criteria:</w:t>
            </w:r>
          </w:p>
        </w:tc>
      </w:tr>
      <w:tr w:rsidR="00B31A07" w:rsidRPr="00B31A07" w14:paraId="019644BD" w14:textId="77777777" w:rsidTr="00AE61DE">
        <w:trPr>
          <w:cantSplit/>
          <w:trHeight w:val="20"/>
        </w:trPr>
        <w:tc>
          <w:tcPr>
            <w:tcW w:w="1271" w:type="dxa"/>
            <w:gridSpan w:val="2"/>
            <w:tcMar>
              <w:left w:w="108" w:type="dxa"/>
              <w:right w:w="108" w:type="dxa"/>
            </w:tcMar>
            <w:vAlign w:val="center"/>
          </w:tcPr>
          <w:p w14:paraId="319F80B0" w14:textId="7DF3968C" w:rsidR="00B31A07" w:rsidRPr="00B31A07" w:rsidRDefault="00B31A07" w:rsidP="00B31A07">
            <w:pPr>
              <w:jc w:val="center"/>
              <w:rPr>
                <w:rFonts w:ascii="Arial Narrow" w:eastAsia="Arial Narrow" w:hAnsi="Arial Narrow" w:cs="Arial Narrow"/>
                <w:color w:val="333333"/>
                <w:sz w:val="20"/>
                <w:szCs w:val="20"/>
              </w:rPr>
            </w:pPr>
          </w:p>
        </w:tc>
        <w:tc>
          <w:tcPr>
            <w:tcW w:w="7744" w:type="dxa"/>
            <w:gridSpan w:val="4"/>
            <w:tcMar>
              <w:left w:w="108" w:type="dxa"/>
              <w:right w:w="108" w:type="dxa"/>
            </w:tcMar>
          </w:tcPr>
          <w:p w14:paraId="4F18B2F5" w14:textId="77777777" w:rsidR="00B31A07" w:rsidRPr="00B31A07" w:rsidRDefault="00B31A07" w:rsidP="00B31A07">
            <w:pPr>
              <w:jc w:val="left"/>
              <w:rPr>
                <w:rFonts w:ascii="Arial Narrow" w:eastAsia="Arial Narrow" w:hAnsi="Arial Narrow" w:cs="Arial Narrow"/>
                <w:color w:val="333333"/>
                <w:sz w:val="20"/>
                <w:szCs w:val="20"/>
              </w:rPr>
            </w:pPr>
            <w:r w:rsidRPr="00B31A07">
              <w:rPr>
                <w:rFonts w:ascii="Arial Narrow" w:eastAsia="Arial Narrow" w:hAnsi="Arial Narrow" w:cs="Arial Narrow"/>
                <w:color w:val="333333"/>
                <w:sz w:val="20"/>
                <w:szCs w:val="20"/>
              </w:rPr>
              <w:t>The condition must be relapsed or refractory B-precursor cell ALL, with an Eastern Cooperative Oncology Group (ECOG) performance status of 2 or less</w:t>
            </w:r>
          </w:p>
        </w:tc>
      </w:tr>
      <w:tr w:rsidR="00B31A07" w:rsidRPr="00B31A07" w14:paraId="0F768834" w14:textId="77777777" w:rsidTr="00AE61DE">
        <w:trPr>
          <w:cantSplit/>
          <w:trHeight w:val="20"/>
        </w:trPr>
        <w:tc>
          <w:tcPr>
            <w:tcW w:w="1271" w:type="dxa"/>
            <w:gridSpan w:val="2"/>
            <w:tcMar>
              <w:left w:w="108" w:type="dxa"/>
              <w:right w:w="108" w:type="dxa"/>
            </w:tcMar>
            <w:vAlign w:val="center"/>
          </w:tcPr>
          <w:p w14:paraId="7CD7B111" w14:textId="77777777" w:rsidR="00B31A07" w:rsidRPr="00B31A07" w:rsidRDefault="00B31A07" w:rsidP="00B31A07">
            <w:pPr>
              <w:jc w:val="center"/>
              <w:rPr>
                <w:rFonts w:ascii="Arial Narrow" w:eastAsia="Arial Narrow" w:hAnsi="Arial Narrow" w:cs="Arial Narrow"/>
                <w:color w:val="333333"/>
                <w:sz w:val="20"/>
                <w:szCs w:val="20"/>
              </w:rPr>
            </w:pPr>
            <w:r w:rsidRPr="00B31A07">
              <w:rPr>
                <w:rFonts w:ascii="Arial Narrow" w:eastAsia="Arial Narrow" w:hAnsi="Arial Narrow" w:cs="Arial Narrow"/>
                <w:color w:val="333333"/>
                <w:sz w:val="20"/>
                <w:szCs w:val="20"/>
              </w:rPr>
              <w:t xml:space="preserve"> </w:t>
            </w:r>
          </w:p>
        </w:tc>
        <w:tc>
          <w:tcPr>
            <w:tcW w:w="7744" w:type="dxa"/>
            <w:gridSpan w:val="4"/>
            <w:tcMar>
              <w:left w:w="108" w:type="dxa"/>
              <w:right w:w="108" w:type="dxa"/>
            </w:tcMar>
          </w:tcPr>
          <w:p w14:paraId="79B0D208" w14:textId="77777777" w:rsidR="00B31A07" w:rsidRPr="00B31A07" w:rsidRDefault="00B31A07" w:rsidP="00B31A07">
            <w:pPr>
              <w:jc w:val="left"/>
              <w:rPr>
                <w:rFonts w:ascii="Arial Narrow" w:eastAsia="Arial Narrow" w:hAnsi="Arial Narrow" w:cs="Arial Narrow"/>
                <w:b/>
                <w:bCs/>
                <w:color w:val="333333"/>
                <w:sz w:val="20"/>
                <w:szCs w:val="20"/>
              </w:rPr>
            </w:pPr>
            <w:r w:rsidRPr="00B31A07">
              <w:rPr>
                <w:rFonts w:ascii="Arial Narrow" w:eastAsia="Arial Narrow" w:hAnsi="Arial Narrow" w:cs="Arial Narrow"/>
                <w:b/>
                <w:bCs/>
                <w:color w:val="333333"/>
                <w:sz w:val="20"/>
                <w:szCs w:val="20"/>
              </w:rPr>
              <w:t>AND</w:t>
            </w:r>
          </w:p>
        </w:tc>
      </w:tr>
      <w:tr w:rsidR="00B31A07" w:rsidRPr="00B31A07" w14:paraId="79B4550B" w14:textId="77777777" w:rsidTr="00AE61DE">
        <w:trPr>
          <w:cantSplit/>
          <w:trHeight w:val="20"/>
        </w:trPr>
        <w:tc>
          <w:tcPr>
            <w:tcW w:w="1271" w:type="dxa"/>
            <w:gridSpan w:val="2"/>
            <w:tcMar>
              <w:left w:w="108" w:type="dxa"/>
              <w:right w:w="108" w:type="dxa"/>
            </w:tcMar>
            <w:vAlign w:val="center"/>
          </w:tcPr>
          <w:p w14:paraId="5153D9C7" w14:textId="006DB4BA" w:rsidR="00B31A07" w:rsidRPr="00B31A07" w:rsidRDefault="00B31A07" w:rsidP="00B31A07">
            <w:pPr>
              <w:jc w:val="center"/>
              <w:rPr>
                <w:rFonts w:ascii="Arial Narrow" w:eastAsia="Arial Narrow" w:hAnsi="Arial Narrow" w:cs="Arial Narrow"/>
                <w:color w:val="333333"/>
                <w:sz w:val="20"/>
                <w:szCs w:val="20"/>
              </w:rPr>
            </w:pPr>
          </w:p>
        </w:tc>
        <w:tc>
          <w:tcPr>
            <w:tcW w:w="7744" w:type="dxa"/>
            <w:gridSpan w:val="4"/>
            <w:tcMar>
              <w:left w:w="108" w:type="dxa"/>
              <w:right w:w="108" w:type="dxa"/>
            </w:tcMar>
          </w:tcPr>
          <w:p w14:paraId="18D68B8D" w14:textId="77777777" w:rsidR="00B31A07" w:rsidRPr="00B31A07" w:rsidRDefault="00B31A07" w:rsidP="00B31A07">
            <w:pPr>
              <w:jc w:val="left"/>
              <w:rPr>
                <w:rFonts w:ascii="Arial Narrow" w:eastAsia="Arial Narrow" w:hAnsi="Arial Narrow" w:cs="Arial Narrow"/>
                <w:b/>
                <w:bCs/>
                <w:color w:val="333333"/>
                <w:sz w:val="20"/>
                <w:szCs w:val="20"/>
              </w:rPr>
            </w:pPr>
            <w:r w:rsidRPr="00B31A07">
              <w:rPr>
                <w:rFonts w:ascii="Arial Narrow" w:eastAsia="Arial Narrow" w:hAnsi="Arial Narrow" w:cs="Arial Narrow"/>
                <w:b/>
                <w:bCs/>
                <w:color w:val="333333"/>
                <w:sz w:val="20"/>
                <w:szCs w:val="20"/>
              </w:rPr>
              <w:t>Clinical criteria:</w:t>
            </w:r>
          </w:p>
        </w:tc>
      </w:tr>
      <w:tr w:rsidR="00B31A07" w:rsidRPr="00B31A07" w14:paraId="33FD59BF" w14:textId="77777777" w:rsidTr="00AE61DE">
        <w:trPr>
          <w:cantSplit/>
          <w:trHeight w:val="20"/>
        </w:trPr>
        <w:tc>
          <w:tcPr>
            <w:tcW w:w="1271" w:type="dxa"/>
            <w:gridSpan w:val="2"/>
            <w:tcMar>
              <w:left w:w="108" w:type="dxa"/>
              <w:right w:w="108" w:type="dxa"/>
            </w:tcMar>
            <w:vAlign w:val="center"/>
          </w:tcPr>
          <w:p w14:paraId="162F8960" w14:textId="4FE8E678" w:rsidR="00B31A07" w:rsidRPr="00B31A07" w:rsidRDefault="00B31A07" w:rsidP="00B31A07">
            <w:pPr>
              <w:jc w:val="center"/>
              <w:rPr>
                <w:rFonts w:ascii="Arial Narrow" w:eastAsia="Arial Narrow" w:hAnsi="Arial Narrow" w:cs="Arial Narrow"/>
                <w:color w:val="333333"/>
                <w:sz w:val="20"/>
                <w:szCs w:val="20"/>
              </w:rPr>
            </w:pPr>
          </w:p>
        </w:tc>
        <w:tc>
          <w:tcPr>
            <w:tcW w:w="7744" w:type="dxa"/>
            <w:gridSpan w:val="4"/>
            <w:tcMar>
              <w:left w:w="108" w:type="dxa"/>
              <w:right w:w="108" w:type="dxa"/>
            </w:tcMar>
          </w:tcPr>
          <w:p w14:paraId="38B5DD73" w14:textId="77777777" w:rsidR="00B31A07" w:rsidRPr="00B31A07" w:rsidRDefault="00B31A07" w:rsidP="00B31A07">
            <w:pPr>
              <w:jc w:val="left"/>
              <w:rPr>
                <w:rFonts w:ascii="Arial Narrow" w:eastAsia="Arial Narrow" w:hAnsi="Arial Narrow" w:cs="Arial Narrow"/>
                <w:color w:val="333333"/>
                <w:sz w:val="20"/>
                <w:szCs w:val="20"/>
              </w:rPr>
            </w:pPr>
            <w:r w:rsidRPr="00B31A07">
              <w:rPr>
                <w:rFonts w:ascii="Arial Narrow" w:eastAsia="Arial Narrow" w:hAnsi="Arial Narrow" w:cs="Arial Narrow"/>
                <w:color w:val="333333"/>
                <w:sz w:val="20"/>
                <w:szCs w:val="20"/>
              </w:rPr>
              <w:t>The condition must not be present in the central nervous system or testis</w:t>
            </w:r>
          </w:p>
        </w:tc>
      </w:tr>
      <w:tr w:rsidR="00B31A07" w:rsidRPr="00B31A07" w14:paraId="59E52781" w14:textId="77777777" w:rsidTr="00AE61DE">
        <w:trPr>
          <w:cantSplit/>
          <w:trHeight w:val="20"/>
        </w:trPr>
        <w:tc>
          <w:tcPr>
            <w:tcW w:w="1271" w:type="dxa"/>
            <w:gridSpan w:val="2"/>
            <w:tcMar>
              <w:left w:w="108" w:type="dxa"/>
              <w:right w:w="108" w:type="dxa"/>
            </w:tcMar>
            <w:vAlign w:val="center"/>
          </w:tcPr>
          <w:p w14:paraId="1968CD7B" w14:textId="02736A96" w:rsidR="00B31A07" w:rsidRPr="00B31A07" w:rsidRDefault="00B31A07" w:rsidP="00B31A07">
            <w:pPr>
              <w:jc w:val="center"/>
              <w:rPr>
                <w:rFonts w:ascii="Arial Narrow" w:eastAsia="Arial Narrow" w:hAnsi="Arial Narrow" w:cs="Arial Narrow"/>
                <w:color w:val="333333"/>
                <w:sz w:val="20"/>
                <w:szCs w:val="20"/>
              </w:rPr>
            </w:pPr>
          </w:p>
        </w:tc>
        <w:tc>
          <w:tcPr>
            <w:tcW w:w="7744" w:type="dxa"/>
            <w:gridSpan w:val="4"/>
            <w:tcMar>
              <w:left w:w="108" w:type="dxa"/>
              <w:right w:w="108" w:type="dxa"/>
            </w:tcMar>
          </w:tcPr>
          <w:p w14:paraId="649F9A09" w14:textId="77777777" w:rsidR="00B31A07" w:rsidRPr="00B31A07" w:rsidRDefault="00B31A07" w:rsidP="00B31A07">
            <w:pPr>
              <w:jc w:val="left"/>
              <w:rPr>
                <w:rFonts w:ascii="Arial Narrow" w:eastAsia="Arial Narrow" w:hAnsi="Arial Narrow" w:cs="Arial Narrow"/>
                <w:b/>
                <w:bCs/>
                <w:color w:val="333333"/>
                <w:sz w:val="20"/>
                <w:szCs w:val="20"/>
              </w:rPr>
            </w:pPr>
            <w:r w:rsidRPr="00B31A07">
              <w:rPr>
                <w:rFonts w:ascii="Arial Narrow" w:eastAsia="Arial Narrow" w:hAnsi="Arial Narrow" w:cs="Arial Narrow"/>
                <w:b/>
                <w:bCs/>
                <w:color w:val="333333"/>
                <w:sz w:val="20"/>
                <w:szCs w:val="20"/>
              </w:rPr>
              <w:t>AND</w:t>
            </w:r>
          </w:p>
        </w:tc>
      </w:tr>
      <w:tr w:rsidR="00B31A07" w:rsidRPr="00B31A07" w14:paraId="6C42DBA2" w14:textId="77777777" w:rsidTr="00AE61DE">
        <w:trPr>
          <w:cantSplit/>
          <w:trHeight w:val="20"/>
        </w:trPr>
        <w:tc>
          <w:tcPr>
            <w:tcW w:w="1271" w:type="dxa"/>
            <w:gridSpan w:val="2"/>
            <w:tcMar>
              <w:left w:w="108" w:type="dxa"/>
              <w:right w:w="108" w:type="dxa"/>
            </w:tcMar>
            <w:vAlign w:val="center"/>
          </w:tcPr>
          <w:p w14:paraId="472970B5" w14:textId="5980C095" w:rsidR="00B31A07" w:rsidRPr="00B31A07" w:rsidRDefault="00B31A07" w:rsidP="00B31A07">
            <w:pPr>
              <w:jc w:val="center"/>
              <w:rPr>
                <w:rFonts w:ascii="Arial Narrow" w:eastAsia="Arial Narrow" w:hAnsi="Arial Narrow" w:cs="Arial Narrow"/>
                <w:color w:val="333333"/>
                <w:sz w:val="20"/>
                <w:szCs w:val="20"/>
              </w:rPr>
            </w:pPr>
          </w:p>
        </w:tc>
        <w:tc>
          <w:tcPr>
            <w:tcW w:w="7744" w:type="dxa"/>
            <w:gridSpan w:val="4"/>
            <w:tcMar>
              <w:left w:w="108" w:type="dxa"/>
              <w:right w:w="108" w:type="dxa"/>
            </w:tcMar>
          </w:tcPr>
          <w:p w14:paraId="1BD5985D" w14:textId="77777777" w:rsidR="00B31A07" w:rsidRPr="00B31A07" w:rsidRDefault="00B31A07" w:rsidP="00B31A07">
            <w:pPr>
              <w:jc w:val="left"/>
              <w:rPr>
                <w:rFonts w:ascii="Arial Narrow" w:eastAsia="Arial Narrow" w:hAnsi="Arial Narrow" w:cs="Arial Narrow"/>
                <w:b/>
                <w:bCs/>
                <w:color w:val="333333"/>
                <w:sz w:val="20"/>
                <w:szCs w:val="20"/>
              </w:rPr>
            </w:pPr>
            <w:r w:rsidRPr="00B31A07">
              <w:rPr>
                <w:rFonts w:ascii="Arial Narrow" w:eastAsia="Arial Narrow" w:hAnsi="Arial Narrow" w:cs="Arial Narrow"/>
                <w:b/>
                <w:bCs/>
                <w:color w:val="333333"/>
                <w:sz w:val="20"/>
                <w:szCs w:val="20"/>
              </w:rPr>
              <w:t>Clinical criteria:</w:t>
            </w:r>
          </w:p>
        </w:tc>
      </w:tr>
      <w:tr w:rsidR="00B31A07" w:rsidRPr="00B31A07" w14:paraId="1B814CCC" w14:textId="77777777" w:rsidTr="00AE61DE">
        <w:trPr>
          <w:cantSplit/>
          <w:trHeight w:val="20"/>
        </w:trPr>
        <w:tc>
          <w:tcPr>
            <w:tcW w:w="1271" w:type="dxa"/>
            <w:gridSpan w:val="2"/>
            <w:tcMar>
              <w:left w:w="108" w:type="dxa"/>
              <w:right w:w="108" w:type="dxa"/>
            </w:tcMar>
            <w:vAlign w:val="center"/>
          </w:tcPr>
          <w:p w14:paraId="5BF0CA5D" w14:textId="7BD4D040" w:rsidR="00B31A07" w:rsidRPr="00B31A07" w:rsidRDefault="00B31A07" w:rsidP="00B31A07">
            <w:pPr>
              <w:jc w:val="center"/>
              <w:rPr>
                <w:rFonts w:ascii="Arial Narrow" w:eastAsia="Arial Narrow" w:hAnsi="Arial Narrow" w:cs="Arial Narrow"/>
                <w:color w:val="333333"/>
                <w:sz w:val="20"/>
                <w:szCs w:val="20"/>
              </w:rPr>
            </w:pPr>
          </w:p>
        </w:tc>
        <w:tc>
          <w:tcPr>
            <w:tcW w:w="7744" w:type="dxa"/>
            <w:gridSpan w:val="4"/>
            <w:tcMar>
              <w:left w:w="108" w:type="dxa"/>
              <w:right w:w="108" w:type="dxa"/>
            </w:tcMar>
          </w:tcPr>
          <w:p w14:paraId="3F903D02" w14:textId="77777777" w:rsidR="00B31A07" w:rsidRPr="00B31A07" w:rsidRDefault="00B31A07" w:rsidP="00B31A07">
            <w:pPr>
              <w:jc w:val="left"/>
              <w:rPr>
                <w:rFonts w:ascii="Arial Narrow" w:eastAsia="Arial Narrow" w:hAnsi="Arial Narrow" w:cs="Arial Narrow"/>
                <w:color w:val="333333"/>
                <w:sz w:val="20"/>
                <w:szCs w:val="20"/>
              </w:rPr>
            </w:pPr>
            <w:r w:rsidRPr="00B31A07">
              <w:rPr>
                <w:rFonts w:ascii="Arial Narrow" w:eastAsia="Arial Narrow" w:hAnsi="Arial Narrow" w:cs="Arial Narrow"/>
                <w:color w:val="333333"/>
                <w:sz w:val="20"/>
                <w:szCs w:val="20"/>
              </w:rPr>
              <w:t>Patient must have previously received a tyrosine kinase inhibitor (TKI) if the condition is Philadelphia chromosome positive</w:t>
            </w:r>
          </w:p>
        </w:tc>
      </w:tr>
      <w:tr w:rsidR="00B31A07" w:rsidRPr="00B31A07" w14:paraId="4C5879EE" w14:textId="77777777" w:rsidTr="00AE61DE">
        <w:trPr>
          <w:cantSplit/>
          <w:trHeight w:val="20"/>
        </w:trPr>
        <w:tc>
          <w:tcPr>
            <w:tcW w:w="1271" w:type="dxa"/>
            <w:gridSpan w:val="2"/>
            <w:tcMar>
              <w:left w:w="108" w:type="dxa"/>
              <w:right w:w="108" w:type="dxa"/>
            </w:tcMar>
            <w:vAlign w:val="center"/>
          </w:tcPr>
          <w:p w14:paraId="4A6BE422" w14:textId="5E5BE305" w:rsidR="00B31A07" w:rsidRPr="00B31A07" w:rsidRDefault="00B31A07" w:rsidP="00B31A07">
            <w:pPr>
              <w:jc w:val="center"/>
              <w:rPr>
                <w:rFonts w:ascii="Arial Narrow" w:eastAsia="Arial Narrow" w:hAnsi="Arial Narrow" w:cs="Arial Narrow"/>
                <w:color w:val="333333"/>
                <w:sz w:val="20"/>
                <w:szCs w:val="20"/>
              </w:rPr>
            </w:pPr>
          </w:p>
        </w:tc>
        <w:tc>
          <w:tcPr>
            <w:tcW w:w="7744" w:type="dxa"/>
            <w:gridSpan w:val="4"/>
            <w:tcMar>
              <w:left w:w="108" w:type="dxa"/>
              <w:right w:w="108" w:type="dxa"/>
            </w:tcMar>
          </w:tcPr>
          <w:p w14:paraId="281BC4C5" w14:textId="77777777" w:rsidR="00B31A07" w:rsidRPr="00B31A07" w:rsidRDefault="00B31A07" w:rsidP="00B31A07">
            <w:pPr>
              <w:jc w:val="left"/>
              <w:rPr>
                <w:rFonts w:ascii="Arial Narrow" w:eastAsia="Arial Narrow" w:hAnsi="Arial Narrow" w:cs="Arial Narrow"/>
                <w:b/>
                <w:bCs/>
                <w:color w:val="333333"/>
                <w:sz w:val="20"/>
                <w:szCs w:val="20"/>
              </w:rPr>
            </w:pPr>
            <w:r w:rsidRPr="00B31A07">
              <w:rPr>
                <w:rFonts w:ascii="Arial Narrow" w:eastAsia="Arial Narrow" w:hAnsi="Arial Narrow" w:cs="Arial Narrow"/>
                <w:b/>
                <w:bCs/>
                <w:color w:val="333333"/>
                <w:sz w:val="20"/>
                <w:szCs w:val="20"/>
              </w:rPr>
              <w:t>AND</w:t>
            </w:r>
          </w:p>
        </w:tc>
      </w:tr>
      <w:tr w:rsidR="00B31A07" w:rsidRPr="00B31A07" w14:paraId="046ED7C5" w14:textId="77777777" w:rsidTr="00AE61DE">
        <w:trPr>
          <w:cantSplit/>
          <w:trHeight w:val="20"/>
        </w:trPr>
        <w:tc>
          <w:tcPr>
            <w:tcW w:w="1271" w:type="dxa"/>
            <w:gridSpan w:val="2"/>
            <w:tcMar>
              <w:left w:w="108" w:type="dxa"/>
              <w:right w:w="108" w:type="dxa"/>
            </w:tcMar>
            <w:vAlign w:val="center"/>
          </w:tcPr>
          <w:p w14:paraId="794A7A6C" w14:textId="73819C81" w:rsidR="00B31A07" w:rsidRPr="00B31A07" w:rsidRDefault="00B31A07" w:rsidP="00B31A07">
            <w:pPr>
              <w:jc w:val="center"/>
              <w:rPr>
                <w:rFonts w:ascii="Arial Narrow" w:eastAsia="Arial Narrow" w:hAnsi="Arial Narrow" w:cs="Arial Narrow"/>
                <w:color w:val="333333"/>
                <w:sz w:val="20"/>
                <w:szCs w:val="20"/>
              </w:rPr>
            </w:pPr>
          </w:p>
        </w:tc>
        <w:tc>
          <w:tcPr>
            <w:tcW w:w="7744" w:type="dxa"/>
            <w:gridSpan w:val="4"/>
            <w:tcMar>
              <w:left w:w="108" w:type="dxa"/>
              <w:right w:w="108" w:type="dxa"/>
            </w:tcMar>
          </w:tcPr>
          <w:p w14:paraId="39476EB5" w14:textId="77777777" w:rsidR="00B31A07" w:rsidRPr="00B31A07" w:rsidRDefault="00B31A07" w:rsidP="00B31A07">
            <w:pPr>
              <w:jc w:val="left"/>
              <w:rPr>
                <w:rFonts w:ascii="Arial Narrow" w:eastAsia="Arial Narrow" w:hAnsi="Arial Narrow" w:cs="Arial Narrow"/>
                <w:b/>
                <w:bCs/>
                <w:color w:val="333333"/>
                <w:sz w:val="20"/>
                <w:szCs w:val="20"/>
              </w:rPr>
            </w:pPr>
            <w:r w:rsidRPr="00B31A07">
              <w:rPr>
                <w:rFonts w:ascii="Arial Narrow" w:eastAsia="Arial Narrow" w:hAnsi="Arial Narrow" w:cs="Arial Narrow"/>
                <w:b/>
                <w:bCs/>
                <w:color w:val="333333"/>
                <w:sz w:val="20"/>
                <w:szCs w:val="20"/>
              </w:rPr>
              <w:t>Clinical criteria:</w:t>
            </w:r>
          </w:p>
        </w:tc>
      </w:tr>
      <w:tr w:rsidR="00B31A07" w:rsidRPr="00B31A07" w14:paraId="19030918" w14:textId="77777777" w:rsidTr="00AE61DE">
        <w:trPr>
          <w:cantSplit/>
          <w:trHeight w:val="20"/>
        </w:trPr>
        <w:tc>
          <w:tcPr>
            <w:tcW w:w="1271" w:type="dxa"/>
            <w:gridSpan w:val="2"/>
            <w:tcMar>
              <w:left w:w="108" w:type="dxa"/>
              <w:right w:w="108" w:type="dxa"/>
            </w:tcMar>
            <w:vAlign w:val="center"/>
          </w:tcPr>
          <w:p w14:paraId="2B585505" w14:textId="15586262" w:rsidR="00B31A07" w:rsidRPr="00B31A07" w:rsidRDefault="00B31A07" w:rsidP="00B31A07">
            <w:pPr>
              <w:jc w:val="center"/>
              <w:rPr>
                <w:rFonts w:ascii="Arial Narrow" w:eastAsia="Arial Narrow" w:hAnsi="Arial Narrow" w:cs="Arial Narrow"/>
                <w:color w:val="333333"/>
                <w:sz w:val="20"/>
                <w:szCs w:val="20"/>
              </w:rPr>
            </w:pPr>
          </w:p>
        </w:tc>
        <w:tc>
          <w:tcPr>
            <w:tcW w:w="7744" w:type="dxa"/>
            <w:gridSpan w:val="4"/>
            <w:tcMar>
              <w:left w:w="108" w:type="dxa"/>
              <w:right w:w="108" w:type="dxa"/>
            </w:tcMar>
          </w:tcPr>
          <w:p w14:paraId="76C259FC" w14:textId="77777777" w:rsidR="00B31A07" w:rsidRPr="00B31A07" w:rsidRDefault="00B31A07" w:rsidP="00B31A07">
            <w:pPr>
              <w:jc w:val="left"/>
              <w:rPr>
                <w:rFonts w:ascii="Arial Narrow" w:eastAsia="Arial Narrow" w:hAnsi="Arial Narrow" w:cs="Arial Narrow"/>
                <w:color w:val="333333"/>
                <w:sz w:val="20"/>
                <w:szCs w:val="20"/>
              </w:rPr>
            </w:pPr>
            <w:r w:rsidRPr="00B31A07">
              <w:rPr>
                <w:rFonts w:ascii="Arial Narrow" w:eastAsia="Arial Narrow" w:hAnsi="Arial Narrow" w:cs="Arial Narrow"/>
                <w:color w:val="333333"/>
                <w:sz w:val="20"/>
                <w:szCs w:val="20"/>
              </w:rPr>
              <w:t>Patient must have received intensive combination chemotherapy for initial treatment of ALL or for subsequent salvage therapy</w:t>
            </w:r>
          </w:p>
        </w:tc>
      </w:tr>
      <w:tr w:rsidR="00B31A07" w:rsidRPr="00B31A07" w14:paraId="501210C1" w14:textId="77777777" w:rsidTr="00AE61DE">
        <w:trPr>
          <w:cantSplit/>
          <w:trHeight w:val="20"/>
        </w:trPr>
        <w:tc>
          <w:tcPr>
            <w:tcW w:w="1271" w:type="dxa"/>
            <w:gridSpan w:val="2"/>
            <w:tcMar>
              <w:left w:w="108" w:type="dxa"/>
              <w:right w:w="108" w:type="dxa"/>
            </w:tcMar>
            <w:vAlign w:val="center"/>
          </w:tcPr>
          <w:p w14:paraId="24808A9A" w14:textId="22D4F57E" w:rsidR="00B31A07" w:rsidRPr="00B31A07" w:rsidRDefault="00B31A07" w:rsidP="00B31A07">
            <w:pPr>
              <w:jc w:val="center"/>
              <w:rPr>
                <w:rFonts w:ascii="Arial Narrow" w:eastAsia="Arial Narrow" w:hAnsi="Arial Narrow" w:cs="Arial Narrow"/>
                <w:color w:val="333333"/>
                <w:sz w:val="20"/>
                <w:szCs w:val="20"/>
              </w:rPr>
            </w:pPr>
          </w:p>
        </w:tc>
        <w:tc>
          <w:tcPr>
            <w:tcW w:w="7744" w:type="dxa"/>
            <w:gridSpan w:val="4"/>
            <w:tcMar>
              <w:left w:w="108" w:type="dxa"/>
              <w:right w:w="108" w:type="dxa"/>
            </w:tcMar>
          </w:tcPr>
          <w:p w14:paraId="72520837" w14:textId="77777777" w:rsidR="00B31A07" w:rsidRPr="00B31A07" w:rsidRDefault="00B31A07" w:rsidP="00B31A07">
            <w:pPr>
              <w:jc w:val="left"/>
              <w:rPr>
                <w:rFonts w:ascii="Arial Narrow" w:eastAsia="Arial Narrow" w:hAnsi="Arial Narrow" w:cs="Arial Narrow"/>
                <w:b/>
                <w:bCs/>
                <w:color w:val="333333"/>
                <w:sz w:val="20"/>
                <w:szCs w:val="20"/>
              </w:rPr>
            </w:pPr>
            <w:r w:rsidRPr="00B31A07">
              <w:rPr>
                <w:rFonts w:ascii="Arial Narrow" w:eastAsia="Arial Narrow" w:hAnsi="Arial Narrow" w:cs="Arial Narrow"/>
                <w:b/>
                <w:bCs/>
                <w:color w:val="333333"/>
                <w:sz w:val="20"/>
                <w:szCs w:val="20"/>
              </w:rPr>
              <w:t>AND</w:t>
            </w:r>
          </w:p>
        </w:tc>
      </w:tr>
      <w:tr w:rsidR="00B31A07" w:rsidRPr="00B31A07" w14:paraId="001E826C" w14:textId="77777777" w:rsidTr="00AE61DE">
        <w:trPr>
          <w:cantSplit/>
          <w:trHeight w:val="20"/>
        </w:trPr>
        <w:tc>
          <w:tcPr>
            <w:tcW w:w="1271" w:type="dxa"/>
            <w:gridSpan w:val="2"/>
            <w:tcMar>
              <w:left w:w="108" w:type="dxa"/>
              <w:right w:w="108" w:type="dxa"/>
            </w:tcMar>
            <w:vAlign w:val="center"/>
          </w:tcPr>
          <w:p w14:paraId="60198FCE" w14:textId="2BD9EBC9" w:rsidR="00B31A07" w:rsidRPr="00B31A07" w:rsidRDefault="00B31A07" w:rsidP="00B31A07">
            <w:pPr>
              <w:jc w:val="center"/>
              <w:rPr>
                <w:rFonts w:ascii="Arial Narrow" w:eastAsia="Arial Narrow" w:hAnsi="Arial Narrow" w:cs="Arial Narrow"/>
                <w:color w:val="333333"/>
                <w:sz w:val="20"/>
                <w:szCs w:val="20"/>
              </w:rPr>
            </w:pPr>
          </w:p>
        </w:tc>
        <w:tc>
          <w:tcPr>
            <w:tcW w:w="7744" w:type="dxa"/>
            <w:gridSpan w:val="4"/>
            <w:tcMar>
              <w:left w:w="108" w:type="dxa"/>
              <w:right w:w="108" w:type="dxa"/>
            </w:tcMar>
          </w:tcPr>
          <w:p w14:paraId="4FAECDEB" w14:textId="77777777" w:rsidR="00B31A07" w:rsidRPr="00B31A07" w:rsidRDefault="00B31A07" w:rsidP="00B31A07">
            <w:pPr>
              <w:jc w:val="left"/>
              <w:rPr>
                <w:rFonts w:ascii="Arial Narrow" w:eastAsia="Arial Narrow" w:hAnsi="Arial Narrow" w:cs="Arial Narrow"/>
                <w:b/>
                <w:bCs/>
                <w:color w:val="333333"/>
                <w:sz w:val="20"/>
                <w:szCs w:val="20"/>
              </w:rPr>
            </w:pPr>
            <w:r w:rsidRPr="00B31A07">
              <w:rPr>
                <w:rFonts w:ascii="Arial Narrow" w:eastAsia="Arial Narrow" w:hAnsi="Arial Narrow" w:cs="Arial Narrow"/>
                <w:b/>
                <w:bCs/>
                <w:color w:val="333333"/>
                <w:sz w:val="20"/>
                <w:szCs w:val="20"/>
              </w:rPr>
              <w:t>Clinical criteria:</w:t>
            </w:r>
          </w:p>
        </w:tc>
      </w:tr>
      <w:tr w:rsidR="00B31A07" w:rsidRPr="00B31A07" w14:paraId="4E4197F4" w14:textId="77777777" w:rsidTr="00AE61DE">
        <w:trPr>
          <w:cantSplit/>
          <w:trHeight w:val="20"/>
        </w:trPr>
        <w:tc>
          <w:tcPr>
            <w:tcW w:w="1271" w:type="dxa"/>
            <w:gridSpan w:val="2"/>
            <w:tcMar>
              <w:left w:w="108" w:type="dxa"/>
              <w:right w:w="108" w:type="dxa"/>
            </w:tcMar>
            <w:vAlign w:val="center"/>
          </w:tcPr>
          <w:p w14:paraId="2D7E18BE" w14:textId="0B6C417C" w:rsidR="00B31A07" w:rsidRPr="00B31A07" w:rsidRDefault="00B31A07" w:rsidP="00B31A07">
            <w:pPr>
              <w:jc w:val="center"/>
              <w:rPr>
                <w:rFonts w:ascii="Arial Narrow" w:eastAsia="Arial Narrow" w:hAnsi="Arial Narrow" w:cs="Arial Narrow"/>
                <w:color w:val="333333"/>
                <w:sz w:val="20"/>
                <w:szCs w:val="20"/>
              </w:rPr>
            </w:pPr>
          </w:p>
        </w:tc>
        <w:tc>
          <w:tcPr>
            <w:tcW w:w="7744" w:type="dxa"/>
            <w:gridSpan w:val="4"/>
            <w:tcMar>
              <w:left w:w="108" w:type="dxa"/>
              <w:right w:w="108" w:type="dxa"/>
            </w:tcMar>
          </w:tcPr>
          <w:p w14:paraId="5987EAA5" w14:textId="77777777" w:rsidR="00B31A07" w:rsidRPr="00B31A07" w:rsidRDefault="00B31A07" w:rsidP="00B31A07">
            <w:pPr>
              <w:jc w:val="left"/>
              <w:rPr>
                <w:rFonts w:ascii="Arial Narrow" w:eastAsia="Arial Narrow" w:hAnsi="Arial Narrow" w:cs="Arial Narrow"/>
                <w:color w:val="333333"/>
                <w:sz w:val="20"/>
                <w:szCs w:val="20"/>
              </w:rPr>
            </w:pPr>
            <w:r w:rsidRPr="00B31A07">
              <w:rPr>
                <w:rFonts w:ascii="Arial Narrow" w:eastAsia="Arial Narrow" w:hAnsi="Arial Narrow" w:cs="Arial Narrow"/>
                <w:color w:val="333333"/>
                <w:sz w:val="20"/>
                <w:szCs w:val="20"/>
              </w:rPr>
              <w:t>Patient must not have received more than 1 line of salvage therapy</w:t>
            </w:r>
          </w:p>
        </w:tc>
      </w:tr>
      <w:tr w:rsidR="00B31A07" w:rsidRPr="00B31A07" w14:paraId="4DF67E63" w14:textId="77777777" w:rsidTr="00AE61DE">
        <w:trPr>
          <w:cantSplit/>
          <w:trHeight w:val="20"/>
        </w:trPr>
        <w:tc>
          <w:tcPr>
            <w:tcW w:w="1271" w:type="dxa"/>
            <w:gridSpan w:val="2"/>
            <w:tcMar>
              <w:left w:w="108" w:type="dxa"/>
              <w:right w:w="108" w:type="dxa"/>
            </w:tcMar>
            <w:vAlign w:val="center"/>
          </w:tcPr>
          <w:p w14:paraId="456F4794" w14:textId="77777777" w:rsidR="00B31A07" w:rsidRPr="00B31A07" w:rsidRDefault="00B31A07" w:rsidP="00B31A07">
            <w:pPr>
              <w:rPr>
                <w:rFonts w:ascii="Arial Narrow" w:hAnsi="Arial Narrow"/>
                <w:sz w:val="20"/>
                <w:szCs w:val="20"/>
              </w:rPr>
            </w:pPr>
          </w:p>
        </w:tc>
        <w:tc>
          <w:tcPr>
            <w:tcW w:w="7744" w:type="dxa"/>
            <w:gridSpan w:val="4"/>
            <w:tcMar>
              <w:left w:w="108" w:type="dxa"/>
              <w:right w:w="108" w:type="dxa"/>
            </w:tcMar>
          </w:tcPr>
          <w:p w14:paraId="5919CDBC" w14:textId="77777777" w:rsidR="00B31A07" w:rsidRPr="00B31A07" w:rsidRDefault="00B31A07" w:rsidP="00B31A07">
            <w:pPr>
              <w:jc w:val="left"/>
              <w:rPr>
                <w:rFonts w:ascii="Arial Narrow" w:eastAsia="Arial Narrow" w:hAnsi="Arial Narrow" w:cs="Arial Narrow"/>
                <w:b/>
                <w:bCs/>
                <w:color w:val="333333"/>
                <w:sz w:val="20"/>
                <w:szCs w:val="20"/>
              </w:rPr>
            </w:pPr>
            <w:r w:rsidRPr="00B31A07">
              <w:rPr>
                <w:rFonts w:ascii="Arial Narrow" w:eastAsia="Arial Narrow" w:hAnsi="Arial Narrow" w:cs="Arial Narrow"/>
                <w:b/>
                <w:bCs/>
                <w:color w:val="333333"/>
                <w:sz w:val="20"/>
                <w:szCs w:val="20"/>
              </w:rPr>
              <w:t>AND</w:t>
            </w:r>
          </w:p>
        </w:tc>
      </w:tr>
      <w:tr w:rsidR="00B31A07" w:rsidRPr="00B31A07" w14:paraId="3C2EED42" w14:textId="77777777" w:rsidTr="00AE61DE">
        <w:trPr>
          <w:cantSplit/>
          <w:trHeight w:val="20"/>
        </w:trPr>
        <w:tc>
          <w:tcPr>
            <w:tcW w:w="1271" w:type="dxa"/>
            <w:gridSpan w:val="2"/>
            <w:tcMar>
              <w:left w:w="108" w:type="dxa"/>
              <w:right w:w="108" w:type="dxa"/>
            </w:tcMar>
          </w:tcPr>
          <w:p w14:paraId="045B74AF" w14:textId="11818628" w:rsidR="00B31A07" w:rsidRPr="00B31A07" w:rsidRDefault="00B31A07" w:rsidP="00B31A07">
            <w:pPr>
              <w:jc w:val="center"/>
              <w:rPr>
                <w:rFonts w:ascii="Arial Narrow" w:eastAsia="Arial Narrow" w:hAnsi="Arial Narrow" w:cs="Arial Narrow"/>
                <w:color w:val="333333"/>
                <w:sz w:val="20"/>
                <w:szCs w:val="20"/>
              </w:rPr>
            </w:pPr>
          </w:p>
        </w:tc>
        <w:tc>
          <w:tcPr>
            <w:tcW w:w="7744" w:type="dxa"/>
            <w:gridSpan w:val="4"/>
            <w:tcMar>
              <w:left w:w="108" w:type="dxa"/>
              <w:right w:w="108" w:type="dxa"/>
            </w:tcMar>
          </w:tcPr>
          <w:p w14:paraId="43981373" w14:textId="77777777" w:rsidR="00B31A07" w:rsidRPr="00B31A07" w:rsidRDefault="00B31A07" w:rsidP="00B31A07">
            <w:pPr>
              <w:jc w:val="left"/>
              <w:rPr>
                <w:rFonts w:ascii="Arial Narrow" w:eastAsia="Arial Narrow" w:hAnsi="Arial Narrow" w:cs="Arial Narrow"/>
                <w:b/>
                <w:bCs/>
                <w:color w:val="333333"/>
                <w:sz w:val="20"/>
                <w:szCs w:val="20"/>
              </w:rPr>
            </w:pPr>
            <w:r w:rsidRPr="00B31A07">
              <w:rPr>
                <w:rFonts w:ascii="Arial Narrow" w:eastAsia="Arial Narrow" w:hAnsi="Arial Narrow" w:cs="Arial Narrow"/>
                <w:b/>
                <w:bCs/>
                <w:color w:val="333333"/>
                <w:sz w:val="20"/>
                <w:szCs w:val="20"/>
              </w:rPr>
              <w:t>Clinical criteria:</w:t>
            </w:r>
          </w:p>
        </w:tc>
      </w:tr>
      <w:tr w:rsidR="00B31A07" w:rsidRPr="00B31A07" w14:paraId="3291611F" w14:textId="77777777" w:rsidTr="00AE61DE">
        <w:trPr>
          <w:cantSplit/>
          <w:trHeight w:val="20"/>
        </w:trPr>
        <w:tc>
          <w:tcPr>
            <w:tcW w:w="1271" w:type="dxa"/>
            <w:gridSpan w:val="2"/>
            <w:tcMar>
              <w:left w:w="108" w:type="dxa"/>
              <w:right w:w="108" w:type="dxa"/>
            </w:tcMar>
          </w:tcPr>
          <w:p w14:paraId="6F50C594" w14:textId="0C7A8755" w:rsidR="00B31A07" w:rsidRPr="00B31A07" w:rsidRDefault="00B31A07" w:rsidP="00B31A07">
            <w:pPr>
              <w:jc w:val="center"/>
              <w:rPr>
                <w:rFonts w:ascii="Arial Narrow" w:eastAsia="Arial Narrow" w:hAnsi="Arial Narrow" w:cs="Arial Narrow"/>
                <w:color w:val="333333"/>
                <w:sz w:val="20"/>
                <w:szCs w:val="20"/>
              </w:rPr>
            </w:pPr>
          </w:p>
        </w:tc>
        <w:tc>
          <w:tcPr>
            <w:tcW w:w="7744" w:type="dxa"/>
            <w:gridSpan w:val="4"/>
            <w:tcMar>
              <w:left w:w="108" w:type="dxa"/>
              <w:right w:w="108" w:type="dxa"/>
            </w:tcMar>
          </w:tcPr>
          <w:p w14:paraId="08B8BF59" w14:textId="77777777" w:rsidR="00B31A07" w:rsidRPr="00B31A07" w:rsidRDefault="00B31A07" w:rsidP="00B31A07">
            <w:pPr>
              <w:jc w:val="left"/>
              <w:rPr>
                <w:rFonts w:ascii="Arial Narrow" w:eastAsia="Arial Narrow" w:hAnsi="Arial Narrow" w:cs="Arial Narrow"/>
                <w:color w:val="333333"/>
                <w:sz w:val="20"/>
                <w:szCs w:val="20"/>
              </w:rPr>
            </w:pPr>
            <w:r w:rsidRPr="00B31A07">
              <w:rPr>
                <w:rFonts w:ascii="Arial Narrow" w:eastAsia="Arial Narrow" w:hAnsi="Arial Narrow" w:cs="Arial Narrow"/>
                <w:color w:val="333333"/>
                <w:sz w:val="20"/>
                <w:szCs w:val="20"/>
              </w:rPr>
              <w:t xml:space="preserve">The condition must be one of the following: (i) untreated with this drug for </w:t>
            </w:r>
            <w:r w:rsidRPr="00B31A07">
              <w:rPr>
                <w:rFonts w:ascii="Arial Narrow" w:eastAsia="Arial Narrow" w:hAnsi="Arial Narrow" w:cs="Arial Narrow"/>
                <w:strike/>
                <w:color w:val="333333"/>
                <w:sz w:val="20"/>
                <w:szCs w:val="20"/>
              </w:rPr>
              <w:t>measurable residual disease</w:t>
            </w:r>
            <w:r w:rsidRPr="00B31A07">
              <w:rPr>
                <w:rFonts w:ascii="Arial Narrow" w:eastAsia="Arial Narrow" w:hAnsi="Arial Narrow" w:cs="Arial Narrow"/>
                <w:i/>
                <w:iCs/>
                <w:sz w:val="20"/>
                <w:szCs w:val="20"/>
              </w:rPr>
              <w:t xml:space="preserve"> </w:t>
            </w:r>
            <w:r w:rsidRPr="00B31A07">
              <w:rPr>
                <w:rFonts w:ascii="Arial Narrow" w:eastAsia="Arial Narrow" w:hAnsi="Arial Narrow" w:cs="Arial Narrow"/>
                <w:i/>
                <w:iCs/>
                <w:color w:val="333333"/>
                <w:sz w:val="20"/>
                <w:szCs w:val="20"/>
              </w:rPr>
              <w:t>Precursor B-cell acute lymphoblastic leukaemia (Pre-B-cell ALL)</w:t>
            </w:r>
            <w:r w:rsidRPr="00B31A07">
              <w:rPr>
                <w:rFonts w:ascii="Arial Narrow" w:eastAsia="Arial Narrow" w:hAnsi="Arial Narrow" w:cs="Arial Narrow"/>
                <w:color w:val="333333"/>
                <w:sz w:val="20"/>
                <w:szCs w:val="20"/>
              </w:rPr>
              <w:t xml:space="preserve">, (ii) treated with this drug for </w:t>
            </w:r>
            <w:r w:rsidRPr="00B31A07">
              <w:rPr>
                <w:rFonts w:ascii="Arial Narrow" w:eastAsia="Arial Narrow" w:hAnsi="Arial Narrow" w:cs="Arial Narrow"/>
                <w:strike/>
                <w:color w:val="333333"/>
                <w:sz w:val="20"/>
                <w:szCs w:val="20"/>
              </w:rPr>
              <w:t xml:space="preserve">measurable residual disease </w:t>
            </w:r>
            <w:r w:rsidRPr="00B31A07">
              <w:rPr>
                <w:rFonts w:ascii="Arial Narrow" w:eastAsia="Arial Narrow" w:hAnsi="Arial Narrow" w:cs="Arial Narrow"/>
                <w:i/>
                <w:iCs/>
                <w:color w:val="333333"/>
                <w:sz w:val="20"/>
                <w:szCs w:val="20"/>
              </w:rPr>
              <w:t>Pre-B-cell ALL</w:t>
            </w:r>
            <w:r w:rsidRPr="00B31A07">
              <w:rPr>
                <w:rFonts w:ascii="Arial Narrow" w:eastAsia="Arial Narrow" w:hAnsi="Arial Narrow" w:cs="Arial Narrow"/>
                <w:color w:val="333333"/>
                <w:sz w:val="20"/>
                <w:szCs w:val="20"/>
              </w:rPr>
              <w:t>, but the condition has not relapsed within 6 months of completing that course of treatment</w:t>
            </w:r>
          </w:p>
        </w:tc>
      </w:tr>
      <w:tr w:rsidR="00B31A07" w:rsidRPr="00B31A07" w14:paraId="50223403" w14:textId="77777777" w:rsidTr="00AE61DE">
        <w:trPr>
          <w:cantSplit/>
          <w:trHeight w:val="20"/>
        </w:trPr>
        <w:tc>
          <w:tcPr>
            <w:tcW w:w="1271" w:type="dxa"/>
            <w:gridSpan w:val="2"/>
            <w:tcMar>
              <w:left w:w="108" w:type="dxa"/>
              <w:right w:w="108" w:type="dxa"/>
            </w:tcMar>
            <w:vAlign w:val="center"/>
          </w:tcPr>
          <w:p w14:paraId="0E47A70D" w14:textId="77777777" w:rsidR="00B31A07" w:rsidRPr="00B31A07" w:rsidRDefault="00B31A07" w:rsidP="00B31A07">
            <w:pPr>
              <w:rPr>
                <w:rFonts w:ascii="Arial Narrow" w:hAnsi="Arial Narrow"/>
                <w:sz w:val="20"/>
                <w:szCs w:val="20"/>
              </w:rPr>
            </w:pPr>
          </w:p>
        </w:tc>
        <w:tc>
          <w:tcPr>
            <w:tcW w:w="7744" w:type="dxa"/>
            <w:gridSpan w:val="4"/>
            <w:tcMar>
              <w:left w:w="108" w:type="dxa"/>
              <w:right w:w="108" w:type="dxa"/>
            </w:tcMar>
          </w:tcPr>
          <w:p w14:paraId="6DE04775" w14:textId="77777777" w:rsidR="00B31A07" w:rsidRPr="00B31A07" w:rsidRDefault="00B31A07" w:rsidP="00B31A07">
            <w:pPr>
              <w:jc w:val="left"/>
              <w:rPr>
                <w:rFonts w:ascii="Arial Narrow" w:eastAsia="Arial Narrow" w:hAnsi="Arial Narrow" w:cs="Arial Narrow"/>
                <w:b/>
                <w:bCs/>
                <w:color w:val="333333"/>
                <w:sz w:val="20"/>
                <w:szCs w:val="20"/>
              </w:rPr>
            </w:pPr>
            <w:r w:rsidRPr="00B31A07">
              <w:rPr>
                <w:rFonts w:ascii="Arial Narrow" w:eastAsia="Arial Narrow" w:hAnsi="Arial Narrow" w:cs="Arial Narrow"/>
                <w:b/>
                <w:bCs/>
                <w:color w:val="333333"/>
                <w:sz w:val="20"/>
                <w:szCs w:val="20"/>
              </w:rPr>
              <w:t>AND</w:t>
            </w:r>
          </w:p>
        </w:tc>
      </w:tr>
      <w:tr w:rsidR="00B31A07" w:rsidRPr="00B31A07" w14:paraId="3F54C05E" w14:textId="77777777" w:rsidTr="00AE61DE">
        <w:trPr>
          <w:cantSplit/>
          <w:trHeight w:val="20"/>
        </w:trPr>
        <w:tc>
          <w:tcPr>
            <w:tcW w:w="1271" w:type="dxa"/>
            <w:gridSpan w:val="2"/>
            <w:tcMar>
              <w:left w:w="108" w:type="dxa"/>
              <w:right w:w="108" w:type="dxa"/>
            </w:tcMar>
            <w:vAlign w:val="center"/>
          </w:tcPr>
          <w:p w14:paraId="4B322F21" w14:textId="06FED6C4" w:rsidR="00B31A07" w:rsidRPr="00B31A07" w:rsidRDefault="00B31A07" w:rsidP="00B31A07">
            <w:pPr>
              <w:jc w:val="center"/>
              <w:rPr>
                <w:rFonts w:ascii="Arial Narrow" w:eastAsia="Arial Narrow" w:hAnsi="Arial Narrow" w:cs="Arial Narrow"/>
                <w:color w:val="333333"/>
                <w:sz w:val="20"/>
                <w:szCs w:val="20"/>
              </w:rPr>
            </w:pPr>
          </w:p>
        </w:tc>
        <w:tc>
          <w:tcPr>
            <w:tcW w:w="7744" w:type="dxa"/>
            <w:gridSpan w:val="4"/>
            <w:tcMar>
              <w:left w:w="108" w:type="dxa"/>
              <w:right w:w="108" w:type="dxa"/>
            </w:tcMar>
          </w:tcPr>
          <w:p w14:paraId="5F46EF3C" w14:textId="77777777" w:rsidR="00B31A07" w:rsidRPr="00B31A07" w:rsidRDefault="00B31A07" w:rsidP="00B31A07">
            <w:pPr>
              <w:jc w:val="left"/>
              <w:rPr>
                <w:rFonts w:ascii="Arial Narrow" w:eastAsia="Arial Narrow" w:hAnsi="Arial Narrow" w:cs="Arial Narrow"/>
                <w:b/>
                <w:bCs/>
                <w:color w:val="333333"/>
                <w:sz w:val="20"/>
                <w:szCs w:val="20"/>
              </w:rPr>
            </w:pPr>
            <w:r w:rsidRPr="00B31A07">
              <w:rPr>
                <w:rFonts w:ascii="Arial Narrow" w:eastAsia="Arial Narrow" w:hAnsi="Arial Narrow" w:cs="Arial Narrow"/>
                <w:b/>
                <w:bCs/>
                <w:color w:val="333333"/>
                <w:sz w:val="20"/>
                <w:szCs w:val="20"/>
              </w:rPr>
              <w:t>Clinical criteria:</w:t>
            </w:r>
          </w:p>
        </w:tc>
      </w:tr>
      <w:tr w:rsidR="00B31A07" w:rsidRPr="00B31A07" w14:paraId="3CEFC396" w14:textId="77777777" w:rsidTr="00AE61DE">
        <w:trPr>
          <w:cantSplit/>
          <w:trHeight w:val="20"/>
        </w:trPr>
        <w:tc>
          <w:tcPr>
            <w:tcW w:w="1271" w:type="dxa"/>
            <w:gridSpan w:val="2"/>
            <w:tcMar>
              <w:left w:w="108" w:type="dxa"/>
              <w:right w:w="108" w:type="dxa"/>
            </w:tcMar>
            <w:vAlign w:val="center"/>
          </w:tcPr>
          <w:p w14:paraId="31649B62" w14:textId="4EAFC794" w:rsidR="00B31A07" w:rsidRPr="00B31A07" w:rsidRDefault="00B31A07" w:rsidP="00B31A07">
            <w:pPr>
              <w:jc w:val="center"/>
              <w:rPr>
                <w:rFonts w:ascii="Arial Narrow" w:eastAsia="Arial Narrow" w:hAnsi="Arial Narrow" w:cs="Arial Narrow"/>
                <w:color w:val="333333"/>
                <w:sz w:val="20"/>
                <w:szCs w:val="20"/>
              </w:rPr>
            </w:pPr>
          </w:p>
        </w:tc>
        <w:tc>
          <w:tcPr>
            <w:tcW w:w="7744" w:type="dxa"/>
            <w:gridSpan w:val="4"/>
            <w:tcMar>
              <w:left w:w="108" w:type="dxa"/>
              <w:right w:w="108" w:type="dxa"/>
            </w:tcMar>
          </w:tcPr>
          <w:p w14:paraId="7BA9D225" w14:textId="77777777" w:rsidR="00B31A07" w:rsidRPr="00B31A07" w:rsidRDefault="00B31A07" w:rsidP="00B31A07">
            <w:pPr>
              <w:jc w:val="left"/>
              <w:rPr>
                <w:rFonts w:ascii="Arial Narrow" w:eastAsia="Arial Narrow" w:hAnsi="Arial Narrow" w:cs="Arial Narrow"/>
                <w:color w:val="333333"/>
                <w:sz w:val="20"/>
                <w:szCs w:val="20"/>
              </w:rPr>
            </w:pPr>
            <w:r w:rsidRPr="00B31A07">
              <w:rPr>
                <w:rFonts w:ascii="Arial Narrow" w:eastAsia="Arial Narrow" w:hAnsi="Arial Narrow" w:cs="Arial Narrow"/>
                <w:color w:val="333333"/>
                <w:sz w:val="20"/>
                <w:szCs w:val="20"/>
              </w:rPr>
              <w:t>The condition must have more than 5% blasts in bone marrow</w:t>
            </w:r>
          </w:p>
        </w:tc>
      </w:tr>
      <w:tr w:rsidR="00B31A07" w:rsidRPr="00B31A07" w14:paraId="7A79A2BC" w14:textId="77777777" w:rsidTr="00AE61DE">
        <w:trPr>
          <w:cantSplit/>
          <w:trHeight w:val="20"/>
        </w:trPr>
        <w:tc>
          <w:tcPr>
            <w:tcW w:w="1271" w:type="dxa"/>
            <w:gridSpan w:val="2"/>
            <w:tcMar>
              <w:left w:w="108" w:type="dxa"/>
              <w:right w:w="108" w:type="dxa"/>
            </w:tcMar>
            <w:vAlign w:val="center"/>
          </w:tcPr>
          <w:p w14:paraId="552F2BEE" w14:textId="77777777" w:rsidR="00B31A07" w:rsidRPr="00B31A07" w:rsidRDefault="00B31A07" w:rsidP="00B31A07">
            <w:pPr>
              <w:rPr>
                <w:rFonts w:ascii="Arial Narrow" w:hAnsi="Arial Narrow"/>
                <w:sz w:val="20"/>
                <w:szCs w:val="20"/>
              </w:rPr>
            </w:pPr>
          </w:p>
        </w:tc>
        <w:tc>
          <w:tcPr>
            <w:tcW w:w="7744" w:type="dxa"/>
            <w:gridSpan w:val="4"/>
            <w:tcMar>
              <w:left w:w="108" w:type="dxa"/>
              <w:right w:w="108" w:type="dxa"/>
            </w:tcMar>
          </w:tcPr>
          <w:p w14:paraId="0DB52C85" w14:textId="77777777" w:rsidR="00B31A07" w:rsidRPr="00B31A07" w:rsidRDefault="00B31A07" w:rsidP="00B31A07">
            <w:pPr>
              <w:jc w:val="left"/>
              <w:rPr>
                <w:rFonts w:ascii="Arial Narrow" w:eastAsia="Arial Narrow" w:hAnsi="Arial Narrow" w:cs="Arial Narrow"/>
                <w:b/>
                <w:bCs/>
                <w:color w:val="333333"/>
                <w:sz w:val="20"/>
                <w:szCs w:val="20"/>
              </w:rPr>
            </w:pPr>
            <w:r w:rsidRPr="00B31A07">
              <w:rPr>
                <w:rFonts w:ascii="Arial Narrow" w:eastAsia="Arial Narrow" w:hAnsi="Arial Narrow" w:cs="Arial Narrow"/>
                <w:b/>
                <w:bCs/>
                <w:color w:val="333333"/>
                <w:sz w:val="20"/>
                <w:szCs w:val="20"/>
              </w:rPr>
              <w:t>AND</w:t>
            </w:r>
          </w:p>
        </w:tc>
      </w:tr>
      <w:tr w:rsidR="00B31A07" w:rsidRPr="00B31A07" w14:paraId="29D195F3" w14:textId="77777777" w:rsidTr="00AE61DE">
        <w:trPr>
          <w:cantSplit/>
          <w:trHeight w:val="20"/>
        </w:trPr>
        <w:tc>
          <w:tcPr>
            <w:tcW w:w="1271" w:type="dxa"/>
            <w:gridSpan w:val="2"/>
            <w:tcMar>
              <w:left w:w="108" w:type="dxa"/>
              <w:right w:w="108" w:type="dxa"/>
            </w:tcMar>
            <w:vAlign w:val="center"/>
          </w:tcPr>
          <w:p w14:paraId="2764FDE2" w14:textId="738FF884" w:rsidR="00B31A07" w:rsidRPr="00B31A07" w:rsidRDefault="00B31A07" w:rsidP="00B31A07">
            <w:pPr>
              <w:jc w:val="center"/>
              <w:rPr>
                <w:rFonts w:ascii="Arial Narrow" w:eastAsia="Arial Narrow" w:hAnsi="Arial Narrow" w:cs="Arial Narrow"/>
                <w:color w:val="333333"/>
                <w:sz w:val="20"/>
                <w:szCs w:val="20"/>
              </w:rPr>
            </w:pPr>
          </w:p>
        </w:tc>
        <w:tc>
          <w:tcPr>
            <w:tcW w:w="7744" w:type="dxa"/>
            <w:gridSpan w:val="4"/>
            <w:tcMar>
              <w:left w:w="108" w:type="dxa"/>
              <w:right w:w="108" w:type="dxa"/>
            </w:tcMar>
          </w:tcPr>
          <w:p w14:paraId="686C9D0B" w14:textId="77777777" w:rsidR="00B31A07" w:rsidRPr="00B31A07" w:rsidRDefault="00B31A07" w:rsidP="00B31A07">
            <w:pPr>
              <w:jc w:val="left"/>
              <w:rPr>
                <w:rFonts w:ascii="Arial Narrow" w:eastAsia="Arial Narrow" w:hAnsi="Arial Narrow" w:cs="Arial Narrow"/>
                <w:b/>
                <w:bCs/>
                <w:color w:val="333333"/>
                <w:sz w:val="20"/>
                <w:szCs w:val="20"/>
              </w:rPr>
            </w:pPr>
            <w:r w:rsidRPr="00B31A07">
              <w:rPr>
                <w:rFonts w:ascii="Arial Narrow" w:eastAsia="Arial Narrow" w:hAnsi="Arial Narrow" w:cs="Arial Narrow"/>
                <w:b/>
                <w:bCs/>
                <w:color w:val="333333"/>
                <w:sz w:val="20"/>
                <w:szCs w:val="20"/>
              </w:rPr>
              <w:t>Clinical criteria:</w:t>
            </w:r>
          </w:p>
        </w:tc>
      </w:tr>
      <w:tr w:rsidR="00B31A07" w:rsidRPr="00B31A07" w14:paraId="6BB8EB43" w14:textId="77777777" w:rsidTr="00AE61DE">
        <w:trPr>
          <w:cantSplit/>
          <w:trHeight w:val="20"/>
        </w:trPr>
        <w:tc>
          <w:tcPr>
            <w:tcW w:w="1271" w:type="dxa"/>
            <w:gridSpan w:val="2"/>
            <w:tcMar>
              <w:left w:w="108" w:type="dxa"/>
              <w:right w:w="108" w:type="dxa"/>
            </w:tcMar>
            <w:vAlign w:val="center"/>
          </w:tcPr>
          <w:p w14:paraId="687254C8" w14:textId="242C56DC" w:rsidR="00B31A07" w:rsidRPr="00B31A07" w:rsidRDefault="00B31A07" w:rsidP="00B31A07">
            <w:pPr>
              <w:jc w:val="center"/>
              <w:rPr>
                <w:rFonts w:ascii="Arial Narrow" w:eastAsia="Arial Narrow" w:hAnsi="Arial Narrow" w:cs="Arial Narrow"/>
                <w:color w:val="333333"/>
                <w:sz w:val="20"/>
                <w:szCs w:val="20"/>
              </w:rPr>
            </w:pPr>
          </w:p>
        </w:tc>
        <w:tc>
          <w:tcPr>
            <w:tcW w:w="7744" w:type="dxa"/>
            <w:gridSpan w:val="4"/>
            <w:tcMar>
              <w:left w:w="108" w:type="dxa"/>
              <w:right w:w="108" w:type="dxa"/>
            </w:tcMar>
          </w:tcPr>
          <w:p w14:paraId="052B5DC4" w14:textId="77777777" w:rsidR="00B31A07" w:rsidRPr="00B31A07" w:rsidRDefault="00B31A07" w:rsidP="00B31A07">
            <w:pPr>
              <w:jc w:val="left"/>
              <w:rPr>
                <w:rFonts w:ascii="Arial Narrow" w:eastAsia="Arial Narrow" w:hAnsi="Arial Narrow" w:cs="Arial Narrow"/>
                <w:color w:val="333333"/>
                <w:sz w:val="20"/>
                <w:szCs w:val="20"/>
              </w:rPr>
            </w:pPr>
            <w:r w:rsidRPr="00B31A07">
              <w:rPr>
                <w:rFonts w:ascii="Arial Narrow" w:eastAsia="Arial Narrow" w:hAnsi="Arial Narrow" w:cs="Arial Narrow"/>
                <w:color w:val="333333"/>
                <w:sz w:val="20"/>
                <w:szCs w:val="20"/>
              </w:rPr>
              <w:t>The treatment must not be more than 2 treatment cycles under this restriction in a lifetime</w:t>
            </w:r>
          </w:p>
        </w:tc>
      </w:tr>
      <w:tr w:rsidR="00B31A07" w:rsidRPr="00B31A07" w14:paraId="4E9E7A49" w14:textId="77777777" w:rsidTr="00AE61DE">
        <w:trPr>
          <w:cantSplit/>
          <w:trHeight w:val="20"/>
        </w:trPr>
        <w:tc>
          <w:tcPr>
            <w:tcW w:w="1271" w:type="dxa"/>
            <w:gridSpan w:val="2"/>
            <w:tcMar>
              <w:left w:w="108" w:type="dxa"/>
              <w:right w:w="108" w:type="dxa"/>
            </w:tcMar>
            <w:vAlign w:val="center"/>
          </w:tcPr>
          <w:p w14:paraId="302658FC" w14:textId="3CAB9261" w:rsidR="00B31A07" w:rsidRPr="00B31A07" w:rsidRDefault="00B31A07" w:rsidP="00B31A07">
            <w:pPr>
              <w:jc w:val="center"/>
              <w:rPr>
                <w:rFonts w:ascii="Arial Narrow" w:eastAsia="Arial Narrow" w:hAnsi="Arial Narrow" w:cs="Arial Narrow"/>
                <w:color w:val="333333"/>
                <w:sz w:val="20"/>
                <w:szCs w:val="20"/>
              </w:rPr>
            </w:pPr>
          </w:p>
        </w:tc>
        <w:tc>
          <w:tcPr>
            <w:tcW w:w="7744" w:type="dxa"/>
            <w:gridSpan w:val="4"/>
            <w:tcMar>
              <w:left w:w="108" w:type="dxa"/>
              <w:right w:w="108" w:type="dxa"/>
            </w:tcMar>
          </w:tcPr>
          <w:p w14:paraId="4A3087E6" w14:textId="77777777" w:rsidR="00B31A07" w:rsidRPr="00B31A07" w:rsidRDefault="00B31A07" w:rsidP="00B31A07">
            <w:pPr>
              <w:jc w:val="left"/>
              <w:rPr>
                <w:rFonts w:ascii="Arial Narrow" w:eastAsia="Arial Narrow" w:hAnsi="Arial Narrow" w:cs="Arial Narrow"/>
                <w:b/>
                <w:bCs/>
                <w:color w:val="333333"/>
                <w:sz w:val="20"/>
                <w:szCs w:val="20"/>
              </w:rPr>
            </w:pPr>
            <w:r w:rsidRPr="00B31A07">
              <w:rPr>
                <w:rFonts w:ascii="Arial Narrow" w:eastAsia="Arial Narrow" w:hAnsi="Arial Narrow" w:cs="Arial Narrow"/>
                <w:b/>
                <w:bCs/>
                <w:color w:val="333333"/>
                <w:sz w:val="20"/>
                <w:szCs w:val="20"/>
              </w:rPr>
              <w:t>Caution:</w:t>
            </w:r>
          </w:p>
          <w:p w14:paraId="42DA5FEA" w14:textId="77777777" w:rsidR="00B31A07" w:rsidRPr="00B31A07" w:rsidRDefault="00B31A07" w:rsidP="00B31A07">
            <w:pPr>
              <w:jc w:val="left"/>
              <w:rPr>
                <w:rFonts w:ascii="Arial Narrow" w:eastAsia="Arial Narrow" w:hAnsi="Arial Narrow" w:cs="Arial Narrow"/>
                <w:color w:val="333333"/>
                <w:sz w:val="20"/>
                <w:szCs w:val="20"/>
              </w:rPr>
            </w:pPr>
            <w:r w:rsidRPr="00B31A07">
              <w:rPr>
                <w:rFonts w:ascii="Arial Narrow" w:eastAsia="Arial Narrow" w:hAnsi="Arial Narrow" w:cs="Arial Narrow"/>
                <w:color w:val="333333"/>
                <w:sz w:val="20"/>
                <w:szCs w:val="20"/>
              </w:rPr>
              <w:t>Careful monitoring of patients is required due to risk of developing life-threatening Cytokine Release Syndrome, neurological toxicities and reactivation of John Cunningham virus (JC) viral infection.</w:t>
            </w:r>
          </w:p>
        </w:tc>
      </w:tr>
      <w:tr w:rsidR="00B31A07" w:rsidRPr="00B31A07" w14:paraId="59C9F31C" w14:textId="77777777" w:rsidTr="00AE61DE">
        <w:trPr>
          <w:cantSplit/>
          <w:trHeight w:val="20"/>
        </w:trPr>
        <w:tc>
          <w:tcPr>
            <w:tcW w:w="1271" w:type="dxa"/>
            <w:gridSpan w:val="2"/>
            <w:tcMar>
              <w:left w:w="108" w:type="dxa"/>
              <w:right w:w="108" w:type="dxa"/>
            </w:tcMar>
            <w:vAlign w:val="center"/>
          </w:tcPr>
          <w:p w14:paraId="30C61A09" w14:textId="58350AAE" w:rsidR="00B31A07" w:rsidRPr="00B31A07" w:rsidRDefault="00B31A07" w:rsidP="00B31A07">
            <w:pPr>
              <w:jc w:val="center"/>
              <w:rPr>
                <w:rFonts w:ascii="Arial Narrow" w:eastAsia="Arial Narrow" w:hAnsi="Arial Narrow" w:cs="Arial Narrow"/>
                <w:color w:val="333333"/>
                <w:sz w:val="20"/>
                <w:szCs w:val="20"/>
              </w:rPr>
            </w:pPr>
          </w:p>
        </w:tc>
        <w:tc>
          <w:tcPr>
            <w:tcW w:w="7744" w:type="dxa"/>
            <w:gridSpan w:val="4"/>
            <w:tcMar>
              <w:left w:w="108" w:type="dxa"/>
              <w:right w:w="108" w:type="dxa"/>
            </w:tcMar>
          </w:tcPr>
          <w:p w14:paraId="3AE1AB1A" w14:textId="77777777" w:rsidR="00B31A07" w:rsidRPr="00B31A07" w:rsidRDefault="00B31A07" w:rsidP="00B31A07">
            <w:pPr>
              <w:jc w:val="left"/>
              <w:rPr>
                <w:rFonts w:ascii="Arial Narrow" w:eastAsia="Arial Narrow" w:hAnsi="Arial Narrow" w:cs="Arial Narrow"/>
                <w:b/>
                <w:bCs/>
                <w:color w:val="333333"/>
                <w:sz w:val="20"/>
                <w:szCs w:val="20"/>
              </w:rPr>
            </w:pPr>
            <w:r w:rsidRPr="00B31A07">
              <w:rPr>
                <w:rFonts w:ascii="Arial Narrow" w:eastAsia="Arial Narrow" w:hAnsi="Arial Narrow" w:cs="Arial Narrow"/>
                <w:b/>
                <w:bCs/>
                <w:color w:val="333333"/>
                <w:sz w:val="20"/>
                <w:szCs w:val="20"/>
              </w:rPr>
              <w:t>Prescribing Instructions:</w:t>
            </w:r>
          </w:p>
          <w:p w14:paraId="7E6DEA7F" w14:textId="77777777" w:rsidR="00B31A07" w:rsidRPr="00B31A07" w:rsidRDefault="00B31A07" w:rsidP="00B31A07">
            <w:pPr>
              <w:jc w:val="left"/>
              <w:rPr>
                <w:rFonts w:ascii="Arial Narrow" w:eastAsia="Arial Narrow" w:hAnsi="Arial Narrow" w:cs="Arial Narrow"/>
                <w:color w:val="333333"/>
                <w:sz w:val="20"/>
                <w:szCs w:val="20"/>
              </w:rPr>
            </w:pPr>
            <w:r w:rsidRPr="00B31A07">
              <w:rPr>
                <w:rFonts w:ascii="Arial Narrow" w:eastAsia="Arial Narrow" w:hAnsi="Arial Narrow" w:cs="Arial Narrow"/>
                <w:color w:val="333333"/>
                <w:sz w:val="20"/>
                <w:szCs w:val="20"/>
              </w:rPr>
              <w:t>According to the TGA-approved Product Information, hospitalisation is recommended at minimum for the first 9 days of the first cycle and the first 2 days of the second cycle. For all subsequent cycle starts and re-initiation (e.g. if treatment is interrupted for 4 or more hours), supervision by a health care professional or hospitalisation is recommended.</w:t>
            </w:r>
          </w:p>
        </w:tc>
      </w:tr>
      <w:tr w:rsidR="00B31A07" w:rsidRPr="00B31A07" w14:paraId="5357448A" w14:textId="77777777" w:rsidTr="00AE61DE">
        <w:trPr>
          <w:cantSplit/>
          <w:trHeight w:val="20"/>
        </w:trPr>
        <w:tc>
          <w:tcPr>
            <w:tcW w:w="1271" w:type="dxa"/>
            <w:gridSpan w:val="2"/>
            <w:tcMar>
              <w:left w:w="108" w:type="dxa"/>
              <w:right w:w="108" w:type="dxa"/>
            </w:tcMar>
            <w:vAlign w:val="center"/>
          </w:tcPr>
          <w:p w14:paraId="33806572" w14:textId="14A1091A" w:rsidR="00B31A07" w:rsidRPr="00B31A07" w:rsidRDefault="00B31A07" w:rsidP="00B31A07">
            <w:pPr>
              <w:jc w:val="center"/>
              <w:rPr>
                <w:rFonts w:ascii="Arial Narrow" w:eastAsia="Arial Narrow" w:hAnsi="Arial Narrow" w:cs="Arial Narrow"/>
                <w:color w:val="333333"/>
                <w:sz w:val="20"/>
                <w:szCs w:val="20"/>
              </w:rPr>
            </w:pPr>
          </w:p>
        </w:tc>
        <w:tc>
          <w:tcPr>
            <w:tcW w:w="7744" w:type="dxa"/>
            <w:gridSpan w:val="4"/>
            <w:tcMar>
              <w:left w:w="108" w:type="dxa"/>
              <w:right w:w="108" w:type="dxa"/>
            </w:tcMar>
          </w:tcPr>
          <w:p w14:paraId="5FC08BF2" w14:textId="77777777" w:rsidR="00B31A07" w:rsidRPr="00B31A07" w:rsidRDefault="00B31A07" w:rsidP="00B31A07">
            <w:pPr>
              <w:jc w:val="left"/>
              <w:rPr>
                <w:rFonts w:ascii="Arial Narrow" w:eastAsia="Arial Narrow" w:hAnsi="Arial Narrow" w:cs="Arial Narrow"/>
                <w:b/>
                <w:bCs/>
                <w:color w:val="333333"/>
                <w:sz w:val="20"/>
                <w:szCs w:val="20"/>
              </w:rPr>
            </w:pPr>
            <w:r w:rsidRPr="00B31A07">
              <w:rPr>
                <w:rFonts w:ascii="Arial Narrow" w:eastAsia="Arial Narrow" w:hAnsi="Arial Narrow" w:cs="Arial Narrow"/>
                <w:b/>
                <w:bCs/>
                <w:color w:val="333333"/>
                <w:sz w:val="20"/>
                <w:szCs w:val="20"/>
              </w:rPr>
              <w:t>Prescribing Instructions:</w:t>
            </w:r>
          </w:p>
          <w:p w14:paraId="78C5B254" w14:textId="77777777" w:rsidR="00B31A07" w:rsidRPr="00B31A07" w:rsidRDefault="00B31A07" w:rsidP="00B31A07">
            <w:pPr>
              <w:jc w:val="left"/>
              <w:rPr>
                <w:rFonts w:ascii="Arial Narrow" w:eastAsia="Arial Narrow" w:hAnsi="Arial Narrow" w:cs="Arial Narrow"/>
                <w:color w:val="333333"/>
                <w:sz w:val="20"/>
                <w:szCs w:val="20"/>
              </w:rPr>
            </w:pPr>
            <w:r w:rsidRPr="00B31A07">
              <w:rPr>
                <w:rFonts w:ascii="Arial Narrow" w:eastAsia="Arial Narrow" w:hAnsi="Arial Narrow" w:cs="Arial Narrow"/>
                <w:color w:val="333333"/>
                <w:sz w:val="20"/>
                <w:szCs w:val="20"/>
              </w:rPr>
              <w:t>An amount of 651 microgram will be sufficient for a continuous infusion of blinatumomab over 28 days in cycle 1. An amount of 784 microgram, which may be obtained under Induction treatment - balance of supply restriction, will be sufficient for a continuous infusion of blinatumomab over 28 days in cycle 2.</w:t>
            </w:r>
          </w:p>
        </w:tc>
      </w:tr>
      <w:tr w:rsidR="00B31A07" w:rsidRPr="00B31A07" w14:paraId="513DB524" w14:textId="77777777" w:rsidTr="00AE61DE">
        <w:trPr>
          <w:cantSplit/>
          <w:trHeight w:val="20"/>
        </w:trPr>
        <w:tc>
          <w:tcPr>
            <w:tcW w:w="1271" w:type="dxa"/>
            <w:gridSpan w:val="2"/>
            <w:tcMar>
              <w:left w:w="108" w:type="dxa"/>
              <w:right w:w="108" w:type="dxa"/>
            </w:tcMar>
            <w:vAlign w:val="center"/>
          </w:tcPr>
          <w:p w14:paraId="55ED3E12" w14:textId="50E2EB43" w:rsidR="00B31A07" w:rsidRPr="00B31A07" w:rsidRDefault="00B31A07" w:rsidP="00B31A07">
            <w:pPr>
              <w:jc w:val="center"/>
              <w:rPr>
                <w:rFonts w:ascii="Arial Narrow" w:eastAsia="Arial Narrow" w:hAnsi="Arial Narrow" w:cs="Arial Narrow"/>
                <w:color w:val="333333"/>
                <w:sz w:val="20"/>
                <w:szCs w:val="20"/>
              </w:rPr>
            </w:pPr>
          </w:p>
        </w:tc>
        <w:tc>
          <w:tcPr>
            <w:tcW w:w="7744" w:type="dxa"/>
            <w:gridSpan w:val="4"/>
            <w:tcMar>
              <w:left w:w="108" w:type="dxa"/>
              <w:right w:w="108" w:type="dxa"/>
            </w:tcMar>
          </w:tcPr>
          <w:p w14:paraId="09730D83" w14:textId="77777777" w:rsidR="00B31A07" w:rsidRPr="00B31A07" w:rsidRDefault="00B31A07" w:rsidP="00B31A07">
            <w:pPr>
              <w:jc w:val="left"/>
              <w:rPr>
                <w:rFonts w:ascii="Arial Narrow" w:eastAsia="Arial Narrow" w:hAnsi="Arial Narrow" w:cs="Arial Narrow"/>
                <w:b/>
                <w:bCs/>
                <w:color w:val="333333"/>
                <w:sz w:val="20"/>
                <w:szCs w:val="20"/>
              </w:rPr>
            </w:pPr>
            <w:r w:rsidRPr="00B31A07">
              <w:rPr>
                <w:rFonts w:ascii="Arial Narrow" w:eastAsia="Arial Narrow" w:hAnsi="Arial Narrow" w:cs="Arial Narrow"/>
                <w:b/>
                <w:bCs/>
                <w:color w:val="333333"/>
                <w:sz w:val="20"/>
                <w:szCs w:val="20"/>
              </w:rPr>
              <w:t>Prescribing Instructions:</w:t>
            </w:r>
          </w:p>
          <w:p w14:paraId="1DDA0D52" w14:textId="77777777" w:rsidR="00B31A07" w:rsidRPr="00B31A07" w:rsidRDefault="00B31A07" w:rsidP="00B31A07">
            <w:pPr>
              <w:jc w:val="left"/>
              <w:rPr>
                <w:rFonts w:ascii="Arial Narrow" w:eastAsia="Arial Narrow" w:hAnsi="Arial Narrow" w:cs="Arial Narrow"/>
                <w:color w:val="333333"/>
                <w:sz w:val="20"/>
                <w:szCs w:val="20"/>
              </w:rPr>
            </w:pPr>
            <w:r w:rsidRPr="00B31A07">
              <w:rPr>
                <w:rFonts w:ascii="Arial Narrow" w:eastAsia="Arial Narrow" w:hAnsi="Arial Narrow" w:cs="Arial Narrow"/>
                <w:color w:val="333333"/>
                <w:sz w:val="20"/>
                <w:szCs w:val="20"/>
              </w:rPr>
              <w:t>Blinatumomab is not PBS-subsidised if it is administered to an in-patient in a public hospital setting.</w:t>
            </w:r>
          </w:p>
        </w:tc>
      </w:tr>
      <w:tr w:rsidR="00B31A07" w:rsidRPr="00B31A07" w14:paraId="4B5361A2" w14:textId="77777777" w:rsidTr="00AE61DE">
        <w:trPr>
          <w:cantSplit/>
          <w:trHeight w:val="20"/>
        </w:trPr>
        <w:tc>
          <w:tcPr>
            <w:tcW w:w="1271" w:type="dxa"/>
            <w:gridSpan w:val="2"/>
            <w:tcMar>
              <w:left w:w="108" w:type="dxa"/>
              <w:right w:w="108" w:type="dxa"/>
            </w:tcMar>
            <w:vAlign w:val="center"/>
          </w:tcPr>
          <w:p w14:paraId="0974A7E8" w14:textId="22108524" w:rsidR="00B31A07" w:rsidRPr="00B31A07" w:rsidRDefault="00B31A07" w:rsidP="1797D1E5">
            <w:pPr>
              <w:jc w:val="center"/>
              <w:rPr>
                <w:rFonts w:ascii="Arial Narrow" w:eastAsia="Arial Narrow" w:hAnsi="Arial Narrow" w:cs="Arial Narrow"/>
                <w:color w:val="333333"/>
                <w:sz w:val="20"/>
                <w:szCs w:val="20"/>
              </w:rPr>
            </w:pPr>
          </w:p>
        </w:tc>
        <w:tc>
          <w:tcPr>
            <w:tcW w:w="7744" w:type="dxa"/>
            <w:gridSpan w:val="4"/>
            <w:tcMar>
              <w:left w:w="108" w:type="dxa"/>
              <w:right w:w="108" w:type="dxa"/>
            </w:tcMar>
          </w:tcPr>
          <w:p w14:paraId="5B5A37E3" w14:textId="77777777" w:rsidR="00B31A07" w:rsidRPr="00B31A07" w:rsidRDefault="00B31A07" w:rsidP="00B31A07">
            <w:pPr>
              <w:jc w:val="left"/>
              <w:rPr>
                <w:rFonts w:ascii="Arial Narrow" w:eastAsia="Arial Narrow" w:hAnsi="Arial Narrow" w:cs="Arial Narrow"/>
                <w:b/>
                <w:bCs/>
                <w:color w:val="333333"/>
                <w:sz w:val="20"/>
                <w:szCs w:val="20"/>
              </w:rPr>
            </w:pPr>
            <w:r w:rsidRPr="00B31A07">
              <w:rPr>
                <w:rFonts w:ascii="Arial Narrow" w:eastAsia="Arial Narrow" w:hAnsi="Arial Narrow" w:cs="Arial Narrow"/>
                <w:b/>
                <w:bCs/>
                <w:color w:val="333333"/>
                <w:sz w:val="20"/>
                <w:szCs w:val="20"/>
              </w:rPr>
              <w:t>Prescribing Instructions:</w:t>
            </w:r>
          </w:p>
          <w:p w14:paraId="2F1ED9AE" w14:textId="77777777" w:rsidR="00B31A07" w:rsidRPr="00B31A07" w:rsidRDefault="00B31A07" w:rsidP="00B31A07">
            <w:pPr>
              <w:jc w:val="left"/>
              <w:rPr>
                <w:rFonts w:ascii="Arial Narrow" w:eastAsia="Arial Narrow" w:hAnsi="Arial Narrow" w:cs="Arial Narrow"/>
                <w:color w:val="333333"/>
                <w:sz w:val="20"/>
                <w:szCs w:val="20"/>
              </w:rPr>
            </w:pPr>
            <w:r w:rsidRPr="00B31A07">
              <w:rPr>
                <w:rFonts w:ascii="Arial Narrow" w:eastAsia="Arial Narrow" w:hAnsi="Arial Narrow" w:cs="Arial Narrow"/>
                <w:color w:val="333333"/>
                <w:sz w:val="20"/>
                <w:szCs w:val="20"/>
              </w:rPr>
              <w:t>The authority application must be made in writing and must include:</w:t>
            </w:r>
          </w:p>
          <w:p w14:paraId="4D91B65C" w14:textId="77777777" w:rsidR="00B31A07" w:rsidRPr="00B31A07" w:rsidRDefault="00B31A07" w:rsidP="00B31A07">
            <w:pPr>
              <w:jc w:val="left"/>
              <w:rPr>
                <w:rFonts w:ascii="Arial Narrow" w:eastAsia="Arial Narrow" w:hAnsi="Arial Narrow" w:cs="Arial Narrow"/>
                <w:color w:val="333333"/>
                <w:sz w:val="20"/>
                <w:szCs w:val="20"/>
              </w:rPr>
            </w:pPr>
            <w:r w:rsidRPr="00B31A07">
              <w:rPr>
                <w:rFonts w:ascii="Arial Narrow" w:eastAsia="Arial Narrow" w:hAnsi="Arial Narrow" w:cs="Arial Narrow"/>
                <w:color w:val="333333"/>
                <w:sz w:val="20"/>
                <w:szCs w:val="20"/>
              </w:rPr>
              <w:t xml:space="preserve">(1) </w:t>
            </w:r>
            <w:r w:rsidRPr="00B31A07">
              <w:rPr>
                <w:rFonts w:ascii="Arial Narrow" w:eastAsia="Arial Narrow" w:hAnsi="Arial Narrow" w:cs="Arial Narrow"/>
                <w:i/>
                <w:iCs/>
                <w:color w:val="333333"/>
                <w:sz w:val="20"/>
                <w:szCs w:val="20"/>
              </w:rPr>
              <w:t>details of the proposed prescription</w:t>
            </w:r>
            <w:r w:rsidRPr="00B31A07">
              <w:rPr>
                <w:rFonts w:ascii="Arial Narrow" w:eastAsia="Arial Narrow" w:hAnsi="Arial Narrow" w:cs="Arial Narrow"/>
                <w:color w:val="333333"/>
                <w:sz w:val="20"/>
                <w:szCs w:val="20"/>
              </w:rPr>
              <w:t xml:space="preserve"> </w:t>
            </w:r>
            <w:r w:rsidRPr="00B31A07">
              <w:rPr>
                <w:rFonts w:ascii="Arial Narrow" w:eastAsia="Arial Narrow" w:hAnsi="Arial Narrow" w:cs="Arial Narrow"/>
                <w:strike/>
                <w:color w:val="333333"/>
                <w:sz w:val="20"/>
                <w:szCs w:val="20"/>
              </w:rPr>
              <w:t>a completed authority prescription form</w:t>
            </w:r>
            <w:r w:rsidRPr="00B31A07">
              <w:rPr>
                <w:rFonts w:ascii="Arial Narrow" w:eastAsia="Arial Narrow" w:hAnsi="Arial Narrow" w:cs="Arial Narrow"/>
                <w:color w:val="333333"/>
                <w:sz w:val="20"/>
                <w:szCs w:val="20"/>
              </w:rPr>
              <w:t>; and</w:t>
            </w:r>
          </w:p>
          <w:p w14:paraId="6A0DD291" w14:textId="77777777" w:rsidR="00B31A07" w:rsidRPr="00B31A07" w:rsidRDefault="00B31A07" w:rsidP="00B31A07">
            <w:pPr>
              <w:jc w:val="left"/>
              <w:rPr>
                <w:rFonts w:ascii="Arial Narrow" w:eastAsia="Arial Narrow" w:hAnsi="Arial Narrow" w:cs="Arial Narrow"/>
                <w:color w:val="333333"/>
                <w:sz w:val="20"/>
                <w:szCs w:val="20"/>
              </w:rPr>
            </w:pPr>
            <w:r w:rsidRPr="00B31A07">
              <w:rPr>
                <w:rFonts w:ascii="Arial Narrow" w:eastAsia="Arial Narrow" w:hAnsi="Arial Narrow" w:cs="Arial Narrow"/>
                <w:color w:val="333333"/>
                <w:sz w:val="20"/>
                <w:szCs w:val="20"/>
              </w:rPr>
              <w:t>(2) a completed Acute Lymphoblastic Leukaemia PBS Authority Application - Supporting Information Form; and</w:t>
            </w:r>
          </w:p>
          <w:p w14:paraId="2F53FB24" w14:textId="77777777" w:rsidR="00B31A07" w:rsidRPr="00B31A07" w:rsidRDefault="00B31A07" w:rsidP="00B31A07">
            <w:pPr>
              <w:jc w:val="left"/>
              <w:rPr>
                <w:rFonts w:ascii="Arial Narrow" w:eastAsia="Arial Narrow" w:hAnsi="Arial Narrow" w:cs="Arial Narrow"/>
                <w:color w:val="333333"/>
                <w:sz w:val="20"/>
                <w:szCs w:val="20"/>
              </w:rPr>
            </w:pPr>
            <w:r w:rsidRPr="00B31A07">
              <w:rPr>
                <w:rFonts w:ascii="Arial Narrow" w:eastAsia="Arial Narrow" w:hAnsi="Arial Narrow" w:cs="Arial Narrow"/>
                <w:color w:val="333333"/>
                <w:sz w:val="20"/>
                <w:szCs w:val="20"/>
              </w:rPr>
              <w:t>(3) date of most recent chemotherapy, and if this was the initial chemotherapy regimen or salvage therapy, including what line of salvage; and</w:t>
            </w:r>
          </w:p>
          <w:p w14:paraId="43D64E39" w14:textId="77777777" w:rsidR="00B31A07" w:rsidRPr="00B31A07" w:rsidRDefault="00B31A07" w:rsidP="00B31A07">
            <w:pPr>
              <w:jc w:val="left"/>
              <w:rPr>
                <w:rFonts w:ascii="Arial Narrow" w:eastAsia="Arial Narrow" w:hAnsi="Arial Narrow" w:cs="Arial Narrow"/>
                <w:color w:val="333333"/>
                <w:sz w:val="20"/>
                <w:szCs w:val="20"/>
              </w:rPr>
            </w:pPr>
            <w:r w:rsidRPr="00B31A07">
              <w:rPr>
                <w:rFonts w:ascii="Arial Narrow" w:eastAsia="Arial Narrow" w:hAnsi="Arial Narrow" w:cs="Arial Narrow"/>
                <w:color w:val="333333"/>
                <w:sz w:val="20"/>
                <w:szCs w:val="20"/>
              </w:rPr>
              <w:t xml:space="preserve">(4) if applicable, the date of completion of blinatumomab treatment for </w:t>
            </w:r>
            <w:r w:rsidRPr="00B31A07">
              <w:rPr>
                <w:rFonts w:ascii="Arial Narrow" w:eastAsia="Arial Narrow" w:hAnsi="Arial Narrow" w:cs="Arial Narrow"/>
                <w:strike/>
                <w:color w:val="333333"/>
                <w:sz w:val="20"/>
                <w:szCs w:val="20"/>
              </w:rPr>
              <w:t>measurable residual disease</w:t>
            </w:r>
            <w:r w:rsidRPr="00B31A07">
              <w:rPr>
                <w:rFonts w:ascii="Arial Narrow" w:eastAsia="Arial Narrow" w:hAnsi="Arial Narrow" w:cs="Arial Narrow"/>
                <w:color w:val="333333"/>
                <w:sz w:val="20"/>
                <w:szCs w:val="20"/>
              </w:rPr>
              <w:t xml:space="preserve"> </w:t>
            </w:r>
            <w:r w:rsidRPr="00B31A07">
              <w:rPr>
                <w:rFonts w:ascii="Arial Narrow" w:eastAsia="Arial Narrow" w:hAnsi="Arial Narrow" w:cs="Arial Narrow"/>
                <w:i/>
                <w:iCs/>
                <w:color w:val="333333"/>
                <w:sz w:val="20"/>
                <w:szCs w:val="20"/>
              </w:rPr>
              <w:t>Pre-B-cell ALL in CR</w:t>
            </w:r>
            <w:r w:rsidRPr="00B31A07">
              <w:rPr>
                <w:rFonts w:ascii="Arial Narrow" w:eastAsia="Arial Narrow" w:hAnsi="Arial Narrow" w:cs="Arial Narrow"/>
                <w:color w:val="333333"/>
                <w:sz w:val="20"/>
                <w:szCs w:val="20"/>
              </w:rPr>
              <w:t xml:space="preserve"> and the date of the patient's subsequent relapse; and</w:t>
            </w:r>
          </w:p>
          <w:p w14:paraId="0F83B8C0" w14:textId="77777777" w:rsidR="00B31A07" w:rsidRPr="00B31A07" w:rsidRDefault="00B31A07" w:rsidP="00B31A07">
            <w:pPr>
              <w:jc w:val="left"/>
              <w:rPr>
                <w:rFonts w:ascii="Arial Narrow" w:eastAsia="Arial Narrow" w:hAnsi="Arial Narrow" w:cs="Arial Narrow"/>
                <w:color w:val="333333"/>
                <w:sz w:val="20"/>
                <w:szCs w:val="20"/>
              </w:rPr>
            </w:pPr>
            <w:r w:rsidRPr="00B31A07">
              <w:rPr>
                <w:rFonts w:ascii="Arial Narrow" w:eastAsia="Arial Narrow" w:hAnsi="Arial Narrow" w:cs="Arial Narrow"/>
                <w:color w:val="333333"/>
                <w:sz w:val="20"/>
                <w:szCs w:val="20"/>
              </w:rPr>
              <w:t>(5) the percentage blasts in bone marrow count that is no more than 4 weeks old at the time of application.</w:t>
            </w:r>
          </w:p>
        </w:tc>
      </w:tr>
      <w:tr w:rsidR="00B31A07" w:rsidRPr="00B31A07" w14:paraId="3B1EC641" w14:textId="77777777" w:rsidTr="00AE61DE">
        <w:trPr>
          <w:cantSplit/>
          <w:trHeight w:val="20"/>
        </w:trPr>
        <w:tc>
          <w:tcPr>
            <w:tcW w:w="1271" w:type="dxa"/>
            <w:gridSpan w:val="2"/>
            <w:tcMar>
              <w:left w:w="108" w:type="dxa"/>
              <w:right w:w="108" w:type="dxa"/>
            </w:tcMar>
            <w:vAlign w:val="center"/>
          </w:tcPr>
          <w:p w14:paraId="0FB9BB79" w14:textId="1872140B" w:rsidR="00B31A07" w:rsidRPr="00B31A07" w:rsidRDefault="00B31A07" w:rsidP="1797D1E5">
            <w:pPr>
              <w:jc w:val="center"/>
              <w:rPr>
                <w:rFonts w:ascii="Arial Narrow" w:eastAsia="Arial Narrow" w:hAnsi="Arial Narrow" w:cs="Arial Narrow"/>
                <w:color w:val="333333"/>
                <w:sz w:val="20"/>
                <w:szCs w:val="20"/>
              </w:rPr>
            </w:pPr>
          </w:p>
        </w:tc>
        <w:tc>
          <w:tcPr>
            <w:tcW w:w="7744" w:type="dxa"/>
            <w:gridSpan w:val="4"/>
            <w:tcMar>
              <w:left w:w="108" w:type="dxa"/>
              <w:right w:w="108" w:type="dxa"/>
            </w:tcMar>
          </w:tcPr>
          <w:p w14:paraId="6359BE23" w14:textId="77777777" w:rsidR="00B31A07" w:rsidRPr="00B31A07" w:rsidRDefault="00B31A07" w:rsidP="00B31A07">
            <w:pPr>
              <w:jc w:val="left"/>
              <w:rPr>
                <w:rFonts w:ascii="Arial Narrow" w:eastAsia="Arial Narrow" w:hAnsi="Arial Narrow" w:cs="Arial Narrow"/>
                <w:b/>
                <w:bCs/>
                <w:color w:val="333333"/>
                <w:sz w:val="20"/>
                <w:szCs w:val="20"/>
              </w:rPr>
            </w:pPr>
            <w:r w:rsidRPr="00B31A07">
              <w:rPr>
                <w:rFonts w:ascii="Arial Narrow" w:eastAsia="Arial Narrow" w:hAnsi="Arial Narrow" w:cs="Arial Narrow"/>
                <w:b/>
                <w:bCs/>
                <w:color w:val="333333"/>
                <w:sz w:val="20"/>
                <w:szCs w:val="20"/>
              </w:rPr>
              <w:t>Administrative Advice:</w:t>
            </w:r>
          </w:p>
          <w:p w14:paraId="04E032DD" w14:textId="77777777" w:rsidR="00B31A07" w:rsidRPr="00B31A07" w:rsidRDefault="00B31A07" w:rsidP="00B31A07">
            <w:pPr>
              <w:jc w:val="left"/>
              <w:rPr>
                <w:rFonts w:ascii="Arial Narrow" w:eastAsia="Arial Narrow" w:hAnsi="Arial Narrow" w:cs="Arial Narrow"/>
                <w:color w:val="333333"/>
                <w:sz w:val="20"/>
                <w:szCs w:val="20"/>
              </w:rPr>
            </w:pPr>
            <w:r w:rsidRPr="00B31A07">
              <w:rPr>
                <w:rFonts w:ascii="Arial Narrow" w:eastAsia="Arial Narrow" w:hAnsi="Arial Narrow" w:cs="Arial Narrow"/>
                <w:color w:val="333333"/>
                <w:sz w:val="20"/>
                <w:szCs w:val="20"/>
              </w:rPr>
              <w:t>Any queries concerning the arrangements to prescribe may be directed to Services Australia on 1800 700 270 (hours of operation 8 a.m. to 5 p.m. Monday to Friday).</w:t>
            </w:r>
          </w:p>
          <w:p w14:paraId="280BFC36" w14:textId="77777777" w:rsidR="00B31A07" w:rsidRPr="00B31A07" w:rsidRDefault="00B31A07" w:rsidP="00B31A07">
            <w:pPr>
              <w:jc w:val="left"/>
              <w:rPr>
                <w:rFonts w:ascii="Arial Narrow" w:eastAsia="Arial Narrow" w:hAnsi="Arial Narrow" w:cs="Arial Narrow"/>
                <w:color w:val="0000FF" w:themeColor="hyperlink"/>
                <w:sz w:val="20"/>
                <w:szCs w:val="20"/>
                <w:u w:val="single"/>
              </w:rPr>
            </w:pPr>
            <w:r w:rsidRPr="00B31A07">
              <w:rPr>
                <w:rFonts w:ascii="Arial Narrow" w:eastAsia="Arial Narrow" w:hAnsi="Arial Narrow" w:cs="Arial Narrow"/>
                <w:color w:val="333333"/>
                <w:sz w:val="20"/>
                <w:szCs w:val="20"/>
              </w:rPr>
              <w:t xml:space="preserve">Prescribing information (including Authority Application forms and other relevant documentation as applicable) is available on the Services Australia website at </w:t>
            </w:r>
            <w:hyperlink r:id="rId16" w:history="1">
              <w:r w:rsidRPr="00B31A07">
                <w:rPr>
                  <w:rFonts w:ascii="Arial Narrow" w:eastAsia="Arial Narrow" w:hAnsi="Arial Narrow" w:cs="Arial Narrow"/>
                  <w:color w:val="0000FF" w:themeColor="hyperlink"/>
                  <w:sz w:val="20"/>
                  <w:szCs w:val="20"/>
                  <w:u w:val="single"/>
                </w:rPr>
                <w:t>www.servicesaustralia.gov.au</w:t>
              </w:r>
            </w:hyperlink>
          </w:p>
          <w:p w14:paraId="6ED778BC" w14:textId="77777777" w:rsidR="00B31A07" w:rsidRPr="00B31A07" w:rsidRDefault="00B31A07" w:rsidP="00B31A07">
            <w:pPr>
              <w:jc w:val="left"/>
              <w:rPr>
                <w:rFonts w:ascii="Arial Narrow" w:eastAsia="Arial Narrow" w:hAnsi="Arial Narrow" w:cs="Arial Narrow"/>
                <w:color w:val="0000FF" w:themeColor="hyperlink"/>
                <w:sz w:val="20"/>
                <w:szCs w:val="20"/>
                <w:u w:val="single"/>
              </w:rPr>
            </w:pPr>
            <w:r w:rsidRPr="00B31A07">
              <w:rPr>
                <w:rFonts w:ascii="Arial Narrow" w:eastAsia="Arial Narrow" w:hAnsi="Arial Narrow" w:cs="Arial Narrow"/>
                <w:color w:val="333333"/>
                <w:sz w:val="20"/>
                <w:szCs w:val="20"/>
              </w:rPr>
              <w:t xml:space="preserve">Applications for authority to prescribe should be submitted online using the form upload facility in Health Professional Online Services (HPOS) at </w:t>
            </w:r>
            <w:hyperlink r:id="rId17" w:history="1">
              <w:r w:rsidRPr="00B31A07">
                <w:rPr>
                  <w:rFonts w:ascii="Arial Narrow" w:eastAsia="Arial Narrow" w:hAnsi="Arial Narrow" w:cs="Arial Narrow"/>
                  <w:color w:val="0000FF" w:themeColor="hyperlink"/>
                  <w:sz w:val="20"/>
                  <w:szCs w:val="20"/>
                  <w:u w:val="single"/>
                </w:rPr>
                <w:t>www.servicesaustralia.gov.au/hpos</w:t>
              </w:r>
            </w:hyperlink>
          </w:p>
          <w:p w14:paraId="5B3FAB52" w14:textId="77777777" w:rsidR="00B31A07" w:rsidRPr="00B31A07" w:rsidRDefault="00B31A07" w:rsidP="00B31A07">
            <w:pPr>
              <w:jc w:val="left"/>
              <w:rPr>
                <w:rFonts w:ascii="Arial Narrow" w:eastAsia="Arial Narrow" w:hAnsi="Arial Narrow" w:cs="Arial Narrow"/>
                <w:color w:val="333333"/>
                <w:sz w:val="20"/>
                <w:szCs w:val="20"/>
              </w:rPr>
            </w:pPr>
            <w:r w:rsidRPr="00B31A07">
              <w:rPr>
                <w:rFonts w:ascii="Arial Narrow" w:eastAsia="Arial Narrow" w:hAnsi="Arial Narrow" w:cs="Arial Narrow"/>
                <w:color w:val="333333"/>
                <w:sz w:val="20"/>
                <w:szCs w:val="20"/>
              </w:rPr>
              <w:t>Or mailed to:</w:t>
            </w:r>
          </w:p>
          <w:p w14:paraId="349C5FB4" w14:textId="77777777" w:rsidR="00B31A07" w:rsidRPr="00B31A07" w:rsidRDefault="00B31A07" w:rsidP="00B31A07">
            <w:pPr>
              <w:jc w:val="left"/>
              <w:rPr>
                <w:rFonts w:ascii="Arial Narrow" w:eastAsia="Arial Narrow" w:hAnsi="Arial Narrow" w:cs="Arial Narrow"/>
                <w:color w:val="333333"/>
                <w:sz w:val="20"/>
                <w:szCs w:val="20"/>
              </w:rPr>
            </w:pPr>
            <w:r w:rsidRPr="00B31A07">
              <w:rPr>
                <w:rFonts w:ascii="Arial Narrow" w:eastAsia="Arial Narrow" w:hAnsi="Arial Narrow" w:cs="Arial Narrow"/>
                <w:color w:val="333333"/>
                <w:sz w:val="20"/>
                <w:szCs w:val="20"/>
              </w:rPr>
              <w:t>Services Australia</w:t>
            </w:r>
          </w:p>
          <w:p w14:paraId="6E1039FB" w14:textId="77777777" w:rsidR="00B31A07" w:rsidRPr="00B31A07" w:rsidRDefault="00B31A07" w:rsidP="00B31A07">
            <w:pPr>
              <w:jc w:val="left"/>
              <w:rPr>
                <w:rFonts w:ascii="Arial Narrow" w:eastAsia="Arial Narrow" w:hAnsi="Arial Narrow" w:cs="Arial Narrow"/>
                <w:color w:val="333333"/>
                <w:sz w:val="20"/>
                <w:szCs w:val="20"/>
              </w:rPr>
            </w:pPr>
            <w:r w:rsidRPr="00B31A07">
              <w:rPr>
                <w:rFonts w:ascii="Arial Narrow" w:eastAsia="Arial Narrow" w:hAnsi="Arial Narrow" w:cs="Arial Narrow"/>
                <w:color w:val="333333"/>
                <w:sz w:val="20"/>
                <w:szCs w:val="20"/>
              </w:rPr>
              <w:t>Complex Drugs</w:t>
            </w:r>
          </w:p>
          <w:p w14:paraId="7F8D37DC" w14:textId="77777777" w:rsidR="00B31A07" w:rsidRPr="00B31A07" w:rsidRDefault="00B31A07" w:rsidP="00B31A07">
            <w:pPr>
              <w:jc w:val="left"/>
              <w:rPr>
                <w:rFonts w:ascii="Arial Narrow" w:eastAsia="Arial Narrow" w:hAnsi="Arial Narrow" w:cs="Arial Narrow"/>
                <w:color w:val="333333"/>
                <w:sz w:val="20"/>
                <w:szCs w:val="20"/>
              </w:rPr>
            </w:pPr>
            <w:r w:rsidRPr="00B31A07">
              <w:rPr>
                <w:rFonts w:ascii="Arial Narrow" w:eastAsia="Arial Narrow" w:hAnsi="Arial Narrow" w:cs="Arial Narrow"/>
                <w:color w:val="333333"/>
                <w:sz w:val="20"/>
                <w:szCs w:val="20"/>
              </w:rPr>
              <w:t>Reply Paid 9826</w:t>
            </w:r>
          </w:p>
          <w:p w14:paraId="67A4DF7E" w14:textId="77777777" w:rsidR="00B31A07" w:rsidRPr="00B31A07" w:rsidRDefault="00B31A07" w:rsidP="00B31A07">
            <w:pPr>
              <w:jc w:val="left"/>
              <w:rPr>
                <w:rFonts w:ascii="Arial Narrow" w:eastAsia="Arial Narrow" w:hAnsi="Arial Narrow" w:cs="Arial Narrow"/>
                <w:color w:val="333333"/>
                <w:sz w:val="20"/>
                <w:szCs w:val="20"/>
              </w:rPr>
            </w:pPr>
            <w:r w:rsidRPr="00B31A07">
              <w:rPr>
                <w:rFonts w:ascii="Arial Narrow" w:eastAsia="Arial Narrow" w:hAnsi="Arial Narrow" w:cs="Arial Narrow"/>
                <w:color w:val="333333"/>
                <w:sz w:val="20"/>
                <w:szCs w:val="20"/>
              </w:rPr>
              <w:t>HOBART TAS 7001</w:t>
            </w:r>
          </w:p>
        </w:tc>
      </w:tr>
    </w:tbl>
    <w:p w14:paraId="26A89185" w14:textId="77777777" w:rsidR="00B31A07" w:rsidRPr="00B31A07" w:rsidRDefault="00B31A07" w:rsidP="00B31A07">
      <w:pPr>
        <w:rPr>
          <w:lang w:val="en-GB"/>
        </w:rPr>
      </w:pPr>
    </w:p>
    <w:p w14:paraId="2BE34FFE" w14:textId="77777777" w:rsidR="00B31A07" w:rsidRPr="00B31A07" w:rsidRDefault="00B31A07" w:rsidP="00B31A07">
      <w:pPr>
        <w:rPr>
          <w:b/>
          <w:i/>
          <w:iCs/>
          <w:snapToGrid w:val="0"/>
          <w:lang w:val="en-GB"/>
        </w:rPr>
      </w:pPr>
      <w:r w:rsidRPr="00B31A07">
        <w:rPr>
          <w:b/>
          <w:i/>
          <w:iCs/>
          <w:snapToGrid w:val="0"/>
          <w:lang w:val="en-GB"/>
        </w:rPr>
        <w:t>These restrictions may be subject to further review. Should there be any changes made to the restriction the sponsor will be informed.</w:t>
      </w:r>
    </w:p>
    <w:p w14:paraId="0601A6CC" w14:textId="77777777" w:rsidR="004E37BC" w:rsidRPr="004E37BC" w:rsidRDefault="004E37BC" w:rsidP="1797D1E5">
      <w:pPr>
        <w:keepNext/>
        <w:numPr>
          <w:ilvl w:val="0"/>
          <w:numId w:val="5"/>
        </w:numPr>
        <w:spacing w:before="240" w:after="120"/>
        <w:jc w:val="left"/>
        <w:outlineLvl w:val="0"/>
        <w:rPr>
          <w:rFonts w:asciiTheme="minorHAnsi" w:hAnsiTheme="minorHAnsi"/>
          <w:b/>
          <w:bCs/>
          <w:snapToGrid w:val="0"/>
          <w:sz w:val="32"/>
          <w:szCs w:val="32"/>
        </w:rPr>
      </w:pPr>
      <w:r w:rsidRPr="1797D1E5">
        <w:rPr>
          <w:rFonts w:asciiTheme="minorHAnsi" w:hAnsiTheme="minorHAnsi"/>
          <w:b/>
          <w:bCs/>
          <w:snapToGrid w:val="0"/>
          <w:sz w:val="32"/>
          <w:szCs w:val="32"/>
        </w:rPr>
        <w:lastRenderedPageBreak/>
        <w:t>Context for Decision</w:t>
      </w:r>
    </w:p>
    <w:p w14:paraId="086883A1" w14:textId="7CFF8240" w:rsidR="004E37BC" w:rsidRPr="004E37BC" w:rsidRDefault="004E37BC" w:rsidP="1797D1E5">
      <w:pPr>
        <w:spacing w:after="120"/>
        <w:ind w:left="720"/>
        <w:rPr>
          <w:rFonts w:eastAsia="Calibri" w:cstheme="minorBidi"/>
        </w:rPr>
      </w:pPr>
      <w:r w:rsidRPr="1797D1E5">
        <w:rPr>
          <w:rFonts w:eastAsia="Calibri" w:cstheme="minorBidi"/>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2C8E6EB6" w14:textId="77777777" w:rsidR="004E37BC" w:rsidRPr="004E37BC" w:rsidRDefault="004E37BC" w:rsidP="1797D1E5">
      <w:pPr>
        <w:keepNext/>
        <w:numPr>
          <w:ilvl w:val="0"/>
          <w:numId w:val="5"/>
        </w:numPr>
        <w:spacing w:before="240" w:after="120"/>
        <w:jc w:val="left"/>
        <w:outlineLvl w:val="0"/>
        <w:rPr>
          <w:rFonts w:asciiTheme="minorHAnsi" w:hAnsiTheme="minorHAnsi"/>
          <w:b/>
          <w:bCs/>
          <w:snapToGrid w:val="0"/>
          <w:sz w:val="32"/>
          <w:szCs w:val="32"/>
        </w:rPr>
      </w:pPr>
      <w:r w:rsidRPr="1797D1E5">
        <w:rPr>
          <w:rFonts w:asciiTheme="minorHAnsi" w:hAnsiTheme="minorHAnsi"/>
          <w:b/>
          <w:bCs/>
          <w:snapToGrid w:val="0"/>
          <w:sz w:val="32"/>
          <w:szCs w:val="32"/>
        </w:rPr>
        <w:t>Sponsor’s Comment</w:t>
      </w:r>
    </w:p>
    <w:p w14:paraId="38B32427" w14:textId="77777777" w:rsidR="00627E12" w:rsidRPr="00627E12" w:rsidRDefault="00B20CC6" w:rsidP="1797D1E5">
      <w:pPr>
        <w:spacing w:after="120" w:line="276" w:lineRule="auto"/>
        <w:ind w:left="720"/>
        <w:rPr>
          <w:rFonts w:eastAsia="Calibri" w:cstheme="minorBidi"/>
          <w:lang w:val="en-GB"/>
        </w:rPr>
      </w:pPr>
      <w:r w:rsidRPr="1797D1E5">
        <w:rPr>
          <w:rFonts w:eastAsia="Calibri" w:cstheme="minorBidi"/>
        </w:rPr>
        <w:t>Amgen is pleased that blinatumomab will soon be available on the PBS for the treatment of minimal residual disease (MRD) negative B-cell precursor acute lymphoblastic leukaemia (B-ALL) in patients with complete haematological remission.</w:t>
      </w:r>
    </w:p>
    <w:sectPr w:rsidR="00627E12" w:rsidRPr="00627E12" w:rsidSect="00834F2A">
      <w:headerReference w:type="default" r:id="rId18"/>
      <w:footerReference w:type="even" r:id="rId19"/>
      <w:footerReference w:type="default" r:id="rId20"/>
      <w:footerReference w:type="first" r:id="rId21"/>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1223A" w14:textId="77777777" w:rsidR="005D01E9" w:rsidRPr="00225248" w:rsidRDefault="005D01E9" w:rsidP="00124A51">
      <w:r w:rsidRPr="00225248">
        <w:separator/>
      </w:r>
    </w:p>
    <w:p w14:paraId="1FEAEE6D" w14:textId="77777777" w:rsidR="005D01E9" w:rsidRPr="00225248" w:rsidRDefault="005D01E9"/>
    <w:p w14:paraId="12C99FE5" w14:textId="77777777" w:rsidR="005D01E9" w:rsidRPr="00225248" w:rsidRDefault="005D01E9"/>
  </w:endnote>
  <w:endnote w:type="continuationSeparator" w:id="0">
    <w:p w14:paraId="338085E7" w14:textId="77777777" w:rsidR="005D01E9" w:rsidRPr="00225248" w:rsidRDefault="005D01E9" w:rsidP="00124A51">
      <w:r w:rsidRPr="00225248">
        <w:continuationSeparator/>
      </w:r>
    </w:p>
    <w:p w14:paraId="649DC7C8" w14:textId="77777777" w:rsidR="005D01E9" w:rsidRPr="00225248" w:rsidRDefault="005D01E9"/>
    <w:p w14:paraId="14062DD5" w14:textId="77777777" w:rsidR="005D01E9" w:rsidRPr="00225248" w:rsidRDefault="005D01E9"/>
  </w:endnote>
  <w:endnote w:type="continuationNotice" w:id="1">
    <w:p w14:paraId="771FA4C0" w14:textId="77777777" w:rsidR="005D01E9" w:rsidRDefault="005D01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70514" w14:textId="7F29CEC2" w:rsidR="00B85BC9" w:rsidRDefault="00B85BC9">
    <w:pPr>
      <w:pStyle w:val="Footer"/>
    </w:pPr>
    <w:r>
      <w:rPr>
        <w:noProof/>
      </w:rPr>
      <mc:AlternateContent>
        <mc:Choice Requires="wps">
          <w:drawing>
            <wp:anchor distT="0" distB="0" distL="0" distR="0" simplePos="0" relativeHeight="251658241" behindDoc="0" locked="0" layoutInCell="1" allowOverlap="1" wp14:anchorId="01EDDDD2" wp14:editId="2FD38DE2">
              <wp:simplePos x="635" y="635"/>
              <wp:positionH relativeFrom="page">
                <wp:align>center</wp:align>
              </wp:positionH>
              <wp:positionV relativeFrom="page">
                <wp:align>bottom</wp:align>
              </wp:positionV>
              <wp:extent cx="2339340" cy="345440"/>
              <wp:effectExtent l="0" t="0" r="3810" b="0"/>
              <wp:wrapNone/>
              <wp:docPr id="280242869" name="Text Box 2" descr="Internal Use Only General and Administra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39340" cy="345440"/>
                      </a:xfrm>
                      <a:prstGeom prst="rect">
                        <a:avLst/>
                      </a:prstGeom>
                      <a:noFill/>
                      <a:ln>
                        <a:noFill/>
                      </a:ln>
                    </wps:spPr>
                    <wps:txbx>
                      <w:txbxContent>
                        <w:p w14:paraId="2B583462" w14:textId="71DE62F3" w:rsidR="00B85BC9" w:rsidRPr="00B85BC9" w:rsidRDefault="00B85BC9" w:rsidP="00B85BC9">
                          <w:pPr>
                            <w:rPr>
                              <w:rFonts w:eastAsia="Calibri" w:cs="Calibri"/>
                              <w:noProof/>
                              <w:color w:val="000000"/>
                              <w:sz w:val="20"/>
                              <w:szCs w:val="20"/>
                            </w:rPr>
                          </w:pPr>
                          <w:r w:rsidRPr="00B85BC9">
                            <w:rPr>
                              <w:rFonts w:eastAsia="Calibri" w:cs="Calibri"/>
                              <w:noProof/>
                              <w:color w:val="000000"/>
                              <w:sz w:val="20"/>
                              <w:szCs w:val="20"/>
                            </w:rPr>
                            <w:t>Internal Use Only General and Administrative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EDDDD2" id="_x0000_t202" coordsize="21600,21600" o:spt="202" path="m,l,21600r21600,l21600,xe">
              <v:stroke joinstyle="miter"/>
              <v:path gradientshapeok="t" o:connecttype="rect"/>
            </v:shapetype>
            <v:shape id="Text Box 2" o:spid="_x0000_s1026" type="#_x0000_t202" alt="Internal Use Only General and Administrative" style="position:absolute;left:0;text-align:left;margin-left:0;margin-top:0;width:184.2pt;height:27.2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" filled="f" stroked="f">
              <v:textbox style="mso-fit-shape-to-text:t" inset="0,0,0,15pt">
                <w:txbxContent>
                  <w:p w14:paraId="2B583462" w14:textId="71DE62F3" w:rsidR="00B85BC9" w:rsidRPr="00B85BC9" w:rsidRDefault="00B85BC9" w:rsidP="00B85BC9">
                    <w:pPr>
                      <w:rPr>
                        <w:rFonts w:eastAsia="Calibri" w:cs="Calibri"/>
                        <w:noProof/>
                        <w:color w:val="000000"/>
                        <w:sz w:val="20"/>
                        <w:szCs w:val="20"/>
                      </w:rPr>
                    </w:pPr>
                    <w:r w:rsidRPr="00B85BC9">
                      <w:rPr>
                        <w:rFonts w:eastAsia="Calibri" w:cs="Calibri"/>
                        <w:noProof/>
                        <w:color w:val="000000"/>
                        <w:sz w:val="20"/>
                        <w:szCs w:val="20"/>
                      </w:rPr>
                      <w:t>Internal Use Only General and Administrative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6B9E1" w14:textId="1E7AADA4" w:rsidR="00733142" w:rsidRDefault="00733142" w:rsidP="00733142">
    <w:pPr>
      <w:keepNext/>
      <w:tabs>
        <w:tab w:val="center" w:pos="4513"/>
        <w:tab w:val="right" w:pos="9026"/>
      </w:tabs>
      <w:jc w:val="center"/>
      <w:rPr>
        <w:b/>
      </w:rPr>
    </w:pPr>
    <w:bookmarkStart w:id="91" w:name="_Hlk76375156"/>
  </w:p>
  <w:p w14:paraId="6C4092C2" w14:textId="750048EA" w:rsidR="00733142" w:rsidRPr="00733142" w:rsidRDefault="00733142" w:rsidP="00733142">
    <w:pPr>
      <w:keepNext/>
      <w:tabs>
        <w:tab w:val="center" w:pos="4513"/>
        <w:tab w:val="right" w:pos="9026"/>
      </w:tabs>
      <w:jc w:val="center"/>
      <w:rPr>
        <w:rFonts w:asciiTheme="minorHAnsi" w:hAnsiTheme="minorHAnsi"/>
      </w:rPr>
    </w:pPr>
    <w:r w:rsidRPr="00733142">
      <w:rPr>
        <w:b/>
      </w:rPr>
      <w:fldChar w:fldCharType="begin"/>
    </w:r>
    <w:r w:rsidRPr="00733142">
      <w:rPr>
        <w:b/>
      </w:rPr>
      <w:instrText xml:space="preserve"> PAGE   \* MERGEFORMAT </w:instrText>
    </w:r>
    <w:r w:rsidRPr="00733142">
      <w:rPr>
        <w:b/>
      </w:rPr>
      <w:fldChar w:fldCharType="separate"/>
    </w:r>
    <w:r w:rsidRPr="00733142">
      <w:rPr>
        <w:b/>
      </w:rPr>
      <w:t>1</w:t>
    </w:r>
    <w:r w:rsidRPr="00733142">
      <w:rPr>
        <w:b/>
        <w:noProof/>
      </w:rPr>
      <w:fldChar w:fldCharType="end"/>
    </w:r>
    <w:bookmarkEnd w:id="9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B87A5" w14:textId="03804041" w:rsidR="00B85BC9" w:rsidRDefault="00B85BC9">
    <w:pPr>
      <w:pStyle w:val="Footer"/>
    </w:pPr>
    <w:r>
      <w:rPr>
        <w:noProof/>
      </w:rPr>
      <mc:AlternateContent>
        <mc:Choice Requires="wps">
          <w:drawing>
            <wp:anchor distT="0" distB="0" distL="0" distR="0" simplePos="0" relativeHeight="251658240" behindDoc="0" locked="0" layoutInCell="1" allowOverlap="1" wp14:anchorId="6A2DB522" wp14:editId="75A70D0A">
              <wp:simplePos x="635" y="635"/>
              <wp:positionH relativeFrom="page">
                <wp:align>center</wp:align>
              </wp:positionH>
              <wp:positionV relativeFrom="page">
                <wp:align>bottom</wp:align>
              </wp:positionV>
              <wp:extent cx="2339340" cy="345440"/>
              <wp:effectExtent l="0" t="0" r="3810" b="0"/>
              <wp:wrapNone/>
              <wp:docPr id="1838251420" name="Text Box 1" descr="Internal Use Only General and Administra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39340" cy="345440"/>
                      </a:xfrm>
                      <a:prstGeom prst="rect">
                        <a:avLst/>
                      </a:prstGeom>
                      <a:noFill/>
                      <a:ln>
                        <a:noFill/>
                      </a:ln>
                    </wps:spPr>
                    <wps:txbx>
                      <w:txbxContent>
                        <w:p w14:paraId="57799413" w14:textId="6E327145" w:rsidR="00B85BC9" w:rsidRPr="00B85BC9" w:rsidRDefault="00B85BC9" w:rsidP="00B85BC9">
                          <w:pPr>
                            <w:rPr>
                              <w:rFonts w:eastAsia="Calibri" w:cs="Calibri"/>
                              <w:noProof/>
                              <w:color w:val="000000"/>
                              <w:sz w:val="20"/>
                              <w:szCs w:val="20"/>
                            </w:rPr>
                          </w:pPr>
                          <w:r w:rsidRPr="00B85BC9">
                            <w:rPr>
                              <w:rFonts w:eastAsia="Calibri" w:cs="Calibri"/>
                              <w:noProof/>
                              <w:color w:val="000000"/>
                              <w:sz w:val="20"/>
                              <w:szCs w:val="20"/>
                            </w:rPr>
                            <w:t>Internal Use Only General and Administrative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2DB522" id="_x0000_t202" coordsize="21600,21600" o:spt="202" path="m,l,21600r21600,l21600,xe">
              <v:stroke joinstyle="miter"/>
              <v:path gradientshapeok="t" o:connecttype="rect"/>
            </v:shapetype>
            <v:shape id="Text Box 1" o:spid="_x0000_s1027" type="#_x0000_t202" alt="Internal Use Only General and Administrative" style="position:absolute;left:0;text-align:left;margin-left:0;margin-top:0;width:184.2pt;height:27.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" filled="f" stroked="f">
              <v:textbox style="mso-fit-shape-to-text:t" inset="0,0,0,15pt">
                <w:txbxContent>
                  <w:p w14:paraId="57799413" w14:textId="6E327145" w:rsidR="00B85BC9" w:rsidRPr="00B85BC9" w:rsidRDefault="00B85BC9" w:rsidP="00B85BC9">
                    <w:pPr>
                      <w:rPr>
                        <w:rFonts w:eastAsia="Calibri" w:cs="Calibri"/>
                        <w:noProof/>
                        <w:color w:val="000000"/>
                        <w:sz w:val="20"/>
                        <w:szCs w:val="20"/>
                      </w:rPr>
                    </w:pPr>
                    <w:r w:rsidRPr="00B85BC9">
                      <w:rPr>
                        <w:rFonts w:eastAsia="Calibri" w:cs="Calibri"/>
                        <w:noProof/>
                        <w:color w:val="000000"/>
                        <w:sz w:val="20"/>
                        <w:szCs w:val="20"/>
                      </w:rPr>
                      <w:t>Internal Use Only General and Administrative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97894" w14:textId="77777777" w:rsidR="005D01E9" w:rsidRPr="00225248" w:rsidRDefault="005D01E9" w:rsidP="00124A51">
      <w:r w:rsidRPr="00225248">
        <w:separator/>
      </w:r>
    </w:p>
    <w:p w14:paraId="05B3AD06" w14:textId="77777777" w:rsidR="005D01E9" w:rsidRPr="00225248" w:rsidRDefault="005D01E9"/>
    <w:p w14:paraId="59016ED5" w14:textId="77777777" w:rsidR="005D01E9" w:rsidRPr="00225248" w:rsidRDefault="005D01E9"/>
  </w:footnote>
  <w:footnote w:type="continuationSeparator" w:id="0">
    <w:p w14:paraId="24EE825C" w14:textId="77777777" w:rsidR="005D01E9" w:rsidRPr="00225248" w:rsidRDefault="005D01E9" w:rsidP="00124A51">
      <w:r w:rsidRPr="00225248">
        <w:continuationSeparator/>
      </w:r>
    </w:p>
    <w:p w14:paraId="6D0BBE8A" w14:textId="77777777" w:rsidR="005D01E9" w:rsidRPr="00225248" w:rsidRDefault="005D01E9"/>
    <w:p w14:paraId="76999A08" w14:textId="77777777" w:rsidR="005D01E9" w:rsidRPr="00225248" w:rsidRDefault="005D01E9"/>
  </w:footnote>
  <w:footnote w:type="continuationNotice" w:id="1">
    <w:p w14:paraId="764572D9" w14:textId="77777777" w:rsidR="005D01E9" w:rsidRDefault="005D01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FC79B" w14:textId="2558530B" w:rsidR="00733142" w:rsidRPr="00CD3904" w:rsidRDefault="00934CA8" w:rsidP="00E31448">
    <w:pPr>
      <w:keepNext/>
      <w:tabs>
        <w:tab w:val="center" w:pos="4513"/>
        <w:tab w:val="right" w:pos="9026"/>
      </w:tabs>
      <w:jc w:val="center"/>
      <w:rPr>
        <w:rFonts w:asciiTheme="minorHAnsi" w:hAnsiTheme="minorHAnsi"/>
        <w:i/>
      </w:rPr>
    </w:pPr>
    <w:bookmarkStart w:id="90" w:name="_Hlk175733429"/>
    <w:r w:rsidRPr="00CD3904">
      <w:rPr>
        <w:rFonts w:asciiTheme="minorHAnsi" w:hAnsiTheme="minorHAnsi"/>
        <w:i/>
      </w:rPr>
      <w:t>Public Summary Document</w:t>
    </w:r>
    <w:bookmarkEnd w:id="90"/>
    <w:r w:rsidRPr="00CD3904">
      <w:rPr>
        <w:rFonts w:asciiTheme="minorHAnsi" w:hAnsiTheme="minorHAnsi"/>
        <w:i/>
      </w:rPr>
      <w:t xml:space="preserve"> </w:t>
    </w:r>
    <w:r w:rsidR="00733142" w:rsidRPr="00CD3904">
      <w:rPr>
        <w:rFonts w:asciiTheme="minorHAnsi" w:hAnsiTheme="minorHAnsi" w:cstheme="minorHAnsi"/>
        <w:i/>
      </w:rPr>
      <w:t xml:space="preserve">− </w:t>
    </w:r>
    <w:r w:rsidR="00733142" w:rsidRPr="00CD3904">
      <w:rPr>
        <w:rFonts w:asciiTheme="minorHAnsi" w:hAnsiTheme="minorHAnsi"/>
        <w:i/>
      </w:rPr>
      <w:t>July 2024 PBAC Meeting</w:t>
    </w:r>
    <w:r w:rsidR="004752C5" w:rsidRPr="00CD3904">
      <w:rPr>
        <w:rFonts w:asciiTheme="minorHAnsi" w:hAnsiTheme="minorHAnsi"/>
        <w:i/>
      </w:rPr>
      <w:t xml:space="preserve"> with November 2024 Addendum</w:t>
    </w:r>
  </w:p>
  <w:p w14:paraId="5A4DF7DF" w14:textId="782D180B" w:rsidR="00733142" w:rsidRDefault="00733142" w:rsidP="007331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2CA800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9E48C36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5D579E0"/>
    <w:multiLevelType w:val="hybridMultilevel"/>
    <w:tmpl w:val="8E42183C"/>
    <w:lvl w:ilvl="0" w:tplc="0C090001">
      <w:start w:val="1"/>
      <w:numFmt w:val="bullet"/>
      <w:lvlText w:val=""/>
      <w:lvlJc w:val="left"/>
      <w:pPr>
        <w:ind w:left="720" w:hanging="360"/>
      </w:pPr>
      <w:rPr>
        <w:rFonts w:ascii="Symbol" w:hAnsi="Symbol" w:hint="default"/>
      </w:rPr>
    </w:lvl>
    <w:lvl w:ilvl="1" w:tplc="782C8FFC">
      <w:start w:val="2"/>
      <w:numFmt w:val="bullet"/>
      <w:lvlText w:val="-"/>
      <w:lvlJc w:val="left"/>
      <w:pPr>
        <w:ind w:left="1440" w:hanging="360"/>
      </w:pPr>
      <w:rPr>
        <w:rFonts w:ascii="Arial" w:eastAsia="Times New Roman"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D31AC4"/>
    <w:multiLevelType w:val="hybridMultilevel"/>
    <w:tmpl w:val="304C5F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3B2AE4"/>
    <w:multiLevelType w:val="hybridMultilevel"/>
    <w:tmpl w:val="5F76B25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46E6C24"/>
    <w:multiLevelType w:val="hybridMultilevel"/>
    <w:tmpl w:val="D3BC9172"/>
    <w:lvl w:ilvl="0" w:tplc="F702CE46">
      <w:start w:val="1"/>
      <w:numFmt w:val="bullet"/>
      <w:lvlText w:val="-"/>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89119F2"/>
    <w:multiLevelType w:val="hybridMultilevel"/>
    <w:tmpl w:val="FF16A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DA7138"/>
    <w:multiLevelType w:val="hybridMultilevel"/>
    <w:tmpl w:val="4EC084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B219F8"/>
    <w:multiLevelType w:val="hybridMultilevel"/>
    <w:tmpl w:val="6CA0CEB4"/>
    <w:lvl w:ilvl="0" w:tplc="4F38898A">
      <w:start w:val="1"/>
      <w:numFmt w:val="bullet"/>
      <w:pStyle w:val="COMexecsummmainissuesbullets"/>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0650B6C"/>
    <w:multiLevelType w:val="hybridMultilevel"/>
    <w:tmpl w:val="7AC2DF1E"/>
    <w:lvl w:ilvl="0" w:tplc="F702CE46">
      <w:start w:val="1"/>
      <w:numFmt w:val="bullet"/>
      <w:lvlText w:val="-"/>
      <w:lvlJc w:val="left"/>
      <w:pPr>
        <w:ind w:left="0" w:hanging="360"/>
      </w:pPr>
      <w:rPr>
        <w:rFonts w:ascii="Courier New" w:hAnsi="Courier New"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3" w15:restartNumberingAfterBreak="0">
    <w:nsid w:val="234A063A"/>
    <w:multiLevelType w:val="hybridMultilevel"/>
    <w:tmpl w:val="4A948E22"/>
    <w:lvl w:ilvl="0" w:tplc="48203FE6">
      <w:start w:val="1"/>
      <w:numFmt w:val="bullet"/>
      <w:lvlText w:val=""/>
      <w:lvlJc w:val="left"/>
      <w:pPr>
        <w:ind w:left="829" w:hanging="360"/>
      </w:pPr>
      <w:rPr>
        <w:rFonts w:ascii="Symbol" w:hAnsi="Symbol" w:hint="default"/>
        <w:i w:val="0"/>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abstractNum w:abstractNumId="14"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9CA6DA7"/>
    <w:multiLevelType w:val="multilevel"/>
    <w:tmpl w:val="6D9A4EA2"/>
    <w:lvl w:ilvl="0">
      <w:start w:val="1"/>
      <w:numFmt w:val="bullet"/>
      <w:lvlText w:val=""/>
      <w:lvlJc w:val="left"/>
      <w:pPr>
        <w:ind w:left="720" w:hanging="720"/>
      </w:pPr>
      <w:rPr>
        <w:rFonts w:ascii="Symbol" w:hAnsi="Symbol" w:hint="default"/>
        <w:b/>
      </w:rPr>
    </w:lvl>
    <w:lvl w:ilvl="1">
      <w:start w:val="1"/>
      <w:numFmt w:val="bullet"/>
      <w:lvlText w:val=""/>
      <w:lvlJc w:val="left"/>
      <w:pPr>
        <w:ind w:left="1353"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595753"/>
    <w:multiLevelType w:val="hybridMultilevel"/>
    <w:tmpl w:val="A7E4676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433803B7"/>
    <w:multiLevelType w:val="hybridMultilevel"/>
    <w:tmpl w:val="53EE2C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4442297"/>
    <w:multiLevelType w:val="hybridMultilevel"/>
    <w:tmpl w:val="E6FE4E00"/>
    <w:lvl w:ilvl="0" w:tplc="C324F4FC">
      <w:start w:val="1"/>
      <w:numFmt w:val="bullet"/>
      <w:pStyle w:val="zz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8D67A6"/>
    <w:multiLevelType w:val="hybridMultilevel"/>
    <w:tmpl w:val="9392C98E"/>
    <w:lvl w:ilvl="0" w:tplc="8708BECA">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5D77EBE"/>
    <w:multiLevelType w:val="hybridMultilevel"/>
    <w:tmpl w:val="2E7C9CE4"/>
    <w:lvl w:ilvl="0" w:tplc="F702CE46">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B972BEF"/>
    <w:multiLevelType w:val="multilevel"/>
    <w:tmpl w:val="44A6E538"/>
    <w:lvl w:ilvl="0">
      <w:start w:val="1"/>
      <w:numFmt w:val="decimal"/>
      <w:lvlText w:val="%1"/>
      <w:lvlJc w:val="left"/>
      <w:pPr>
        <w:ind w:left="720" w:hanging="720"/>
      </w:pPr>
      <w:rPr>
        <w:rFonts w:hint="default"/>
        <w:b/>
      </w:rPr>
    </w:lvl>
    <w:lvl w:ilvl="1">
      <w:start w:val="1"/>
      <w:numFmt w:val="bullet"/>
      <w:lvlText w:val=""/>
      <w:lvlJc w:val="left"/>
      <w:pPr>
        <w:ind w:left="1353"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08B22C0"/>
    <w:multiLevelType w:val="hybridMultilevel"/>
    <w:tmpl w:val="0D142D34"/>
    <w:lvl w:ilvl="0" w:tplc="7D7201F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6"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7C652A"/>
    <w:multiLevelType w:val="hybridMultilevel"/>
    <w:tmpl w:val="BFC8F6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9523D7"/>
    <w:multiLevelType w:val="hybridMultilevel"/>
    <w:tmpl w:val="5C7A274E"/>
    <w:lvl w:ilvl="0" w:tplc="35D6D498">
      <w:start w:val="1"/>
      <w:numFmt w:val="bullet"/>
      <w:lvlText w:val=""/>
      <w:lvlJc w:val="left"/>
      <w:pPr>
        <w:ind w:left="1080" w:hanging="360"/>
      </w:pPr>
      <w:rPr>
        <w:rFonts w:ascii="Symbol" w:hAnsi="Symbol"/>
      </w:rPr>
    </w:lvl>
    <w:lvl w:ilvl="1" w:tplc="7420917A">
      <w:start w:val="1"/>
      <w:numFmt w:val="bullet"/>
      <w:lvlText w:val=""/>
      <w:lvlJc w:val="left"/>
      <w:pPr>
        <w:ind w:left="1080" w:hanging="360"/>
      </w:pPr>
      <w:rPr>
        <w:rFonts w:ascii="Symbol" w:hAnsi="Symbol"/>
      </w:rPr>
    </w:lvl>
    <w:lvl w:ilvl="2" w:tplc="99B68A60">
      <w:start w:val="1"/>
      <w:numFmt w:val="bullet"/>
      <w:lvlText w:val=""/>
      <w:lvlJc w:val="left"/>
      <w:pPr>
        <w:ind w:left="1080" w:hanging="360"/>
      </w:pPr>
      <w:rPr>
        <w:rFonts w:ascii="Symbol" w:hAnsi="Symbol"/>
      </w:rPr>
    </w:lvl>
    <w:lvl w:ilvl="3" w:tplc="2EEEB4CA">
      <w:start w:val="1"/>
      <w:numFmt w:val="bullet"/>
      <w:lvlText w:val=""/>
      <w:lvlJc w:val="left"/>
      <w:pPr>
        <w:ind w:left="1080" w:hanging="360"/>
      </w:pPr>
      <w:rPr>
        <w:rFonts w:ascii="Symbol" w:hAnsi="Symbol"/>
      </w:rPr>
    </w:lvl>
    <w:lvl w:ilvl="4" w:tplc="292862DE">
      <w:start w:val="1"/>
      <w:numFmt w:val="bullet"/>
      <w:lvlText w:val=""/>
      <w:lvlJc w:val="left"/>
      <w:pPr>
        <w:ind w:left="1080" w:hanging="360"/>
      </w:pPr>
      <w:rPr>
        <w:rFonts w:ascii="Symbol" w:hAnsi="Symbol"/>
      </w:rPr>
    </w:lvl>
    <w:lvl w:ilvl="5" w:tplc="5462CF72">
      <w:start w:val="1"/>
      <w:numFmt w:val="bullet"/>
      <w:lvlText w:val=""/>
      <w:lvlJc w:val="left"/>
      <w:pPr>
        <w:ind w:left="1080" w:hanging="360"/>
      </w:pPr>
      <w:rPr>
        <w:rFonts w:ascii="Symbol" w:hAnsi="Symbol"/>
      </w:rPr>
    </w:lvl>
    <w:lvl w:ilvl="6" w:tplc="BF20A990">
      <w:start w:val="1"/>
      <w:numFmt w:val="bullet"/>
      <w:lvlText w:val=""/>
      <w:lvlJc w:val="left"/>
      <w:pPr>
        <w:ind w:left="1080" w:hanging="360"/>
      </w:pPr>
      <w:rPr>
        <w:rFonts w:ascii="Symbol" w:hAnsi="Symbol"/>
      </w:rPr>
    </w:lvl>
    <w:lvl w:ilvl="7" w:tplc="A8DA4A0E">
      <w:start w:val="1"/>
      <w:numFmt w:val="bullet"/>
      <w:lvlText w:val=""/>
      <w:lvlJc w:val="left"/>
      <w:pPr>
        <w:ind w:left="1080" w:hanging="360"/>
      </w:pPr>
      <w:rPr>
        <w:rFonts w:ascii="Symbol" w:hAnsi="Symbol"/>
      </w:rPr>
    </w:lvl>
    <w:lvl w:ilvl="8" w:tplc="6FB6FF7E">
      <w:start w:val="1"/>
      <w:numFmt w:val="bullet"/>
      <w:lvlText w:val=""/>
      <w:lvlJc w:val="left"/>
      <w:pPr>
        <w:ind w:left="1080" w:hanging="360"/>
      </w:pPr>
      <w:rPr>
        <w:rFonts w:ascii="Symbol" w:hAnsi="Symbol"/>
      </w:rPr>
    </w:lvl>
  </w:abstractNum>
  <w:abstractNum w:abstractNumId="29" w15:restartNumberingAfterBreak="0">
    <w:nsid w:val="5FEA4D5C"/>
    <w:multiLevelType w:val="hybridMultilevel"/>
    <w:tmpl w:val="8E46ABF8"/>
    <w:lvl w:ilvl="0" w:tplc="D1BA7A40">
      <w:numFmt w:val="bullet"/>
      <w:lvlText w:val="-"/>
      <w:lvlJc w:val="left"/>
      <w:pPr>
        <w:ind w:left="720" w:hanging="360"/>
      </w:pPr>
      <w:rPr>
        <w:rFonts w:ascii="Arial Narrow" w:eastAsia="Times New Roman" w:hAnsi="Arial Narrow"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1" w15:restartNumberingAfterBreak="0">
    <w:nsid w:val="6AF22442"/>
    <w:multiLevelType w:val="hybridMultilevel"/>
    <w:tmpl w:val="9BA0DDB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E6D2352"/>
    <w:multiLevelType w:val="multilevel"/>
    <w:tmpl w:val="44A6E538"/>
    <w:lvl w:ilvl="0">
      <w:start w:val="1"/>
      <w:numFmt w:val="decimal"/>
      <w:lvlText w:val="%1"/>
      <w:lvlJc w:val="left"/>
      <w:pPr>
        <w:ind w:left="720" w:hanging="720"/>
      </w:pPr>
      <w:rPr>
        <w:rFonts w:hint="default"/>
        <w:b/>
      </w:rPr>
    </w:lvl>
    <w:lvl w:ilvl="1">
      <w:start w:val="1"/>
      <w:numFmt w:val="bullet"/>
      <w:lvlText w:val=""/>
      <w:lvlJc w:val="left"/>
      <w:pPr>
        <w:ind w:left="1353"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4802E0F"/>
    <w:multiLevelType w:val="hybridMultilevel"/>
    <w:tmpl w:val="6B68E2AE"/>
    <w:lvl w:ilvl="0" w:tplc="399A3B2E">
      <w:numFmt w:val="bullet"/>
      <w:lvlText w:val="-"/>
      <w:lvlJc w:val="left"/>
      <w:pPr>
        <w:ind w:left="360" w:hanging="360"/>
      </w:pPr>
      <w:rPr>
        <w:rFonts w:ascii="Calibri" w:eastAsia="Calibr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84D033C"/>
    <w:multiLevelType w:val="multilevel"/>
    <w:tmpl w:val="19D41DE8"/>
    <w:lvl w:ilvl="0">
      <w:start w:val="1"/>
      <w:numFmt w:val="decimal"/>
      <w:pStyle w:val="COMH1numbered"/>
      <w:lvlText w:val="%1"/>
      <w:lvlJc w:val="left"/>
      <w:pPr>
        <w:ind w:left="720" w:hanging="720"/>
      </w:pPr>
      <w:rPr>
        <w:rFonts w:hint="default"/>
        <w:b/>
      </w:rPr>
    </w:lvl>
    <w:lvl w:ilvl="1">
      <w:start w:val="1"/>
      <w:numFmt w:val="decimal"/>
      <w:pStyle w:val="COMexecsumnumberedpara"/>
      <w:lvlText w:val="%1.%2"/>
      <w:lvlJc w:val="left"/>
      <w:pPr>
        <w:ind w:left="1713" w:hanging="720"/>
      </w:pPr>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916064B"/>
    <w:multiLevelType w:val="hybridMultilevel"/>
    <w:tmpl w:val="E7D453BC"/>
    <w:lvl w:ilvl="0" w:tplc="58C8594A">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A5A14A4"/>
    <w:multiLevelType w:val="hybridMultilevel"/>
    <w:tmpl w:val="F08022EA"/>
    <w:lvl w:ilvl="0" w:tplc="546639F6">
      <w:start w:val="2024"/>
      <w:numFmt w:val="bullet"/>
      <w:lvlText w:val="-"/>
      <w:lvlJc w:val="left"/>
      <w:pPr>
        <w:ind w:left="720" w:hanging="360"/>
      </w:pPr>
      <w:rPr>
        <w:rFonts w:ascii="Arial Narrow" w:eastAsia="Times New Roman"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91708129">
    <w:abstractNumId w:val="35"/>
  </w:num>
  <w:num w:numId="2" w16cid:durableId="1945112723">
    <w:abstractNumId w:val="20"/>
  </w:num>
  <w:num w:numId="3" w16cid:durableId="1066798317">
    <w:abstractNumId w:val="21"/>
  </w:num>
  <w:num w:numId="4" w16cid:durableId="1461147165">
    <w:abstractNumId w:val="1"/>
  </w:num>
  <w:num w:numId="5" w16cid:durableId="128281367">
    <w:abstractNumId w:val="35"/>
  </w:num>
  <w:num w:numId="6" w16cid:durableId="53943619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7517018">
    <w:abstractNumId w:val="11"/>
  </w:num>
  <w:num w:numId="8" w16cid:durableId="32079546">
    <w:abstractNumId w:val="19"/>
  </w:num>
  <w:num w:numId="9" w16cid:durableId="1239053125">
    <w:abstractNumId w:val="24"/>
  </w:num>
  <w:num w:numId="10" w16cid:durableId="302269523">
    <w:abstractNumId w:val="9"/>
  </w:num>
  <w:num w:numId="11" w16cid:durableId="564028159">
    <w:abstractNumId w:val="29"/>
  </w:num>
  <w:num w:numId="12" w16cid:durableId="2115469127">
    <w:abstractNumId w:val="10"/>
  </w:num>
  <w:num w:numId="13" w16cid:durableId="474421543">
    <w:abstractNumId w:val="8"/>
  </w:num>
  <w:num w:numId="14" w16cid:durableId="2079785063">
    <w:abstractNumId w:val="12"/>
  </w:num>
  <w:num w:numId="15" w16cid:durableId="1016543289">
    <w:abstractNumId w:val="37"/>
  </w:num>
  <w:num w:numId="16" w16cid:durableId="1708138233">
    <w:abstractNumId w:val="3"/>
  </w:num>
  <w:num w:numId="17" w16cid:durableId="1114599138">
    <w:abstractNumId w:val="6"/>
  </w:num>
  <w:num w:numId="18" w16cid:durableId="1431507724">
    <w:abstractNumId w:val="22"/>
  </w:num>
  <w:num w:numId="19" w16cid:durableId="233512449">
    <w:abstractNumId w:val="34"/>
  </w:num>
  <w:num w:numId="20" w16cid:durableId="1524130765">
    <w:abstractNumId w:val="21"/>
  </w:num>
  <w:num w:numId="21" w16cid:durableId="446782013">
    <w:abstractNumId w:val="21"/>
  </w:num>
  <w:num w:numId="22" w16cid:durableId="467287693">
    <w:abstractNumId w:val="35"/>
  </w:num>
  <w:num w:numId="23" w16cid:durableId="1394693275">
    <w:abstractNumId w:val="13"/>
  </w:num>
  <w:num w:numId="24" w16cid:durableId="1561402253">
    <w:abstractNumId w:val="7"/>
  </w:num>
  <w:num w:numId="25" w16cid:durableId="717704995">
    <w:abstractNumId w:val="21"/>
  </w:num>
  <w:num w:numId="26" w16cid:durableId="2120758664">
    <w:abstractNumId w:val="31"/>
  </w:num>
  <w:num w:numId="27" w16cid:durableId="1886021351">
    <w:abstractNumId w:val="27"/>
  </w:num>
  <w:num w:numId="28" w16cid:durableId="1496646227">
    <w:abstractNumId w:val="11"/>
  </w:num>
  <w:num w:numId="29" w16cid:durableId="1602180721">
    <w:abstractNumId w:val="11"/>
  </w:num>
  <w:num w:numId="30" w16cid:durableId="1861040905">
    <w:abstractNumId w:val="11"/>
  </w:num>
  <w:num w:numId="31" w16cid:durableId="135949633">
    <w:abstractNumId w:val="36"/>
  </w:num>
  <w:num w:numId="32" w16cid:durableId="1241062020">
    <w:abstractNumId w:val="4"/>
  </w:num>
  <w:num w:numId="33" w16cid:durableId="232931715">
    <w:abstractNumId w:val="25"/>
  </w:num>
  <w:num w:numId="34" w16cid:durableId="1996104167">
    <w:abstractNumId w:val="26"/>
  </w:num>
  <w:num w:numId="35" w16cid:durableId="1476290865">
    <w:abstractNumId w:val="5"/>
  </w:num>
  <w:num w:numId="36" w16cid:durableId="1124075423">
    <w:abstractNumId w:val="2"/>
  </w:num>
  <w:num w:numId="37" w16cid:durableId="248928677">
    <w:abstractNumId w:val="15"/>
  </w:num>
  <w:num w:numId="38" w16cid:durableId="1526864793">
    <w:abstractNumId w:val="17"/>
  </w:num>
  <w:num w:numId="39" w16cid:durableId="2060351718">
    <w:abstractNumId w:val="14"/>
  </w:num>
  <w:num w:numId="40" w16cid:durableId="1297443176">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15116031">
    <w:abstractNumId w:val="32"/>
  </w:num>
  <w:num w:numId="42" w16cid:durableId="805588478">
    <w:abstractNumId w:val="21"/>
  </w:num>
  <w:num w:numId="43" w16cid:durableId="661814675">
    <w:abstractNumId w:val="21"/>
  </w:num>
  <w:num w:numId="44" w16cid:durableId="312299363">
    <w:abstractNumId w:val="28"/>
  </w:num>
  <w:num w:numId="45" w16cid:durableId="131335272">
    <w:abstractNumId w:val="18"/>
  </w:num>
  <w:num w:numId="46" w16cid:durableId="1016733845">
    <w:abstractNumId w:val="33"/>
  </w:num>
  <w:num w:numId="47" w16cid:durableId="1289893416">
    <w:abstractNumId w:val="23"/>
  </w:num>
  <w:num w:numId="48" w16cid:durableId="1743598739">
    <w:abstractNumId w:val="16"/>
  </w:num>
  <w:num w:numId="49" w16cid:durableId="1966885688">
    <w:abstractNumId w:val="0"/>
  </w:num>
  <w:num w:numId="50" w16cid:durableId="122120178">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E79"/>
    <w:rsid w:val="00000447"/>
    <w:rsid w:val="00000790"/>
    <w:rsid w:val="00000EC7"/>
    <w:rsid w:val="0000110B"/>
    <w:rsid w:val="0000174E"/>
    <w:rsid w:val="00001A25"/>
    <w:rsid w:val="00001D1E"/>
    <w:rsid w:val="00001F95"/>
    <w:rsid w:val="00002250"/>
    <w:rsid w:val="00002394"/>
    <w:rsid w:val="00002761"/>
    <w:rsid w:val="00002C02"/>
    <w:rsid w:val="00003499"/>
    <w:rsid w:val="0000350E"/>
    <w:rsid w:val="0000350F"/>
    <w:rsid w:val="000039B7"/>
    <w:rsid w:val="00003A79"/>
    <w:rsid w:val="00003A7A"/>
    <w:rsid w:val="000047C7"/>
    <w:rsid w:val="000049C2"/>
    <w:rsid w:val="00004B3E"/>
    <w:rsid w:val="000052B1"/>
    <w:rsid w:val="000056B9"/>
    <w:rsid w:val="0000639A"/>
    <w:rsid w:val="00006996"/>
    <w:rsid w:val="0000701B"/>
    <w:rsid w:val="000070C9"/>
    <w:rsid w:val="00007479"/>
    <w:rsid w:val="00007B95"/>
    <w:rsid w:val="00007F13"/>
    <w:rsid w:val="00010504"/>
    <w:rsid w:val="00010B3B"/>
    <w:rsid w:val="00010E16"/>
    <w:rsid w:val="00011095"/>
    <w:rsid w:val="00011271"/>
    <w:rsid w:val="000118FA"/>
    <w:rsid w:val="000120A9"/>
    <w:rsid w:val="00012520"/>
    <w:rsid w:val="000125D3"/>
    <w:rsid w:val="00012D6E"/>
    <w:rsid w:val="000131E3"/>
    <w:rsid w:val="00013247"/>
    <w:rsid w:val="000135DA"/>
    <w:rsid w:val="0001371D"/>
    <w:rsid w:val="00013F62"/>
    <w:rsid w:val="00014157"/>
    <w:rsid w:val="0001483A"/>
    <w:rsid w:val="00015886"/>
    <w:rsid w:val="000162EF"/>
    <w:rsid w:val="00016995"/>
    <w:rsid w:val="00016C46"/>
    <w:rsid w:val="00017527"/>
    <w:rsid w:val="00017616"/>
    <w:rsid w:val="00017E60"/>
    <w:rsid w:val="00020634"/>
    <w:rsid w:val="000207C9"/>
    <w:rsid w:val="00020C6A"/>
    <w:rsid w:val="00021DCF"/>
    <w:rsid w:val="00021E19"/>
    <w:rsid w:val="00021F20"/>
    <w:rsid w:val="0002225F"/>
    <w:rsid w:val="000226D8"/>
    <w:rsid w:val="00022EAC"/>
    <w:rsid w:val="00023763"/>
    <w:rsid w:val="00023AB6"/>
    <w:rsid w:val="00023C7B"/>
    <w:rsid w:val="00023D21"/>
    <w:rsid w:val="00024027"/>
    <w:rsid w:val="00024A10"/>
    <w:rsid w:val="00024CF2"/>
    <w:rsid w:val="00024EB5"/>
    <w:rsid w:val="00025156"/>
    <w:rsid w:val="00025FEB"/>
    <w:rsid w:val="00026331"/>
    <w:rsid w:val="00026479"/>
    <w:rsid w:val="00026825"/>
    <w:rsid w:val="00026ABD"/>
    <w:rsid w:val="000270CE"/>
    <w:rsid w:val="00027252"/>
    <w:rsid w:val="000274B8"/>
    <w:rsid w:val="00027665"/>
    <w:rsid w:val="00027835"/>
    <w:rsid w:val="00027C65"/>
    <w:rsid w:val="00030043"/>
    <w:rsid w:val="000302C8"/>
    <w:rsid w:val="000305A2"/>
    <w:rsid w:val="0003099F"/>
    <w:rsid w:val="000309D7"/>
    <w:rsid w:val="00031385"/>
    <w:rsid w:val="0003148B"/>
    <w:rsid w:val="00031642"/>
    <w:rsid w:val="0003194A"/>
    <w:rsid w:val="00031AD7"/>
    <w:rsid w:val="00031E61"/>
    <w:rsid w:val="000326C7"/>
    <w:rsid w:val="00032ACC"/>
    <w:rsid w:val="00032ACF"/>
    <w:rsid w:val="00032D7C"/>
    <w:rsid w:val="000332F1"/>
    <w:rsid w:val="00033863"/>
    <w:rsid w:val="00035DC0"/>
    <w:rsid w:val="000365F1"/>
    <w:rsid w:val="00036829"/>
    <w:rsid w:val="00036874"/>
    <w:rsid w:val="00036A2C"/>
    <w:rsid w:val="00036E18"/>
    <w:rsid w:val="000375BC"/>
    <w:rsid w:val="00040132"/>
    <w:rsid w:val="00040895"/>
    <w:rsid w:val="00040BBE"/>
    <w:rsid w:val="00040C12"/>
    <w:rsid w:val="00040D09"/>
    <w:rsid w:val="00040FE7"/>
    <w:rsid w:val="000410A0"/>
    <w:rsid w:val="000413D0"/>
    <w:rsid w:val="00041AC6"/>
    <w:rsid w:val="00041BCF"/>
    <w:rsid w:val="00041DCE"/>
    <w:rsid w:val="00041EA1"/>
    <w:rsid w:val="00041EBE"/>
    <w:rsid w:val="00041F9B"/>
    <w:rsid w:val="00041FCB"/>
    <w:rsid w:val="0004259D"/>
    <w:rsid w:val="00042BD9"/>
    <w:rsid w:val="000435EE"/>
    <w:rsid w:val="00043C37"/>
    <w:rsid w:val="00043C4F"/>
    <w:rsid w:val="00043E3B"/>
    <w:rsid w:val="00044428"/>
    <w:rsid w:val="00044526"/>
    <w:rsid w:val="00045017"/>
    <w:rsid w:val="00045A2B"/>
    <w:rsid w:val="00045EAA"/>
    <w:rsid w:val="0004698F"/>
    <w:rsid w:val="00046D64"/>
    <w:rsid w:val="00046DDD"/>
    <w:rsid w:val="000470BB"/>
    <w:rsid w:val="00047BD0"/>
    <w:rsid w:val="00047DFE"/>
    <w:rsid w:val="0005026D"/>
    <w:rsid w:val="00050506"/>
    <w:rsid w:val="000508C2"/>
    <w:rsid w:val="00050CDA"/>
    <w:rsid w:val="00050DD3"/>
    <w:rsid w:val="00050E04"/>
    <w:rsid w:val="000513EB"/>
    <w:rsid w:val="0005141E"/>
    <w:rsid w:val="00051A00"/>
    <w:rsid w:val="00051CCD"/>
    <w:rsid w:val="0005211F"/>
    <w:rsid w:val="0005253F"/>
    <w:rsid w:val="00052939"/>
    <w:rsid w:val="00052AAB"/>
    <w:rsid w:val="00052ECE"/>
    <w:rsid w:val="0005321A"/>
    <w:rsid w:val="000532B0"/>
    <w:rsid w:val="000538A5"/>
    <w:rsid w:val="000539D0"/>
    <w:rsid w:val="00053B0D"/>
    <w:rsid w:val="00053B49"/>
    <w:rsid w:val="00053EEA"/>
    <w:rsid w:val="00054621"/>
    <w:rsid w:val="000546D7"/>
    <w:rsid w:val="00054958"/>
    <w:rsid w:val="00054A3D"/>
    <w:rsid w:val="00054A3E"/>
    <w:rsid w:val="00054A8D"/>
    <w:rsid w:val="00054BCA"/>
    <w:rsid w:val="00054C7E"/>
    <w:rsid w:val="00054F3A"/>
    <w:rsid w:val="000552E9"/>
    <w:rsid w:val="0005689B"/>
    <w:rsid w:val="000569FA"/>
    <w:rsid w:val="00056ECF"/>
    <w:rsid w:val="00057353"/>
    <w:rsid w:val="00057DE6"/>
    <w:rsid w:val="000604DF"/>
    <w:rsid w:val="000619BE"/>
    <w:rsid w:val="00062324"/>
    <w:rsid w:val="000623DE"/>
    <w:rsid w:val="00062709"/>
    <w:rsid w:val="00063287"/>
    <w:rsid w:val="00063B2B"/>
    <w:rsid w:val="00063BC3"/>
    <w:rsid w:val="000646ED"/>
    <w:rsid w:val="000648BA"/>
    <w:rsid w:val="000653B5"/>
    <w:rsid w:val="0006546A"/>
    <w:rsid w:val="0006561A"/>
    <w:rsid w:val="00065CFA"/>
    <w:rsid w:val="000660C2"/>
    <w:rsid w:val="00066360"/>
    <w:rsid w:val="000665AF"/>
    <w:rsid w:val="00066AF8"/>
    <w:rsid w:val="00067193"/>
    <w:rsid w:val="00067D7A"/>
    <w:rsid w:val="00067FB6"/>
    <w:rsid w:val="00070399"/>
    <w:rsid w:val="00070D99"/>
    <w:rsid w:val="00071248"/>
    <w:rsid w:val="000713F2"/>
    <w:rsid w:val="000714F9"/>
    <w:rsid w:val="00071B18"/>
    <w:rsid w:val="00071CB0"/>
    <w:rsid w:val="000720B9"/>
    <w:rsid w:val="00072EF5"/>
    <w:rsid w:val="00072FC2"/>
    <w:rsid w:val="000730ED"/>
    <w:rsid w:val="00073113"/>
    <w:rsid w:val="000737F7"/>
    <w:rsid w:val="000740E4"/>
    <w:rsid w:val="00074214"/>
    <w:rsid w:val="0007441B"/>
    <w:rsid w:val="000744CC"/>
    <w:rsid w:val="000747B5"/>
    <w:rsid w:val="000747CD"/>
    <w:rsid w:val="0007489A"/>
    <w:rsid w:val="00074FCE"/>
    <w:rsid w:val="000758A6"/>
    <w:rsid w:val="00075AB4"/>
    <w:rsid w:val="00076617"/>
    <w:rsid w:val="000766EB"/>
    <w:rsid w:val="0007672F"/>
    <w:rsid w:val="00076774"/>
    <w:rsid w:val="00076A6C"/>
    <w:rsid w:val="00076B54"/>
    <w:rsid w:val="00076CDE"/>
    <w:rsid w:val="00076F2A"/>
    <w:rsid w:val="000774F0"/>
    <w:rsid w:val="000775A4"/>
    <w:rsid w:val="00077B20"/>
    <w:rsid w:val="00080309"/>
    <w:rsid w:val="000806E9"/>
    <w:rsid w:val="00080909"/>
    <w:rsid w:val="00080C38"/>
    <w:rsid w:val="00080DCB"/>
    <w:rsid w:val="00080F46"/>
    <w:rsid w:val="00081197"/>
    <w:rsid w:val="0008119C"/>
    <w:rsid w:val="000812CA"/>
    <w:rsid w:val="00081CA9"/>
    <w:rsid w:val="00081E63"/>
    <w:rsid w:val="00082059"/>
    <w:rsid w:val="0008258D"/>
    <w:rsid w:val="000831C8"/>
    <w:rsid w:val="00083E99"/>
    <w:rsid w:val="00084FA8"/>
    <w:rsid w:val="000856C5"/>
    <w:rsid w:val="0008583D"/>
    <w:rsid w:val="00085B02"/>
    <w:rsid w:val="00085C31"/>
    <w:rsid w:val="00085C62"/>
    <w:rsid w:val="000860CA"/>
    <w:rsid w:val="00086133"/>
    <w:rsid w:val="00086E10"/>
    <w:rsid w:val="000875B6"/>
    <w:rsid w:val="00087D8D"/>
    <w:rsid w:val="00087DB9"/>
    <w:rsid w:val="000902D9"/>
    <w:rsid w:val="00090ABC"/>
    <w:rsid w:val="00090BE9"/>
    <w:rsid w:val="00090C7E"/>
    <w:rsid w:val="000911AC"/>
    <w:rsid w:val="00091C16"/>
    <w:rsid w:val="000923AD"/>
    <w:rsid w:val="00092471"/>
    <w:rsid w:val="00092600"/>
    <w:rsid w:val="0009262B"/>
    <w:rsid w:val="000928D7"/>
    <w:rsid w:val="000930AB"/>
    <w:rsid w:val="00093310"/>
    <w:rsid w:val="000936FD"/>
    <w:rsid w:val="00094269"/>
    <w:rsid w:val="0009445C"/>
    <w:rsid w:val="00094E14"/>
    <w:rsid w:val="00094F33"/>
    <w:rsid w:val="00094FFB"/>
    <w:rsid w:val="00095200"/>
    <w:rsid w:val="00095273"/>
    <w:rsid w:val="0009559D"/>
    <w:rsid w:val="00095B65"/>
    <w:rsid w:val="00095D28"/>
    <w:rsid w:val="00095FE5"/>
    <w:rsid w:val="00096284"/>
    <w:rsid w:val="000966E5"/>
    <w:rsid w:val="00096BF3"/>
    <w:rsid w:val="00096E1C"/>
    <w:rsid w:val="000973F3"/>
    <w:rsid w:val="00097879"/>
    <w:rsid w:val="000A0A04"/>
    <w:rsid w:val="000A0B32"/>
    <w:rsid w:val="000A1185"/>
    <w:rsid w:val="000A1984"/>
    <w:rsid w:val="000A1B73"/>
    <w:rsid w:val="000A1BC0"/>
    <w:rsid w:val="000A243B"/>
    <w:rsid w:val="000A2F9E"/>
    <w:rsid w:val="000A334D"/>
    <w:rsid w:val="000A376F"/>
    <w:rsid w:val="000A3A39"/>
    <w:rsid w:val="000A3E47"/>
    <w:rsid w:val="000A4005"/>
    <w:rsid w:val="000A43EF"/>
    <w:rsid w:val="000A44BF"/>
    <w:rsid w:val="000A4FC8"/>
    <w:rsid w:val="000A522B"/>
    <w:rsid w:val="000A526F"/>
    <w:rsid w:val="000A52F0"/>
    <w:rsid w:val="000A5BBD"/>
    <w:rsid w:val="000A6039"/>
    <w:rsid w:val="000A6155"/>
    <w:rsid w:val="000A6298"/>
    <w:rsid w:val="000A6570"/>
    <w:rsid w:val="000A6D04"/>
    <w:rsid w:val="000A7453"/>
    <w:rsid w:val="000A74C3"/>
    <w:rsid w:val="000A773A"/>
    <w:rsid w:val="000A7D08"/>
    <w:rsid w:val="000B0121"/>
    <w:rsid w:val="000B0670"/>
    <w:rsid w:val="000B08B2"/>
    <w:rsid w:val="000B0B68"/>
    <w:rsid w:val="000B0E75"/>
    <w:rsid w:val="000B1468"/>
    <w:rsid w:val="000B14A2"/>
    <w:rsid w:val="000B2621"/>
    <w:rsid w:val="000B2DCB"/>
    <w:rsid w:val="000B312A"/>
    <w:rsid w:val="000B32C4"/>
    <w:rsid w:val="000B3B38"/>
    <w:rsid w:val="000B4216"/>
    <w:rsid w:val="000B4812"/>
    <w:rsid w:val="000B5934"/>
    <w:rsid w:val="000B5CE0"/>
    <w:rsid w:val="000B6CAC"/>
    <w:rsid w:val="000B7612"/>
    <w:rsid w:val="000B78AE"/>
    <w:rsid w:val="000B7D29"/>
    <w:rsid w:val="000C0AE5"/>
    <w:rsid w:val="000C1A63"/>
    <w:rsid w:val="000C1BD3"/>
    <w:rsid w:val="000C2031"/>
    <w:rsid w:val="000C2516"/>
    <w:rsid w:val="000C274C"/>
    <w:rsid w:val="000C2767"/>
    <w:rsid w:val="000C39F9"/>
    <w:rsid w:val="000C3DF9"/>
    <w:rsid w:val="000C4171"/>
    <w:rsid w:val="000C44CA"/>
    <w:rsid w:val="000C4CF2"/>
    <w:rsid w:val="000C524A"/>
    <w:rsid w:val="000C52A7"/>
    <w:rsid w:val="000C5567"/>
    <w:rsid w:val="000C55E0"/>
    <w:rsid w:val="000C57ED"/>
    <w:rsid w:val="000C5C03"/>
    <w:rsid w:val="000C628B"/>
    <w:rsid w:val="000C6379"/>
    <w:rsid w:val="000C6583"/>
    <w:rsid w:val="000C6713"/>
    <w:rsid w:val="000C6A29"/>
    <w:rsid w:val="000C6CCB"/>
    <w:rsid w:val="000C6D4B"/>
    <w:rsid w:val="000C6FA2"/>
    <w:rsid w:val="000C7E2B"/>
    <w:rsid w:val="000D08D6"/>
    <w:rsid w:val="000D0A24"/>
    <w:rsid w:val="000D13FF"/>
    <w:rsid w:val="000D1836"/>
    <w:rsid w:val="000D1856"/>
    <w:rsid w:val="000D1BFC"/>
    <w:rsid w:val="000D1C13"/>
    <w:rsid w:val="000D1D5D"/>
    <w:rsid w:val="000D1E20"/>
    <w:rsid w:val="000D2375"/>
    <w:rsid w:val="000D2744"/>
    <w:rsid w:val="000D281A"/>
    <w:rsid w:val="000D2848"/>
    <w:rsid w:val="000D29AF"/>
    <w:rsid w:val="000D2FDB"/>
    <w:rsid w:val="000D326A"/>
    <w:rsid w:val="000D3521"/>
    <w:rsid w:val="000D3983"/>
    <w:rsid w:val="000D4262"/>
    <w:rsid w:val="000D49CE"/>
    <w:rsid w:val="000D512C"/>
    <w:rsid w:val="000D51A7"/>
    <w:rsid w:val="000D51FB"/>
    <w:rsid w:val="000D541A"/>
    <w:rsid w:val="000D55F3"/>
    <w:rsid w:val="000D5A2B"/>
    <w:rsid w:val="000D6DDC"/>
    <w:rsid w:val="000D6F91"/>
    <w:rsid w:val="000D74E8"/>
    <w:rsid w:val="000D7C4C"/>
    <w:rsid w:val="000D7E8C"/>
    <w:rsid w:val="000E033B"/>
    <w:rsid w:val="000E045D"/>
    <w:rsid w:val="000E0640"/>
    <w:rsid w:val="000E075A"/>
    <w:rsid w:val="000E098D"/>
    <w:rsid w:val="000E0C37"/>
    <w:rsid w:val="000E135D"/>
    <w:rsid w:val="000E1B99"/>
    <w:rsid w:val="000E2CBA"/>
    <w:rsid w:val="000E3889"/>
    <w:rsid w:val="000E3960"/>
    <w:rsid w:val="000E4448"/>
    <w:rsid w:val="000E4B5B"/>
    <w:rsid w:val="000E4C01"/>
    <w:rsid w:val="000E4E8A"/>
    <w:rsid w:val="000E6A34"/>
    <w:rsid w:val="000E7B9C"/>
    <w:rsid w:val="000E7C79"/>
    <w:rsid w:val="000F00BA"/>
    <w:rsid w:val="000F0875"/>
    <w:rsid w:val="000F1B1C"/>
    <w:rsid w:val="000F26E1"/>
    <w:rsid w:val="000F2733"/>
    <w:rsid w:val="000F2D5C"/>
    <w:rsid w:val="000F316A"/>
    <w:rsid w:val="000F3428"/>
    <w:rsid w:val="000F3C74"/>
    <w:rsid w:val="000F3FDB"/>
    <w:rsid w:val="000F4051"/>
    <w:rsid w:val="000F446B"/>
    <w:rsid w:val="000F4BB8"/>
    <w:rsid w:val="000F4FA9"/>
    <w:rsid w:val="000F4FB4"/>
    <w:rsid w:val="000F53FB"/>
    <w:rsid w:val="000F541A"/>
    <w:rsid w:val="000F56AD"/>
    <w:rsid w:val="000F56F2"/>
    <w:rsid w:val="000F57C8"/>
    <w:rsid w:val="000F60AA"/>
    <w:rsid w:val="000F69AA"/>
    <w:rsid w:val="000F6A36"/>
    <w:rsid w:val="000F7127"/>
    <w:rsid w:val="000F7AD8"/>
    <w:rsid w:val="000F7B54"/>
    <w:rsid w:val="001000B3"/>
    <w:rsid w:val="001004EE"/>
    <w:rsid w:val="001005E7"/>
    <w:rsid w:val="00100B91"/>
    <w:rsid w:val="00100F8A"/>
    <w:rsid w:val="00101747"/>
    <w:rsid w:val="001018E2"/>
    <w:rsid w:val="001019B8"/>
    <w:rsid w:val="00101B30"/>
    <w:rsid w:val="00101F55"/>
    <w:rsid w:val="0010235B"/>
    <w:rsid w:val="00102766"/>
    <w:rsid w:val="001028EA"/>
    <w:rsid w:val="00102BEB"/>
    <w:rsid w:val="00103415"/>
    <w:rsid w:val="00103C81"/>
    <w:rsid w:val="00104191"/>
    <w:rsid w:val="00104378"/>
    <w:rsid w:val="0010452E"/>
    <w:rsid w:val="00104D28"/>
    <w:rsid w:val="00104F1D"/>
    <w:rsid w:val="001054B6"/>
    <w:rsid w:val="00105AE2"/>
    <w:rsid w:val="00105EDB"/>
    <w:rsid w:val="001060C6"/>
    <w:rsid w:val="0010644E"/>
    <w:rsid w:val="00106A20"/>
    <w:rsid w:val="00106B80"/>
    <w:rsid w:val="00106B86"/>
    <w:rsid w:val="00106D48"/>
    <w:rsid w:val="00106FB5"/>
    <w:rsid w:val="0010712D"/>
    <w:rsid w:val="001071FD"/>
    <w:rsid w:val="0011008D"/>
    <w:rsid w:val="0011032E"/>
    <w:rsid w:val="00110434"/>
    <w:rsid w:val="00110AD4"/>
    <w:rsid w:val="001110DC"/>
    <w:rsid w:val="00111838"/>
    <w:rsid w:val="00112883"/>
    <w:rsid w:val="00112C2E"/>
    <w:rsid w:val="001131D6"/>
    <w:rsid w:val="0011348B"/>
    <w:rsid w:val="00113753"/>
    <w:rsid w:val="001138FD"/>
    <w:rsid w:val="00113919"/>
    <w:rsid w:val="00113C55"/>
    <w:rsid w:val="001140A5"/>
    <w:rsid w:val="00114548"/>
    <w:rsid w:val="001145C5"/>
    <w:rsid w:val="00114D5B"/>
    <w:rsid w:val="001155C7"/>
    <w:rsid w:val="00115982"/>
    <w:rsid w:val="00115B67"/>
    <w:rsid w:val="00115EF6"/>
    <w:rsid w:val="0011699E"/>
    <w:rsid w:val="00116C53"/>
    <w:rsid w:val="00116CAB"/>
    <w:rsid w:val="001174ED"/>
    <w:rsid w:val="001205D5"/>
    <w:rsid w:val="00120F2D"/>
    <w:rsid w:val="00121799"/>
    <w:rsid w:val="001222FC"/>
    <w:rsid w:val="00122888"/>
    <w:rsid w:val="00122A78"/>
    <w:rsid w:val="00122DCA"/>
    <w:rsid w:val="001238E7"/>
    <w:rsid w:val="00123902"/>
    <w:rsid w:val="00123C67"/>
    <w:rsid w:val="00124A51"/>
    <w:rsid w:val="00124BDA"/>
    <w:rsid w:val="00124D00"/>
    <w:rsid w:val="0012565E"/>
    <w:rsid w:val="00125809"/>
    <w:rsid w:val="00125DE4"/>
    <w:rsid w:val="00126621"/>
    <w:rsid w:val="00126B1D"/>
    <w:rsid w:val="0012740A"/>
    <w:rsid w:val="00127C4F"/>
    <w:rsid w:val="00127D0C"/>
    <w:rsid w:val="00127FC5"/>
    <w:rsid w:val="001301E9"/>
    <w:rsid w:val="00130695"/>
    <w:rsid w:val="00130CF1"/>
    <w:rsid w:val="00131189"/>
    <w:rsid w:val="00131D82"/>
    <w:rsid w:val="0013233A"/>
    <w:rsid w:val="00132632"/>
    <w:rsid w:val="00132B22"/>
    <w:rsid w:val="00133CA8"/>
    <w:rsid w:val="00133D36"/>
    <w:rsid w:val="001344D2"/>
    <w:rsid w:val="00134655"/>
    <w:rsid w:val="00136E10"/>
    <w:rsid w:val="00137645"/>
    <w:rsid w:val="0014015A"/>
    <w:rsid w:val="0014036B"/>
    <w:rsid w:val="001406D2"/>
    <w:rsid w:val="00140E99"/>
    <w:rsid w:val="00141421"/>
    <w:rsid w:val="00141618"/>
    <w:rsid w:val="0014186B"/>
    <w:rsid w:val="00141FC2"/>
    <w:rsid w:val="0014209A"/>
    <w:rsid w:val="0014315A"/>
    <w:rsid w:val="001432C1"/>
    <w:rsid w:val="00143586"/>
    <w:rsid w:val="00143631"/>
    <w:rsid w:val="00143BFF"/>
    <w:rsid w:val="00143C8B"/>
    <w:rsid w:val="00143F67"/>
    <w:rsid w:val="001446DD"/>
    <w:rsid w:val="0014519D"/>
    <w:rsid w:val="00145234"/>
    <w:rsid w:val="00145540"/>
    <w:rsid w:val="001456B0"/>
    <w:rsid w:val="00145979"/>
    <w:rsid w:val="00145F1F"/>
    <w:rsid w:val="0014607F"/>
    <w:rsid w:val="00146982"/>
    <w:rsid w:val="00146A3D"/>
    <w:rsid w:val="00146E77"/>
    <w:rsid w:val="0014749D"/>
    <w:rsid w:val="001474E2"/>
    <w:rsid w:val="00147751"/>
    <w:rsid w:val="0014786B"/>
    <w:rsid w:val="00147EE1"/>
    <w:rsid w:val="00147F20"/>
    <w:rsid w:val="00150400"/>
    <w:rsid w:val="00150A4E"/>
    <w:rsid w:val="001512A5"/>
    <w:rsid w:val="001517DA"/>
    <w:rsid w:val="00152291"/>
    <w:rsid w:val="001526AC"/>
    <w:rsid w:val="001536CA"/>
    <w:rsid w:val="00154050"/>
    <w:rsid w:val="001544A0"/>
    <w:rsid w:val="001547AB"/>
    <w:rsid w:val="00154964"/>
    <w:rsid w:val="00154B59"/>
    <w:rsid w:val="00155B92"/>
    <w:rsid w:val="00155DDD"/>
    <w:rsid w:val="00156355"/>
    <w:rsid w:val="00156F8F"/>
    <w:rsid w:val="00157130"/>
    <w:rsid w:val="001576B1"/>
    <w:rsid w:val="0016047B"/>
    <w:rsid w:val="00160A4C"/>
    <w:rsid w:val="00161262"/>
    <w:rsid w:val="00162913"/>
    <w:rsid w:val="00163263"/>
    <w:rsid w:val="00163ADC"/>
    <w:rsid w:val="00163BEC"/>
    <w:rsid w:val="00163E81"/>
    <w:rsid w:val="00163EFF"/>
    <w:rsid w:val="00163F66"/>
    <w:rsid w:val="00164514"/>
    <w:rsid w:val="0016478E"/>
    <w:rsid w:val="001647A6"/>
    <w:rsid w:val="00164E92"/>
    <w:rsid w:val="0016510A"/>
    <w:rsid w:val="00165EC4"/>
    <w:rsid w:val="001661FB"/>
    <w:rsid w:val="001664F2"/>
    <w:rsid w:val="00166887"/>
    <w:rsid w:val="00166E8F"/>
    <w:rsid w:val="001671A0"/>
    <w:rsid w:val="001675A4"/>
    <w:rsid w:val="0016767F"/>
    <w:rsid w:val="00167B43"/>
    <w:rsid w:val="001709AC"/>
    <w:rsid w:val="00170BD3"/>
    <w:rsid w:val="00170CDA"/>
    <w:rsid w:val="00170E98"/>
    <w:rsid w:val="00170EE8"/>
    <w:rsid w:val="00171BB7"/>
    <w:rsid w:val="00171F12"/>
    <w:rsid w:val="00171F41"/>
    <w:rsid w:val="00172C04"/>
    <w:rsid w:val="001733B3"/>
    <w:rsid w:val="00173565"/>
    <w:rsid w:val="001738EE"/>
    <w:rsid w:val="00173B07"/>
    <w:rsid w:val="00173F79"/>
    <w:rsid w:val="00174757"/>
    <w:rsid w:val="001751FA"/>
    <w:rsid w:val="0017600A"/>
    <w:rsid w:val="0017617B"/>
    <w:rsid w:val="0017648F"/>
    <w:rsid w:val="00176D85"/>
    <w:rsid w:val="00177214"/>
    <w:rsid w:val="00177EC9"/>
    <w:rsid w:val="00180544"/>
    <w:rsid w:val="0018059E"/>
    <w:rsid w:val="00180691"/>
    <w:rsid w:val="0018093C"/>
    <w:rsid w:val="001809DE"/>
    <w:rsid w:val="00180B03"/>
    <w:rsid w:val="00181B82"/>
    <w:rsid w:val="00181C10"/>
    <w:rsid w:val="00181D9C"/>
    <w:rsid w:val="001822C7"/>
    <w:rsid w:val="0018327D"/>
    <w:rsid w:val="001837FF"/>
    <w:rsid w:val="00183857"/>
    <w:rsid w:val="00183A3F"/>
    <w:rsid w:val="00183CEA"/>
    <w:rsid w:val="001844E2"/>
    <w:rsid w:val="00184B0E"/>
    <w:rsid w:val="00184BD5"/>
    <w:rsid w:val="00185488"/>
    <w:rsid w:val="00185F56"/>
    <w:rsid w:val="001860DE"/>
    <w:rsid w:val="00186835"/>
    <w:rsid w:val="001871EB"/>
    <w:rsid w:val="001872AE"/>
    <w:rsid w:val="0018752F"/>
    <w:rsid w:val="00187B27"/>
    <w:rsid w:val="00187C7C"/>
    <w:rsid w:val="00187EA1"/>
    <w:rsid w:val="00190905"/>
    <w:rsid w:val="00190CB6"/>
    <w:rsid w:val="0019168D"/>
    <w:rsid w:val="00191E82"/>
    <w:rsid w:val="001923DC"/>
    <w:rsid w:val="001929BD"/>
    <w:rsid w:val="00193685"/>
    <w:rsid w:val="001937E5"/>
    <w:rsid w:val="00193838"/>
    <w:rsid w:val="001948AF"/>
    <w:rsid w:val="00194AD8"/>
    <w:rsid w:val="00194BB4"/>
    <w:rsid w:val="00194C70"/>
    <w:rsid w:val="00194D08"/>
    <w:rsid w:val="00194E22"/>
    <w:rsid w:val="00194EA8"/>
    <w:rsid w:val="001951A6"/>
    <w:rsid w:val="00195222"/>
    <w:rsid w:val="00195452"/>
    <w:rsid w:val="001955F3"/>
    <w:rsid w:val="00195916"/>
    <w:rsid w:val="00195FD6"/>
    <w:rsid w:val="0019611A"/>
    <w:rsid w:val="001966B2"/>
    <w:rsid w:val="00196878"/>
    <w:rsid w:val="00196B24"/>
    <w:rsid w:val="00196C7E"/>
    <w:rsid w:val="00196DFF"/>
    <w:rsid w:val="00197320"/>
    <w:rsid w:val="00197345"/>
    <w:rsid w:val="001975D8"/>
    <w:rsid w:val="00197B7E"/>
    <w:rsid w:val="00197E66"/>
    <w:rsid w:val="00197F67"/>
    <w:rsid w:val="001A088C"/>
    <w:rsid w:val="001A0FFE"/>
    <w:rsid w:val="001A178E"/>
    <w:rsid w:val="001A17AE"/>
    <w:rsid w:val="001A19A3"/>
    <w:rsid w:val="001A1D3B"/>
    <w:rsid w:val="001A223A"/>
    <w:rsid w:val="001A23A4"/>
    <w:rsid w:val="001A2CA2"/>
    <w:rsid w:val="001A3160"/>
    <w:rsid w:val="001A3357"/>
    <w:rsid w:val="001A342D"/>
    <w:rsid w:val="001A36B9"/>
    <w:rsid w:val="001A3919"/>
    <w:rsid w:val="001A3B46"/>
    <w:rsid w:val="001A3DC2"/>
    <w:rsid w:val="001A435B"/>
    <w:rsid w:val="001A43FA"/>
    <w:rsid w:val="001A4561"/>
    <w:rsid w:val="001A46F8"/>
    <w:rsid w:val="001A4724"/>
    <w:rsid w:val="001A47C5"/>
    <w:rsid w:val="001A48CF"/>
    <w:rsid w:val="001A4B6D"/>
    <w:rsid w:val="001A5056"/>
    <w:rsid w:val="001A5428"/>
    <w:rsid w:val="001A59FB"/>
    <w:rsid w:val="001A5E65"/>
    <w:rsid w:val="001A5E9E"/>
    <w:rsid w:val="001A5F5C"/>
    <w:rsid w:val="001A6354"/>
    <w:rsid w:val="001A6366"/>
    <w:rsid w:val="001A6373"/>
    <w:rsid w:val="001A6D88"/>
    <w:rsid w:val="001A7792"/>
    <w:rsid w:val="001A79D1"/>
    <w:rsid w:val="001A7AE8"/>
    <w:rsid w:val="001A7B25"/>
    <w:rsid w:val="001A7DF9"/>
    <w:rsid w:val="001B0AF5"/>
    <w:rsid w:val="001B0FD2"/>
    <w:rsid w:val="001B204E"/>
    <w:rsid w:val="001B2317"/>
    <w:rsid w:val="001B2372"/>
    <w:rsid w:val="001B26AC"/>
    <w:rsid w:val="001B30B8"/>
    <w:rsid w:val="001B30FD"/>
    <w:rsid w:val="001B3443"/>
    <w:rsid w:val="001B3639"/>
    <w:rsid w:val="001B3C1F"/>
    <w:rsid w:val="001B460A"/>
    <w:rsid w:val="001B4D20"/>
    <w:rsid w:val="001B5F78"/>
    <w:rsid w:val="001B60FE"/>
    <w:rsid w:val="001B6ABD"/>
    <w:rsid w:val="001B6BE5"/>
    <w:rsid w:val="001B6EA4"/>
    <w:rsid w:val="001B7CDA"/>
    <w:rsid w:val="001B7F84"/>
    <w:rsid w:val="001C1BD4"/>
    <w:rsid w:val="001C2090"/>
    <w:rsid w:val="001C21A8"/>
    <w:rsid w:val="001C2712"/>
    <w:rsid w:val="001C2A9B"/>
    <w:rsid w:val="001C2B5F"/>
    <w:rsid w:val="001C385D"/>
    <w:rsid w:val="001C3CFE"/>
    <w:rsid w:val="001C3DD6"/>
    <w:rsid w:val="001C3F4E"/>
    <w:rsid w:val="001C4299"/>
    <w:rsid w:val="001C429F"/>
    <w:rsid w:val="001C43EE"/>
    <w:rsid w:val="001C47B5"/>
    <w:rsid w:val="001C4874"/>
    <w:rsid w:val="001C4E58"/>
    <w:rsid w:val="001C50B1"/>
    <w:rsid w:val="001C52C9"/>
    <w:rsid w:val="001C5507"/>
    <w:rsid w:val="001C5E32"/>
    <w:rsid w:val="001C5E97"/>
    <w:rsid w:val="001C5F94"/>
    <w:rsid w:val="001C6027"/>
    <w:rsid w:val="001C6E66"/>
    <w:rsid w:val="001C740B"/>
    <w:rsid w:val="001C7509"/>
    <w:rsid w:val="001D1100"/>
    <w:rsid w:val="001D1391"/>
    <w:rsid w:val="001D1775"/>
    <w:rsid w:val="001D1895"/>
    <w:rsid w:val="001D1D1B"/>
    <w:rsid w:val="001D1D52"/>
    <w:rsid w:val="001D2002"/>
    <w:rsid w:val="001D252C"/>
    <w:rsid w:val="001D25D7"/>
    <w:rsid w:val="001D2C14"/>
    <w:rsid w:val="001D3188"/>
    <w:rsid w:val="001D36B4"/>
    <w:rsid w:val="001D3D72"/>
    <w:rsid w:val="001D3EFE"/>
    <w:rsid w:val="001D4307"/>
    <w:rsid w:val="001D4902"/>
    <w:rsid w:val="001D4D79"/>
    <w:rsid w:val="001D50B2"/>
    <w:rsid w:val="001D5428"/>
    <w:rsid w:val="001D5E9E"/>
    <w:rsid w:val="001D6685"/>
    <w:rsid w:val="001D6F01"/>
    <w:rsid w:val="001D6FF9"/>
    <w:rsid w:val="001D71F4"/>
    <w:rsid w:val="001D7253"/>
    <w:rsid w:val="001D7645"/>
    <w:rsid w:val="001D78E3"/>
    <w:rsid w:val="001D7AFF"/>
    <w:rsid w:val="001D7C4D"/>
    <w:rsid w:val="001E0099"/>
    <w:rsid w:val="001E03FD"/>
    <w:rsid w:val="001E0A04"/>
    <w:rsid w:val="001E12C8"/>
    <w:rsid w:val="001E13FD"/>
    <w:rsid w:val="001E141A"/>
    <w:rsid w:val="001E1E86"/>
    <w:rsid w:val="001E20C2"/>
    <w:rsid w:val="001E238E"/>
    <w:rsid w:val="001E2483"/>
    <w:rsid w:val="001E27D4"/>
    <w:rsid w:val="001E2B1E"/>
    <w:rsid w:val="001E2CFF"/>
    <w:rsid w:val="001E2F1E"/>
    <w:rsid w:val="001E2F24"/>
    <w:rsid w:val="001E30D4"/>
    <w:rsid w:val="001E32B9"/>
    <w:rsid w:val="001E3347"/>
    <w:rsid w:val="001E34DF"/>
    <w:rsid w:val="001E3E58"/>
    <w:rsid w:val="001E4131"/>
    <w:rsid w:val="001E4305"/>
    <w:rsid w:val="001E44C4"/>
    <w:rsid w:val="001E480D"/>
    <w:rsid w:val="001E4D2E"/>
    <w:rsid w:val="001E4E66"/>
    <w:rsid w:val="001E4F7E"/>
    <w:rsid w:val="001E52D8"/>
    <w:rsid w:val="001E52EB"/>
    <w:rsid w:val="001E54AE"/>
    <w:rsid w:val="001E56AD"/>
    <w:rsid w:val="001E58A4"/>
    <w:rsid w:val="001E58ED"/>
    <w:rsid w:val="001E5CDF"/>
    <w:rsid w:val="001E6019"/>
    <w:rsid w:val="001E61D2"/>
    <w:rsid w:val="001E6285"/>
    <w:rsid w:val="001E6798"/>
    <w:rsid w:val="001E69DC"/>
    <w:rsid w:val="001E740C"/>
    <w:rsid w:val="001E7C76"/>
    <w:rsid w:val="001E7E0C"/>
    <w:rsid w:val="001F065C"/>
    <w:rsid w:val="001F109D"/>
    <w:rsid w:val="001F1235"/>
    <w:rsid w:val="001F1397"/>
    <w:rsid w:val="001F1CB3"/>
    <w:rsid w:val="001F1CE1"/>
    <w:rsid w:val="001F1D88"/>
    <w:rsid w:val="001F2250"/>
    <w:rsid w:val="001F2E30"/>
    <w:rsid w:val="001F3565"/>
    <w:rsid w:val="001F3759"/>
    <w:rsid w:val="001F3802"/>
    <w:rsid w:val="001F38B5"/>
    <w:rsid w:val="001F3E4D"/>
    <w:rsid w:val="001F4081"/>
    <w:rsid w:val="001F457A"/>
    <w:rsid w:val="001F462E"/>
    <w:rsid w:val="001F4638"/>
    <w:rsid w:val="001F482B"/>
    <w:rsid w:val="001F4998"/>
    <w:rsid w:val="001F4B59"/>
    <w:rsid w:val="001F4F4E"/>
    <w:rsid w:val="001F58BB"/>
    <w:rsid w:val="001F5ED4"/>
    <w:rsid w:val="001F6094"/>
    <w:rsid w:val="001F650F"/>
    <w:rsid w:val="001F6788"/>
    <w:rsid w:val="001F6BFB"/>
    <w:rsid w:val="001F6DBB"/>
    <w:rsid w:val="001F7057"/>
    <w:rsid w:val="001F7361"/>
    <w:rsid w:val="001F75BD"/>
    <w:rsid w:val="001F7ABF"/>
    <w:rsid w:val="00200103"/>
    <w:rsid w:val="00200473"/>
    <w:rsid w:val="00200696"/>
    <w:rsid w:val="00200851"/>
    <w:rsid w:val="00200F42"/>
    <w:rsid w:val="002011B0"/>
    <w:rsid w:val="0020145E"/>
    <w:rsid w:val="00201AD5"/>
    <w:rsid w:val="00201CFC"/>
    <w:rsid w:val="00201E87"/>
    <w:rsid w:val="00201F0B"/>
    <w:rsid w:val="002021B4"/>
    <w:rsid w:val="0020252F"/>
    <w:rsid w:val="0020262C"/>
    <w:rsid w:val="00202CB7"/>
    <w:rsid w:val="00203181"/>
    <w:rsid w:val="002032F6"/>
    <w:rsid w:val="00203743"/>
    <w:rsid w:val="00203783"/>
    <w:rsid w:val="0020385F"/>
    <w:rsid w:val="00203DB6"/>
    <w:rsid w:val="00204C22"/>
    <w:rsid w:val="00205390"/>
    <w:rsid w:val="002059E3"/>
    <w:rsid w:val="00205B73"/>
    <w:rsid w:val="002066B4"/>
    <w:rsid w:val="0020672F"/>
    <w:rsid w:val="00206894"/>
    <w:rsid w:val="002068A0"/>
    <w:rsid w:val="002069D7"/>
    <w:rsid w:val="00206A85"/>
    <w:rsid w:val="00206E41"/>
    <w:rsid w:val="00206E7E"/>
    <w:rsid w:val="00206F0E"/>
    <w:rsid w:val="00207021"/>
    <w:rsid w:val="00207175"/>
    <w:rsid w:val="00207210"/>
    <w:rsid w:val="0020732F"/>
    <w:rsid w:val="002074A6"/>
    <w:rsid w:val="002079BE"/>
    <w:rsid w:val="00207A52"/>
    <w:rsid w:val="00207D00"/>
    <w:rsid w:val="00207FF9"/>
    <w:rsid w:val="002104EF"/>
    <w:rsid w:val="002105C1"/>
    <w:rsid w:val="00210688"/>
    <w:rsid w:val="0021138C"/>
    <w:rsid w:val="002114FA"/>
    <w:rsid w:val="002116FD"/>
    <w:rsid w:val="00211764"/>
    <w:rsid w:val="00211917"/>
    <w:rsid w:val="00211F02"/>
    <w:rsid w:val="00212446"/>
    <w:rsid w:val="0021273F"/>
    <w:rsid w:val="002129B5"/>
    <w:rsid w:val="00212A5E"/>
    <w:rsid w:val="00212ECF"/>
    <w:rsid w:val="00213522"/>
    <w:rsid w:val="00213742"/>
    <w:rsid w:val="00213C71"/>
    <w:rsid w:val="00213E2F"/>
    <w:rsid w:val="00213EF5"/>
    <w:rsid w:val="00214161"/>
    <w:rsid w:val="00214835"/>
    <w:rsid w:val="00215334"/>
    <w:rsid w:val="00215833"/>
    <w:rsid w:val="00216246"/>
    <w:rsid w:val="002165BE"/>
    <w:rsid w:val="00216BF5"/>
    <w:rsid w:val="00216F44"/>
    <w:rsid w:val="002174A7"/>
    <w:rsid w:val="00220334"/>
    <w:rsid w:val="00220486"/>
    <w:rsid w:val="00220548"/>
    <w:rsid w:val="002210EE"/>
    <w:rsid w:val="002213AA"/>
    <w:rsid w:val="0022171D"/>
    <w:rsid w:val="00221926"/>
    <w:rsid w:val="00221A9B"/>
    <w:rsid w:val="00221C10"/>
    <w:rsid w:val="00221F06"/>
    <w:rsid w:val="00222097"/>
    <w:rsid w:val="00222194"/>
    <w:rsid w:val="002223B3"/>
    <w:rsid w:val="002228AB"/>
    <w:rsid w:val="00222F9A"/>
    <w:rsid w:val="0022309B"/>
    <w:rsid w:val="002235B0"/>
    <w:rsid w:val="00223B3C"/>
    <w:rsid w:val="00223B49"/>
    <w:rsid w:val="00223BB9"/>
    <w:rsid w:val="00223D5A"/>
    <w:rsid w:val="00223F01"/>
    <w:rsid w:val="00223F07"/>
    <w:rsid w:val="00224622"/>
    <w:rsid w:val="00224992"/>
    <w:rsid w:val="00224D2C"/>
    <w:rsid w:val="00224DD4"/>
    <w:rsid w:val="00225248"/>
    <w:rsid w:val="00226244"/>
    <w:rsid w:val="00226CD8"/>
    <w:rsid w:val="0022752C"/>
    <w:rsid w:val="0022781D"/>
    <w:rsid w:val="002278A0"/>
    <w:rsid w:val="00227B75"/>
    <w:rsid w:val="00227CE0"/>
    <w:rsid w:val="0023058D"/>
    <w:rsid w:val="0023088F"/>
    <w:rsid w:val="002309CC"/>
    <w:rsid w:val="00230BBC"/>
    <w:rsid w:val="00230C22"/>
    <w:rsid w:val="00230C3D"/>
    <w:rsid w:val="002311EA"/>
    <w:rsid w:val="002312CF"/>
    <w:rsid w:val="00231348"/>
    <w:rsid w:val="00231440"/>
    <w:rsid w:val="00231B41"/>
    <w:rsid w:val="00231BA9"/>
    <w:rsid w:val="00231C6F"/>
    <w:rsid w:val="0023209F"/>
    <w:rsid w:val="00232934"/>
    <w:rsid w:val="00232C37"/>
    <w:rsid w:val="00232F03"/>
    <w:rsid w:val="00233588"/>
    <w:rsid w:val="00233C01"/>
    <w:rsid w:val="0023413C"/>
    <w:rsid w:val="0023420A"/>
    <w:rsid w:val="002346F0"/>
    <w:rsid w:val="00234963"/>
    <w:rsid w:val="00234DA9"/>
    <w:rsid w:val="00234EE3"/>
    <w:rsid w:val="00235145"/>
    <w:rsid w:val="0023520D"/>
    <w:rsid w:val="00235A22"/>
    <w:rsid w:val="0023629D"/>
    <w:rsid w:val="00236318"/>
    <w:rsid w:val="0023631C"/>
    <w:rsid w:val="00237225"/>
    <w:rsid w:val="00237255"/>
    <w:rsid w:val="002373F1"/>
    <w:rsid w:val="002374B9"/>
    <w:rsid w:val="00240066"/>
    <w:rsid w:val="00241845"/>
    <w:rsid w:val="00242005"/>
    <w:rsid w:val="002424AF"/>
    <w:rsid w:val="00242FE7"/>
    <w:rsid w:val="002432CF"/>
    <w:rsid w:val="0024340B"/>
    <w:rsid w:val="002434A1"/>
    <w:rsid w:val="002434BB"/>
    <w:rsid w:val="002435D6"/>
    <w:rsid w:val="002439DC"/>
    <w:rsid w:val="00243E83"/>
    <w:rsid w:val="002441D2"/>
    <w:rsid w:val="0024488F"/>
    <w:rsid w:val="0024489A"/>
    <w:rsid w:val="00244DC8"/>
    <w:rsid w:val="00244FFB"/>
    <w:rsid w:val="002453F1"/>
    <w:rsid w:val="002458BA"/>
    <w:rsid w:val="002458E8"/>
    <w:rsid w:val="00245AF8"/>
    <w:rsid w:val="00245CE9"/>
    <w:rsid w:val="0024636C"/>
    <w:rsid w:val="00246598"/>
    <w:rsid w:val="00247925"/>
    <w:rsid w:val="00247BAF"/>
    <w:rsid w:val="00247E6F"/>
    <w:rsid w:val="00251006"/>
    <w:rsid w:val="00251EE9"/>
    <w:rsid w:val="002524D5"/>
    <w:rsid w:val="0025282D"/>
    <w:rsid w:val="0025287A"/>
    <w:rsid w:val="0025333B"/>
    <w:rsid w:val="00253A43"/>
    <w:rsid w:val="00253B1D"/>
    <w:rsid w:val="0025451A"/>
    <w:rsid w:val="00254647"/>
    <w:rsid w:val="002548DF"/>
    <w:rsid w:val="00254DCF"/>
    <w:rsid w:val="0025534B"/>
    <w:rsid w:val="00255BB7"/>
    <w:rsid w:val="00255C9B"/>
    <w:rsid w:val="002563CF"/>
    <w:rsid w:val="002567AB"/>
    <w:rsid w:val="00256CEF"/>
    <w:rsid w:val="00256FE9"/>
    <w:rsid w:val="0025715F"/>
    <w:rsid w:val="002573EE"/>
    <w:rsid w:val="00257541"/>
    <w:rsid w:val="00257A39"/>
    <w:rsid w:val="00257AC4"/>
    <w:rsid w:val="00257BBE"/>
    <w:rsid w:val="00260058"/>
    <w:rsid w:val="00260752"/>
    <w:rsid w:val="00260C4E"/>
    <w:rsid w:val="00261E59"/>
    <w:rsid w:val="00261EEF"/>
    <w:rsid w:val="0026217E"/>
    <w:rsid w:val="0026228F"/>
    <w:rsid w:val="00262782"/>
    <w:rsid w:val="002628C5"/>
    <w:rsid w:val="00262A1A"/>
    <w:rsid w:val="00262A87"/>
    <w:rsid w:val="00262E99"/>
    <w:rsid w:val="00263361"/>
    <w:rsid w:val="002639A3"/>
    <w:rsid w:val="00263CB3"/>
    <w:rsid w:val="002642F4"/>
    <w:rsid w:val="00264394"/>
    <w:rsid w:val="00264CC8"/>
    <w:rsid w:val="00264D26"/>
    <w:rsid w:val="002657DC"/>
    <w:rsid w:val="002658F8"/>
    <w:rsid w:val="00266B80"/>
    <w:rsid w:val="002673E2"/>
    <w:rsid w:val="00267642"/>
    <w:rsid w:val="002678FA"/>
    <w:rsid w:val="00267AEA"/>
    <w:rsid w:val="002700E6"/>
    <w:rsid w:val="00271068"/>
    <w:rsid w:val="002715A0"/>
    <w:rsid w:val="002717B9"/>
    <w:rsid w:val="002719B0"/>
    <w:rsid w:val="0027294B"/>
    <w:rsid w:val="00272B84"/>
    <w:rsid w:val="002731E2"/>
    <w:rsid w:val="00273EB4"/>
    <w:rsid w:val="00274049"/>
    <w:rsid w:val="002742F5"/>
    <w:rsid w:val="00274415"/>
    <w:rsid w:val="0027441A"/>
    <w:rsid w:val="00274682"/>
    <w:rsid w:val="00275158"/>
    <w:rsid w:val="00275516"/>
    <w:rsid w:val="002755D2"/>
    <w:rsid w:val="00275A44"/>
    <w:rsid w:val="00275A4A"/>
    <w:rsid w:val="00275C5A"/>
    <w:rsid w:val="0027637E"/>
    <w:rsid w:val="00276786"/>
    <w:rsid w:val="00276810"/>
    <w:rsid w:val="00276A17"/>
    <w:rsid w:val="00276ECC"/>
    <w:rsid w:val="00281014"/>
    <w:rsid w:val="00281378"/>
    <w:rsid w:val="00281689"/>
    <w:rsid w:val="002816C3"/>
    <w:rsid w:val="002817D7"/>
    <w:rsid w:val="00281949"/>
    <w:rsid w:val="00281A1B"/>
    <w:rsid w:val="00281AA8"/>
    <w:rsid w:val="00281BD9"/>
    <w:rsid w:val="00282B06"/>
    <w:rsid w:val="00282EAB"/>
    <w:rsid w:val="00283376"/>
    <w:rsid w:val="002842F2"/>
    <w:rsid w:val="00284B2C"/>
    <w:rsid w:val="00284DE4"/>
    <w:rsid w:val="002852B2"/>
    <w:rsid w:val="0028548B"/>
    <w:rsid w:val="002855DC"/>
    <w:rsid w:val="0028590E"/>
    <w:rsid w:val="00285BCE"/>
    <w:rsid w:val="00285C41"/>
    <w:rsid w:val="0028665D"/>
    <w:rsid w:val="00286791"/>
    <w:rsid w:val="002869A7"/>
    <w:rsid w:val="00286AA0"/>
    <w:rsid w:val="00286DE8"/>
    <w:rsid w:val="0028770E"/>
    <w:rsid w:val="002912C0"/>
    <w:rsid w:val="00291A5B"/>
    <w:rsid w:val="002920F8"/>
    <w:rsid w:val="00292E0B"/>
    <w:rsid w:val="00292FE9"/>
    <w:rsid w:val="00293278"/>
    <w:rsid w:val="002937EF"/>
    <w:rsid w:val="00293AD0"/>
    <w:rsid w:val="00293B6E"/>
    <w:rsid w:val="00294487"/>
    <w:rsid w:val="002951E2"/>
    <w:rsid w:val="00296049"/>
    <w:rsid w:val="0029608C"/>
    <w:rsid w:val="0029639B"/>
    <w:rsid w:val="00296A71"/>
    <w:rsid w:val="00296CCB"/>
    <w:rsid w:val="00296EAE"/>
    <w:rsid w:val="00297338"/>
    <w:rsid w:val="00297449"/>
    <w:rsid w:val="002A011B"/>
    <w:rsid w:val="002A05AF"/>
    <w:rsid w:val="002A0D9E"/>
    <w:rsid w:val="002A12F9"/>
    <w:rsid w:val="002A14AB"/>
    <w:rsid w:val="002A1702"/>
    <w:rsid w:val="002A195E"/>
    <w:rsid w:val="002A1ADB"/>
    <w:rsid w:val="002A1D92"/>
    <w:rsid w:val="002A1EAB"/>
    <w:rsid w:val="002A242D"/>
    <w:rsid w:val="002A259F"/>
    <w:rsid w:val="002A2ADE"/>
    <w:rsid w:val="002A2BB1"/>
    <w:rsid w:val="002A2F50"/>
    <w:rsid w:val="002A4108"/>
    <w:rsid w:val="002A41B3"/>
    <w:rsid w:val="002A4557"/>
    <w:rsid w:val="002A469B"/>
    <w:rsid w:val="002A46BC"/>
    <w:rsid w:val="002A489D"/>
    <w:rsid w:val="002A4C11"/>
    <w:rsid w:val="002A4E4F"/>
    <w:rsid w:val="002A4EDE"/>
    <w:rsid w:val="002A53AA"/>
    <w:rsid w:val="002A625D"/>
    <w:rsid w:val="002A666E"/>
    <w:rsid w:val="002A673D"/>
    <w:rsid w:val="002A6E64"/>
    <w:rsid w:val="002A6FC5"/>
    <w:rsid w:val="002A7943"/>
    <w:rsid w:val="002A7D19"/>
    <w:rsid w:val="002B0368"/>
    <w:rsid w:val="002B0442"/>
    <w:rsid w:val="002B05A1"/>
    <w:rsid w:val="002B07B4"/>
    <w:rsid w:val="002B08A1"/>
    <w:rsid w:val="002B09A4"/>
    <w:rsid w:val="002B1735"/>
    <w:rsid w:val="002B1C1F"/>
    <w:rsid w:val="002B1C76"/>
    <w:rsid w:val="002B27B5"/>
    <w:rsid w:val="002B2E0E"/>
    <w:rsid w:val="002B3346"/>
    <w:rsid w:val="002B396A"/>
    <w:rsid w:val="002B3B12"/>
    <w:rsid w:val="002B42D3"/>
    <w:rsid w:val="002B432F"/>
    <w:rsid w:val="002B4331"/>
    <w:rsid w:val="002B4865"/>
    <w:rsid w:val="002B49B8"/>
    <w:rsid w:val="002B501C"/>
    <w:rsid w:val="002B56DE"/>
    <w:rsid w:val="002B5B01"/>
    <w:rsid w:val="002B62B3"/>
    <w:rsid w:val="002B6754"/>
    <w:rsid w:val="002B68F2"/>
    <w:rsid w:val="002B6ACB"/>
    <w:rsid w:val="002B6B18"/>
    <w:rsid w:val="002B6CCE"/>
    <w:rsid w:val="002B6D7D"/>
    <w:rsid w:val="002B6DD5"/>
    <w:rsid w:val="002B7755"/>
    <w:rsid w:val="002B77A7"/>
    <w:rsid w:val="002B7B6C"/>
    <w:rsid w:val="002B7B6F"/>
    <w:rsid w:val="002C04F0"/>
    <w:rsid w:val="002C2510"/>
    <w:rsid w:val="002C2775"/>
    <w:rsid w:val="002C27C1"/>
    <w:rsid w:val="002C28EA"/>
    <w:rsid w:val="002C2F52"/>
    <w:rsid w:val="002C3186"/>
    <w:rsid w:val="002C3557"/>
    <w:rsid w:val="002C35DE"/>
    <w:rsid w:val="002C36A4"/>
    <w:rsid w:val="002C36E3"/>
    <w:rsid w:val="002C460C"/>
    <w:rsid w:val="002C5099"/>
    <w:rsid w:val="002C5535"/>
    <w:rsid w:val="002C5889"/>
    <w:rsid w:val="002C6146"/>
    <w:rsid w:val="002C62C2"/>
    <w:rsid w:val="002C71CE"/>
    <w:rsid w:val="002C74BE"/>
    <w:rsid w:val="002C761B"/>
    <w:rsid w:val="002C76C6"/>
    <w:rsid w:val="002D0087"/>
    <w:rsid w:val="002D059B"/>
    <w:rsid w:val="002D08F8"/>
    <w:rsid w:val="002D0E71"/>
    <w:rsid w:val="002D11F3"/>
    <w:rsid w:val="002D12C8"/>
    <w:rsid w:val="002D181E"/>
    <w:rsid w:val="002D1C96"/>
    <w:rsid w:val="002D2265"/>
    <w:rsid w:val="002D2519"/>
    <w:rsid w:val="002D27C1"/>
    <w:rsid w:val="002D2DDA"/>
    <w:rsid w:val="002D2FCF"/>
    <w:rsid w:val="002D37D3"/>
    <w:rsid w:val="002D37EF"/>
    <w:rsid w:val="002D37F2"/>
    <w:rsid w:val="002D3E46"/>
    <w:rsid w:val="002D3F1D"/>
    <w:rsid w:val="002D4355"/>
    <w:rsid w:val="002D43F1"/>
    <w:rsid w:val="002D43F8"/>
    <w:rsid w:val="002D4ECA"/>
    <w:rsid w:val="002D5757"/>
    <w:rsid w:val="002D577C"/>
    <w:rsid w:val="002D5832"/>
    <w:rsid w:val="002D5DDF"/>
    <w:rsid w:val="002D720C"/>
    <w:rsid w:val="002D7362"/>
    <w:rsid w:val="002D7832"/>
    <w:rsid w:val="002D7966"/>
    <w:rsid w:val="002D797C"/>
    <w:rsid w:val="002D7A36"/>
    <w:rsid w:val="002D7B08"/>
    <w:rsid w:val="002E07BC"/>
    <w:rsid w:val="002E0A97"/>
    <w:rsid w:val="002E1071"/>
    <w:rsid w:val="002E13A7"/>
    <w:rsid w:val="002E147B"/>
    <w:rsid w:val="002E14A4"/>
    <w:rsid w:val="002E15B9"/>
    <w:rsid w:val="002E18C2"/>
    <w:rsid w:val="002E19EF"/>
    <w:rsid w:val="002E1E3A"/>
    <w:rsid w:val="002E20A5"/>
    <w:rsid w:val="002E2158"/>
    <w:rsid w:val="002E24BC"/>
    <w:rsid w:val="002E2DB9"/>
    <w:rsid w:val="002E328A"/>
    <w:rsid w:val="002E4014"/>
    <w:rsid w:val="002E4075"/>
    <w:rsid w:val="002E4AC7"/>
    <w:rsid w:val="002E4E0B"/>
    <w:rsid w:val="002E4F02"/>
    <w:rsid w:val="002E57EA"/>
    <w:rsid w:val="002E6EB1"/>
    <w:rsid w:val="002E7065"/>
    <w:rsid w:val="002E7722"/>
    <w:rsid w:val="002E77DC"/>
    <w:rsid w:val="002E7875"/>
    <w:rsid w:val="002E7A00"/>
    <w:rsid w:val="002F013F"/>
    <w:rsid w:val="002F02E0"/>
    <w:rsid w:val="002F049B"/>
    <w:rsid w:val="002F04D7"/>
    <w:rsid w:val="002F07BA"/>
    <w:rsid w:val="002F0C11"/>
    <w:rsid w:val="002F0DA9"/>
    <w:rsid w:val="002F1014"/>
    <w:rsid w:val="002F1148"/>
    <w:rsid w:val="002F1252"/>
    <w:rsid w:val="002F1304"/>
    <w:rsid w:val="002F148D"/>
    <w:rsid w:val="002F16D2"/>
    <w:rsid w:val="002F1D31"/>
    <w:rsid w:val="002F1DF1"/>
    <w:rsid w:val="002F1E3B"/>
    <w:rsid w:val="002F2F65"/>
    <w:rsid w:val="002F3B9A"/>
    <w:rsid w:val="002F4193"/>
    <w:rsid w:val="002F4481"/>
    <w:rsid w:val="002F46B9"/>
    <w:rsid w:val="002F47D2"/>
    <w:rsid w:val="002F547B"/>
    <w:rsid w:val="002F614D"/>
    <w:rsid w:val="002F643C"/>
    <w:rsid w:val="002F6F0D"/>
    <w:rsid w:val="002F71C0"/>
    <w:rsid w:val="002F74F1"/>
    <w:rsid w:val="002F7A92"/>
    <w:rsid w:val="002F7F24"/>
    <w:rsid w:val="00300125"/>
    <w:rsid w:val="00300609"/>
    <w:rsid w:val="00300DDF"/>
    <w:rsid w:val="00301017"/>
    <w:rsid w:val="0030155F"/>
    <w:rsid w:val="003018D5"/>
    <w:rsid w:val="00301ADD"/>
    <w:rsid w:val="00301AF9"/>
    <w:rsid w:val="0030244F"/>
    <w:rsid w:val="00302555"/>
    <w:rsid w:val="003026B4"/>
    <w:rsid w:val="0030286A"/>
    <w:rsid w:val="003029A1"/>
    <w:rsid w:val="00302E61"/>
    <w:rsid w:val="0030387D"/>
    <w:rsid w:val="003038A0"/>
    <w:rsid w:val="0030419B"/>
    <w:rsid w:val="003049B2"/>
    <w:rsid w:val="00304BC2"/>
    <w:rsid w:val="0030528C"/>
    <w:rsid w:val="00305430"/>
    <w:rsid w:val="0030587B"/>
    <w:rsid w:val="00305DF5"/>
    <w:rsid w:val="00305F7D"/>
    <w:rsid w:val="00305F81"/>
    <w:rsid w:val="0030614F"/>
    <w:rsid w:val="003061CC"/>
    <w:rsid w:val="003061FC"/>
    <w:rsid w:val="003064C8"/>
    <w:rsid w:val="00306D98"/>
    <w:rsid w:val="00307527"/>
    <w:rsid w:val="0030786C"/>
    <w:rsid w:val="00307B64"/>
    <w:rsid w:val="00307D3A"/>
    <w:rsid w:val="0031031A"/>
    <w:rsid w:val="003106F9"/>
    <w:rsid w:val="00310981"/>
    <w:rsid w:val="00310A66"/>
    <w:rsid w:val="00310CB3"/>
    <w:rsid w:val="00311759"/>
    <w:rsid w:val="00311D9B"/>
    <w:rsid w:val="003124D9"/>
    <w:rsid w:val="00312594"/>
    <w:rsid w:val="00312876"/>
    <w:rsid w:val="00312EC7"/>
    <w:rsid w:val="00312EED"/>
    <w:rsid w:val="0031310E"/>
    <w:rsid w:val="00313A9F"/>
    <w:rsid w:val="00313B88"/>
    <w:rsid w:val="00314020"/>
    <w:rsid w:val="00315498"/>
    <w:rsid w:val="00315A76"/>
    <w:rsid w:val="00315AD7"/>
    <w:rsid w:val="00316117"/>
    <w:rsid w:val="00316315"/>
    <w:rsid w:val="00316474"/>
    <w:rsid w:val="00316761"/>
    <w:rsid w:val="00316826"/>
    <w:rsid w:val="00316EAE"/>
    <w:rsid w:val="00317995"/>
    <w:rsid w:val="00317D6A"/>
    <w:rsid w:val="00317E24"/>
    <w:rsid w:val="003202C7"/>
    <w:rsid w:val="00320AF0"/>
    <w:rsid w:val="00320D6C"/>
    <w:rsid w:val="003213A2"/>
    <w:rsid w:val="0032178C"/>
    <w:rsid w:val="003217BF"/>
    <w:rsid w:val="00321DB4"/>
    <w:rsid w:val="00321F6B"/>
    <w:rsid w:val="00322107"/>
    <w:rsid w:val="00322355"/>
    <w:rsid w:val="00322846"/>
    <w:rsid w:val="00322A8F"/>
    <w:rsid w:val="00323809"/>
    <w:rsid w:val="00323E1D"/>
    <w:rsid w:val="00324C9A"/>
    <w:rsid w:val="003254B8"/>
    <w:rsid w:val="0032565B"/>
    <w:rsid w:val="003257B7"/>
    <w:rsid w:val="00325DC6"/>
    <w:rsid w:val="0032620A"/>
    <w:rsid w:val="00326DA7"/>
    <w:rsid w:val="00326EF0"/>
    <w:rsid w:val="003270E4"/>
    <w:rsid w:val="0032712F"/>
    <w:rsid w:val="00327438"/>
    <w:rsid w:val="003277D6"/>
    <w:rsid w:val="003278B1"/>
    <w:rsid w:val="00327E8F"/>
    <w:rsid w:val="0033011F"/>
    <w:rsid w:val="00330BA0"/>
    <w:rsid w:val="00330DAA"/>
    <w:rsid w:val="00330E5F"/>
    <w:rsid w:val="00330F5C"/>
    <w:rsid w:val="00331156"/>
    <w:rsid w:val="0033174B"/>
    <w:rsid w:val="00331D28"/>
    <w:rsid w:val="003332A7"/>
    <w:rsid w:val="003333DF"/>
    <w:rsid w:val="00333407"/>
    <w:rsid w:val="003335F7"/>
    <w:rsid w:val="0033390E"/>
    <w:rsid w:val="00333AD9"/>
    <w:rsid w:val="00334D6A"/>
    <w:rsid w:val="00335058"/>
    <w:rsid w:val="0033519F"/>
    <w:rsid w:val="003356DB"/>
    <w:rsid w:val="00335989"/>
    <w:rsid w:val="00335CE2"/>
    <w:rsid w:val="00336020"/>
    <w:rsid w:val="00336131"/>
    <w:rsid w:val="003366C9"/>
    <w:rsid w:val="0033670A"/>
    <w:rsid w:val="003367CC"/>
    <w:rsid w:val="003369C7"/>
    <w:rsid w:val="00336E3F"/>
    <w:rsid w:val="003371B0"/>
    <w:rsid w:val="00337244"/>
    <w:rsid w:val="0033758D"/>
    <w:rsid w:val="00337D1B"/>
    <w:rsid w:val="00337F44"/>
    <w:rsid w:val="00340161"/>
    <w:rsid w:val="003402F8"/>
    <w:rsid w:val="00340DF1"/>
    <w:rsid w:val="003424E1"/>
    <w:rsid w:val="0034284B"/>
    <w:rsid w:val="003428B1"/>
    <w:rsid w:val="0034357D"/>
    <w:rsid w:val="00343B3F"/>
    <w:rsid w:val="00343C22"/>
    <w:rsid w:val="00343C34"/>
    <w:rsid w:val="0034411D"/>
    <w:rsid w:val="003441BB"/>
    <w:rsid w:val="00344C41"/>
    <w:rsid w:val="00344C9D"/>
    <w:rsid w:val="003455F4"/>
    <w:rsid w:val="00345867"/>
    <w:rsid w:val="00345AC5"/>
    <w:rsid w:val="00345EF8"/>
    <w:rsid w:val="0034764B"/>
    <w:rsid w:val="00347A66"/>
    <w:rsid w:val="00347E08"/>
    <w:rsid w:val="00347E82"/>
    <w:rsid w:val="00347E94"/>
    <w:rsid w:val="00350003"/>
    <w:rsid w:val="00350AD8"/>
    <w:rsid w:val="003517F9"/>
    <w:rsid w:val="00351B71"/>
    <w:rsid w:val="00351BA9"/>
    <w:rsid w:val="003530D7"/>
    <w:rsid w:val="0035315B"/>
    <w:rsid w:val="00353375"/>
    <w:rsid w:val="00353D7B"/>
    <w:rsid w:val="00353D9C"/>
    <w:rsid w:val="00353F88"/>
    <w:rsid w:val="0035421F"/>
    <w:rsid w:val="00354662"/>
    <w:rsid w:val="00354F64"/>
    <w:rsid w:val="00354F90"/>
    <w:rsid w:val="003551EE"/>
    <w:rsid w:val="00355351"/>
    <w:rsid w:val="00355EB1"/>
    <w:rsid w:val="00355FDC"/>
    <w:rsid w:val="0035620E"/>
    <w:rsid w:val="00356F14"/>
    <w:rsid w:val="0035759F"/>
    <w:rsid w:val="003575BE"/>
    <w:rsid w:val="00357B33"/>
    <w:rsid w:val="00360345"/>
    <w:rsid w:val="003604D1"/>
    <w:rsid w:val="00360895"/>
    <w:rsid w:val="003609FF"/>
    <w:rsid w:val="00361042"/>
    <w:rsid w:val="003611C6"/>
    <w:rsid w:val="003612BD"/>
    <w:rsid w:val="003614E1"/>
    <w:rsid w:val="003615B7"/>
    <w:rsid w:val="00361A05"/>
    <w:rsid w:val="00361AE7"/>
    <w:rsid w:val="003624C4"/>
    <w:rsid w:val="003628D3"/>
    <w:rsid w:val="003633D5"/>
    <w:rsid w:val="0036349A"/>
    <w:rsid w:val="00363B00"/>
    <w:rsid w:val="00364164"/>
    <w:rsid w:val="00364798"/>
    <w:rsid w:val="003648EC"/>
    <w:rsid w:val="00365345"/>
    <w:rsid w:val="003654AC"/>
    <w:rsid w:val="00365CAE"/>
    <w:rsid w:val="0036647E"/>
    <w:rsid w:val="003668FA"/>
    <w:rsid w:val="00367323"/>
    <w:rsid w:val="003674E9"/>
    <w:rsid w:val="00367B54"/>
    <w:rsid w:val="00367C53"/>
    <w:rsid w:val="00367D4E"/>
    <w:rsid w:val="00367E4C"/>
    <w:rsid w:val="003702F3"/>
    <w:rsid w:val="00370755"/>
    <w:rsid w:val="00370C66"/>
    <w:rsid w:val="00370C74"/>
    <w:rsid w:val="00370FC5"/>
    <w:rsid w:val="003710CF"/>
    <w:rsid w:val="00371716"/>
    <w:rsid w:val="00371AE3"/>
    <w:rsid w:val="003725E7"/>
    <w:rsid w:val="003729B9"/>
    <w:rsid w:val="00373032"/>
    <w:rsid w:val="0037318B"/>
    <w:rsid w:val="0037344F"/>
    <w:rsid w:val="0037358A"/>
    <w:rsid w:val="00373B04"/>
    <w:rsid w:val="00373E5F"/>
    <w:rsid w:val="00374F48"/>
    <w:rsid w:val="003750F6"/>
    <w:rsid w:val="0037543B"/>
    <w:rsid w:val="00375AE1"/>
    <w:rsid w:val="00375BB8"/>
    <w:rsid w:val="003760FC"/>
    <w:rsid w:val="0037629E"/>
    <w:rsid w:val="00376938"/>
    <w:rsid w:val="00376AD9"/>
    <w:rsid w:val="0037728B"/>
    <w:rsid w:val="0037748D"/>
    <w:rsid w:val="00377C92"/>
    <w:rsid w:val="003800A4"/>
    <w:rsid w:val="003807D5"/>
    <w:rsid w:val="003809BC"/>
    <w:rsid w:val="0038290E"/>
    <w:rsid w:val="00383340"/>
    <w:rsid w:val="0038365C"/>
    <w:rsid w:val="0038369B"/>
    <w:rsid w:val="00383B78"/>
    <w:rsid w:val="0038451B"/>
    <w:rsid w:val="00384BE2"/>
    <w:rsid w:val="00384F13"/>
    <w:rsid w:val="00385170"/>
    <w:rsid w:val="00385353"/>
    <w:rsid w:val="003854E4"/>
    <w:rsid w:val="0038557C"/>
    <w:rsid w:val="00385836"/>
    <w:rsid w:val="00385A9D"/>
    <w:rsid w:val="00385AA7"/>
    <w:rsid w:val="00386006"/>
    <w:rsid w:val="00386017"/>
    <w:rsid w:val="00386494"/>
    <w:rsid w:val="0038706D"/>
    <w:rsid w:val="00387121"/>
    <w:rsid w:val="00387546"/>
    <w:rsid w:val="00387831"/>
    <w:rsid w:val="003902B1"/>
    <w:rsid w:val="00390392"/>
    <w:rsid w:val="003912D7"/>
    <w:rsid w:val="003912F5"/>
    <w:rsid w:val="0039179C"/>
    <w:rsid w:val="00391B97"/>
    <w:rsid w:val="00392089"/>
    <w:rsid w:val="00392175"/>
    <w:rsid w:val="00392273"/>
    <w:rsid w:val="003931C4"/>
    <w:rsid w:val="003938E5"/>
    <w:rsid w:val="0039390E"/>
    <w:rsid w:val="00393C7A"/>
    <w:rsid w:val="00393D3C"/>
    <w:rsid w:val="003940C5"/>
    <w:rsid w:val="00394284"/>
    <w:rsid w:val="003948CD"/>
    <w:rsid w:val="00394B4D"/>
    <w:rsid w:val="00394D9D"/>
    <w:rsid w:val="00395095"/>
    <w:rsid w:val="00395157"/>
    <w:rsid w:val="00395B6A"/>
    <w:rsid w:val="0039636E"/>
    <w:rsid w:val="00396486"/>
    <w:rsid w:val="00396896"/>
    <w:rsid w:val="003969DB"/>
    <w:rsid w:val="00396AB5"/>
    <w:rsid w:val="00396DBB"/>
    <w:rsid w:val="00396FD0"/>
    <w:rsid w:val="003972C6"/>
    <w:rsid w:val="0039765D"/>
    <w:rsid w:val="0039796C"/>
    <w:rsid w:val="003A0248"/>
    <w:rsid w:val="003A0D99"/>
    <w:rsid w:val="003A12C2"/>
    <w:rsid w:val="003A1805"/>
    <w:rsid w:val="003A199D"/>
    <w:rsid w:val="003A1A7A"/>
    <w:rsid w:val="003A2392"/>
    <w:rsid w:val="003A2831"/>
    <w:rsid w:val="003A2EE6"/>
    <w:rsid w:val="003A320F"/>
    <w:rsid w:val="003A3C4A"/>
    <w:rsid w:val="003A3C62"/>
    <w:rsid w:val="003A3CB6"/>
    <w:rsid w:val="003A3ED1"/>
    <w:rsid w:val="003A44DB"/>
    <w:rsid w:val="003A4988"/>
    <w:rsid w:val="003A4C14"/>
    <w:rsid w:val="003A5AE5"/>
    <w:rsid w:val="003A5D7B"/>
    <w:rsid w:val="003A6A17"/>
    <w:rsid w:val="003A6E09"/>
    <w:rsid w:val="003A712A"/>
    <w:rsid w:val="003A757A"/>
    <w:rsid w:val="003B017F"/>
    <w:rsid w:val="003B044F"/>
    <w:rsid w:val="003B07CE"/>
    <w:rsid w:val="003B10C3"/>
    <w:rsid w:val="003B181D"/>
    <w:rsid w:val="003B2CE4"/>
    <w:rsid w:val="003B33AF"/>
    <w:rsid w:val="003B382D"/>
    <w:rsid w:val="003B3971"/>
    <w:rsid w:val="003B3FC4"/>
    <w:rsid w:val="003B4353"/>
    <w:rsid w:val="003B4B28"/>
    <w:rsid w:val="003B55D1"/>
    <w:rsid w:val="003B5B61"/>
    <w:rsid w:val="003B6915"/>
    <w:rsid w:val="003B6BA2"/>
    <w:rsid w:val="003B6C8C"/>
    <w:rsid w:val="003B6CEC"/>
    <w:rsid w:val="003B6FF2"/>
    <w:rsid w:val="003B74AE"/>
    <w:rsid w:val="003B7750"/>
    <w:rsid w:val="003C016A"/>
    <w:rsid w:val="003C0AC0"/>
    <w:rsid w:val="003C0BF1"/>
    <w:rsid w:val="003C0E04"/>
    <w:rsid w:val="003C1284"/>
    <w:rsid w:val="003C132B"/>
    <w:rsid w:val="003C1654"/>
    <w:rsid w:val="003C1822"/>
    <w:rsid w:val="003C1895"/>
    <w:rsid w:val="003C210E"/>
    <w:rsid w:val="003C2149"/>
    <w:rsid w:val="003C269A"/>
    <w:rsid w:val="003C2C77"/>
    <w:rsid w:val="003C2DE2"/>
    <w:rsid w:val="003C3358"/>
    <w:rsid w:val="003C3818"/>
    <w:rsid w:val="003C386E"/>
    <w:rsid w:val="003C38F4"/>
    <w:rsid w:val="003C3FF4"/>
    <w:rsid w:val="003C48BF"/>
    <w:rsid w:val="003C4D97"/>
    <w:rsid w:val="003C4FC4"/>
    <w:rsid w:val="003C525C"/>
    <w:rsid w:val="003C5542"/>
    <w:rsid w:val="003C556D"/>
    <w:rsid w:val="003C5663"/>
    <w:rsid w:val="003C609C"/>
    <w:rsid w:val="003C6664"/>
    <w:rsid w:val="003C6ABC"/>
    <w:rsid w:val="003C6EE7"/>
    <w:rsid w:val="003C7379"/>
    <w:rsid w:val="003C7785"/>
    <w:rsid w:val="003C79E6"/>
    <w:rsid w:val="003C7C15"/>
    <w:rsid w:val="003C7D19"/>
    <w:rsid w:val="003C7D2F"/>
    <w:rsid w:val="003D011B"/>
    <w:rsid w:val="003D0417"/>
    <w:rsid w:val="003D0C5A"/>
    <w:rsid w:val="003D1828"/>
    <w:rsid w:val="003D1DE4"/>
    <w:rsid w:val="003D1E9A"/>
    <w:rsid w:val="003D1EA1"/>
    <w:rsid w:val="003D21EA"/>
    <w:rsid w:val="003D23D3"/>
    <w:rsid w:val="003D2422"/>
    <w:rsid w:val="003D24D7"/>
    <w:rsid w:val="003D2C50"/>
    <w:rsid w:val="003D308E"/>
    <w:rsid w:val="003D3237"/>
    <w:rsid w:val="003D3862"/>
    <w:rsid w:val="003D39A1"/>
    <w:rsid w:val="003D3C74"/>
    <w:rsid w:val="003D3FBF"/>
    <w:rsid w:val="003D410D"/>
    <w:rsid w:val="003D4A30"/>
    <w:rsid w:val="003D4ECE"/>
    <w:rsid w:val="003D4F94"/>
    <w:rsid w:val="003D561C"/>
    <w:rsid w:val="003D5B62"/>
    <w:rsid w:val="003D5E32"/>
    <w:rsid w:val="003D7452"/>
    <w:rsid w:val="003D7646"/>
    <w:rsid w:val="003D79BB"/>
    <w:rsid w:val="003D7B2D"/>
    <w:rsid w:val="003D7C98"/>
    <w:rsid w:val="003D7D9D"/>
    <w:rsid w:val="003E01CF"/>
    <w:rsid w:val="003E0543"/>
    <w:rsid w:val="003E1769"/>
    <w:rsid w:val="003E28B0"/>
    <w:rsid w:val="003E2B72"/>
    <w:rsid w:val="003E2BFD"/>
    <w:rsid w:val="003E3FEC"/>
    <w:rsid w:val="003E4551"/>
    <w:rsid w:val="003E4881"/>
    <w:rsid w:val="003E4A3E"/>
    <w:rsid w:val="003E4A81"/>
    <w:rsid w:val="003E4E58"/>
    <w:rsid w:val="003E4FB9"/>
    <w:rsid w:val="003E50AE"/>
    <w:rsid w:val="003E5603"/>
    <w:rsid w:val="003E5960"/>
    <w:rsid w:val="003E5EF6"/>
    <w:rsid w:val="003E6488"/>
    <w:rsid w:val="003E661B"/>
    <w:rsid w:val="003E67BE"/>
    <w:rsid w:val="003E6EBB"/>
    <w:rsid w:val="003E72F2"/>
    <w:rsid w:val="003E749E"/>
    <w:rsid w:val="003F0062"/>
    <w:rsid w:val="003F052B"/>
    <w:rsid w:val="003F0FF8"/>
    <w:rsid w:val="003F1AA6"/>
    <w:rsid w:val="003F1EBB"/>
    <w:rsid w:val="003F22F8"/>
    <w:rsid w:val="003F26F4"/>
    <w:rsid w:val="003F2BFA"/>
    <w:rsid w:val="003F3002"/>
    <w:rsid w:val="003F355D"/>
    <w:rsid w:val="003F3815"/>
    <w:rsid w:val="003F4105"/>
    <w:rsid w:val="003F4156"/>
    <w:rsid w:val="003F4AB3"/>
    <w:rsid w:val="003F4BA7"/>
    <w:rsid w:val="003F50A4"/>
    <w:rsid w:val="003F5846"/>
    <w:rsid w:val="003F5ADF"/>
    <w:rsid w:val="003F657A"/>
    <w:rsid w:val="003F6D43"/>
    <w:rsid w:val="003F768A"/>
    <w:rsid w:val="003F77D5"/>
    <w:rsid w:val="003F7921"/>
    <w:rsid w:val="003F7BBD"/>
    <w:rsid w:val="00400017"/>
    <w:rsid w:val="004008E8"/>
    <w:rsid w:val="00400B29"/>
    <w:rsid w:val="00400E44"/>
    <w:rsid w:val="004017B9"/>
    <w:rsid w:val="00401A24"/>
    <w:rsid w:val="0040241B"/>
    <w:rsid w:val="0040258F"/>
    <w:rsid w:val="00402812"/>
    <w:rsid w:val="00402848"/>
    <w:rsid w:val="00402B2D"/>
    <w:rsid w:val="00402BCC"/>
    <w:rsid w:val="004030AE"/>
    <w:rsid w:val="004030CA"/>
    <w:rsid w:val="004034F2"/>
    <w:rsid w:val="00403737"/>
    <w:rsid w:val="004038DE"/>
    <w:rsid w:val="00403C08"/>
    <w:rsid w:val="00404055"/>
    <w:rsid w:val="004043AD"/>
    <w:rsid w:val="004043C7"/>
    <w:rsid w:val="004044D3"/>
    <w:rsid w:val="00404623"/>
    <w:rsid w:val="0040504B"/>
    <w:rsid w:val="004057DA"/>
    <w:rsid w:val="004059F4"/>
    <w:rsid w:val="00406833"/>
    <w:rsid w:val="00406B8E"/>
    <w:rsid w:val="004072C7"/>
    <w:rsid w:val="00407336"/>
    <w:rsid w:val="00407594"/>
    <w:rsid w:val="00407948"/>
    <w:rsid w:val="00407FE5"/>
    <w:rsid w:val="004101B0"/>
    <w:rsid w:val="004101E0"/>
    <w:rsid w:val="00410326"/>
    <w:rsid w:val="00410601"/>
    <w:rsid w:val="00410708"/>
    <w:rsid w:val="00410714"/>
    <w:rsid w:val="00410AE0"/>
    <w:rsid w:val="00410EC7"/>
    <w:rsid w:val="00411662"/>
    <w:rsid w:val="0041184C"/>
    <w:rsid w:val="00411876"/>
    <w:rsid w:val="00411950"/>
    <w:rsid w:val="00411B39"/>
    <w:rsid w:val="00411E52"/>
    <w:rsid w:val="00411FD0"/>
    <w:rsid w:val="004123D3"/>
    <w:rsid w:val="004127A7"/>
    <w:rsid w:val="00412FAF"/>
    <w:rsid w:val="00413541"/>
    <w:rsid w:val="004135A2"/>
    <w:rsid w:val="00413788"/>
    <w:rsid w:val="004137FD"/>
    <w:rsid w:val="00413A1E"/>
    <w:rsid w:val="00413AC2"/>
    <w:rsid w:val="00413BBE"/>
    <w:rsid w:val="00414174"/>
    <w:rsid w:val="00414476"/>
    <w:rsid w:val="00414A2E"/>
    <w:rsid w:val="00414C2E"/>
    <w:rsid w:val="004151CF"/>
    <w:rsid w:val="00415543"/>
    <w:rsid w:val="00415C82"/>
    <w:rsid w:val="00415E60"/>
    <w:rsid w:val="00416231"/>
    <w:rsid w:val="00416354"/>
    <w:rsid w:val="00416364"/>
    <w:rsid w:val="0041711E"/>
    <w:rsid w:val="00417EDB"/>
    <w:rsid w:val="0042047F"/>
    <w:rsid w:val="00420506"/>
    <w:rsid w:val="004208AE"/>
    <w:rsid w:val="00420923"/>
    <w:rsid w:val="00420AA6"/>
    <w:rsid w:val="00420B9F"/>
    <w:rsid w:val="00420CF6"/>
    <w:rsid w:val="00421210"/>
    <w:rsid w:val="0042192C"/>
    <w:rsid w:val="00422260"/>
    <w:rsid w:val="004226E6"/>
    <w:rsid w:val="0042285B"/>
    <w:rsid w:val="00423477"/>
    <w:rsid w:val="00423858"/>
    <w:rsid w:val="004238E3"/>
    <w:rsid w:val="00423914"/>
    <w:rsid w:val="0042413F"/>
    <w:rsid w:val="0042493F"/>
    <w:rsid w:val="00424C29"/>
    <w:rsid w:val="00425012"/>
    <w:rsid w:val="004252CE"/>
    <w:rsid w:val="00425405"/>
    <w:rsid w:val="00425B31"/>
    <w:rsid w:val="004261B0"/>
    <w:rsid w:val="00426565"/>
    <w:rsid w:val="00426C02"/>
    <w:rsid w:val="00426E4A"/>
    <w:rsid w:val="00427DB8"/>
    <w:rsid w:val="00430083"/>
    <w:rsid w:val="00430322"/>
    <w:rsid w:val="00430615"/>
    <w:rsid w:val="00430806"/>
    <w:rsid w:val="00431080"/>
    <w:rsid w:val="00431783"/>
    <w:rsid w:val="004319F8"/>
    <w:rsid w:val="00431E55"/>
    <w:rsid w:val="0043213E"/>
    <w:rsid w:val="004321F6"/>
    <w:rsid w:val="004322BA"/>
    <w:rsid w:val="00432F94"/>
    <w:rsid w:val="00433044"/>
    <w:rsid w:val="004331CB"/>
    <w:rsid w:val="00433C5C"/>
    <w:rsid w:val="00433DB6"/>
    <w:rsid w:val="00434088"/>
    <w:rsid w:val="00435010"/>
    <w:rsid w:val="004352D6"/>
    <w:rsid w:val="004352FB"/>
    <w:rsid w:val="004356EE"/>
    <w:rsid w:val="00435BCD"/>
    <w:rsid w:val="00435F81"/>
    <w:rsid w:val="004365DF"/>
    <w:rsid w:val="004375B9"/>
    <w:rsid w:val="004377DF"/>
    <w:rsid w:val="00440226"/>
    <w:rsid w:val="00440659"/>
    <w:rsid w:val="00440CD0"/>
    <w:rsid w:val="00440D07"/>
    <w:rsid w:val="004413B2"/>
    <w:rsid w:val="0044179D"/>
    <w:rsid w:val="00442441"/>
    <w:rsid w:val="004425B6"/>
    <w:rsid w:val="004428D0"/>
    <w:rsid w:val="00442904"/>
    <w:rsid w:val="00442ADC"/>
    <w:rsid w:val="00442D13"/>
    <w:rsid w:val="00442F08"/>
    <w:rsid w:val="00443148"/>
    <w:rsid w:val="00443E24"/>
    <w:rsid w:val="00443FAC"/>
    <w:rsid w:val="00444185"/>
    <w:rsid w:val="00444240"/>
    <w:rsid w:val="004443A7"/>
    <w:rsid w:val="0044442C"/>
    <w:rsid w:val="004455DA"/>
    <w:rsid w:val="00445732"/>
    <w:rsid w:val="00445941"/>
    <w:rsid w:val="00445A3F"/>
    <w:rsid w:val="00445BE4"/>
    <w:rsid w:val="00445FC3"/>
    <w:rsid w:val="00446361"/>
    <w:rsid w:val="004464DB"/>
    <w:rsid w:val="004464EB"/>
    <w:rsid w:val="0044707D"/>
    <w:rsid w:val="004472B6"/>
    <w:rsid w:val="00447404"/>
    <w:rsid w:val="00447563"/>
    <w:rsid w:val="0044765C"/>
    <w:rsid w:val="00447D26"/>
    <w:rsid w:val="00447DFC"/>
    <w:rsid w:val="004500E7"/>
    <w:rsid w:val="0045032C"/>
    <w:rsid w:val="00450442"/>
    <w:rsid w:val="00450629"/>
    <w:rsid w:val="00452756"/>
    <w:rsid w:val="00452B46"/>
    <w:rsid w:val="00452DCE"/>
    <w:rsid w:val="00453FB7"/>
    <w:rsid w:val="0045464D"/>
    <w:rsid w:val="00454662"/>
    <w:rsid w:val="00454AD7"/>
    <w:rsid w:val="00454EFE"/>
    <w:rsid w:val="00454F92"/>
    <w:rsid w:val="00455540"/>
    <w:rsid w:val="004555E1"/>
    <w:rsid w:val="00455910"/>
    <w:rsid w:val="004559B2"/>
    <w:rsid w:val="00455D45"/>
    <w:rsid w:val="00456202"/>
    <w:rsid w:val="00456236"/>
    <w:rsid w:val="00456356"/>
    <w:rsid w:val="004563EB"/>
    <w:rsid w:val="004566A2"/>
    <w:rsid w:val="00457061"/>
    <w:rsid w:val="0045707B"/>
    <w:rsid w:val="0045748B"/>
    <w:rsid w:val="0045783F"/>
    <w:rsid w:val="004578A7"/>
    <w:rsid w:val="00457CBD"/>
    <w:rsid w:val="00460698"/>
    <w:rsid w:val="00460AD9"/>
    <w:rsid w:val="004610F4"/>
    <w:rsid w:val="004612AD"/>
    <w:rsid w:val="00461353"/>
    <w:rsid w:val="004620A1"/>
    <w:rsid w:val="004624F8"/>
    <w:rsid w:val="00462545"/>
    <w:rsid w:val="004626F2"/>
    <w:rsid w:val="00462807"/>
    <w:rsid w:val="0046344A"/>
    <w:rsid w:val="00463938"/>
    <w:rsid w:val="00463D44"/>
    <w:rsid w:val="00464323"/>
    <w:rsid w:val="00464595"/>
    <w:rsid w:val="0046485A"/>
    <w:rsid w:val="0046523B"/>
    <w:rsid w:val="00465244"/>
    <w:rsid w:val="0046548A"/>
    <w:rsid w:val="00465715"/>
    <w:rsid w:val="004658B5"/>
    <w:rsid w:val="0046705B"/>
    <w:rsid w:val="00467115"/>
    <w:rsid w:val="0046711C"/>
    <w:rsid w:val="00467CC0"/>
    <w:rsid w:val="0047009E"/>
    <w:rsid w:val="00470C81"/>
    <w:rsid w:val="00471EA5"/>
    <w:rsid w:val="00472692"/>
    <w:rsid w:val="00472A79"/>
    <w:rsid w:val="00472D2F"/>
    <w:rsid w:val="00473CC6"/>
    <w:rsid w:val="00473DA6"/>
    <w:rsid w:val="00473F19"/>
    <w:rsid w:val="004743AD"/>
    <w:rsid w:val="004743E5"/>
    <w:rsid w:val="004748D1"/>
    <w:rsid w:val="004752C5"/>
    <w:rsid w:val="00475A16"/>
    <w:rsid w:val="00475D14"/>
    <w:rsid w:val="00475E22"/>
    <w:rsid w:val="00476038"/>
    <w:rsid w:val="00476B94"/>
    <w:rsid w:val="00477541"/>
    <w:rsid w:val="0047777F"/>
    <w:rsid w:val="0048088E"/>
    <w:rsid w:val="00480F2B"/>
    <w:rsid w:val="00481162"/>
    <w:rsid w:val="00481D53"/>
    <w:rsid w:val="004825FE"/>
    <w:rsid w:val="0048268A"/>
    <w:rsid w:val="00482720"/>
    <w:rsid w:val="00482EDD"/>
    <w:rsid w:val="00482F65"/>
    <w:rsid w:val="004835E7"/>
    <w:rsid w:val="00484770"/>
    <w:rsid w:val="00484A0B"/>
    <w:rsid w:val="00484A68"/>
    <w:rsid w:val="0048518E"/>
    <w:rsid w:val="0048524B"/>
    <w:rsid w:val="00485759"/>
    <w:rsid w:val="00485837"/>
    <w:rsid w:val="004858B1"/>
    <w:rsid w:val="004859E1"/>
    <w:rsid w:val="00485A0F"/>
    <w:rsid w:val="004867E2"/>
    <w:rsid w:val="00486837"/>
    <w:rsid w:val="004869D0"/>
    <w:rsid w:val="00486C2F"/>
    <w:rsid w:val="00486FB4"/>
    <w:rsid w:val="00487240"/>
    <w:rsid w:val="00490A9C"/>
    <w:rsid w:val="00490B17"/>
    <w:rsid w:val="00490CCE"/>
    <w:rsid w:val="00490D81"/>
    <w:rsid w:val="004912D9"/>
    <w:rsid w:val="004912F2"/>
    <w:rsid w:val="0049181B"/>
    <w:rsid w:val="00491921"/>
    <w:rsid w:val="00491B3A"/>
    <w:rsid w:val="00492237"/>
    <w:rsid w:val="00492798"/>
    <w:rsid w:val="00492B2B"/>
    <w:rsid w:val="00492CFD"/>
    <w:rsid w:val="00492E20"/>
    <w:rsid w:val="00493705"/>
    <w:rsid w:val="00493AA6"/>
    <w:rsid w:val="00493C4B"/>
    <w:rsid w:val="00494207"/>
    <w:rsid w:val="00494400"/>
    <w:rsid w:val="004947DB"/>
    <w:rsid w:val="00494CD9"/>
    <w:rsid w:val="00494DD5"/>
    <w:rsid w:val="00494F5E"/>
    <w:rsid w:val="00495956"/>
    <w:rsid w:val="00496047"/>
    <w:rsid w:val="004962D2"/>
    <w:rsid w:val="00496534"/>
    <w:rsid w:val="00496638"/>
    <w:rsid w:val="00496747"/>
    <w:rsid w:val="00496D09"/>
    <w:rsid w:val="00497AE1"/>
    <w:rsid w:val="00497CDA"/>
    <w:rsid w:val="004A0ACE"/>
    <w:rsid w:val="004A0DA1"/>
    <w:rsid w:val="004A13CF"/>
    <w:rsid w:val="004A13D6"/>
    <w:rsid w:val="004A15E0"/>
    <w:rsid w:val="004A211C"/>
    <w:rsid w:val="004A2F79"/>
    <w:rsid w:val="004A3220"/>
    <w:rsid w:val="004A39F1"/>
    <w:rsid w:val="004A3AB7"/>
    <w:rsid w:val="004A45E2"/>
    <w:rsid w:val="004A4CB1"/>
    <w:rsid w:val="004A4CC4"/>
    <w:rsid w:val="004A52E9"/>
    <w:rsid w:val="004A6040"/>
    <w:rsid w:val="004A6260"/>
    <w:rsid w:val="004A6597"/>
    <w:rsid w:val="004A7440"/>
    <w:rsid w:val="004A74A2"/>
    <w:rsid w:val="004A782B"/>
    <w:rsid w:val="004A7848"/>
    <w:rsid w:val="004A793B"/>
    <w:rsid w:val="004B002C"/>
    <w:rsid w:val="004B016C"/>
    <w:rsid w:val="004B05BF"/>
    <w:rsid w:val="004B05C4"/>
    <w:rsid w:val="004B0BA2"/>
    <w:rsid w:val="004B0EC3"/>
    <w:rsid w:val="004B0EF7"/>
    <w:rsid w:val="004B14B4"/>
    <w:rsid w:val="004B14E9"/>
    <w:rsid w:val="004B16B7"/>
    <w:rsid w:val="004B195D"/>
    <w:rsid w:val="004B1CB4"/>
    <w:rsid w:val="004B1DBD"/>
    <w:rsid w:val="004B2656"/>
    <w:rsid w:val="004B2983"/>
    <w:rsid w:val="004B2F18"/>
    <w:rsid w:val="004B3DDB"/>
    <w:rsid w:val="004B3DE9"/>
    <w:rsid w:val="004B3FD7"/>
    <w:rsid w:val="004B44FD"/>
    <w:rsid w:val="004B4500"/>
    <w:rsid w:val="004B49A9"/>
    <w:rsid w:val="004B4D25"/>
    <w:rsid w:val="004B4F68"/>
    <w:rsid w:val="004B51BE"/>
    <w:rsid w:val="004B51C3"/>
    <w:rsid w:val="004B55B0"/>
    <w:rsid w:val="004B5936"/>
    <w:rsid w:val="004B59AA"/>
    <w:rsid w:val="004B5CFC"/>
    <w:rsid w:val="004B63AE"/>
    <w:rsid w:val="004B6628"/>
    <w:rsid w:val="004B6F79"/>
    <w:rsid w:val="004B774D"/>
    <w:rsid w:val="004B7875"/>
    <w:rsid w:val="004B79B0"/>
    <w:rsid w:val="004C09EC"/>
    <w:rsid w:val="004C10E3"/>
    <w:rsid w:val="004C1204"/>
    <w:rsid w:val="004C1910"/>
    <w:rsid w:val="004C19B7"/>
    <w:rsid w:val="004C1D28"/>
    <w:rsid w:val="004C1E35"/>
    <w:rsid w:val="004C1EBC"/>
    <w:rsid w:val="004C2393"/>
    <w:rsid w:val="004C2AC2"/>
    <w:rsid w:val="004C2E22"/>
    <w:rsid w:val="004C369A"/>
    <w:rsid w:val="004C3FA9"/>
    <w:rsid w:val="004C4A34"/>
    <w:rsid w:val="004C4AED"/>
    <w:rsid w:val="004C5623"/>
    <w:rsid w:val="004C6F7A"/>
    <w:rsid w:val="004C7AE6"/>
    <w:rsid w:val="004D080F"/>
    <w:rsid w:val="004D1FA4"/>
    <w:rsid w:val="004D26EC"/>
    <w:rsid w:val="004D2C2D"/>
    <w:rsid w:val="004D2DA0"/>
    <w:rsid w:val="004D2DCB"/>
    <w:rsid w:val="004D3060"/>
    <w:rsid w:val="004D3233"/>
    <w:rsid w:val="004D376D"/>
    <w:rsid w:val="004D3A4A"/>
    <w:rsid w:val="004D4361"/>
    <w:rsid w:val="004D4983"/>
    <w:rsid w:val="004D51E9"/>
    <w:rsid w:val="004D54D6"/>
    <w:rsid w:val="004D572C"/>
    <w:rsid w:val="004D5C04"/>
    <w:rsid w:val="004D5C66"/>
    <w:rsid w:val="004D5D7E"/>
    <w:rsid w:val="004D608E"/>
    <w:rsid w:val="004D60B6"/>
    <w:rsid w:val="004D685B"/>
    <w:rsid w:val="004D69B5"/>
    <w:rsid w:val="004D6E86"/>
    <w:rsid w:val="004D7227"/>
    <w:rsid w:val="004D762C"/>
    <w:rsid w:val="004D7686"/>
    <w:rsid w:val="004D7777"/>
    <w:rsid w:val="004D7B5E"/>
    <w:rsid w:val="004E077C"/>
    <w:rsid w:val="004E0E7F"/>
    <w:rsid w:val="004E0EB8"/>
    <w:rsid w:val="004E15AC"/>
    <w:rsid w:val="004E18E9"/>
    <w:rsid w:val="004E1BAD"/>
    <w:rsid w:val="004E1D80"/>
    <w:rsid w:val="004E1E54"/>
    <w:rsid w:val="004E200A"/>
    <w:rsid w:val="004E24C2"/>
    <w:rsid w:val="004E2929"/>
    <w:rsid w:val="004E2ADC"/>
    <w:rsid w:val="004E2C56"/>
    <w:rsid w:val="004E37BC"/>
    <w:rsid w:val="004E39F0"/>
    <w:rsid w:val="004E3F92"/>
    <w:rsid w:val="004E4110"/>
    <w:rsid w:val="004E421A"/>
    <w:rsid w:val="004E43B2"/>
    <w:rsid w:val="004E4AE8"/>
    <w:rsid w:val="004E5663"/>
    <w:rsid w:val="004E585C"/>
    <w:rsid w:val="004E5B03"/>
    <w:rsid w:val="004E5B1E"/>
    <w:rsid w:val="004E5C63"/>
    <w:rsid w:val="004E68F9"/>
    <w:rsid w:val="004E7D17"/>
    <w:rsid w:val="004F0070"/>
    <w:rsid w:val="004F021F"/>
    <w:rsid w:val="004F1D02"/>
    <w:rsid w:val="004F214A"/>
    <w:rsid w:val="004F214E"/>
    <w:rsid w:val="004F2644"/>
    <w:rsid w:val="004F2679"/>
    <w:rsid w:val="004F2B95"/>
    <w:rsid w:val="004F2F21"/>
    <w:rsid w:val="004F3DE5"/>
    <w:rsid w:val="004F463E"/>
    <w:rsid w:val="004F463F"/>
    <w:rsid w:val="004F4770"/>
    <w:rsid w:val="004F483E"/>
    <w:rsid w:val="004F5204"/>
    <w:rsid w:val="004F550B"/>
    <w:rsid w:val="004F620A"/>
    <w:rsid w:val="004F63DC"/>
    <w:rsid w:val="004F656E"/>
    <w:rsid w:val="004F66FA"/>
    <w:rsid w:val="004F6913"/>
    <w:rsid w:val="004F6C21"/>
    <w:rsid w:val="004F7609"/>
    <w:rsid w:val="004F7853"/>
    <w:rsid w:val="004F7865"/>
    <w:rsid w:val="004F7BEF"/>
    <w:rsid w:val="004F7E3B"/>
    <w:rsid w:val="004F7FC5"/>
    <w:rsid w:val="0050045E"/>
    <w:rsid w:val="0050049A"/>
    <w:rsid w:val="00501241"/>
    <w:rsid w:val="005012D8"/>
    <w:rsid w:val="005013A5"/>
    <w:rsid w:val="00501457"/>
    <w:rsid w:val="0050174E"/>
    <w:rsid w:val="00501754"/>
    <w:rsid w:val="00501852"/>
    <w:rsid w:val="00501854"/>
    <w:rsid w:val="005019EB"/>
    <w:rsid w:val="0050219B"/>
    <w:rsid w:val="0050230F"/>
    <w:rsid w:val="00502916"/>
    <w:rsid w:val="0050292A"/>
    <w:rsid w:val="00502DCA"/>
    <w:rsid w:val="00502E2E"/>
    <w:rsid w:val="00503387"/>
    <w:rsid w:val="005036BC"/>
    <w:rsid w:val="00503F17"/>
    <w:rsid w:val="00503F3A"/>
    <w:rsid w:val="005046FD"/>
    <w:rsid w:val="005049BE"/>
    <w:rsid w:val="00504CBA"/>
    <w:rsid w:val="00504EAC"/>
    <w:rsid w:val="0050501E"/>
    <w:rsid w:val="005057B0"/>
    <w:rsid w:val="0050645C"/>
    <w:rsid w:val="00506928"/>
    <w:rsid w:val="00506B06"/>
    <w:rsid w:val="00506B8F"/>
    <w:rsid w:val="00506DB8"/>
    <w:rsid w:val="005077EF"/>
    <w:rsid w:val="00507E4E"/>
    <w:rsid w:val="005114D6"/>
    <w:rsid w:val="00511A54"/>
    <w:rsid w:val="00511AD5"/>
    <w:rsid w:val="00511DC7"/>
    <w:rsid w:val="005128D0"/>
    <w:rsid w:val="00512CBA"/>
    <w:rsid w:val="00512E45"/>
    <w:rsid w:val="005136D4"/>
    <w:rsid w:val="00513B37"/>
    <w:rsid w:val="005140C2"/>
    <w:rsid w:val="005142C5"/>
    <w:rsid w:val="005148EF"/>
    <w:rsid w:val="00514962"/>
    <w:rsid w:val="0051501B"/>
    <w:rsid w:val="0051526F"/>
    <w:rsid w:val="005152B5"/>
    <w:rsid w:val="00515306"/>
    <w:rsid w:val="0051552E"/>
    <w:rsid w:val="005156ED"/>
    <w:rsid w:val="00515886"/>
    <w:rsid w:val="00515B27"/>
    <w:rsid w:val="00515E90"/>
    <w:rsid w:val="00515F52"/>
    <w:rsid w:val="005163C3"/>
    <w:rsid w:val="005168BD"/>
    <w:rsid w:val="00516A32"/>
    <w:rsid w:val="00516AFA"/>
    <w:rsid w:val="0051757F"/>
    <w:rsid w:val="00517CAF"/>
    <w:rsid w:val="00517D4F"/>
    <w:rsid w:val="00520446"/>
    <w:rsid w:val="00520563"/>
    <w:rsid w:val="00521072"/>
    <w:rsid w:val="00521134"/>
    <w:rsid w:val="0052123C"/>
    <w:rsid w:val="00521319"/>
    <w:rsid w:val="0052166D"/>
    <w:rsid w:val="00522BC6"/>
    <w:rsid w:val="00522BC8"/>
    <w:rsid w:val="00523C28"/>
    <w:rsid w:val="0052425D"/>
    <w:rsid w:val="00524573"/>
    <w:rsid w:val="00524788"/>
    <w:rsid w:val="005247C7"/>
    <w:rsid w:val="00524CD6"/>
    <w:rsid w:val="00524F50"/>
    <w:rsid w:val="0052559D"/>
    <w:rsid w:val="00525797"/>
    <w:rsid w:val="00525B54"/>
    <w:rsid w:val="00525E79"/>
    <w:rsid w:val="005261CA"/>
    <w:rsid w:val="0052640A"/>
    <w:rsid w:val="00527A10"/>
    <w:rsid w:val="005309B9"/>
    <w:rsid w:val="00530DF6"/>
    <w:rsid w:val="00531457"/>
    <w:rsid w:val="0053176B"/>
    <w:rsid w:val="0053200D"/>
    <w:rsid w:val="00532490"/>
    <w:rsid w:val="00532C20"/>
    <w:rsid w:val="0053335F"/>
    <w:rsid w:val="00533EC2"/>
    <w:rsid w:val="0053415F"/>
    <w:rsid w:val="005341B3"/>
    <w:rsid w:val="005343B4"/>
    <w:rsid w:val="00534C7D"/>
    <w:rsid w:val="005350A7"/>
    <w:rsid w:val="0053533D"/>
    <w:rsid w:val="00535361"/>
    <w:rsid w:val="005355AE"/>
    <w:rsid w:val="0053579C"/>
    <w:rsid w:val="00535803"/>
    <w:rsid w:val="0053669E"/>
    <w:rsid w:val="00536F18"/>
    <w:rsid w:val="00536F42"/>
    <w:rsid w:val="00537182"/>
    <w:rsid w:val="005371B6"/>
    <w:rsid w:val="00537728"/>
    <w:rsid w:val="0053777C"/>
    <w:rsid w:val="00540332"/>
    <w:rsid w:val="00540688"/>
    <w:rsid w:val="005406E9"/>
    <w:rsid w:val="00540AF6"/>
    <w:rsid w:val="005412E5"/>
    <w:rsid w:val="00541990"/>
    <w:rsid w:val="00541EDD"/>
    <w:rsid w:val="00542743"/>
    <w:rsid w:val="00542C2D"/>
    <w:rsid w:val="005430AF"/>
    <w:rsid w:val="005436E5"/>
    <w:rsid w:val="0054387B"/>
    <w:rsid w:val="0054399E"/>
    <w:rsid w:val="00543AB8"/>
    <w:rsid w:val="00544383"/>
    <w:rsid w:val="005448D5"/>
    <w:rsid w:val="00544B2B"/>
    <w:rsid w:val="0054517E"/>
    <w:rsid w:val="00545A4E"/>
    <w:rsid w:val="00546202"/>
    <w:rsid w:val="0054631E"/>
    <w:rsid w:val="005465D8"/>
    <w:rsid w:val="0054731F"/>
    <w:rsid w:val="0054732E"/>
    <w:rsid w:val="005473BB"/>
    <w:rsid w:val="005478BD"/>
    <w:rsid w:val="005479E3"/>
    <w:rsid w:val="00547A85"/>
    <w:rsid w:val="00547FCB"/>
    <w:rsid w:val="00550FBA"/>
    <w:rsid w:val="00551985"/>
    <w:rsid w:val="00551F44"/>
    <w:rsid w:val="00552040"/>
    <w:rsid w:val="00552286"/>
    <w:rsid w:val="0055231B"/>
    <w:rsid w:val="00552325"/>
    <w:rsid w:val="00552AF4"/>
    <w:rsid w:val="00552BD3"/>
    <w:rsid w:val="00552F5F"/>
    <w:rsid w:val="00553189"/>
    <w:rsid w:val="005532A0"/>
    <w:rsid w:val="00553697"/>
    <w:rsid w:val="00553AD7"/>
    <w:rsid w:val="0055485B"/>
    <w:rsid w:val="00554A3F"/>
    <w:rsid w:val="00554DED"/>
    <w:rsid w:val="00555109"/>
    <w:rsid w:val="0055544B"/>
    <w:rsid w:val="005557F7"/>
    <w:rsid w:val="00555E5D"/>
    <w:rsid w:val="00556302"/>
    <w:rsid w:val="005568A6"/>
    <w:rsid w:val="00556B35"/>
    <w:rsid w:val="005570EF"/>
    <w:rsid w:val="005572A1"/>
    <w:rsid w:val="0055741A"/>
    <w:rsid w:val="00557EB4"/>
    <w:rsid w:val="005605A4"/>
    <w:rsid w:val="005606B2"/>
    <w:rsid w:val="005611B7"/>
    <w:rsid w:val="005618C9"/>
    <w:rsid w:val="005618D4"/>
    <w:rsid w:val="00561AA1"/>
    <w:rsid w:val="00561CB8"/>
    <w:rsid w:val="00561D93"/>
    <w:rsid w:val="00561E64"/>
    <w:rsid w:val="00562C47"/>
    <w:rsid w:val="005631AC"/>
    <w:rsid w:val="0056417C"/>
    <w:rsid w:val="005643A0"/>
    <w:rsid w:val="00564867"/>
    <w:rsid w:val="00564CC9"/>
    <w:rsid w:val="00565A0B"/>
    <w:rsid w:val="00565C79"/>
    <w:rsid w:val="00565DF0"/>
    <w:rsid w:val="00566030"/>
    <w:rsid w:val="00566629"/>
    <w:rsid w:val="0056696F"/>
    <w:rsid w:val="005669D7"/>
    <w:rsid w:val="00566BC1"/>
    <w:rsid w:val="00566CD3"/>
    <w:rsid w:val="00566ED2"/>
    <w:rsid w:val="00566F82"/>
    <w:rsid w:val="00566FF8"/>
    <w:rsid w:val="005671D9"/>
    <w:rsid w:val="0057054F"/>
    <w:rsid w:val="0057092C"/>
    <w:rsid w:val="00570D89"/>
    <w:rsid w:val="00570EA4"/>
    <w:rsid w:val="00571598"/>
    <w:rsid w:val="00571841"/>
    <w:rsid w:val="0057188B"/>
    <w:rsid w:val="00571A6A"/>
    <w:rsid w:val="00571FFF"/>
    <w:rsid w:val="00572269"/>
    <w:rsid w:val="0057244A"/>
    <w:rsid w:val="00572A65"/>
    <w:rsid w:val="00572B1E"/>
    <w:rsid w:val="00572B20"/>
    <w:rsid w:val="00572F26"/>
    <w:rsid w:val="00572F87"/>
    <w:rsid w:val="005735AB"/>
    <w:rsid w:val="00573D82"/>
    <w:rsid w:val="00574B95"/>
    <w:rsid w:val="00574C19"/>
    <w:rsid w:val="005750C5"/>
    <w:rsid w:val="005752DE"/>
    <w:rsid w:val="00575402"/>
    <w:rsid w:val="0057548F"/>
    <w:rsid w:val="00575811"/>
    <w:rsid w:val="00575A98"/>
    <w:rsid w:val="00575D60"/>
    <w:rsid w:val="00575D8D"/>
    <w:rsid w:val="00575E47"/>
    <w:rsid w:val="005760B8"/>
    <w:rsid w:val="005766E4"/>
    <w:rsid w:val="00576972"/>
    <w:rsid w:val="00576B97"/>
    <w:rsid w:val="00577248"/>
    <w:rsid w:val="0057761E"/>
    <w:rsid w:val="00577DA7"/>
    <w:rsid w:val="00577DC9"/>
    <w:rsid w:val="0058016A"/>
    <w:rsid w:val="0058044D"/>
    <w:rsid w:val="005806C3"/>
    <w:rsid w:val="00581402"/>
    <w:rsid w:val="0058178A"/>
    <w:rsid w:val="00581EEB"/>
    <w:rsid w:val="00582031"/>
    <w:rsid w:val="00582AD7"/>
    <w:rsid w:val="0058300E"/>
    <w:rsid w:val="00583166"/>
    <w:rsid w:val="00583699"/>
    <w:rsid w:val="00583822"/>
    <w:rsid w:val="005838B9"/>
    <w:rsid w:val="00584527"/>
    <w:rsid w:val="00584E5F"/>
    <w:rsid w:val="00585070"/>
    <w:rsid w:val="00585117"/>
    <w:rsid w:val="00585A02"/>
    <w:rsid w:val="00585BD6"/>
    <w:rsid w:val="00585CDD"/>
    <w:rsid w:val="00585D67"/>
    <w:rsid w:val="00586280"/>
    <w:rsid w:val="00587058"/>
    <w:rsid w:val="00587F88"/>
    <w:rsid w:val="00590A8B"/>
    <w:rsid w:val="00591957"/>
    <w:rsid w:val="005924A8"/>
    <w:rsid w:val="00593503"/>
    <w:rsid w:val="00593BB9"/>
    <w:rsid w:val="00593CB0"/>
    <w:rsid w:val="00593D09"/>
    <w:rsid w:val="00593DE5"/>
    <w:rsid w:val="00593EB2"/>
    <w:rsid w:val="00594C3F"/>
    <w:rsid w:val="005950D6"/>
    <w:rsid w:val="00595258"/>
    <w:rsid w:val="0059590F"/>
    <w:rsid w:val="00595A86"/>
    <w:rsid w:val="005966FF"/>
    <w:rsid w:val="005967A3"/>
    <w:rsid w:val="0059709C"/>
    <w:rsid w:val="00597259"/>
    <w:rsid w:val="00597BF9"/>
    <w:rsid w:val="00597DE7"/>
    <w:rsid w:val="005A0489"/>
    <w:rsid w:val="005A04A0"/>
    <w:rsid w:val="005A0965"/>
    <w:rsid w:val="005A0C11"/>
    <w:rsid w:val="005A0C9E"/>
    <w:rsid w:val="005A1195"/>
    <w:rsid w:val="005A1330"/>
    <w:rsid w:val="005A181E"/>
    <w:rsid w:val="005A1A4B"/>
    <w:rsid w:val="005A2067"/>
    <w:rsid w:val="005A2177"/>
    <w:rsid w:val="005A248D"/>
    <w:rsid w:val="005A2663"/>
    <w:rsid w:val="005A2D43"/>
    <w:rsid w:val="005A2E53"/>
    <w:rsid w:val="005A309A"/>
    <w:rsid w:val="005A36DF"/>
    <w:rsid w:val="005A373D"/>
    <w:rsid w:val="005A3D0E"/>
    <w:rsid w:val="005A459D"/>
    <w:rsid w:val="005A574F"/>
    <w:rsid w:val="005A575D"/>
    <w:rsid w:val="005A5E0A"/>
    <w:rsid w:val="005A6EA6"/>
    <w:rsid w:val="005A71A0"/>
    <w:rsid w:val="005A71B2"/>
    <w:rsid w:val="005A77AB"/>
    <w:rsid w:val="005A79FF"/>
    <w:rsid w:val="005A7CAD"/>
    <w:rsid w:val="005A7E04"/>
    <w:rsid w:val="005B00BD"/>
    <w:rsid w:val="005B00FA"/>
    <w:rsid w:val="005B0B58"/>
    <w:rsid w:val="005B0DFF"/>
    <w:rsid w:val="005B0E98"/>
    <w:rsid w:val="005B11D0"/>
    <w:rsid w:val="005B13C4"/>
    <w:rsid w:val="005B1F86"/>
    <w:rsid w:val="005B24AB"/>
    <w:rsid w:val="005B2553"/>
    <w:rsid w:val="005B2919"/>
    <w:rsid w:val="005B40E9"/>
    <w:rsid w:val="005B43D6"/>
    <w:rsid w:val="005B482E"/>
    <w:rsid w:val="005B4E53"/>
    <w:rsid w:val="005B5857"/>
    <w:rsid w:val="005B58AB"/>
    <w:rsid w:val="005B58DD"/>
    <w:rsid w:val="005B661C"/>
    <w:rsid w:val="005B72A9"/>
    <w:rsid w:val="005C0302"/>
    <w:rsid w:val="005C05A7"/>
    <w:rsid w:val="005C07BD"/>
    <w:rsid w:val="005C0813"/>
    <w:rsid w:val="005C19C4"/>
    <w:rsid w:val="005C1B83"/>
    <w:rsid w:val="005C1F37"/>
    <w:rsid w:val="005C22B0"/>
    <w:rsid w:val="005C2380"/>
    <w:rsid w:val="005C25FF"/>
    <w:rsid w:val="005C27CB"/>
    <w:rsid w:val="005C2D55"/>
    <w:rsid w:val="005C2D59"/>
    <w:rsid w:val="005C2F48"/>
    <w:rsid w:val="005C32D1"/>
    <w:rsid w:val="005C346B"/>
    <w:rsid w:val="005C357C"/>
    <w:rsid w:val="005C37E5"/>
    <w:rsid w:val="005C3A9B"/>
    <w:rsid w:val="005C46A3"/>
    <w:rsid w:val="005C49F0"/>
    <w:rsid w:val="005C4B43"/>
    <w:rsid w:val="005C4C3D"/>
    <w:rsid w:val="005C4E0B"/>
    <w:rsid w:val="005C5442"/>
    <w:rsid w:val="005C54FE"/>
    <w:rsid w:val="005C5ABC"/>
    <w:rsid w:val="005C5F31"/>
    <w:rsid w:val="005C62D7"/>
    <w:rsid w:val="005C6421"/>
    <w:rsid w:val="005C6458"/>
    <w:rsid w:val="005C7BAE"/>
    <w:rsid w:val="005C7F36"/>
    <w:rsid w:val="005C7F8F"/>
    <w:rsid w:val="005D00C3"/>
    <w:rsid w:val="005D00F0"/>
    <w:rsid w:val="005D01E9"/>
    <w:rsid w:val="005D044D"/>
    <w:rsid w:val="005D05A9"/>
    <w:rsid w:val="005D0ABD"/>
    <w:rsid w:val="005D0FB3"/>
    <w:rsid w:val="005D1247"/>
    <w:rsid w:val="005D151B"/>
    <w:rsid w:val="005D1579"/>
    <w:rsid w:val="005D18AD"/>
    <w:rsid w:val="005D1917"/>
    <w:rsid w:val="005D1A76"/>
    <w:rsid w:val="005D1B75"/>
    <w:rsid w:val="005D2560"/>
    <w:rsid w:val="005D26B4"/>
    <w:rsid w:val="005D306A"/>
    <w:rsid w:val="005D3968"/>
    <w:rsid w:val="005D3D36"/>
    <w:rsid w:val="005D3F9A"/>
    <w:rsid w:val="005D45CC"/>
    <w:rsid w:val="005D475E"/>
    <w:rsid w:val="005D4E45"/>
    <w:rsid w:val="005D54E0"/>
    <w:rsid w:val="005D64AB"/>
    <w:rsid w:val="005D6698"/>
    <w:rsid w:val="005D77EB"/>
    <w:rsid w:val="005D7F6B"/>
    <w:rsid w:val="005E0F99"/>
    <w:rsid w:val="005E11A7"/>
    <w:rsid w:val="005E127B"/>
    <w:rsid w:val="005E13AD"/>
    <w:rsid w:val="005E1995"/>
    <w:rsid w:val="005E19C5"/>
    <w:rsid w:val="005E1A6C"/>
    <w:rsid w:val="005E2488"/>
    <w:rsid w:val="005E2581"/>
    <w:rsid w:val="005E3157"/>
    <w:rsid w:val="005E3275"/>
    <w:rsid w:val="005E440B"/>
    <w:rsid w:val="005E46D2"/>
    <w:rsid w:val="005E4C52"/>
    <w:rsid w:val="005E5270"/>
    <w:rsid w:val="005E5CA8"/>
    <w:rsid w:val="005E6831"/>
    <w:rsid w:val="005E6A6A"/>
    <w:rsid w:val="005E6A84"/>
    <w:rsid w:val="005E6CBC"/>
    <w:rsid w:val="005E6D0D"/>
    <w:rsid w:val="005E72FF"/>
    <w:rsid w:val="005E73C0"/>
    <w:rsid w:val="005E744D"/>
    <w:rsid w:val="005E76EF"/>
    <w:rsid w:val="005E7B1D"/>
    <w:rsid w:val="005F07ED"/>
    <w:rsid w:val="005F0CFD"/>
    <w:rsid w:val="005F1173"/>
    <w:rsid w:val="005F2706"/>
    <w:rsid w:val="005F29AC"/>
    <w:rsid w:val="005F2B43"/>
    <w:rsid w:val="005F2D17"/>
    <w:rsid w:val="005F2DC5"/>
    <w:rsid w:val="005F3016"/>
    <w:rsid w:val="005F33C3"/>
    <w:rsid w:val="005F345C"/>
    <w:rsid w:val="005F3858"/>
    <w:rsid w:val="005F3BF3"/>
    <w:rsid w:val="005F4412"/>
    <w:rsid w:val="005F4513"/>
    <w:rsid w:val="005F4647"/>
    <w:rsid w:val="005F4E2A"/>
    <w:rsid w:val="005F4E4F"/>
    <w:rsid w:val="005F4F21"/>
    <w:rsid w:val="005F5280"/>
    <w:rsid w:val="005F54F2"/>
    <w:rsid w:val="005F593E"/>
    <w:rsid w:val="005F5D9B"/>
    <w:rsid w:val="005F659D"/>
    <w:rsid w:val="005F6A8F"/>
    <w:rsid w:val="005F6BB7"/>
    <w:rsid w:val="005F755C"/>
    <w:rsid w:val="005F7588"/>
    <w:rsid w:val="005F76AC"/>
    <w:rsid w:val="005F7A8F"/>
    <w:rsid w:val="005F7AA3"/>
    <w:rsid w:val="005F7DA3"/>
    <w:rsid w:val="005F7DF2"/>
    <w:rsid w:val="005F7FF8"/>
    <w:rsid w:val="006003D7"/>
    <w:rsid w:val="006009DB"/>
    <w:rsid w:val="00601181"/>
    <w:rsid w:val="00601BA2"/>
    <w:rsid w:val="00602577"/>
    <w:rsid w:val="00602780"/>
    <w:rsid w:val="00602AA5"/>
    <w:rsid w:val="00602C32"/>
    <w:rsid w:val="00602E0C"/>
    <w:rsid w:val="00602F37"/>
    <w:rsid w:val="00603130"/>
    <w:rsid w:val="00603248"/>
    <w:rsid w:val="00603331"/>
    <w:rsid w:val="0060360D"/>
    <w:rsid w:val="00603775"/>
    <w:rsid w:val="00603B1F"/>
    <w:rsid w:val="00603B94"/>
    <w:rsid w:val="00603DB9"/>
    <w:rsid w:val="00604185"/>
    <w:rsid w:val="00606FBA"/>
    <w:rsid w:val="00607442"/>
    <w:rsid w:val="00607466"/>
    <w:rsid w:val="00607669"/>
    <w:rsid w:val="006076F4"/>
    <w:rsid w:val="006078F2"/>
    <w:rsid w:val="00607AFD"/>
    <w:rsid w:val="00607EE9"/>
    <w:rsid w:val="00607FBB"/>
    <w:rsid w:val="006102DD"/>
    <w:rsid w:val="00610976"/>
    <w:rsid w:val="006117D3"/>
    <w:rsid w:val="00611B12"/>
    <w:rsid w:val="00611D3F"/>
    <w:rsid w:val="00611F53"/>
    <w:rsid w:val="00612059"/>
    <w:rsid w:val="006122AA"/>
    <w:rsid w:val="0061246B"/>
    <w:rsid w:val="00612F97"/>
    <w:rsid w:val="00613172"/>
    <w:rsid w:val="006131FE"/>
    <w:rsid w:val="006132AA"/>
    <w:rsid w:val="0061345D"/>
    <w:rsid w:val="006136AF"/>
    <w:rsid w:val="00613F2C"/>
    <w:rsid w:val="0061486A"/>
    <w:rsid w:val="006153BC"/>
    <w:rsid w:val="0061549B"/>
    <w:rsid w:val="006159B2"/>
    <w:rsid w:val="00616448"/>
    <w:rsid w:val="00616469"/>
    <w:rsid w:val="0061657F"/>
    <w:rsid w:val="006167FA"/>
    <w:rsid w:val="00616802"/>
    <w:rsid w:val="006168CD"/>
    <w:rsid w:val="00616BD7"/>
    <w:rsid w:val="0061712F"/>
    <w:rsid w:val="0061779B"/>
    <w:rsid w:val="006178A3"/>
    <w:rsid w:val="00617E12"/>
    <w:rsid w:val="00617EB3"/>
    <w:rsid w:val="00617EF7"/>
    <w:rsid w:val="006202CA"/>
    <w:rsid w:val="00620506"/>
    <w:rsid w:val="00620C25"/>
    <w:rsid w:val="00621123"/>
    <w:rsid w:val="0062144A"/>
    <w:rsid w:val="00621477"/>
    <w:rsid w:val="00621794"/>
    <w:rsid w:val="00621ADA"/>
    <w:rsid w:val="00621FC7"/>
    <w:rsid w:val="006220D4"/>
    <w:rsid w:val="006221BD"/>
    <w:rsid w:val="00622582"/>
    <w:rsid w:val="00622A3A"/>
    <w:rsid w:val="00622A3E"/>
    <w:rsid w:val="00623F7B"/>
    <w:rsid w:val="00624634"/>
    <w:rsid w:val="00624BD4"/>
    <w:rsid w:val="00624EC6"/>
    <w:rsid w:val="0062558E"/>
    <w:rsid w:val="006255FF"/>
    <w:rsid w:val="00625BA8"/>
    <w:rsid w:val="00625FDC"/>
    <w:rsid w:val="00626050"/>
    <w:rsid w:val="00626486"/>
    <w:rsid w:val="00626CC0"/>
    <w:rsid w:val="00626DB7"/>
    <w:rsid w:val="00626EC2"/>
    <w:rsid w:val="00627CF5"/>
    <w:rsid w:val="00627E0A"/>
    <w:rsid w:val="00627E12"/>
    <w:rsid w:val="00631054"/>
    <w:rsid w:val="0063158F"/>
    <w:rsid w:val="00631D6B"/>
    <w:rsid w:val="00632183"/>
    <w:rsid w:val="00632204"/>
    <w:rsid w:val="00632A8B"/>
    <w:rsid w:val="00632A8F"/>
    <w:rsid w:val="0063300F"/>
    <w:rsid w:val="006330A1"/>
    <w:rsid w:val="006337EF"/>
    <w:rsid w:val="00634745"/>
    <w:rsid w:val="0063479F"/>
    <w:rsid w:val="00634AE7"/>
    <w:rsid w:val="00634B8E"/>
    <w:rsid w:val="00634BC2"/>
    <w:rsid w:val="0063509E"/>
    <w:rsid w:val="006353F0"/>
    <w:rsid w:val="006357B5"/>
    <w:rsid w:val="006363DD"/>
    <w:rsid w:val="006364A1"/>
    <w:rsid w:val="0063678E"/>
    <w:rsid w:val="00637B25"/>
    <w:rsid w:val="00637BFD"/>
    <w:rsid w:val="00637C5C"/>
    <w:rsid w:val="00640853"/>
    <w:rsid w:val="00640DE1"/>
    <w:rsid w:val="00641205"/>
    <w:rsid w:val="0064131C"/>
    <w:rsid w:val="006418ED"/>
    <w:rsid w:val="00641C4E"/>
    <w:rsid w:val="00641D65"/>
    <w:rsid w:val="00641DCB"/>
    <w:rsid w:val="00641FB3"/>
    <w:rsid w:val="0064227C"/>
    <w:rsid w:val="006422C6"/>
    <w:rsid w:val="00642852"/>
    <w:rsid w:val="00642A2C"/>
    <w:rsid w:val="00642DF2"/>
    <w:rsid w:val="00643A58"/>
    <w:rsid w:val="00643DEB"/>
    <w:rsid w:val="00643EFD"/>
    <w:rsid w:val="0064434C"/>
    <w:rsid w:val="006445A0"/>
    <w:rsid w:val="00644CAD"/>
    <w:rsid w:val="00645133"/>
    <w:rsid w:val="0064594A"/>
    <w:rsid w:val="0064632C"/>
    <w:rsid w:val="006471CC"/>
    <w:rsid w:val="006472FE"/>
    <w:rsid w:val="00647479"/>
    <w:rsid w:val="00647792"/>
    <w:rsid w:val="00647A29"/>
    <w:rsid w:val="006500D5"/>
    <w:rsid w:val="00650467"/>
    <w:rsid w:val="0065079F"/>
    <w:rsid w:val="00651071"/>
    <w:rsid w:val="0065138B"/>
    <w:rsid w:val="0065147A"/>
    <w:rsid w:val="00651521"/>
    <w:rsid w:val="00651F98"/>
    <w:rsid w:val="0065230C"/>
    <w:rsid w:val="00652628"/>
    <w:rsid w:val="00652906"/>
    <w:rsid w:val="00652A28"/>
    <w:rsid w:val="00653369"/>
    <w:rsid w:val="0065379F"/>
    <w:rsid w:val="00654942"/>
    <w:rsid w:val="0065497E"/>
    <w:rsid w:val="00654DC3"/>
    <w:rsid w:val="00654E2C"/>
    <w:rsid w:val="00655548"/>
    <w:rsid w:val="00655A46"/>
    <w:rsid w:val="00655CF9"/>
    <w:rsid w:val="00655DE8"/>
    <w:rsid w:val="00656188"/>
    <w:rsid w:val="006561EF"/>
    <w:rsid w:val="00656DAF"/>
    <w:rsid w:val="00656EA0"/>
    <w:rsid w:val="0065715A"/>
    <w:rsid w:val="00660696"/>
    <w:rsid w:val="00660B43"/>
    <w:rsid w:val="00660BE2"/>
    <w:rsid w:val="00660C97"/>
    <w:rsid w:val="006610F1"/>
    <w:rsid w:val="00661333"/>
    <w:rsid w:val="0066189F"/>
    <w:rsid w:val="00661C6B"/>
    <w:rsid w:val="00661FE4"/>
    <w:rsid w:val="00662203"/>
    <w:rsid w:val="00662507"/>
    <w:rsid w:val="00662770"/>
    <w:rsid w:val="00662C61"/>
    <w:rsid w:val="00662D3E"/>
    <w:rsid w:val="00662ED4"/>
    <w:rsid w:val="006633E0"/>
    <w:rsid w:val="00663A07"/>
    <w:rsid w:val="00663B2E"/>
    <w:rsid w:val="00663D55"/>
    <w:rsid w:val="00663DD7"/>
    <w:rsid w:val="00664379"/>
    <w:rsid w:val="0066438D"/>
    <w:rsid w:val="00664A0A"/>
    <w:rsid w:val="00664B96"/>
    <w:rsid w:val="006650B3"/>
    <w:rsid w:val="00665303"/>
    <w:rsid w:val="006653CD"/>
    <w:rsid w:val="00665740"/>
    <w:rsid w:val="006658AE"/>
    <w:rsid w:val="00665E23"/>
    <w:rsid w:val="006666DF"/>
    <w:rsid w:val="00666B45"/>
    <w:rsid w:val="006677CC"/>
    <w:rsid w:val="00667BE3"/>
    <w:rsid w:val="00667F85"/>
    <w:rsid w:val="00667FC9"/>
    <w:rsid w:val="006700B4"/>
    <w:rsid w:val="00670C1B"/>
    <w:rsid w:val="00670D48"/>
    <w:rsid w:val="00670F7F"/>
    <w:rsid w:val="00670FE0"/>
    <w:rsid w:val="00671004"/>
    <w:rsid w:val="00671195"/>
    <w:rsid w:val="00671840"/>
    <w:rsid w:val="006719E0"/>
    <w:rsid w:val="00672088"/>
    <w:rsid w:val="006720ED"/>
    <w:rsid w:val="00672646"/>
    <w:rsid w:val="00672D36"/>
    <w:rsid w:val="0067311F"/>
    <w:rsid w:val="0067324F"/>
    <w:rsid w:val="00673456"/>
    <w:rsid w:val="00673C74"/>
    <w:rsid w:val="00673D7A"/>
    <w:rsid w:val="00674E42"/>
    <w:rsid w:val="00676563"/>
    <w:rsid w:val="006767AC"/>
    <w:rsid w:val="00676D39"/>
    <w:rsid w:val="0067744B"/>
    <w:rsid w:val="0068051B"/>
    <w:rsid w:val="00680F1C"/>
    <w:rsid w:val="006813F8"/>
    <w:rsid w:val="00681DC0"/>
    <w:rsid w:val="00682112"/>
    <w:rsid w:val="0068224E"/>
    <w:rsid w:val="006822BD"/>
    <w:rsid w:val="00682489"/>
    <w:rsid w:val="00682BA6"/>
    <w:rsid w:val="00683094"/>
    <w:rsid w:val="0068346E"/>
    <w:rsid w:val="00683599"/>
    <w:rsid w:val="00683FCF"/>
    <w:rsid w:val="006841AB"/>
    <w:rsid w:val="00684741"/>
    <w:rsid w:val="00684B85"/>
    <w:rsid w:val="00684B86"/>
    <w:rsid w:val="00684BCF"/>
    <w:rsid w:val="00685AD1"/>
    <w:rsid w:val="00685B47"/>
    <w:rsid w:val="00686957"/>
    <w:rsid w:val="006872BA"/>
    <w:rsid w:val="00687F62"/>
    <w:rsid w:val="00690150"/>
    <w:rsid w:val="0069048D"/>
    <w:rsid w:val="00690795"/>
    <w:rsid w:val="00690ADC"/>
    <w:rsid w:val="00691134"/>
    <w:rsid w:val="006911DB"/>
    <w:rsid w:val="006913C1"/>
    <w:rsid w:val="00691403"/>
    <w:rsid w:val="00691648"/>
    <w:rsid w:val="006917D7"/>
    <w:rsid w:val="00691A22"/>
    <w:rsid w:val="00691DB4"/>
    <w:rsid w:val="00691DC5"/>
    <w:rsid w:val="006920AB"/>
    <w:rsid w:val="00692B9D"/>
    <w:rsid w:val="00692DBD"/>
    <w:rsid w:val="00692DD7"/>
    <w:rsid w:val="00692F12"/>
    <w:rsid w:val="00693840"/>
    <w:rsid w:val="006940C1"/>
    <w:rsid w:val="006942E4"/>
    <w:rsid w:val="0069434C"/>
    <w:rsid w:val="00694526"/>
    <w:rsid w:val="00694775"/>
    <w:rsid w:val="00694F44"/>
    <w:rsid w:val="00695236"/>
    <w:rsid w:val="00695735"/>
    <w:rsid w:val="0069597F"/>
    <w:rsid w:val="00696401"/>
    <w:rsid w:val="006966CD"/>
    <w:rsid w:val="00696BFF"/>
    <w:rsid w:val="00696C87"/>
    <w:rsid w:val="00696EF9"/>
    <w:rsid w:val="00696F51"/>
    <w:rsid w:val="00697328"/>
    <w:rsid w:val="00697452"/>
    <w:rsid w:val="00697557"/>
    <w:rsid w:val="00697704"/>
    <w:rsid w:val="006979A5"/>
    <w:rsid w:val="00697A4B"/>
    <w:rsid w:val="006A016F"/>
    <w:rsid w:val="006A02E4"/>
    <w:rsid w:val="006A09D1"/>
    <w:rsid w:val="006A0DF7"/>
    <w:rsid w:val="006A1AC5"/>
    <w:rsid w:val="006A3008"/>
    <w:rsid w:val="006A3799"/>
    <w:rsid w:val="006A3A83"/>
    <w:rsid w:val="006A3DEE"/>
    <w:rsid w:val="006A3F10"/>
    <w:rsid w:val="006A4321"/>
    <w:rsid w:val="006A43D9"/>
    <w:rsid w:val="006A4A63"/>
    <w:rsid w:val="006A4B6D"/>
    <w:rsid w:val="006A4F1F"/>
    <w:rsid w:val="006A51C0"/>
    <w:rsid w:val="006A53E1"/>
    <w:rsid w:val="006A54E5"/>
    <w:rsid w:val="006A5938"/>
    <w:rsid w:val="006A59DF"/>
    <w:rsid w:val="006A63E3"/>
    <w:rsid w:val="006A6722"/>
    <w:rsid w:val="006A6B99"/>
    <w:rsid w:val="006A6F87"/>
    <w:rsid w:val="006A706D"/>
    <w:rsid w:val="006A74CB"/>
    <w:rsid w:val="006A7E5F"/>
    <w:rsid w:val="006B00CA"/>
    <w:rsid w:val="006B0FB4"/>
    <w:rsid w:val="006B1B2C"/>
    <w:rsid w:val="006B261B"/>
    <w:rsid w:val="006B2C90"/>
    <w:rsid w:val="006B35E6"/>
    <w:rsid w:val="006B3F0D"/>
    <w:rsid w:val="006B41DE"/>
    <w:rsid w:val="006B465A"/>
    <w:rsid w:val="006B5634"/>
    <w:rsid w:val="006B5A85"/>
    <w:rsid w:val="006B5C35"/>
    <w:rsid w:val="006B633A"/>
    <w:rsid w:val="006B6506"/>
    <w:rsid w:val="006B6D77"/>
    <w:rsid w:val="006B6DD0"/>
    <w:rsid w:val="006B7232"/>
    <w:rsid w:val="006B7251"/>
    <w:rsid w:val="006B75F1"/>
    <w:rsid w:val="006B7B11"/>
    <w:rsid w:val="006C0399"/>
    <w:rsid w:val="006C0A5F"/>
    <w:rsid w:val="006C16F3"/>
    <w:rsid w:val="006C197F"/>
    <w:rsid w:val="006C1D2D"/>
    <w:rsid w:val="006C244B"/>
    <w:rsid w:val="006C2A8E"/>
    <w:rsid w:val="006C2B25"/>
    <w:rsid w:val="006C2B2B"/>
    <w:rsid w:val="006C2D2B"/>
    <w:rsid w:val="006C3255"/>
    <w:rsid w:val="006C3EEF"/>
    <w:rsid w:val="006C3F26"/>
    <w:rsid w:val="006C4482"/>
    <w:rsid w:val="006C4BD6"/>
    <w:rsid w:val="006C4E6C"/>
    <w:rsid w:val="006C511E"/>
    <w:rsid w:val="006C5141"/>
    <w:rsid w:val="006C51A9"/>
    <w:rsid w:val="006C5428"/>
    <w:rsid w:val="006C54F1"/>
    <w:rsid w:val="006C581E"/>
    <w:rsid w:val="006C602F"/>
    <w:rsid w:val="006C6D86"/>
    <w:rsid w:val="006C7CA3"/>
    <w:rsid w:val="006D037C"/>
    <w:rsid w:val="006D0457"/>
    <w:rsid w:val="006D06CF"/>
    <w:rsid w:val="006D0AB0"/>
    <w:rsid w:val="006D0BA3"/>
    <w:rsid w:val="006D0D17"/>
    <w:rsid w:val="006D1B1A"/>
    <w:rsid w:val="006D2D94"/>
    <w:rsid w:val="006D36E1"/>
    <w:rsid w:val="006D39E6"/>
    <w:rsid w:val="006D3C7D"/>
    <w:rsid w:val="006D4270"/>
    <w:rsid w:val="006D43DB"/>
    <w:rsid w:val="006D45DF"/>
    <w:rsid w:val="006D4659"/>
    <w:rsid w:val="006D46FF"/>
    <w:rsid w:val="006D4CFC"/>
    <w:rsid w:val="006D5439"/>
    <w:rsid w:val="006D5860"/>
    <w:rsid w:val="006D5D5F"/>
    <w:rsid w:val="006D68FB"/>
    <w:rsid w:val="006D6A89"/>
    <w:rsid w:val="006D6C61"/>
    <w:rsid w:val="006D76FB"/>
    <w:rsid w:val="006D77A5"/>
    <w:rsid w:val="006E02BA"/>
    <w:rsid w:val="006E0923"/>
    <w:rsid w:val="006E197B"/>
    <w:rsid w:val="006E1AF3"/>
    <w:rsid w:val="006E2868"/>
    <w:rsid w:val="006E3119"/>
    <w:rsid w:val="006E322F"/>
    <w:rsid w:val="006E3F9F"/>
    <w:rsid w:val="006E4B64"/>
    <w:rsid w:val="006E57C8"/>
    <w:rsid w:val="006E5F07"/>
    <w:rsid w:val="006E6466"/>
    <w:rsid w:val="006E6C28"/>
    <w:rsid w:val="006E6D85"/>
    <w:rsid w:val="006E756B"/>
    <w:rsid w:val="006E77AF"/>
    <w:rsid w:val="006F04CF"/>
    <w:rsid w:val="006F0D54"/>
    <w:rsid w:val="006F1417"/>
    <w:rsid w:val="006F15F3"/>
    <w:rsid w:val="006F1C90"/>
    <w:rsid w:val="006F2B8B"/>
    <w:rsid w:val="006F2C07"/>
    <w:rsid w:val="006F2CA9"/>
    <w:rsid w:val="006F306C"/>
    <w:rsid w:val="006F365B"/>
    <w:rsid w:val="006F46E5"/>
    <w:rsid w:val="006F4827"/>
    <w:rsid w:val="006F4B29"/>
    <w:rsid w:val="006F55FC"/>
    <w:rsid w:val="006F5732"/>
    <w:rsid w:val="006F63A5"/>
    <w:rsid w:val="006F7702"/>
    <w:rsid w:val="006F7BD1"/>
    <w:rsid w:val="007009ED"/>
    <w:rsid w:val="00700A3D"/>
    <w:rsid w:val="0070142B"/>
    <w:rsid w:val="00702041"/>
    <w:rsid w:val="00702334"/>
    <w:rsid w:val="0070276E"/>
    <w:rsid w:val="0070283E"/>
    <w:rsid w:val="00702F8F"/>
    <w:rsid w:val="00704843"/>
    <w:rsid w:val="007048B3"/>
    <w:rsid w:val="00705516"/>
    <w:rsid w:val="00705584"/>
    <w:rsid w:val="007060AF"/>
    <w:rsid w:val="007070B4"/>
    <w:rsid w:val="00707553"/>
    <w:rsid w:val="007075C9"/>
    <w:rsid w:val="00707800"/>
    <w:rsid w:val="007079FC"/>
    <w:rsid w:val="00707A13"/>
    <w:rsid w:val="00707A41"/>
    <w:rsid w:val="0071072E"/>
    <w:rsid w:val="00711034"/>
    <w:rsid w:val="00711055"/>
    <w:rsid w:val="00711352"/>
    <w:rsid w:val="0071170E"/>
    <w:rsid w:val="007117BD"/>
    <w:rsid w:val="00711A36"/>
    <w:rsid w:val="00711A9D"/>
    <w:rsid w:val="00712495"/>
    <w:rsid w:val="007125D3"/>
    <w:rsid w:val="00713050"/>
    <w:rsid w:val="00713F17"/>
    <w:rsid w:val="007140CB"/>
    <w:rsid w:val="00714C26"/>
    <w:rsid w:val="0071529C"/>
    <w:rsid w:val="007155CD"/>
    <w:rsid w:val="00715861"/>
    <w:rsid w:val="00715E6C"/>
    <w:rsid w:val="00716073"/>
    <w:rsid w:val="00716499"/>
    <w:rsid w:val="007170DA"/>
    <w:rsid w:val="007172AD"/>
    <w:rsid w:val="00717546"/>
    <w:rsid w:val="0072047D"/>
    <w:rsid w:val="00720801"/>
    <w:rsid w:val="00720C24"/>
    <w:rsid w:val="00720C99"/>
    <w:rsid w:val="0072165F"/>
    <w:rsid w:val="00721EA3"/>
    <w:rsid w:val="007224D0"/>
    <w:rsid w:val="007229C1"/>
    <w:rsid w:val="00722B1B"/>
    <w:rsid w:val="00723428"/>
    <w:rsid w:val="0072350A"/>
    <w:rsid w:val="00723E75"/>
    <w:rsid w:val="0072416F"/>
    <w:rsid w:val="00724D76"/>
    <w:rsid w:val="007250B8"/>
    <w:rsid w:val="00725291"/>
    <w:rsid w:val="00725535"/>
    <w:rsid w:val="0072616A"/>
    <w:rsid w:val="007266B0"/>
    <w:rsid w:val="00726877"/>
    <w:rsid w:val="00726961"/>
    <w:rsid w:val="0072714A"/>
    <w:rsid w:val="0072750C"/>
    <w:rsid w:val="00727C94"/>
    <w:rsid w:val="00727CC4"/>
    <w:rsid w:val="00727DD6"/>
    <w:rsid w:val="00727F06"/>
    <w:rsid w:val="00730C25"/>
    <w:rsid w:val="00730E7B"/>
    <w:rsid w:val="00731394"/>
    <w:rsid w:val="00731840"/>
    <w:rsid w:val="00731B0A"/>
    <w:rsid w:val="00731EAE"/>
    <w:rsid w:val="0073275B"/>
    <w:rsid w:val="00733073"/>
    <w:rsid w:val="00733142"/>
    <w:rsid w:val="00733267"/>
    <w:rsid w:val="00734416"/>
    <w:rsid w:val="007345C7"/>
    <w:rsid w:val="00735033"/>
    <w:rsid w:val="00735328"/>
    <w:rsid w:val="00735720"/>
    <w:rsid w:val="00735BF3"/>
    <w:rsid w:val="0073685B"/>
    <w:rsid w:val="007369D3"/>
    <w:rsid w:val="00736CC5"/>
    <w:rsid w:val="00737355"/>
    <w:rsid w:val="00737A15"/>
    <w:rsid w:val="00737BFA"/>
    <w:rsid w:val="00737C20"/>
    <w:rsid w:val="00737C29"/>
    <w:rsid w:val="00737DBB"/>
    <w:rsid w:val="00737FD4"/>
    <w:rsid w:val="007405D3"/>
    <w:rsid w:val="00740DAF"/>
    <w:rsid w:val="0074135C"/>
    <w:rsid w:val="00741698"/>
    <w:rsid w:val="00742537"/>
    <w:rsid w:val="00742FBD"/>
    <w:rsid w:val="00743209"/>
    <w:rsid w:val="0074405B"/>
    <w:rsid w:val="007449BF"/>
    <w:rsid w:val="00744D1E"/>
    <w:rsid w:val="00744E55"/>
    <w:rsid w:val="00745238"/>
    <w:rsid w:val="007453D9"/>
    <w:rsid w:val="007454A1"/>
    <w:rsid w:val="007458A4"/>
    <w:rsid w:val="007463FE"/>
    <w:rsid w:val="00746BC0"/>
    <w:rsid w:val="00746BF7"/>
    <w:rsid w:val="0074719D"/>
    <w:rsid w:val="0074764E"/>
    <w:rsid w:val="00747A61"/>
    <w:rsid w:val="00747E62"/>
    <w:rsid w:val="007502FD"/>
    <w:rsid w:val="007510B4"/>
    <w:rsid w:val="0075144D"/>
    <w:rsid w:val="007516A7"/>
    <w:rsid w:val="00751FD8"/>
    <w:rsid w:val="00752142"/>
    <w:rsid w:val="0075214E"/>
    <w:rsid w:val="007523F9"/>
    <w:rsid w:val="0075274B"/>
    <w:rsid w:val="00752FCA"/>
    <w:rsid w:val="00753045"/>
    <w:rsid w:val="007532D3"/>
    <w:rsid w:val="0075357E"/>
    <w:rsid w:val="00753828"/>
    <w:rsid w:val="00753B29"/>
    <w:rsid w:val="00753B6A"/>
    <w:rsid w:val="00753C81"/>
    <w:rsid w:val="00754116"/>
    <w:rsid w:val="00754F32"/>
    <w:rsid w:val="0075521C"/>
    <w:rsid w:val="00755305"/>
    <w:rsid w:val="007555C4"/>
    <w:rsid w:val="00755929"/>
    <w:rsid w:val="007559A7"/>
    <w:rsid w:val="007559FC"/>
    <w:rsid w:val="00755A46"/>
    <w:rsid w:val="00755E53"/>
    <w:rsid w:val="00755E67"/>
    <w:rsid w:val="0075672E"/>
    <w:rsid w:val="0075677D"/>
    <w:rsid w:val="00757292"/>
    <w:rsid w:val="007573E8"/>
    <w:rsid w:val="0075748E"/>
    <w:rsid w:val="00757CA6"/>
    <w:rsid w:val="00757CF1"/>
    <w:rsid w:val="00757F88"/>
    <w:rsid w:val="007605D0"/>
    <w:rsid w:val="00760607"/>
    <w:rsid w:val="00760849"/>
    <w:rsid w:val="007608E3"/>
    <w:rsid w:val="00760AA0"/>
    <w:rsid w:val="00760C4E"/>
    <w:rsid w:val="00760EBF"/>
    <w:rsid w:val="00760F9E"/>
    <w:rsid w:val="007613A5"/>
    <w:rsid w:val="0076152F"/>
    <w:rsid w:val="007616E6"/>
    <w:rsid w:val="007619DF"/>
    <w:rsid w:val="0076266F"/>
    <w:rsid w:val="007627BE"/>
    <w:rsid w:val="00762AF1"/>
    <w:rsid w:val="00763B38"/>
    <w:rsid w:val="00763C30"/>
    <w:rsid w:val="00764245"/>
    <w:rsid w:val="00764AB0"/>
    <w:rsid w:val="00764F03"/>
    <w:rsid w:val="00765180"/>
    <w:rsid w:val="007658D0"/>
    <w:rsid w:val="00765B1A"/>
    <w:rsid w:val="00765DC1"/>
    <w:rsid w:val="007661C8"/>
    <w:rsid w:val="00766B60"/>
    <w:rsid w:val="00767342"/>
    <w:rsid w:val="00767441"/>
    <w:rsid w:val="00767847"/>
    <w:rsid w:val="00767E1D"/>
    <w:rsid w:val="00770273"/>
    <w:rsid w:val="00770C27"/>
    <w:rsid w:val="0077229F"/>
    <w:rsid w:val="0077230E"/>
    <w:rsid w:val="007723C2"/>
    <w:rsid w:val="0077243B"/>
    <w:rsid w:val="00773477"/>
    <w:rsid w:val="007735BA"/>
    <w:rsid w:val="00773658"/>
    <w:rsid w:val="007736CD"/>
    <w:rsid w:val="00773FDC"/>
    <w:rsid w:val="0077488C"/>
    <w:rsid w:val="00774CF5"/>
    <w:rsid w:val="007754FC"/>
    <w:rsid w:val="00775E4B"/>
    <w:rsid w:val="0077608B"/>
    <w:rsid w:val="007761CF"/>
    <w:rsid w:val="00776CBC"/>
    <w:rsid w:val="00777335"/>
    <w:rsid w:val="007776C6"/>
    <w:rsid w:val="007779E7"/>
    <w:rsid w:val="00777F5A"/>
    <w:rsid w:val="00780A3A"/>
    <w:rsid w:val="00781E9C"/>
    <w:rsid w:val="00781FD2"/>
    <w:rsid w:val="007820E2"/>
    <w:rsid w:val="00782620"/>
    <w:rsid w:val="00782B01"/>
    <w:rsid w:val="00782D4A"/>
    <w:rsid w:val="00783C72"/>
    <w:rsid w:val="00783CB6"/>
    <w:rsid w:val="0078401D"/>
    <w:rsid w:val="00784062"/>
    <w:rsid w:val="0078425A"/>
    <w:rsid w:val="007843F2"/>
    <w:rsid w:val="007846FA"/>
    <w:rsid w:val="007847B7"/>
    <w:rsid w:val="00785A9F"/>
    <w:rsid w:val="007863BC"/>
    <w:rsid w:val="00786830"/>
    <w:rsid w:val="00786B06"/>
    <w:rsid w:val="00791A28"/>
    <w:rsid w:val="00791EE2"/>
    <w:rsid w:val="007925DF"/>
    <w:rsid w:val="00792990"/>
    <w:rsid w:val="0079299F"/>
    <w:rsid w:val="007931BC"/>
    <w:rsid w:val="00793F34"/>
    <w:rsid w:val="0079404B"/>
    <w:rsid w:val="00794298"/>
    <w:rsid w:val="0079485F"/>
    <w:rsid w:val="007948A4"/>
    <w:rsid w:val="0079607F"/>
    <w:rsid w:val="007966BC"/>
    <w:rsid w:val="007969AC"/>
    <w:rsid w:val="00796A02"/>
    <w:rsid w:val="007978A5"/>
    <w:rsid w:val="007A03F3"/>
    <w:rsid w:val="007A08AA"/>
    <w:rsid w:val="007A0A12"/>
    <w:rsid w:val="007A1091"/>
    <w:rsid w:val="007A132D"/>
    <w:rsid w:val="007A1345"/>
    <w:rsid w:val="007A1C5A"/>
    <w:rsid w:val="007A1D70"/>
    <w:rsid w:val="007A21A6"/>
    <w:rsid w:val="007A2366"/>
    <w:rsid w:val="007A28CF"/>
    <w:rsid w:val="007A2963"/>
    <w:rsid w:val="007A2BC6"/>
    <w:rsid w:val="007A2DDB"/>
    <w:rsid w:val="007A2EB6"/>
    <w:rsid w:val="007A31D6"/>
    <w:rsid w:val="007A47CD"/>
    <w:rsid w:val="007A4DCE"/>
    <w:rsid w:val="007A51F0"/>
    <w:rsid w:val="007A543E"/>
    <w:rsid w:val="007A5BA0"/>
    <w:rsid w:val="007A5CEB"/>
    <w:rsid w:val="007A610D"/>
    <w:rsid w:val="007A6146"/>
    <w:rsid w:val="007A685B"/>
    <w:rsid w:val="007A6A2C"/>
    <w:rsid w:val="007A70BA"/>
    <w:rsid w:val="007A7B39"/>
    <w:rsid w:val="007A7F1B"/>
    <w:rsid w:val="007B01BA"/>
    <w:rsid w:val="007B02E7"/>
    <w:rsid w:val="007B08D7"/>
    <w:rsid w:val="007B0A71"/>
    <w:rsid w:val="007B0AD6"/>
    <w:rsid w:val="007B0D68"/>
    <w:rsid w:val="007B1FF6"/>
    <w:rsid w:val="007B251D"/>
    <w:rsid w:val="007B3533"/>
    <w:rsid w:val="007B36B5"/>
    <w:rsid w:val="007B47D1"/>
    <w:rsid w:val="007B4A7E"/>
    <w:rsid w:val="007B4AD2"/>
    <w:rsid w:val="007B4B14"/>
    <w:rsid w:val="007B4F58"/>
    <w:rsid w:val="007B528D"/>
    <w:rsid w:val="007B543B"/>
    <w:rsid w:val="007B6318"/>
    <w:rsid w:val="007B63CA"/>
    <w:rsid w:val="007B6B95"/>
    <w:rsid w:val="007B717B"/>
    <w:rsid w:val="007B77D1"/>
    <w:rsid w:val="007B78DF"/>
    <w:rsid w:val="007B796B"/>
    <w:rsid w:val="007B79C1"/>
    <w:rsid w:val="007B7E97"/>
    <w:rsid w:val="007C0285"/>
    <w:rsid w:val="007C060A"/>
    <w:rsid w:val="007C07C7"/>
    <w:rsid w:val="007C106F"/>
    <w:rsid w:val="007C10A8"/>
    <w:rsid w:val="007C1160"/>
    <w:rsid w:val="007C1449"/>
    <w:rsid w:val="007C18B4"/>
    <w:rsid w:val="007C1CD9"/>
    <w:rsid w:val="007C1CFE"/>
    <w:rsid w:val="007C208C"/>
    <w:rsid w:val="007C2A2A"/>
    <w:rsid w:val="007C32EF"/>
    <w:rsid w:val="007C33EF"/>
    <w:rsid w:val="007C361D"/>
    <w:rsid w:val="007C368D"/>
    <w:rsid w:val="007C4143"/>
    <w:rsid w:val="007C4149"/>
    <w:rsid w:val="007C434F"/>
    <w:rsid w:val="007C4592"/>
    <w:rsid w:val="007C4B84"/>
    <w:rsid w:val="007C4DDD"/>
    <w:rsid w:val="007C4E1F"/>
    <w:rsid w:val="007C4E23"/>
    <w:rsid w:val="007C51FA"/>
    <w:rsid w:val="007C562C"/>
    <w:rsid w:val="007C563A"/>
    <w:rsid w:val="007C5C88"/>
    <w:rsid w:val="007C646A"/>
    <w:rsid w:val="007C6CDB"/>
    <w:rsid w:val="007C70FF"/>
    <w:rsid w:val="007C7C25"/>
    <w:rsid w:val="007C7C7B"/>
    <w:rsid w:val="007C7F57"/>
    <w:rsid w:val="007D004F"/>
    <w:rsid w:val="007D025D"/>
    <w:rsid w:val="007D035F"/>
    <w:rsid w:val="007D06B2"/>
    <w:rsid w:val="007D0B38"/>
    <w:rsid w:val="007D0CAA"/>
    <w:rsid w:val="007D1391"/>
    <w:rsid w:val="007D14E0"/>
    <w:rsid w:val="007D1727"/>
    <w:rsid w:val="007D2095"/>
    <w:rsid w:val="007D26FC"/>
    <w:rsid w:val="007D28F9"/>
    <w:rsid w:val="007D30DD"/>
    <w:rsid w:val="007D3209"/>
    <w:rsid w:val="007D3358"/>
    <w:rsid w:val="007D3511"/>
    <w:rsid w:val="007D38CA"/>
    <w:rsid w:val="007D392F"/>
    <w:rsid w:val="007D4209"/>
    <w:rsid w:val="007D480C"/>
    <w:rsid w:val="007D5440"/>
    <w:rsid w:val="007D56EE"/>
    <w:rsid w:val="007D5979"/>
    <w:rsid w:val="007D5AA1"/>
    <w:rsid w:val="007D5E86"/>
    <w:rsid w:val="007D6696"/>
    <w:rsid w:val="007D6814"/>
    <w:rsid w:val="007D69EB"/>
    <w:rsid w:val="007D6B74"/>
    <w:rsid w:val="007D6BA7"/>
    <w:rsid w:val="007D7A1E"/>
    <w:rsid w:val="007D7F14"/>
    <w:rsid w:val="007E1209"/>
    <w:rsid w:val="007E128F"/>
    <w:rsid w:val="007E2275"/>
    <w:rsid w:val="007E27BD"/>
    <w:rsid w:val="007E2C02"/>
    <w:rsid w:val="007E304A"/>
    <w:rsid w:val="007E320B"/>
    <w:rsid w:val="007E33EA"/>
    <w:rsid w:val="007E3BF3"/>
    <w:rsid w:val="007E4B0C"/>
    <w:rsid w:val="007E4B49"/>
    <w:rsid w:val="007E503E"/>
    <w:rsid w:val="007E5044"/>
    <w:rsid w:val="007E55F7"/>
    <w:rsid w:val="007E6474"/>
    <w:rsid w:val="007E6515"/>
    <w:rsid w:val="007E6C00"/>
    <w:rsid w:val="007E77C0"/>
    <w:rsid w:val="007F01C2"/>
    <w:rsid w:val="007F1017"/>
    <w:rsid w:val="007F1846"/>
    <w:rsid w:val="007F1B95"/>
    <w:rsid w:val="007F1BC1"/>
    <w:rsid w:val="007F1DB4"/>
    <w:rsid w:val="007F21D1"/>
    <w:rsid w:val="007F29E2"/>
    <w:rsid w:val="007F2A14"/>
    <w:rsid w:val="007F33ED"/>
    <w:rsid w:val="007F3ECE"/>
    <w:rsid w:val="007F3FAC"/>
    <w:rsid w:val="007F43F2"/>
    <w:rsid w:val="007F4640"/>
    <w:rsid w:val="007F4A3F"/>
    <w:rsid w:val="007F4A61"/>
    <w:rsid w:val="007F4E63"/>
    <w:rsid w:val="007F5255"/>
    <w:rsid w:val="007F56CC"/>
    <w:rsid w:val="007F5C82"/>
    <w:rsid w:val="007F5D63"/>
    <w:rsid w:val="007F61C2"/>
    <w:rsid w:val="007F6237"/>
    <w:rsid w:val="007F6773"/>
    <w:rsid w:val="007F6CAE"/>
    <w:rsid w:val="007F6CDC"/>
    <w:rsid w:val="007F6EA8"/>
    <w:rsid w:val="007F74DB"/>
    <w:rsid w:val="007F7BCE"/>
    <w:rsid w:val="007F7FC5"/>
    <w:rsid w:val="007F7FD3"/>
    <w:rsid w:val="0080089E"/>
    <w:rsid w:val="008008A0"/>
    <w:rsid w:val="008008AE"/>
    <w:rsid w:val="00801F5B"/>
    <w:rsid w:val="0080291E"/>
    <w:rsid w:val="00802B60"/>
    <w:rsid w:val="00802BE7"/>
    <w:rsid w:val="00803C33"/>
    <w:rsid w:val="00803EF9"/>
    <w:rsid w:val="00803F51"/>
    <w:rsid w:val="0080409F"/>
    <w:rsid w:val="0080475B"/>
    <w:rsid w:val="00804A75"/>
    <w:rsid w:val="00805142"/>
    <w:rsid w:val="0080583C"/>
    <w:rsid w:val="00805BD6"/>
    <w:rsid w:val="00805FCE"/>
    <w:rsid w:val="0080639F"/>
    <w:rsid w:val="00806918"/>
    <w:rsid w:val="0080780E"/>
    <w:rsid w:val="00807A8B"/>
    <w:rsid w:val="00807C60"/>
    <w:rsid w:val="00807D18"/>
    <w:rsid w:val="00807EF6"/>
    <w:rsid w:val="0081004E"/>
    <w:rsid w:val="00810911"/>
    <w:rsid w:val="00810F7F"/>
    <w:rsid w:val="00811383"/>
    <w:rsid w:val="008119F9"/>
    <w:rsid w:val="00811F50"/>
    <w:rsid w:val="00812149"/>
    <w:rsid w:val="00812CAC"/>
    <w:rsid w:val="00812E17"/>
    <w:rsid w:val="00814E88"/>
    <w:rsid w:val="0081551A"/>
    <w:rsid w:val="008160E9"/>
    <w:rsid w:val="00816361"/>
    <w:rsid w:val="0081637E"/>
    <w:rsid w:val="008166EF"/>
    <w:rsid w:val="00816C92"/>
    <w:rsid w:val="00816D21"/>
    <w:rsid w:val="00816FEF"/>
    <w:rsid w:val="00817722"/>
    <w:rsid w:val="00817A74"/>
    <w:rsid w:val="008207CE"/>
    <w:rsid w:val="00820A8C"/>
    <w:rsid w:val="00820C4C"/>
    <w:rsid w:val="00820DDE"/>
    <w:rsid w:val="00820EB1"/>
    <w:rsid w:val="00821219"/>
    <w:rsid w:val="00821351"/>
    <w:rsid w:val="008215FB"/>
    <w:rsid w:val="008220CC"/>
    <w:rsid w:val="00823174"/>
    <w:rsid w:val="00823760"/>
    <w:rsid w:val="00823B18"/>
    <w:rsid w:val="0082414C"/>
    <w:rsid w:val="008244CD"/>
    <w:rsid w:val="00825751"/>
    <w:rsid w:val="00825AEF"/>
    <w:rsid w:val="008264EB"/>
    <w:rsid w:val="008268CE"/>
    <w:rsid w:val="00826D78"/>
    <w:rsid w:val="00826EFD"/>
    <w:rsid w:val="008272FE"/>
    <w:rsid w:val="00827339"/>
    <w:rsid w:val="0082759D"/>
    <w:rsid w:val="00827696"/>
    <w:rsid w:val="00827C23"/>
    <w:rsid w:val="00830B93"/>
    <w:rsid w:val="008313D9"/>
    <w:rsid w:val="00831A2C"/>
    <w:rsid w:val="00831F87"/>
    <w:rsid w:val="0083253F"/>
    <w:rsid w:val="00832860"/>
    <w:rsid w:val="0083291B"/>
    <w:rsid w:val="00833291"/>
    <w:rsid w:val="00833827"/>
    <w:rsid w:val="00833B05"/>
    <w:rsid w:val="00834B35"/>
    <w:rsid w:val="00834F2A"/>
    <w:rsid w:val="008350C6"/>
    <w:rsid w:val="0083555F"/>
    <w:rsid w:val="008362B4"/>
    <w:rsid w:val="0083678D"/>
    <w:rsid w:val="00836C76"/>
    <w:rsid w:val="00836E2F"/>
    <w:rsid w:val="008372E5"/>
    <w:rsid w:val="008378A4"/>
    <w:rsid w:val="00837BA1"/>
    <w:rsid w:val="00837D31"/>
    <w:rsid w:val="00837DFE"/>
    <w:rsid w:val="0084057B"/>
    <w:rsid w:val="00840C2F"/>
    <w:rsid w:val="00840CA2"/>
    <w:rsid w:val="00841404"/>
    <w:rsid w:val="00841556"/>
    <w:rsid w:val="00841810"/>
    <w:rsid w:val="008419DD"/>
    <w:rsid w:val="008423BB"/>
    <w:rsid w:val="008424D4"/>
    <w:rsid w:val="008424F4"/>
    <w:rsid w:val="00843155"/>
    <w:rsid w:val="008435E1"/>
    <w:rsid w:val="0084374F"/>
    <w:rsid w:val="00843C32"/>
    <w:rsid w:val="008446CF"/>
    <w:rsid w:val="008449BD"/>
    <w:rsid w:val="008449CB"/>
    <w:rsid w:val="00844A22"/>
    <w:rsid w:val="008455DF"/>
    <w:rsid w:val="00845E39"/>
    <w:rsid w:val="00845FC2"/>
    <w:rsid w:val="008468C7"/>
    <w:rsid w:val="00847703"/>
    <w:rsid w:val="00847B96"/>
    <w:rsid w:val="00847DF5"/>
    <w:rsid w:val="0085056E"/>
    <w:rsid w:val="008506B8"/>
    <w:rsid w:val="008507D4"/>
    <w:rsid w:val="00850C9F"/>
    <w:rsid w:val="00851A8D"/>
    <w:rsid w:val="008525E7"/>
    <w:rsid w:val="00852E4F"/>
    <w:rsid w:val="0085309D"/>
    <w:rsid w:val="008532ED"/>
    <w:rsid w:val="00853891"/>
    <w:rsid w:val="00854A21"/>
    <w:rsid w:val="00856548"/>
    <w:rsid w:val="00856897"/>
    <w:rsid w:val="00856E9A"/>
    <w:rsid w:val="00857328"/>
    <w:rsid w:val="0086075D"/>
    <w:rsid w:val="0086083A"/>
    <w:rsid w:val="00860B60"/>
    <w:rsid w:val="0086111F"/>
    <w:rsid w:val="0086132C"/>
    <w:rsid w:val="0086171F"/>
    <w:rsid w:val="00861794"/>
    <w:rsid w:val="00861E16"/>
    <w:rsid w:val="00861F15"/>
    <w:rsid w:val="00861F38"/>
    <w:rsid w:val="008624E8"/>
    <w:rsid w:val="00862502"/>
    <w:rsid w:val="00862762"/>
    <w:rsid w:val="00862946"/>
    <w:rsid w:val="00862CC1"/>
    <w:rsid w:val="00862D78"/>
    <w:rsid w:val="00863573"/>
    <w:rsid w:val="008638C8"/>
    <w:rsid w:val="00863C5C"/>
    <w:rsid w:val="008642A7"/>
    <w:rsid w:val="00864381"/>
    <w:rsid w:val="008643BF"/>
    <w:rsid w:val="008643CC"/>
    <w:rsid w:val="00864802"/>
    <w:rsid w:val="00865164"/>
    <w:rsid w:val="008660D4"/>
    <w:rsid w:val="00866345"/>
    <w:rsid w:val="008667C1"/>
    <w:rsid w:val="00866B92"/>
    <w:rsid w:val="00866EA2"/>
    <w:rsid w:val="00866FB2"/>
    <w:rsid w:val="008675A9"/>
    <w:rsid w:val="0087026D"/>
    <w:rsid w:val="0087031E"/>
    <w:rsid w:val="008703FE"/>
    <w:rsid w:val="00870D00"/>
    <w:rsid w:val="00870EB4"/>
    <w:rsid w:val="008712FE"/>
    <w:rsid w:val="008713C2"/>
    <w:rsid w:val="00871627"/>
    <w:rsid w:val="00871FA9"/>
    <w:rsid w:val="008727A7"/>
    <w:rsid w:val="008728E9"/>
    <w:rsid w:val="00872D0A"/>
    <w:rsid w:val="0087312B"/>
    <w:rsid w:val="00873A8E"/>
    <w:rsid w:val="0087408D"/>
    <w:rsid w:val="008740BA"/>
    <w:rsid w:val="00874B20"/>
    <w:rsid w:val="008751D2"/>
    <w:rsid w:val="008751F0"/>
    <w:rsid w:val="00875375"/>
    <w:rsid w:val="00875BE5"/>
    <w:rsid w:val="008764F4"/>
    <w:rsid w:val="00876512"/>
    <w:rsid w:val="008765A5"/>
    <w:rsid w:val="00877523"/>
    <w:rsid w:val="008777EC"/>
    <w:rsid w:val="008779B0"/>
    <w:rsid w:val="00877D92"/>
    <w:rsid w:val="00877F51"/>
    <w:rsid w:val="00880595"/>
    <w:rsid w:val="00880742"/>
    <w:rsid w:val="00880976"/>
    <w:rsid w:val="00880CAE"/>
    <w:rsid w:val="00880D16"/>
    <w:rsid w:val="008811D8"/>
    <w:rsid w:val="008816D0"/>
    <w:rsid w:val="008817C2"/>
    <w:rsid w:val="0088182C"/>
    <w:rsid w:val="00881950"/>
    <w:rsid w:val="00881BD6"/>
    <w:rsid w:val="00882086"/>
    <w:rsid w:val="00882646"/>
    <w:rsid w:val="00882874"/>
    <w:rsid w:val="0088296F"/>
    <w:rsid w:val="00882E3C"/>
    <w:rsid w:val="00882F26"/>
    <w:rsid w:val="00882F74"/>
    <w:rsid w:val="0088308A"/>
    <w:rsid w:val="0088360E"/>
    <w:rsid w:val="00883629"/>
    <w:rsid w:val="00883787"/>
    <w:rsid w:val="0088385D"/>
    <w:rsid w:val="008838AD"/>
    <w:rsid w:val="00883DC7"/>
    <w:rsid w:val="00883DF1"/>
    <w:rsid w:val="00883F88"/>
    <w:rsid w:val="008840E3"/>
    <w:rsid w:val="008843DB"/>
    <w:rsid w:val="00884ED9"/>
    <w:rsid w:val="00885362"/>
    <w:rsid w:val="008855E4"/>
    <w:rsid w:val="00885BF2"/>
    <w:rsid w:val="00885C57"/>
    <w:rsid w:val="00886446"/>
    <w:rsid w:val="00886892"/>
    <w:rsid w:val="00886CD2"/>
    <w:rsid w:val="00886DFC"/>
    <w:rsid w:val="00886EEC"/>
    <w:rsid w:val="00887042"/>
    <w:rsid w:val="00887428"/>
    <w:rsid w:val="0088746B"/>
    <w:rsid w:val="00887733"/>
    <w:rsid w:val="008877B2"/>
    <w:rsid w:val="00887C84"/>
    <w:rsid w:val="008903F5"/>
    <w:rsid w:val="0089048A"/>
    <w:rsid w:val="008905A4"/>
    <w:rsid w:val="0089087A"/>
    <w:rsid w:val="008908AF"/>
    <w:rsid w:val="00890A3B"/>
    <w:rsid w:val="00891E35"/>
    <w:rsid w:val="00891E6F"/>
    <w:rsid w:val="00892328"/>
    <w:rsid w:val="0089275D"/>
    <w:rsid w:val="00892A36"/>
    <w:rsid w:val="00892E06"/>
    <w:rsid w:val="00893239"/>
    <w:rsid w:val="008932D0"/>
    <w:rsid w:val="008934CF"/>
    <w:rsid w:val="008935EE"/>
    <w:rsid w:val="00893D49"/>
    <w:rsid w:val="00893E86"/>
    <w:rsid w:val="00894489"/>
    <w:rsid w:val="00894CD6"/>
    <w:rsid w:val="00894E87"/>
    <w:rsid w:val="00894F12"/>
    <w:rsid w:val="00894F31"/>
    <w:rsid w:val="00894F5D"/>
    <w:rsid w:val="00895168"/>
    <w:rsid w:val="008955B9"/>
    <w:rsid w:val="0089595A"/>
    <w:rsid w:val="00895B52"/>
    <w:rsid w:val="008963A5"/>
    <w:rsid w:val="00896634"/>
    <w:rsid w:val="00896D5D"/>
    <w:rsid w:val="008971DF"/>
    <w:rsid w:val="008973BF"/>
    <w:rsid w:val="00897F31"/>
    <w:rsid w:val="008A0850"/>
    <w:rsid w:val="008A0913"/>
    <w:rsid w:val="008A0B3A"/>
    <w:rsid w:val="008A1125"/>
    <w:rsid w:val="008A12CD"/>
    <w:rsid w:val="008A14BC"/>
    <w:rsid w:val="008A1A09"/>
    <w:rsid w:val="008A2009"/>
    <w:rsid w:val="008A2CDD"/>
    <w:rsid w:val="008A2ED5"/>
    <w:rsid w:val="008A3158"/>
    <w:rsid w:val="008A3296"/>
    <w:rsid w:val="008A3363"/>
    <w:rsid w:val="008A3371"/>
    <w:rsid w:val="008A33D9"/>
    <w:rsid w:val="008A37E4"/>
    <w:rsid w:val="008A3834"/>
    <w:rsid w:val="008A3C3E"/>
    <w:rsid w:val="008A43FC"/>
    <w:rsid w:val="008A4640"/>
    <w:rsid w:val="008A4E2A"/>
    <w:rsid w:val="008A5338"/>
    <w:rsid w:val="008A5618"/>
    <w:rsid w:val="008A57A4"/>
    <w:rsid w:val="008A5827"/>
    <w:rsid w:val="008A58BC"/>
    <w:rsid w:val="008A5E1E"/>
    <w:rsid w:val="008A6197"/>
    <w:rsid w:val="008A6400"/>
    <w:rsid w:val="008A6D16"/>
    <w:rsid w:val="008A77B3"/>
    <w:rsid w:val="008A79DE"/>
    <w:rsid w:val="008B0175"/>
    <w:rsid w:val="008B076A"/>
    <w:rsid w:val="008B087F"/>
    <w:rsid w:val="008B0CF1"/>
    <w:rsid w:val="008B1757"/>
    <w:rsid w:val="008B1C33"/>
    <w:rsid w:val="008B20ED"/>
    <w:rsid w:val="008B2FCD"/>
    <w:rsid w:val="008B3755"/>
    <w:rsid w:val="008B37C8"/>
    <w:rsid w:val="008B37F7"/>
    <w:rsid w:val="008B3903"/>
    <w:rsid w:val="008B3BFA"/>
    <w:rsid w:val="008B3C7D"/>
    <w:rsid w:val="008B3F51"/>
    <w:rsid w:val="008B427E"/>
    <w:rsid w:val="008B4307"/>
    <w:rsid w:val="008B4B6F"/>
    <w:rsid w:val="008B4E05"/>
    <w:rsid w:val="008B5A26"/>
    <w:rsid w:val="008B5F49"/>
    <w:rsid w:val="008B615D"/>
    <w:rsid w:val="008B619F"/>
    <w:rsid w:val="008B6C21"/>
    <w:rsid w:val="008B7992"/>
    <w:rsid w:val="008B7D7E"/>
    <w:rsid w:val="008B7DBB"/>
    <w:rsid w:val="008B7E21"/>
    <w:rsid w:val="008B7F0A"/>
    <w:rsid w:val="008C025C"/>
    <w:rsid w:val="008C090E"/>
    <w:rsid w:val="008C0F0F"/>
    <w:rsid w:val="008C0FD4"/>
    <w:rsid w:val="008C13F4"/>
    <w:rsid w:val="008C1AD4"/>
    <w:rsid w:val="008C238B"/>
    <w:rsid w:val="008C25F8"/>
    <w:rsid w:val="008C292D"/>
    <w:rsid w:val="008C2BFB"/>
    <w:rsid w:val="008C335E"/>
    <w:rsid w:val="008C3C8F"/>
    <w:rsid w:val="008C40ED"/>
    <w:rsid w:val="008C496A"/>
    <w:rsid w:val="008C5610"/>
    <w:rsid w:val="008C5739"/>
    <w:rsid w:val="008C5898"/>
    <w:rsid w:val="008C597C"/>
    <w:rsid w:val="008C5F5F"/>
    <w:rsid w:val="008C63DE"/>
    <w:rsid w:val="008C652B"/>
    <w:rsid w:val="008C67DA"/>
    <w:rsid w:val="008C7282"/>
    <w:rsid w:val="008C7ECB"/>
    <w:rsid w:val="008D0173"/>
    <w:rsid w:val="008D044E"/>
    <w:rsid w:val="008D0A16"/>
    <w:rsid w:val="008D0A36"/>
    <w:rsid w:val="008D0D70"/>
    <w:rsid w:val="008D0DC4"/>
    <w:rsid w:val="008D10FA"/>
    <w:rsid w:val="008D1301"/>
    <w:rsid w:val="008D18B4"/>
    <w:rsid w:val="008D2092"/>
    <w:rsid w:val="008D2466"/>
    <w:rsid w:val="008D25DD"/>
    <w:rsid w:val="008D2948"/>
    <w:rsid w:val="008D2BAE"/>
    <w:rsid w:val="008D3B86"/>
    <w:rsid w:val="008D4221"/>
    <w:rsid w:val="008D43FD"/>
    <w:rsid w:val="008D4755"/>
    <w:rsid w:val="008D4857"/>
    <w:rsid w:val="008D48B9"/>
    <w:rsid w:val="008D4C3D"/>
    <w:rsid w:val="008D51C7"/>
    <w:rsid w:val="008D5D03"/>
    <w:rsid w:val="008D5F59"/>
    <w:rsid w:val="008D6323"/>
    <w:rsid w:val="008D6D27"/>
    <w:rsid w:val="008D71B1"/>
    <w:rsid w:val="008D7318"/>
    <w:rsid w:val="008D743C"/>
    <w:rsid w:val="008D7480"/>
    <w:rsid w:val="008D75E5"/>
    <w:rsid w:val="008D763A"/>
    <w:rsid w:val="008D77A7"/>
    <w:rsid w:val="008D7F11"/>
    <w:rsid w:val="008E000F"/>
    <w:rsid w:val="008E0903"/>
    <w:rsid w:val="008E0D3C"/>
    <w:rsid w:val="008E0DA7"/>
    <w:rsid w:val="008E190B"/>
    <w:rsid w:val="008E1A3A"/>
    <w:rsid w:val="008E1B9E"/>
    <w:rsid w:val="008E2049"/>
    <w:rsid w:val="008E2796"/>
    <w:rsid w:val="008E2980"/>
    <w:rsid w:val="008E2E91"/>
    <w:rsid w:val="008E3668"/>
    <w:rsid w:val="008E55AB"/>
    <w:rsid w:val="008E5FC2"/>
    <w:rsid w:val="008E6022"/>
    <w:rsid w:val="008E68CD"/>
    <w:rsid w:val="008E6926"/>
    <w:rsid w:val="008E6975"/>
    <w:rsid w:val="008E6B9A"/>
    <w:rsid w:val="008F0B74"/>
    <w:rsid w:val="008F0FEB"/>
    <w:rsid w:val="008F120A"/>
    <w:rsid w:val="008F1951"/>
    <w:rsid w:val="008F1A68"/>
    <w:rsid w:val="008F22F6"/>
    <w:rsid w:val="008F27E0"/>
    <w:rsid w:val="008F28D4"/>
    <w:rsid w:val="008F2A32"/>
    <w:rsid w:val="008F2E0B"/>
    <w:rsid w:val="008F2F0A"/>
    <w:rsid w:val="008F2F8C"/>
    <w:rsid w:val="008F48EB"/>
    <w:rsid w:val="008F4CD7"/>
    <w:rsid w:val="008F4F0B"/>
    <w:rsid w:val="008F4F44"/>
    <w:rsid w:val="008F556E"/>
    <w:rsid w:val="008F5EB4"/>
    <w:rsid w:val="008F60EA"/>
    <w:rsid w:val="008F63A6"/>
    <w:rsid w:val="008F6EF5"/>
    <w:rsid w:val="008F70EB"/>
    <w:rsid w:val="008F7B7E"/>
    <w:rsid w:val="00900C7F"/>
    <w:rsid w:val="00900F5B"/>
    <w:rsid w:val="00900F69"/>
    <w:rsid w:val="00901194"/>
    <w:rsid w:val="00901750"/>
    <w:rsid w:val="0090177D"/>
    <w:rsid w:val="00901810"/>
    <w:rsid w:val="00901861"/>
    <w:rsid w:val="009018E9"/>
    <w:rsid w:val="009024A4"/>
    <w:rsid w:val="009024AB"/>
    <w:rsid w:val="0090262F"/>
    <w:rsid w:val="00902E2A"/>
    <w:rsid w:val="009032D2"/>
    <w:rsid w:val="0090347A"/>
    <w:rsid w:val="00904328"/>
    <w:rsid w:val="00904623"/>
    <w:rsid w:val="009046C4"/>
    <w:rsid w:val="00904755"/>
    <w:rsid w:val="00905468"/>
    <w:rsid w:val="00905677"/>
    <w:rsid w:val="00905B53"/>
    <w:rsid w:val="00905BE9"/>
    <w:rsid w:val="00905CB6"/>
    <w:rsid w:val="00905EEA"/>
    <w:rsid w:val="009062A5"/>
    <w:rsid w:val="009065FA"/>
    <w:rsid w:val="00906D1D"/>
    <w:rsid w:val="00907554"/>
    <w:rsid w:val="00907699"/>
    <w:rsid w:val="00910CFD"/>
    <w:rsid w:val="00910FA7"/>
    <w:rsid w:val="0091123C"/>
    <w:rsid w:val="00911272"/>
    <w:rsid w:val="00911339"/>
    <w:rsid w:val="0091198F"/>
    <w:rsid w:val="00911D84"/>
    <w:rsid w:val="00911E03"/>
    <w:rsid w:val="00912051"/>
    <w:rsid w:val="00912122"/>
    <w:rsid w:val="00912B83"/>
    <w:rsid w:val="00912C2F"/>
    <w:rsid w:val="009135D6"/>
    <w:rsid w:val="0091376C"/>
    <w:rsid w:val="00913E35"/>
    <w:rsid w:val="009140CE"/>
    <w:rsid w:val="009147C0"/>
    <w:rsid w:val="0091498E"/>
    <w:rsid w:val="00914C77"/>
    <w:rsid w:val="009154FA"/>
    <w:rsid w:val="009157E5"/>
    <w:rsid w:val="0091592C"/>
    <w:rsid w:val="00915966"/>
    <w:rsid w:val="00916C42"/>
    <w:rsid w:val="0091704A"/>
    <w:rsid w:val="00917738"/>
    <w:rsid w:val="00917C2E"/>
    <w:rsid w:val="00917C7F"/>
    <w:rsid w:val="00920017"/>
    <w:rsid w:val="009206F0"/>
    <w:rsid w:val="009218E7"/>
    <w:rsid w:val="00921965"/>
    <w:rsid w:val="00921ACB"/>
    <w:rsid w:val="00922119"/>
    <w:rsid w:val="009229FF"/>
    <w:rsid w:val="0092369B"/>
    <w:rsid w:val="00923C0C"/>
    <w:rsid w:val="00923D70"/>
    <w:rsid w:val="00923F20"/>
    <w:rsid w:val="009245B7"/>
    <w:rsid w:val="00925076"/>
    <w:rsid w:val="00925271"/>
    <w:rsid w:val="009257EB"/>
    <w:rsid w:val="00925A85"/>
    <w:rsid w:val="00925D52"/>
    <w:rsid w:val="00926230"/>
    <w:rsid w:val="009264D0"/>
    <w:rsid w:val="00926A2F"/>
    <w:rsid w:val="00926CA8"/>
    <w:rsid w:val="00926D9A"/>
    <w:rsid w:val="0092753B"/>
    <w:rsid w:val="0092758B"/>
    <w:rsid w:val="0092773A"/>
    <w:rsid w:val="009303B6"/>
    <w:rsid w:val="00930A50"/>
    <w:rsid w:val="00930C9A"/>
    <w:rsid w:val="00931FF6"/>
    <w:rsid w:val="009326EA"/>
    <w:rsid w:val="009339F5"/>
    <w:rsid w:val="00933AD3"/>
    <w:rsid w:val="009341CF"/>
    <w:rsid w:val="00934988"/>
    <w:rsid w:val="00934CA8"/>
    <w:rsid w:val="0093522F"/>
    <w:rsid w:val="009353B7"/>
    <w:rsid w:val="00935825"/>
    <w:rsid w:val="00935D3F"/>
    <w:rsid w:val="00935DA4"/>
    <w:rsid w:val="00936031"/>
    <w:rsid w:val="0093639D"/>
    <w:rsid w:val="0093651D"/>
    <w:rsid w:val="00937089"/>
    <w:rsid w:val="00937FB3"/>
    <w:rsid w:val="00940110"/>
    <w:rsid w:val="0094084C"/>
    <w:rsid w:val="00941B1B"/>
    <w:rsid w:val="00941EBF"/>
    <w:rsid w:val="009422E8"/>
    <w:rsid w:val="009426B2"/>
    <w:rsid w:val="009430A1"/>
    <w:rsid w:val="00943F5F"/>
    <w:rsid w:val="0094490B"/>
    <w:rsid w:val="00944F8A"/>
    <w:rsid w:val="00945191"/>
    <w:rsid w:val="00945737"/>
    <w:rsid w:val="0094581C"/>
    <w:rsid w:val="009460DE"/>
    <w:rsid w:val="0094634D"/>
    <w:rsid w:val="00946E31"/>
    <w:rsid w:val="00947773"/>
    <w:rsid w:val="00950BA7"/>
    <w:rsid w:val="00950FF3"/>
    <w:rsid w:val="009510A2"/>
    <w:rsid w:val="00951190"/>
    <w:rsid w:val="009513F5"/>
    <w:rsid w:val="0095167A"/>
    <w:rsid w:val="00951D8E"/>
    <w:rsid w:val="00951E3B"/>
    <w:rsid w:val="0095274B"/>
    <w:rsid w:val="00953257"/>
    <w:rsid w:val="00953DF1"/>
    <w:rsid w:val="00954668"/>
    <w:rsid w:val="0095474C"/>
    <w:rsid w:val="009548A8"/>
    <w:rsid w:val="009549FE"/>
    <w:rsid w:val="00954E19"/>
    <w:rsid w:val="00955D17"/>
    <w:rsid w:val="00955F30"/>
    <w:rsid w:val="0095667C"/>
    <w:rsid w:val="00956965"/>
    <w:rsid w:val="00957180"/>
    <w:rsid w:val="00957D92"/>
    <w:rsid w:val="009603CE"/>
    <w:rsid w:val="0096086D"/>
    <w:rsid w:val="009609F6"/>
    <w:rsid w:val="00960B4B"/>
    <w:rsid w:val="00960BAD"/>
    <w:rsid w:val="00961A41"/>
    <w:rsid w:val="00962CB9"/>
    <w:rsid w:val="009635C5"/>
    <w:rsid w:val="00963AFF"/>
    <w:rsid w:val="00963CD0"/>
    <w:rsid w:val="00963D43"/>
    <w:rsid w:val="0096401F"/>
    <w:rsid w:val="00964312"/>
    <w:rsid w:val="009643D3"/>
    <w:rsid w:val="00964C99"/>
    <w:rsid w:val="00964EB5"/>
    <w:rsid w:val="0096549C"/>
    <w:rsid w:val="00965595"/>
    <w:rsid w:val="00965A8A"/>
    <w:rsid w:val="00965ADD"/>
    <w:rsid w:val="00965B8A"/>
    <w:rsid w:val="00966987"/>
    <w:rsid w:val="00967289"/>
    <w:rsid w:val="00967588"/>
    <w:rsid w:val="009675FF"/>
    <w:rsid w:val="0096768A"/>
    <w:rsid w:val="009677D4"/>
    <w:rsid w:val="00967B7C"/>
    <w:rsid w:val="009706A7"/>
    <w:rsid w:val="0097071F"/>
    <w:rsid w:val="009707D9"/>
    <w:rsid w:val="00971287"/>
    <w:rsid w:val="009713C3"/>
    <w:rsid w:val="009717AC"/>
    <w:rsid w:val="00971C1E"/>
    <w:rsid w:val="00973042"/>
    <w:rsid w:val="00973351"/>
    <w:rsid w:val="00973D20"/>
    <w:rsid w:val="009747D0"/>
    <w:rsid w:val="009749DA"/>
    <w:rsid w:val="00974D44"/>
    <w:rsid w:val="009751C1"/>
    <w:rsid w:val="009755CA"/>
    <w:rsid w:val="00975730"/>
    <w:rsid w:val="00975F58"/>
    <w:rsid w:val="00976C31"/>
    <w:rsid w:val="0097733A"/>
    <w:rsid w:val="00977520"/>
    <w:rsid w:val="009776B6"/>
    <w:rsid w:val="009777CF"/>
    <w:rsid w:val="009804D1"/>
    <w:rsid w:val="0098063D"/>
    <w:rsid w:val="00980F10"/>
    <w:rsid w:val="00980F3C"/>
    <w:rsid w:val="009811F1"/>
    <w:rsid w:val="00981ADD"/>
    <w:rsid w:val="00982379"/>
    <w:rsid w:val="00982ECA"/>
    <w:rsid w:val="00983A8B"/>
    <w:rsid w:val="00983E53"/>
    <w:rsid w:val="00983E57"/>
    <w:rsid w:val="0098478C"/>
    <w:rsid w:val="00984D04"/>
    <w:rsid w:val="00985DE2"/>
    <w:rsid w:val="00985EC7"/>
    <w:rsid w:val="0098675D"/>
    <w:rsid w:val="00986ABA"/>
    <w:rsid w:val="00986C94"/>
    <w:rsid w:val="009875A4"/>
    <w:rsid w:val="0098766B"/>
    <w:rsid w:val="0098768D"/>
    <w:rsid w:val="00987BA4"/>
    <w:rsid w:val="00987D7A"/>
    <w:rsid w:val="00990359"/>
    <w:rsid w:val="00990FEF"/>
    <w:rsid w:val="009917F2"/>
    <w:rsid w:val="00991CA3"/>
    <w:rsid w:val="00991E4A"/>
    <w:rsid w:val="009926E0"/>
    <w:rsid w:val="00992E54"/>
    <w:rsid w:val="00992F7D"/>
    <w:rsid w:val="00993001"/>
    <w:rsid w:val="0099352F"/>
    <w:rsid w:val="009936BF"/>
    <w:rsid w:val="0099372E"/>
    <w:rsid w:val="00994386"/>
    <w:rsid w:val="009943E3"/>
    <w:rsid w:val="0099451E"/>
    <w:rsid w:val="00994638"/>
    <w:rsid w:val="00994817"/>
    <w:rsid w:val="00994D1F"/>
    <w:rsid w:val="009953A3"/>
    <w:rsid w:val="009954EA"/>
    <w:rsid w:val="009955FE"/>
    <w:rsid w:val="00995672"/>
    <w:rsid w:val="00995900"/>
    <w:rsid w:val="00995FFC"/>
    <w:rsid w:val="00996406"/>
    <w:rsid w:val="0099676C"/>
    <w:rsid w:val="00996890"/>
    <w:rsid w:val="00996B1A"/>
    <w:rsid w:val="00996D7F"/>
    <w:rsid w:val="00996EAA"/>
    <w:rsid w:val="009970E0"/>
    <w:rsid w:val="009971C3"/>
    <w:rsid w:val="0099734A"/>
    <w:rsid w:val="0099747D"/>
    <w:rsid w:val="009974CD"/>
    <w:rsid w:val="00997795"/>
    <w:rsid w:val="009979CE"/>
    <w:rsid w:val="00997CE5"/>
    <w:rsid w:val="00997D68"/>
    <w:rsid w:val="009A0641"/>
    <w:rsid w:val="009A06FC"/>
    <w:rsid w:val="009A13AF"/>
    <w:rsid w:val="009A18F6"/>
    <w:rsid w:val="009A1904"/>
    <w:rsid w:val="009A1E44"/>
    <w:rsid w:val="009A231C"/>
    <w:rsid w:val="009A29B3"/>
    <w:rsid w:val="009A2DCC"/>
    <w:rsid w:val="009A36FE"/>
    <w:rsid w:val="009A3A5D"/>
    <w:rsid w:val="009A3E39"/>
    <w:rsid w:val="009A4704"/>
    <w:rsid w:val="009A4EE7"/>
    <w:rsid w:val="009A531B"/>
    <w:rsid w:val="009A5ABC"/>
    <w:rsid w:val="009A5C74"/>
    <w:rsid w:val="009A632B"/>
    <w:rsid w:val="009A710B"/>
    <w:rsid w:val="009A7447"/>
    <w:rsid w:val="009A7F10"/>
    <w:rsid w:val="009B05A4"/>
    <w:rsid w:val="009B092E"/>
    <w:rsid w:val="009B144D"/>
    <w:rsid w:val="009B15B8"/>
    <w:rsid w:val="009B18AD"/>
    <w:rsid w:val="009B2D68"/>
    <w:rsid w:val="009B3033"/>
    <w:rsid w:val="009B3493"/>
    <w:rsid w:val="009B38F8"/>
    <w:rsid w:val="009B3E26"/>
    <w:rsid w:val="009B3FE7"/>
    <w:rsid w:val="009B46DD"/>
    <w:rsid w:val="009B4C2E"/>
    <w:rsid w:val="009B517E"/>
    <w:rsid w:val="009B52B2"/>
    <w:rsid w:val="009B531B"/>
    <w:rsid w:val="009B53A7"/>
    <w:rsid w:val="009B5675"/>
    <w:rsid w:val="009B6985"/>
    <w:rsid w:val="009B6B05"/>
    <w:rsid w:val="009B6E2D"/>
    <w:rsid w:val="009B7E9C"/>
    <w:rsid w:val="009C00F3"/>
    <w:rsid w:val="009C0805"/>
    <w:rsid w:val="009C0846"/>
    <w:rsid w:val="009C1271"/>
    <w:rsid w:val="009C16BB"/>
    <w:rsid w:val="009C18A4"/>
    <w:rsid w:val="009C1900"/>
    <w:rsid w:val="009C1F90"/>
    <w:rsid w:val="009C2CF9"/>
    <w:rsid w:val="009C2E15"/>
    <w:rsid w:val="009C34ED"/>
    <w:rsid w:val="009C3706"/>
    <w:rsid w:val="009C3A3A"/>
    <w:rsid w:val="009C3E5F"/>
    <w:rsid w:val="009C486F"/>
    <w:rsid w:val="009C4FC9"/>
    <w:rsid w:val="009C5DEE"/>
    <w:rsid w:val="009C5FA7"/>
    <w:rsid w:val="009C6862"/>
    <w:rsid w:val="009C6A22"/>
    <w:rsid w:val="009C6B86"/>
    <w:rsid w:val="009C6CEA"/>
    <w:rsid w:val="009C7605"/>
    <w:rsid w:val="009C783A"/>
    <w:rsid w:val="009C7B85"/>
    <w:rsid w:val="009D01C2"/>
    <w:rsid w:val="009D0254"/>
    <w:rsid w:val="009D0457"/>
    <w:rsid w:val="009D0A62"/>
    <w:rsid w:val="009D175A"/>
    <w:rsid w:val="009D1A64"/>
    <w:rsid w:val="009D1D95"/>
    <w:rsid w:val="009D1D9E"/>
    <w:rsid w:val="009D2834"/>
    <w:rsid w:val="009D2A31"/>
    <w:rsid w:val="009D2F84"/>
    <w:rsid w:val="009D30B5"/>
    <w:rsid w:val="009D3267"/>
    <w:rsid w:val="009D359C"/>
    <w:rsid w:val="009D36F2"/>
    <w:rsid w:val="009D3A00"/>
    <w:rsid w:val="009D4785"/>
    <w:rsid w:val="009D5B91"/>
    <w:rsid w:val="009D6003"/>
    <w:rsid w:val="009D60AF"/>
    <w:rsid w:val="009D6201"/>
    <w:rsid w:val="009D6350"/>
    <w:rsid w:val="009D68A6"/>
    <w:rsid w:val="009D6FA1"/>
    <w:rsid w:val="009D70F1"/>
    <w:rsid w:val="009D792E"/>
    <w:rsid w:val="009D7A98"/>
    <w:rsid w:val="009D7E3A"/>
    <w:rsid w:val="009E03D1"/>
    <w:rsid w:val="009E0433"/>
    <w:rsid w:val="009E04F2"/>
    <w:rsid w:val="009E06E2"/>
    <w:rsid w:val="009E0DFE"/>
    <w:rsid w:val="009E1158"/>
    <w:rsid w:val="009E17A6"/>
    <w:rsid w:val="009E17C2"/>
    <w:rsid w:val="009E2AC5"/>
    <w:rsid w:val="009E3083"/>
    <w:rsid w:val="009E31F6"/>
    <w:rsid w:val="009E3307"/>
    <w:rsid w:val="009E33F3"/>
    <w:rsid w:val="009E3636"/>
    <w:rsid w:val="009E38BE"/>
    <w:rsid w:val="009E3907"/>
    <w:rsid w:val="009E43E2"/>
    <w:rsid w:val="009E457D"/>
    <w:rsid w:val="009E47C6"/>
    <w:rsid w:val="009E4C07"/>
    <w:rsid w:val="009E4E0E"/>
    <w:rsid w:val="009E53EB"/>
    <w:rsid w:val="009E552E"/>
    <w:rsid w:val="009E575D"/>
    <w:rsid w:val="009E5790"/>
    <w:rsid w:val="009E58A3"/>
    <w:rsid w:val="009E5A3E"/>
    <w:rsid w:val="009E62E4"/>
    <w:rsid w:val="009E699A"/>
    <w:rsid w:val="009E6F97"/>
    <w:rsid w:val="009E749C"/>
    <w:rsid w:val="009E7517"/>
    <w:rsid w:val="009E7651"/>
    <w:rsid w:val="009E76C6"/>
    <w:rsid w:val="009E777F"/>
    <w:rsid w:val="009E7F12"/>
    <w:rsid w:val="009F0BB0"/>
    <w:rsid w:val="009F1BB3"/>
    <w:rsid w:val="009F212F"/>
    <w:rsid w:val="009F22D3"/>
    <w:rsid w:val="009F230D"/>
    <w:rsid w:val="009F24B8"/>
    <w:rsid w:val="009F34B0"/>
    <w:rsid w:val="009F36EE"/>
    <w:rsid w:val="009F388D"/>
    <w:rsid w:val="009F394A"/>
    <w:rsid w:val="009F395D"/>
    <w:rsid w:val="009F39EC"/>
    <w:rsid w:val="009F4271"/>
    <w:rsid w:val="009F4B82"/>
    <w:rsid w:val="009F50CA"/>
    <w:rsid w:val="009F60E1"/>
    <w:rsid w:val="009F6120"/>
    <w:rsid w:val="009F6192"/>
    <w:rsid w:val="009F63FA"/>
    <w:rsid w:val="009F65EF"/>
    <w:rsid w:val="009F6E3A"/>
    <w:rsid w:val="009F6FC1"/>
    <w:rsid w:val="009F728B"/>
    <w:rsid w:val="009F7560"/>
    <w:rsid w:val="009F7E6C"/>
    <w:rsid w:val="009F7FBB"/>
    <w:rsid w:val="00A00D15"/>
    <w:rsid w:val="00A00D76"/>
    <w:rsid w:val="00A01184"/>
    <w:rsid w:val="00A01449"/>
    <w:rsid w:val="00A01A40"/>
    <w:rsid w:val="00A01F43"/>
    <w:rsid w:val="00A01F90"/>
    <w:rsid w:val="00A0218A"/>
    <w:rsid w:val="00A030C8"/>
    <w:rsid w:val="00A037C2"/>
    <w:rsid w:val="00A0395A"/>
    <w:rsid w:val="00A03D43"/>
    <w:rsid w:val="00A03EDA"/>
    <w:rsid w:val="00A04353"/>
    <w:rsid w:val="00A04380"/>
    <w:rsid w:val="00A04786"/>
    <w:rsid w:val="00A05472"/>
    <w:rsid w:val="00A05BEE"/>
    <w:rsid w:val="00A05C32"/>
    <w:rsid w:val="00A0653F"/>
    <w:rsid w:val="00A06E5A"/>
    <w:rsid w:val="00A07508"/>
    <w:rsid w:val="00A07542"/>
    <w:rsid w:val="00A07DF1"/>
    <w:rsid w:val="00A1032A"/>
    <w:rsid w:val="00A10C59"/>
    <w:rsid w:val="00A11964"/>
    <w:rsid w:val="00A11CD0"/>
    <w:rsid w:val="00A1225A"/>
    <w:rsid w:val="00A12CB2"/>
    <w:rsid w:val="00A134EA"/>
    <w:rsid w:val="00A13526"/>
    <w:rsid w:val="00A13731"/>
    <w:rsid w:val="00A13948"/>
    <w:rsid w:val="00A13B75"/>
    <w:rsid w:val="00A1555B"/>
    <w:rsid w:val="00A155C5"/>
    <w:rsid w:val="00A16AD8"/>
    <w:rsid w:val="00A16B6D"/>
    <w:rsid w:val="00A16CAD"/>
    <w:rsid w:val="00A17704"/>
    <w:rsid w:val="00A17CE5"/>
    <w:rsid w:val="00A2021E"/>
    <w:rsid w:val="00A21681"/>
    <w:rsid w:val="00A21A88"/>
    <w:rsid w:val="00A21AD5"/>
    <w:rsid w:val="00A21C95"/>
    <w:rsid w:val="00A21CF3"/>
    <w:rsid w:val="00A22211"/>
    <w:rsid w:val="00A22770"/>
    <w:rsid w:val="00A2291A"/>
    <w:rsid w:val="00A22E09"/>
    <w:rsid w:val="00A23EF1"/>
    <w:rsid w:val="00A247E8"/>
    <w:rsid w:val="00A24813"/>
    <w:rsid w:val="00A25302"/>
    <w:rsid w:val="00A253B3"/>
    <w:rsid w:val="00A25C21"/>
    <w:rsid w:val="00A2688E"/>
    <w:rsid w:val="00A26B59"/>
    <w:rsid w:val="00A26D01"/>
    <w:rsid w:val="00A27708"/>
    <w:rsid w:val="00A2790B"/>
    <w:rsid w:val="00A27AEC"/>
    <w:rsid w:val="00A31ED6"/>
    <w:rsid w:val="00A320DB"/>
    <w:rsid w:val="00A324E9"/>
    <w:rsid w:val="00A329B2"/>
    <w:rsid w:val="00A33637"/>
    <w:rsid w:val="00A33D07"/>
    <w:rsid w:val="00A33D38"/>
    <w:rsid w:val="00A33DAF"/>
    <w:rsid w:val="00A33FBD"/>
    <w:rsid w:val="00A34D04"/>
    <w:rsid w:val="00A34D48"/>
    <w:rsid w:val="00A355B6"/>
    <w:rsid w:val="00A35D16"/>
    <w:rsid w:val="00A36F65"/>
    <w:rsid w:val="00A37091"/>
    <w:rsid w:val="00A37540"/>
    <w:rsid w:val="00A37821"/>
    <w:rsid w:val="00A37A43"/>
    <w:rsid w:val="00A37BCD"/>
    <w:rsid w:val="00A401F5"/>
    <w:rsid w:val="00A4064E"/>
    <w:rsid w:val="00A406D5"/>
    <w:rsid w:val="00A407FA"/>
    <w:rsid w:val="00A40B3F"/>
    <w:rsid w:val="00A41689"/>
    <w:rsid w:val="00A42592"/>
    <w:rsid w:val="00A429B4"/>
    <w:rsid w:val="00A42B94"/>
    <w:rsid w:val="00A433C5"/>
    <w:rsid w:val="00A43413"/>
    <w:rsid w:val="00A434AB"/>
    <w:rsid w:val="00A434D2"/>
    <w:rsid w:val="00A43B91"/>
    <w:rsid w:val="00A43C59"/>
    <w:rsid w:val="00A44457"/>
    <w:rsid w:val="00A44FBF"/>
    <w:rsid w:val="00A453CF"/>
    <w:rsid w:val="00A4554B"/>
    <w:rsid w:val="00A45762"/>
    <w:rsid w:val="00A4587A"/>
    <w:rsid w:val="00A45A7E"/>
    <w:rsid w:val="00A45C63"/>
    <w:rsid w:val="00A45D64"/>
    <w:rsid w:val="00A45D79"/>
    <w:rsid w:val="00A46571"/>
    <w:rsid w:val="00A47657"/>
    <w:rsid w:val="00A504C3"/>
    <w:rsid w:val="00A509FC"/>
    <w:rsid w:val="00A50C95"/>
    <w:rsid w:val="00A50E6A"/>
    <w:rsid w:val="00A50EBE"/>
    <w:rsid w:val="00A50ECD"/>
    <w:rsid w:val="00A50EEB"/>
    <w:rsid w:val="00A518F3"/>
    <w:rsid w:val="00A521A3"/>
    <w:rsid w:val="00A522ED"/>
    <w:rsid w:val="00A52453"/>
    <w:rsid w:val="00A52729"/>
    <w:rsid w:val="00A53122"/>
    <w:rsid w:val="00A53464"/>
    <w:rsid w:val="00A53675"/>
    <w:rsid w:val="00A53A06"/>
    <w:rsid w:val="00A53D41"/>
    <w:rsid w:val="00A55CA7"/>
    <w:rsid w:val="00A564D7"/>
    <w:rsid w:val="00A567EB"/>
    <w:rsid w:val="00A56B6A"/>
    <w:rsid w:val="00A56C35"/>
    <w:rsid w:val="00A57264"/>
    <w:rsid w:val="00A5734C"/>
    <w:rsid w:val="00A578DC"/>
    <w:rsid w:val="00A579BF"/>
    <w:rsid w:val="00A57B60"/>
    <w:rsid w:val="00A57D77"/>
    <w:rsid w:val="00A57FE8"/>
    <w:rsid w:val="00A6070D"/>
    <w:rsid w:val="00A60DE2"/>
    <w:rsid w:val="00A61064"/>
    <w:rsid w:val="00A6140D"/>
    <w:rsid w:val="00A61842"/>
    <w:rsid w:val="00A619B2"/>
    <w:rsid w:val="00A619F3"/>
    <w:rsid w:val="00A61CEE"/>
    <w:rsid w:val="00A62083"/>
    <w:rsid w:val="00A62767"/>
    <w:rsid w:val="00A640E2"/>
    <w:rsid w:val="00A64273"/>
    <w:rsid w:val="00A64808"/>
    <w:rsid w:val="00A648AB"/>
    <w:rsid w:val="00A64D65"/>
    <w:rsid w:val="00A64EAB"/>
    <w:rsid w:val="00A65084"/>
    <w:rsid w:val="00A6548A"/>
    <w:rsid w:val="00A65DFE"/>
    <w:rsid w:val="00A666AC"/>
    <w:rsid w:val="00A66FB2"/>
    <w:rsid w:val="00A6725B"/>
    <w:rsid w:val="00A672A7"/>
    <w:rsid w:val="00A6741B"/>
    <w:rsid w:val="00A67DC4"/>
    <w:rsid w:val="00A70201"/>
    <w:rsid w:val="00A703CE"/>
    <w:rsid w:val="00A704AC"/>
    <w:rsid w:val="00A70605"/>
    <w:rsid w:val="00A70C9E"/>
    <w:rsid w:val="00A70D4D"/>
    <w:rsid w:val="00A70FBA"/>
    <w:rsid w:val="00A7105B"/>
    <w:rsid w:val="00A721D5"/>
    <w:rsid w:val="00A72A26"/>
    <w:rsid w:val="00A73134"/>
    <w:rsid w:val="00A7365A"/>
    <w:rsid w:val="00A739CF"/>
    <w:rsid w:val="00A73EC5"/>
    <w:rsid w:val="00A73F14"/>
    <w:rsid w:val="00A75505"/>
    <w:rsid w:val="00A75B8E"/>
    <w:rsid w:val="00A76001"/>
    <w:rsid w:val="00A777B2"/>
    <w:rsid w:val="00A7799A"/>
    <w:rsid w:val="00A77B90"/>
    <w:rsid w:val="00A77EB2"/>
    <w:rsid w:val="00A803AD"/>
    <w:rsid w:val="00A806EB"/>
    <w:rsid w:val="00A807D5"/>
    <w:rsid w:val="00A80E42"/>
    <w:rsid w:val="00A815A4"/>
    <w:rsid w:val="00A81C52"/>
    <w:rsid w:val="00A82268"/>
    <w:rsid w:val="00A825D4"/>
    <w:rsid w:val="00A82823"/>
    <w:rsid w:val="00A828F6"/>
    <w:rsid w:val="00A82B73"/>
    <w:rsid w:val="00A82C90"/>
    <w:rsid w:val="00A82E31"/>
    <w:rsid w:val="00A82F93"/>
    <w:rsid w:val="00A850B6"/>
    <w:rsid w:val="00A85198"/>
    <w:rsid w:val="00A85C81"/>
    <w:rsid w:val="00A85DFC"/>
    <w:rsid w:val="00A86786"/>
    <w:rsid w:val="00A86C02"/>
    <w:rsid w:val="00A86E8B"/>
    <w:rsid w:val="00A86EA8"/>
    <w:rsid w:val="00A87164"/>
    <w:rsid w:val="00A871A9"/>
    <w:rsid w:val="00A87453"/>
    <w:rsid w:val="00A87AE0"/>
    <w:rsid w:val="00A87B86"/>
    <w:rsid w:val="00A91446"/>
    <w:rsid w:val="00A91B6D"/>
    <w:rsid w:val="00A91E8B"/>
    <w:rsid w:val="00A927A0"/>
    <w:rsid w:val="00A93072"/>
    <w:rsid w:val="00A930B8"/>
    <w:rsid w:val="00A938BD"/>
    <w:rsid w:val="00A93953"/>
    <w:rsid w:val="00A93CC0"/>
    <w:rsid w:val="00A94836"/>
    <w:rsid w:val="00A94C5C"/>
    <w:rsid w:val="00A9557B"/>
    <w:rsid w:val="00A9582A"/>
    <w:rsid w:val="00A959D8"/>
    <w:rsid w:val="00A95AED"/>
    <w:rsid w:val="00A95DF3"/>
    <w:rsid w:val="00A96586"/>
    <w:rsid w:val="00A97049"/>
    <w:rsid w:val="00A9711D"/>
    <w:rsid w:val="00A9767A"/>
    <w:rsid w:val="00A97923"/>
    <w:rsid w:val="00A97FD0"/>
    <w:rsid w:val="00AA011F"/>
    <w:rsid w:val="00AA04E8"/>
    <w:rsid w:val="00AA0868"/>
    <w:rsid w:val="00AA09F1"/>
    <w:rsid w:val="00AA0A59"/>
    <w:rsid w:val="00AA113D"/>
    <w:rsid w:val="00AA11CA"/>
    <w:rsid w:val="00AA1404"/>
    <w:rsid w:val="00AA18F9"/>
    <w:rsid w:val="00AA1A75"/>
    <w:rsid w:val="00AA1BCD"/>
    <w:rsid w:val="00AA20B1"/>
    <w:rsid w:val="00AA241E"/>
    <w:rsid w:val="00AA26D9"/>
    <w:rsid w:val="00AA29A4"/>
    <w:rsid w:val="00AA2C0E"/>
    <w:rsid w:val="00AA34C8"/>
    <w:rsid w:val="00AA423D"/>
    <w:rsid w:val="00AA615C"/>
    <w:rsid w:val="00AA6404"/>
    <w:rsid w:val="00AA678A"/>
    <w:rsid w:val="00AA6BD5"/>
    <w:rsid w:val="00AA6BD8"/>
    <w:rsid w:val="00AA6BF4"/>
    <w:rsid w:val="00AA6C7D"/>
    <w:rsid w:val="00AA6C9B"/>
    <w:rsid w:val="00AA7DB3"/>
    <w:rsid w:val="00AA7FD6"/>
    <w:rsid w:val="00AB042A"/>
    <w:rsid w:val="00AB0802"/>
    <w:rsid w:val="00AB108F"/>
    <w:rsid w:val="00AB11AD"/>
    <w:rsid w:val="00AB19EF"/>
    <w:rsid w:val="00AB246C"/>
    <w:rsid w:val="00AB2495"/>
    <w:rsid w:val="00AB2CBF"/>
    <w:rsid w:val="00AB2D34"/>
    <w:rsid w:val="00AB2D88"/>
    <w:rsid w:val="00AB338F"/>
    <w:rsid w:val="00AB3430"/>
    <w:rsid w:val="00AB37B9"/>
    <w:rsid w:val="00AB3AF2"/>
    <w:rsid w:val="00AB3F07"/>
    <w:rsid w:val="00AB3F6F"/>
    <w:rsid w:val="00AB418E"/>
    <w:rsid w:val="00AB454B"/>
    <w:rsid w:val="00AB48F4"/>
    <w:rsid w:val="00AB4AD1"/>
    <w:rsid w:val="00AB4E37"/>
    <w:rsid w:val="00AB4FE6"/>
    <w:rsid w:val="00AB52B9"/>
    <w:rsid w:val="00AB5796"/>
    <w:rsid w:val="00AB57E9"/>
    <w:rsid w:val="00AB5E07"/>
    <w:rsid w:val="00AB653F"/>
    <w:rsid w:val="00AB6D4B"/>
    <w:rsid w:val="00AB7B5F"/>
    <w:rsid w:val="00AB7B64"/>
    <w:rsid w:val="00AB7CFA"/>
    <w:rsid w:val="00AC020A"/>
    <w:rsid w:val="00AC0659"/>
    <w:rsid w:val="00AC1F66"/>
    <w:rsid w:val="00AC261E"/>
    <w:rsid w:val="00AC2C74"/>
    <w:rsid w:val="00AC2E8C"/>
    <w:rsid w:val="00AC331B"/>
    <w:rsid w:val="00AC3D48"/>
    <w:rsid w:val="00AC484C"/>
    <w:rsid w:val="00AC4DAB"/>
    <w:rsid w:val="00AC55EA"/>
    <w:rsid w:val="00AC58A9"/>
    <w:rsid w:val="00AC5B42"/>
    <w:rsid w:val="00AC5B48"/>
    <w:rsid w:val="00AC5FDC"/>
    <w:rsid w:val="00AC7083"/>
    <w:rsid w:val="00AC7529"/>
    <w:rsid w:val="00AC7825"/>
    <w:rsid w:val="00AC7A98"/>
    <w:rsid w:val="00AD0CBF"/>
    <w:rsid w:val="00AD1019"/>
    <w:rsid w:val="00AD13A7"/>
    <w:rsid w:val="00AD1450"/>
    <w:rsid w:val="00AD15E8"/>
    <w:rsid w:val="00AD1DDA"/>
    <w:rsid w:val="00AD2886"/>
    <w:rsid w:val="00AD2A3F"/>
    <w:rsid w:val="00AD2D25"/>
    <w:rsid w:val="00AD3277"/>
    <w:rsid w:val="00AD349F"/>
    <w:rsid w:val="00AD356D"/>
    <w:rsid w:val="00AD3789"/>
    <w:rsid w:val="00AD39ED"/>
    <w:rsid w:val="00AD5F8D"/>
    <w:rsid w:val="00AD61D8"/>
    <w:rsid w:val="00AD6502"/>
    <w:rsid w:val="00AD6D9F"/>
    <w:rsid w:val="00AD6E32"/>
    <w:rsid w:val="00AD7308"/>
    <w:rsid w:val="00AD7DA0"/>
    <w:rsid w:val="00AD7EAF"/>
    <w:rsid w:val="00AE0695"/>
    <w:rsid w:val="00AE0B0E"/>
    <w:rsid w:val="00AE0C36"/>
    <w:rsid w:val="00AE1721"/>
    <w:rsid w:val="00AE18D3"/>
    <w:rsid w:val="00AE1B2D"/>
    <w:rsid w:val="00AE290A"/>
    <w:rsid w:val="00AE2960"/>
    <w:rsid w:val="00AE2D2C"/>
    <w:rsid w:val="00AE307C"/>
    <w:rsid w:val="00AE3BF2"/>
    <w:rsid w:val="00AE3CAC"/>
    <w:rsid w:val="00AE3E7E"/>
    <w:rsid w:val="00AE4246"/>
    <w:rsid w:val="00AE4B0F"/>
    <w:rsid w:val="00AE512D"/>
    <w:rsid w:val="00AE616B"/>
    <w:rsid w:val="00AE61DE"/>
    <w:rsid w:val="00AE73AB"/>
    <w:rsid w:val="00AE76B2"/>
    <w:rsid w:val="00AE7E53"/>
    <w:rsid w:val="00AF02C1"/>
    <w:rsid w:val="00AF073B"/>
    <w:rsid w:val="00AF0A60"/>
    <w:rsid w:val="00AF106C"/>
    <w:rsid w:val="00AF1237"/>
    <w:rsid w:val="00AF1315"/>
    <w:rsid w:val="00AF19BE"/>
    <w:rsid w:val="00AF19BF"/>
    <w:rsid w:val="00AF1BA2"/>
    <w:rsid w:val="00AF2DC3"/>
    <w:rsid w:val="00AF3207"/>
    <w:rsid w:val="00AF33EE"/>
    <w:rsid w:val="00AF34F2"/>
    <w:rsid w:val="00AF35B5"/>
    <w:rsid w:val="00AF3C80"/>
    <w:rsid w:val="00AF438E"/>
    <w:rsid w:val="00AF4AE1"/>
    <w:rsid w:val="00AF4B24"/>
    <w:rsid w:val="00AF5160"/>
    <w:rsid w:val="00AF51B2"/>
    <w:rsid w:val="00AF58BB"/>
    <w:rsid w:val="00AF5C63"/>
    <w:rsid w:val="00AF5CE3"/>
    <w:rsid w:val="00AF6D81"/>
    <w:rsid w:val="00AF6E09"/>
    <w:rsid w:val="00AF6E0C"/>
    <w:rsid w:val="00AF73EB"/>
    <w:rsid w:val="00AF7537"/>
    <w:rsid w:val="00AF7B47"/>
    <w:rsid w:val="00B009C9"/>
    <w:rsid w:val="00B01291"/>
    <w:rsid w:val="00B014BA"/>
    <w:rsid w:val="00B01607"/>
    <w:rsid w:val="00B01698"/>
    <w:rsid w:val="00B01B82"/>
    <w:rsid w:val="00B033E5"/>
    <w:rsid w:val="00B0376C"/>
    <w:rsid w:val="00B03991"/>
    <w:rsid w:val="00B03A63"/>
    <w:rsid w:val="00B03A93"/>
    <w:rsid w:val="00B03D78"/>
    <w:rsid w:val="00B03F1E"/>
    <w:rsid w:val="00B0469B"/>
    <w:rsid w:val="00B04CEA"/>
    <w:rsid w:val="00B04CEC"/>
    <w:rsid w:val="00B0540C"/>
    <w:rsid w:val="00B0667F"/>
    <w:rsid w:val="00B06A5C"/>
    <w:rsid w:val="00B06B48"/>
    <w:rsid w:val="00B07375"/>
    <w:rsid w:val="00B07583"/>
    <w:rsid w:val="00B07976"/>
    <w:rsid w:val="00B10000"/>
    <w:rsid w:val="00B100DE"/>
    <w:rsid w:val="00B1016C"/>
    <w:rsid w:val="00B10256"/>
    <w:rsid w:val="00B11057"/>
    <w:rsid w:val="00B11902"/>
    <w:rsid w:val="00B129A4"/>
    <w:rsid w:val="00B12A5F"/>
    <w:rsid w:val="00B12B67"/>
    <w:rsid w:val="00B12BC0"/>
    <w:rsid w:val="00B13139"/>
    <w:rsid w:val="00B1318F"/>
    <w:rsid w:val="00B14013"/>
    <w:rsid w:val="00B145B0"/>
    <w:rsid w:val="00B14B63"/>
    <w:rsid w:val="00B14E1B"/>
    <w:rsid w:val="00B15BF0"/>
    <w:rsid w:val="00B15F8D"/>
    <w:rsid w:val="00B17394"/>
    <w:rsid w:val="00B173E3"/>
    <w:rsid w:val="00B1743C"/>
    <w:rsid w:val="00B174AB"/>
    <w:rsid w:val="00B17562"/>
    <w:rsid w:val="00B1757C"/>
    <w:rsid w:val="00B17F95"/>
    <w:rsid w:val="00B2006B"/>
    <w:rsid w:val="00B200EA"/>
    <w:rsid w:val="00B201A4"/>
    <w:rsid w:val="00B201D1"/>
    <w:rsid w:val="00B20A0C"/>
    <w:rsid w:val="00B20CC6"/>
    <w:rsid w:val="00B210AA"/>
    <w:rsid w:val="00B211C0"/>
    <w:rsid w:val="00B213A6"/>
    <w:rsid w:val="00B21948"/>
    <w:rsid w:val="00B2209A"/>
    <w:rsid w:val="00B2339E"/>
    <w:rsid w:val="00B235B0"/>
    <w:rsid w:val="00B23814"/>
    <w:rsid w:val="00B238E7"/>
    <w:rsid w:val="00B241E3"/>
    <w:rsid w:val="00B244F9"/>
    <w:rsid w:val="00B246EC"/>
    <w:rsid w:val="00B24DF6"/>
    <w:rsid w:val="00B2500B"/>
    <w:rsid w:val="00B25768"/>
    <w:rsid w:val="00B25B45"/>
    <w:rsid w:val="00B2632C"/>
    <w:rsid w:val="00B26906"/>
    <w:rsid w:val="00B26BD1"/>
    <w:rsid w:val="00B274A7"/>
    <w:rsid w:val="00B27A61"/>
    <w:rsid w:val="00B27C19"/>
    <w:rsid w:val="00B27F91"/>
    <w:rsid w:val="00B30378"/>
    <w:rsid w:val="00B30836"/>
    <w:rsid w:val="00B30C7A"/>
    <w:rsid w:val="00B31026"/>
    <w:rsid w:val="00B31140"/>
    <w:rsid w:val="00B31193"/>
    <w:rsid w:val="00B31880"/>
    <w:rsid w:val="00B31A07"/>
    <w:rsid w:val="00B31FCB"/>
    <w:rsid w:val="00B333FF"/>
    <w:rsid w:val="00B33509"/>
    <w:rsid w:val="00B3354B"/>
    <w:rsid w:val="00B33E21"/>
    <w:rsid w:val="00B346C3"/>
    <w:rsid w:val="00B34FE2"/>
    <w:rsid w:val="00B3513A"/>
    <w:rsid w:val="00B35166"/>
    <w:rsid w:val="00B35319"/>
    <w:rsid w:val="00B35338"/>
    <w:rsid w:val="00B3546A"/>
    <w:rsid w:val="00B35625"/>
    <w:rsid w:val="00B357D8"/>
    <w:rsid w:val="00B35B98"/>
    <w:rsid w:val="00B35C60"/>
    <w:rsid w:val="00B360F4"/>
    <w:rsid w:val="00B36597"/>
    <w:rsid w:val="00B36961"/>
    <w:rsid w:val="00B36987"/>
    <w:rsid w:val="00B36A00"/>
    <w:rsid w:val="00B3735F"/>
    <w:rsid w:val="00B3792B"/>
    <w:rsid w:val="00B37B6C"/>
    <w:rsid w:val="00B37BFC"/>
    <w:rsid w:val="00B37D37"/>
    <w:rsid w:val="00B4007D"/>
    <w:rsid w:val="00B4012D"/>
    <w:rsid w:val="00B401B3"/>
    <w:rsid w:val="00B40358"/>
    <w:rsid w:val="00B403F9"/>
    <w:rsid w:val="00B4042C"/>
    <w:rsid w:val="00B40A9C"/>
    <w:rsid w:val="00B40C9F"/>
    <w:rsid w:val="00B40CB9"/>
    <w:rsid w:val="00B40DEE"/>
    <w:rsid w:val="00B41614"/>
    <w:rsid w:val="00B41BD1"/>
    <w:rsid w:val="00B41C8F"/>
    <w:rsid w:val="00B41E30"/>
    <w:rsid w:val="00B4221B"/>
    <w:rsid w:val="00B42770"/>
    <w:rsid w:val="00B42851"/>
    <w:rsid w:val="00B42A2B"/>
    <w:rsid w:val="00B42C40"/>
    <w:rsid w:val="00B42F80"/>
    <w:rsid w:val="00B4323E"/>
    <w:rsid w:val="00B432E2"/>
    <w:rsid w:val="00B435CB"/>
    <w:rsid w:val="00B435F6"/>
    <w:rsid w:val="00B435FF"/>
    <w:rsid w:val="00B44158"/>
    <w:rsid w:val="00B44FEF"/>
    <w:rsid w:val="00B4520A"/>
    <w:rsid w:val="00B4537A"/>
    <w:rsid w:val="00B4569E"/>
    <w:rsid w:val="00B45DCA"/>
    <w:rsid w:val="00B45E3B"/>
    <w:rsid w:val="00B460B0"/>
    <w:rsid w:val="00B465EC"/>
    <w:rsid w:val="00B46DF8"/>
    <w:rsid w:val="00B47371"/>
    <w:rsid w:val="00B474A0"/>
    <w:rsid w:val="00B47C80"/>
    <w:rsid w:val="00B47EF6"/>
    <w:rsid w:val="00B505C8"/>
    <w:rsid w:val="00B50DB8"/>
    <w:rsid w:val="00B50FF0"/>
    <w:rsid w:val="00B51269"/>
    <w:rsid w:val="00B518E2"/>
    <w:rsid w:val="00B52203"/>
    <w:rsid w:val="00B53409"/>
    <w:rsid w:val="00B534AC"/>
    <w:rsid w:val="00B53654"/>
    <w:rsid w:val="00B5370E"/>
    <w:rsid w:val="00B53905"/>
    <w:rsid w:val="00B53A16"/>
    <w:rsid w:val="00B53B26"/>
    <w:rsid w:val="00B53E4B"/>
    <w:rsid w:val="00B53E82"/>
    <w:rsid w:val="00B53F23"/>
    <w:rsid w:val="00B542AB"/>
    <w:rsid w:val="00B546DB"/>
    <w:rsid w:val="00B548DF"/>
    <w:rsid w:val="00B54B5B"/>
    <w:rsid w:val="00B5562E"/>
    <w:rsid w:val="00B557E3"/>
    <w:rsid w:val="00B55862"/>
    <w:rsid w:val="00B55A54"/>
    <w:rsid w:val="00B55BE4"/>
    <w:rsid w:val="00B55D65"/>
    <w:rsid w:val="00B56180"/>
    <w:rsid w:val="00B56305"/>
    <w:rsid w:val="00B56375"/>
    <w:rsid w:val="00B563A0"/>
    <w:rsid w:val="00B56D2D"/>
    <w:rsid w:val="00B56F4F"/>
    <w:rsid w:val="00B57000"/>
    <w:rsid w:val="00B5798D"/>
    <w:rsid w:val="00B57996"/>
    <w:rsid w:val="00B6050B"/>
    <w:rsid w:val="00B60939"/>
    <w:rsid w:val="00B60AFD"/>
    <w:rsid w:val="00B60BF8"/>
    <w:rsid w:val="00B60D8E"/>
    <w:rsid w:val="00B6142B"/>
    <w:rsid w:val="00B614D6"/>
    <w:rsid w:val="00B61843"/>
    <w:rsid w:val="00B61B54"/>
    <w:rsid w:val="00B61FB5"/>
    <w:rsid w:val="00B62715"/>
    <w:rsid w:val="00B62958"/>
    <w:rsid w:val="00B6439A"/>
    <w:rsid w:val="00B6455D"/>
    <w:rsid w:val="00B6560F"/>
    <w:rsid w:val="00B65611"/>
    <w:rsid w:val="00B65900"/>
    <w:rsid w:val="00B6591E"/>
    <w:rsid w:val="00B667DC"/>
    <w:rsid w:val="00B668C8"/>
    <w:rsid w:val="00B6797E"/>
    <w:rsid w:val="00B7038A"/>
    <w:rsid w:val="00B7039B"/>
    <w:rsid w:val="00B70E8E"/>
    <w:rsid w:val="00B711D5"/>
    <w:rsid w:val="00B71773"/>
    <w:rsid w:val="00B734A3"/>
    <w:rsid w:val="00B73A69"/>
    <w:rsid w:val="00B74C8F"/>
    <w:rsid w:val="00B756F1"/>
    <w:rsid w:val="00B75AB8"/>
    <w:rsid w:val="00B760E6"/>
    <w:rsid w:val="00B76403"/>
    <w:rsid w:val="00B76455"/>
    <w:rsid w:val="00B76AC1"/>
    <w:rsid w:val="00B76BDC"/>
    <w:rsid w:val="00B76C92"/>
    <w:rsid w:val="00B779B1"/>
    <w:rsid w:val="00B8022E"/>
    <w:rsid w:val="00B8061B"/>
    <w:rsid w:val="00B80EFD"/>
    <w:rsid w:val="00B81146"/>
    <w:rsid w:val="00B8122C"/>
    <w:rsid w:val="00B81797"/>
    <w:rsid w:val="00B818A4"/>
    <w:rsid w:val="00B81E1C"/>
    <w:rsid w:val="00B8244C"/>
    <w:rsid w:val="00B82551"/>
    <w:rsid w:val="00B8268F"/>
    <w:rsid w:val="00B832E8"/>
    <w:rsid w:val="00B83739"/>
    <w:rsid w:val="00B8375F"/>
    <w:rsid w:val="00B84117"/>
    <w:rsid w:val="00B8436B"/>
    <w:rsid w:val="00B84B94"/>
    <w:rsid w:val="00B84C90"/>
    <w:rsid w:val="00B858F0"/>
    <w:rsid w:val="00B85AA2"/>
    <w:rsid w:val="00B85BC9"/>
    <w:rsid w:val="00B8649C"/>
    <w:rsid w:val="00B8683C"/>
    <w:rsid w:val="00B8695D"/>
    <w:rsid w:val="00B86B27"/>
    <w:rsid w:val="00B875B8"/>
    <w:rsid w:val="00B87F0A"/>
    <w:rsid w:val="00B90C7F"/>
    <w:rsid w:val="00B91365"/>
    <w:rsid w:val="00B9178B"/>
    <w:rsid w:val="00B9218B"/>
    <w:rsid w:val="00B922E4"/>
    <w:rsid w:val="00B92821"/>
    <w:rsid w:val="00B9283B"/>
    <w:rsid w:val="00B92D0B"/>
    <w:rsid w:val="00B932AD"/>
    <w:rsid w:val="00B933AF"/>
    <w:rsid w:val="00B9407D"/>
    <w:rsid w:val="00B941A7"/>
    <w:rsid w:val="00B943CB"/>
    <w:rsid w:val="00B94890"/>
    <w:rsid w:val="00B94945"/>
    <w:rsid w:val="00B94DD6"/>
    <w:rsid w:val="00B94E41"/>
    <w:rsid w:val="00B95791"/>
    <w:rsid w:val="00B95BC6"/>
    <w:rsid w:val="00B96997"/>
    <w:rsid w:val="00B971D8"/>
    <w:rsid w:val="00B974E3"/>
    <w:rsid w:val="00B9799A"/>
    <w:rsid w:val="00B97D43"/>
    <w:rsid w:val="00BA0158"/>
    <w:rsid w:val="00BA03AB"/>
    <w:rsid w:val="00BA04C6"/>
    <w:rsid w:val="00BA05E5"/>
    <w:rsid w:val="00BA073F"/>
    <w:rsid w:val="00BA0F70"/>
    <w:rsid w:val="00BA0FF7"/>
    <w:rsid w:val="00BA1CB1"/>
    <w:rsid w:val="00BA27CD"/>
    <w:rsid w:val="00BA2A81"/>
    <w:rsid w:val="00BA2D17"/>
    <w:rsid w:val="00BA322D"/>
    <w:rsid w:val="00BA33DB"/>
    <w:rsid w:val="00BA368F"/>
    <w:rsid w:val="00BA36B6"/>
    <w:rsid w:val="00BA3B52"/>
    <w:rsid w:val="00BA45DA"/>
    <w:rsid w:val="00BA4879"/>
    <w:rsid w:val="00BA4DBE"/>
    <w:rsid w:val="00BA5E32"/>
    <w:rsid w:val="00BA63FA"/>
    <w:rsid w:val="00BA69F7"/>
    <w:rsid w:val="00BA6C72"/>
    <w:rsid w:val="00BA6D9F"/>
    <w:rsid w:val="00BA72E3"/>
    <w:rsid w:val="00BA7379"/>
    <w:rsid w:val="00BB00B3"/>
    <w:rsid w:val="00BB02B3"/>
    <w:rsid w:val="00BB0B6F"/>
    <w:rsid w:val="00BB0BDD"/>
    <w:rsid w:val="00BB0F04"/>
    <w:rsid w:val="00BB176C"/>
    <w:rsid w:val="00BB19E0"/>
    <w:rsid w:val="00BB29F8"/>
    <w:rsid w:val="00BB2A73"/>
    <w:rsid w:val="00BB2A92"/>
    <w:rsid w:val="00BB31BF"/>
    <w:rsid w:val="00BB35AC"/>
    <w:rsid w:val="00BB364F"/>
    <w:rsid w:val="00BB3770"/>
    <w:rsid w:val="00BB3A45"/>
    <w:rsid w:val="00BB3D8D"/>
    <w:rsid w:val="00BB3F9F"/>
    <w:rsid w:val="00BB484A"/>
    <w:rsid w:val="00BB4ACC"/>
    <w:rsid w:val="00BB4EB3"/>
    <w:rsid w:val="00BB6467"/>
    <w:rsid w:val="00BB6A9D"/>
    <w:rsid w:val="00BB6F05"/>
    <w:rsid w:val="00BB703E"/>
    <w:rsid w:val="00BB70C6"/>
    <w:rsid w:val="00BB732D"/>
    <w:rsid w:val="00BB7405"/>
    <w:rsid w:val="00BB7531"/>
    <w:rsid w:val="00BB779E"/>
    <w:rsid w:val="00BB7A6B"/>
    <w:rsid w:val="00BB7F79"/>
    <w:rsid w:val="00BB7FB7"/>
    <w:rsid w:val="00BC064F"/>
    <w:rsid w:val="00BC07A2"/>
    <w:rsid w:val="00BC0BDE"/>
    <w:rsid w:val="00BC0BF2"/>
    <w:rsid w:val="00BC13C8"/>
    <w:rsid w:val="00BC185B"/>
    <w:rsid w:val="00BC1A51"/>
    <w:rsid w:val="00BC25DC"/>
    <w:rsid w:val="00BC2CF6"/>
    <w:rsid w:val="00BC3004"/>
    <w:rsid w:val="00BC3631"/>
    <w:rsid w:val="00BC36AC"/>
    <w:rsid w:val="00BC3E08"/>
    <w:rsid w:val="00BC5069"/>
    <w:rsid w:val="00BC55D3"/>
    <w:rsid w:val="00BC591F"/>
    <w:rsid w:val="00BC5A53"/>
    <w:rsid w:val="00BC5AAC"/>
    <w:rsid w:val="00BC5F30"/>
    <w:rsid w:val="00BC62C8"/>
    <w:rsid w:val="00BC6647"/>
    <w:rsid w:val="00BC6D26"/>
    <w:rsid w:val="00BC6E77"/>
    <w:rsid w:val="00BC7729"/>
    <w:rsid w:val="00BC7834"/>
    <w:rsid w:val="00BC7D6D"/>
    <w:rsid w:val="00BD06C1"/>
    <w:rsid w:val="00BD08E9"/>
    <w:rsid w:val="00BD1000"/>
    <w:rsid w:val="00BD16E5"/>
    <w:rsid w:val="00BD1896"/>
    <w:rsid w:val="00BD1EBD"/>
    <w:rsid w:val="00BD1EC5"/>
    <w:rsid w:val="00BD1EE5"/>
    <w:rsid w:val="00BD2108"/>
    <w:rsid w:val="00BD2598"/>
    <w:rsid w:val="00BD27B3"/>
    <w:rsid w:val="00BD32B6"/>
    <w:rsid w:val="00BD33CA"/>
    <w:rsid w:val="00BD35A2"/>
    <w:rsid w:val="00BD3B81"/>
    <w:rsid w:val="00BD3D05"/>
    <w:rsid w:val="00BD4275"/>
    <w:rsid w:val="00BD52B8"/>
    <w:rsid w:val="00BD5CB5"/>
    <w:rsid w:val="00BD5E9D"/>
    <w:rsid w:val="00BD64A3"/>
    <w:rsid w:val="00BD68A3"/>
    <w:rsid w:val="00BD6938"/>
    <w:rsid w:val="00BD6CF3"/>
    <w:rsid w:val="00BD7C06"/>
    <w:rsid w:val="00BD7F72"/>
    <w:rsid w:val="00BE0665"/>
    <w:rsid w:val="00BE0C7C"/>
    <w:rsid w:val="00BE0ECA"/>
    <w:rsid w:val="00BE1429"/>
    <w:rsid w:val="00BE2180"/>
    <w:rsid w:val="00BE21F2"/>
    <w:rsid w:val="00BE24EF"/>
    <w:rsid w:val="00BE2550"/>
    <w:rsid w:val="00BE25C3"/>
    <w:rsid w:val="00BE3382"/>
    <w:rsid w:val="00BE36EE"/>
    <w:rsid w:val="00BE4275"/>
    <w:rsid w:val="00BE4520"/>
    <w:rsid w:val="00BE466A"/>
    <w:rsid w:val="00BE4F43"/>
    <w:rsid w:val="00BE5428"/>
    <w:rsid w:val="00BE5985"/>
    <w:rsid w:val="00BE5F1A"/>
    <w:rsid w:val="00BE63B0"/>
    <w:rsid w:val="00BE739F"/>
    <w:rsid w:val="00BE7A49"/>
    <w:rsid w:val="00BF02B1"/>
    <w:rsid w:val="00BF03A5"/>
    <w:rsid w:val="00BF06AE"/>
    <w:rsid w:val="00BF074F"/>
    <w:rsid w:val="00BF07D5"/>
    <w:rsid w:val="00BF0DD0"/>
    <w:rsid w:val="00BF0DF8"/>
    <w:rsid w:val="00BF0F95"/>
    <w:rsid w:val="00BF12A9"/>
    <w:rsid w:val="00BF1C1A"/>
    <w:rsid w:val="00BF23D5"/>
    <w:rsid w:val="00BF2433"/>
    <w:rsid w:val="00BF2806"/>
    <w:rsid w:val="00BF2A34"/>
    <w:rsid w:val="00BF2E1F"/>
    <w:rsid w:val="00BF2E6E"/>
    <w:rsid w:val="00BF31EF"/>
    <w:rsid w:val="00BF34AD"/>
    <w:rsid w:val="00BF3A16"/>
    <w:rsid w:val="00BF3A42"/>
    <w:rsid w:val="00BF3CC0"/>
    <w:rsid w:val="00BF4852"/>
    <w:rsid w:val="00BF4B64"/>
    <w:rsid w:val="00BF55BB"/>
    <w:rsid w:val="00BF55E2"/>
    <w:rsid w:val="00BF5990"/>
    <w:rsid w:val="00BF5A27"/>
    <w:rsid w:val="00BF5B91"/>
    <w:rsid w:val="00BF61C9"/>
    <w:rsid w:val="00BF6787"/>
    <w:rsid w:val="00BF6903"/>
    <w:rsid w:val="00BF6C94"/>
    <w:rsid w:val="00BF6FA8"/>
    <w:rsid w:val="00BF6FDC"/>
    <w:rsid w:val="00BF7603"/>
    <w:rsid w:val="00C0005F"/>
    <w:rsid w:val="00C00148"/>
    <w:rsid w:val="00C00424"/>
    <w:rsid w:val="00C007DC"/>
    <w:rsid w:val="00C00BB0"/>
    <w:rsid w:val="00C00C91"/>
    <w:rsid w:val="00C011A1"/>
    <w:rsid w:val="00C012CF"/>
    <w:rsid w:val="00C01BF4"/>
    <w:rsid w:val="00C027E8"/>
    <w:rsid w:val="00C02953"/>
    <w:rsid w:val="00C02A1E"/>
    <w:rsid w:val="00C03890"/>
    <w:rsid w:val="00C042D3"/>
    <w:rsid w:val="00C05747"/>
    <w:rsid w:val="00C061BE"/>
    <w:rsid w:val="00C069BF"/>
    <w:rsid w:val="00C0701D"/>
    <w:rsid w:val="00C070EB"/>
    <w:rsid w:val="00C0731A"/>
    <w:rsid w:val="00C0766B"/>
    <w:rsid w:val="00C07A76"/>
    <w:rsid w:val="00C07EFC"/>
    <w:rsid w:val="00C113AD"/>
    <w:rsid w:val="00C113F4"/>
    <w:rsid w:val="00C1179F"/>
    <w:rsid w:val="00C11A0F"/>
    <w:rsid w:val="00C11A17"/>
    <w:rsid w:val="00C121C4"/>
    <w:rsid w:val="00C121D4"/>
    <w:rsid w:val="00C127B9"/>
    <w:rsid w:val="00C128FA"/>
    <w:rsid w:val="00C1296F"/>
    <w:rsid w:val="00C12B76"/>
    <w:rsid w:val="00C12C14"/>
    <w:rsid w:val="00C1393D"/>
    <w:rsid w:val="00C13B8E"/>
    <w:rsid w:val="00C14142"/>
    <w:rsid w:val="00C141AD"/>
    <w:rsid w:val="00C1425B"/>
    <w:rsid w:val="00C142E2"/>
    <w:rsid w:val="00C146CC"/>
    <w:rsid w:val="00C147AB"/>
    <w:rsid w:val="00C14AB8"/>
    <w:rsid w:val="00C14CEB"/>
    <w:rsid w:val="00C14EA9"/>
    <w:rsid w:val="00C15414"/>
    <w:rsid w:val="00C154E7"/>
    <w:rsid w:val="00C15B6F"/>
    <w:rsid w:val="00C15D7B"/>
    <w:rsid w:val="00C15F04"/>
    <w:rsid w:val="00C15F97"/>
    <w:rsid w:val="00C168DD"/>
    <w:rsid w:val="00C17686"/>
    <w:rsid w:val="00C179B3"/>
    <w:rsid w:val="00C17E3F"/>
    <w:rsid w:val="00C200AA"/>
    <w:rsid w:val="00C204D6"/>
    <w:rsid w:val="00C20564"/>
    <w:rsid w:val="00C2081A"/>
    <w:rsid w:val="00C2143B"/>
    <w:rsid w:val="00C21EF1"/>
    <w:rsid w:val="00C222FA"/>
    <w:rsid w:val="00C223D7"/>
    <w:rsid w:val="00C22715"/>
    <w:rsid w:val="00C2283E"/>
    <w:rsid w:val="00C22A99"/>
    <w:rsid w:val="00C22F95"/>
    <w:rsid w:val="00C22FF1"/>
    <w:rsid w:val="00C230A6"/>
    <w:rsid w:val="00C2334D"/>
    <w:rsid w:val="00C237ED"/>
    <w:rsid w:val="00C239FA"/>
    <w:rsid w:val="00C23C7D"/>
    <w:rsid w:val="00C23CC2"/>
    <w:rsid w:val="00C24021"/>
    <w:rsid w:val="00C2435D"/>
    <w:rsid w:val="00C24632"/>
    <w:rsid w:val="00C253E9"/>
    <w:rsid w:val="00C25418"/>
    <w:rsid w:val="00C2595B"/>
    <w:rsid w:val="00C2599B"/>
    <w:rsid w:val="00C25D9C"/>
    <w:rsid w:val="00C2625F"/>
    <w:rsid w:val="00C2651C"/>
    <w:rsid w:val="00C26EF1"/>
    <w:rsid w:val="00C27391"/>
    <w:rsid w:val="00C2778B"/>
    <w:rsid w:val="00C2779F"/>
    <w:rsid w:val="00C30365"/>
    <w:rsid w:val="00C30FFA"/>
    <w:rsid w:val="00C31649"/>
    <w:rsid w:val="00C31998"/>
    <w:rsid w:val="00C31DAB"/>
    <w:rsid w:val="00C31DCF"/>
    <w:rsid w:val="00C328EF"/>
    <w:rsid w:val="00C32F75"/>
    <w:rsid w:val="00C330FF"/>
    <w:rsid w:val="00C33282"/>
    <w:rsid w:val="00C333AE"/>
    <w:rsid w:val="00C33598"/>
    <w:rsid w:val="00C33ACA"/>
    <w:rsid w:val="00C3434C"/>
    <w:rsid w:val="00C3444A"/>
    <w:rsid w:val="00C34631"/>
    <w:rsid w:val="00C34650"/>
    <w:rsid w:val="00C3497F"/>
    <w:rsid w:val="00C35194"/>
    <w:rsid w:val="00C35473"/>
    <w:rsid w:val="00C358BB"/>
    <w:rsid w:val="00C35C1C"/>
    <w:rsid w:val="00C36267"/>
    <w:rsid w:val="00C36A62"/>
    <w:rsid w:val="00C374A6"/>
    <w:rsid w:val="00C377DF"/>
    <w:rsid w:val="00C4023C"/>
    <w:rsid w:val="00C40274"/>
    <w:rsid w:val="00C40385"/>
    <w:rsid w:val="00C4069F"/>
    <w:rsid w:val="00C40E78"/>
    <w:rsid w:val="00C411D1"/>
    <w:rsid w:val="00C41499"/>
    <w:rsid w:val="00C4156C"/>
    <w:rsid w:val="00C41768"/>
    <w:rsid w:val="00C42414"/>
    <w:rsid w:val="00C42431"/>
    <w:rsid w:val="00C42903"/>
    <w:rsid w:val="00C42EEC"/>
    <w:rsid w:val="00C42FCC"/>
    <w:rsid w:val="00C432FD"/>
    <w:rsid w:val="00C4337E"/>
    <w:rsid w:val="00C439D3"/>
    <w:rsid w:val="00C43D10"/>
    <w:rsid w:val="00C43FFA"/>
    <w:rsid w:val="00C4483A"/>
    <w:rsid w:val="00C44A0D"/>
    <w:rsid w:val="00C44B28"/>
    <w:rsid w:val="00C44EC3"/>
    <w:rsid w:val="00C451C4"/>
    <w:rsid w:val="00C45624"/>
    <w:rsid w:val="00C464CF"/>
    <w:rsid w:val="00C46690"/>
    <w:rsid w:val="00C46BEA"/>
    <w:rsid w:val="00C475AA"/>
    <w:rsid w:val="00C478AD"/>
    <w:rsid w:val="00C47B5C"/>
    <w:rsid w:val="00C47FA3"/>
    <w:rsid w:val="00C5018B"/>
    <w:rsid w:val="00C502EE"/>
    <w:rsid w:val="00C50F00"/>
    <w:rsid w:val="00C51404"/>
    <w:rsid w:val="00C517D7"/>
    <w:rsid w:val="00C518A7"/>
    <w:rsid w:val="00C5197C"/>
    <w:rsid w:val="00C520C1"/>
    <w:rsid w:val="00C52509"/>
    <w:rsid w:val="00C52728"/>
    <w:rsid w:val="00C5273E"/>
    <w:rsid w:val="00C527C7"/>
    <w:rsid w:val="00C5292F"/>
    <w:rsid w:val="00C535D6"/>
    <w:rsid w:val="00C53A11"/>
    <w:rsid w:val="00C53B97"/>
    <w:rsid w:val="00C53C98"/>
    <w:rsid w:val="00C543C3"/>
    <w:rsid w:val="00C544B5"/>
    <w:rsid w:val="00C546DE"/>
    <w:rsid w:val="00C54C68"/>
    <w:rsid w:val="00C5559F"/>
    <w:rsid w:val="00C555AB"/>
    <w:rsid w:val="00C559AF"/>
    <w:rsid w:val="00C55D4F"/>
    <w:rsid w:val="00C56178"/>
    <w:rsid w:val="00C56535"/>
    <w:rsid w:val="00C566B3"/>
    <w:rsid w:val="00C56FCF"/>
    <w:rsid w:val="00C57562"/>
    <w:rsid w:val="00C57B6C"/>
    <w:rsid w:val="00C603D3"/>
    <w:rsid w:val="00C60DA9"/>
    <w:rsid w:val="00C61657"/>
    <w:rsid w:val="00C616DB"/>
    <w:rsid w:val="00C6197D"/>
    <w:rsid w:val="00C6198C"/>
    <w:rsid w:val="00C61A59"/>
    <w:rsid w:val="00C61DB0"/>
    <w:rsid w:val="00C628A6"/>
    <w:rsid w:val="00C62979"/>
    <w:rsid w:val="00C62A73"/>
    <w:rsid w:val="00C64344"/>
    <w:rsid w:val="00C64633"/>
    <w:rsid w:val="00C65108"/>
    <w:rsid w:val="00C65572"/>
    <w:rsid w:val="00C65576"/>
    <w:rsid w:val="00C65B6D"/>
    <w:rsid w:val="00C65F4C"/>
    <w:rsid w:val="00C66165"/>
    <w:rsid w:val="00C66521"/>
    <w:rsid w:val="00C6657D"/>
    <w:rsid w:val="00C66D4A"/>
    <w:rsid w:val="00C679C0"/>
    <w:rsid w:val="00C67AB8"/>
    <w:rsid w:val="00C67F0F"/>
    <w:rsid w:val="00C70362"/>
    <w:rsid w:val="00C7060A"/>
    <w:rsid w:val="00C70629"/>
    <w:rsid w:val="00C7110E"/>
    <w:rsid w:val="00C7142A"/>
    <w:rsid w:val="00C7151A"/>
    <w:rsid w:val="00C717E3"/>
    <w:rsid w:val="00C71C9F"/>
    <w:rsid w:val="00C71F60"/>
    <w:rsid w:val="00C71FEE"/>
    <w:rsid w:val="00C72241"/>
    <w:rsid w:val="00C72765"/>
    <w:rsid w:val="00C73FB7"/>
    <w:rsid w:val="00C742BE"/>
    <w:rsid w:val="00C742D2"/>
    <w:rsid w:val="00C743B2"/>
    <w:rsid w:val="00C748A8"/>
    <w:rsid w:val="00C750C8"/>
    <w:rsid w:val="00C75571"/>
    <w:rsid w:val="00C7560F"/>
    <w:rsid w:val="00C76978"/>
    <w:rsid w:val="00C769DE"/>
    <w:rsid w:val="00C76A44"/>
    <w:rsid w:val="00C774C2"/>
    <w:rsid w:val="00C77840"/>
    <w:rsid w:val="00C8038C"/>
    <w:rsid w:val="00C803C7"/>
    <w:rsid w:val="00C80593"/>
    <w:rsid w:val="00C80912"/>
    <w:rsid w:val="00C80A0E"/>
    <w:rsid w:val="00C80ECA"/>
    <w:rsid w:val="00C819E7"/>
    <w:rsid w:val="00C8213F"/>
    <w:rsid w:val="00C82BD8"/>
    <w:rsid w:val="00C82DCA"/>
    <w:rsid w:val="00C8303F"/>
    <w:rsid w:val="00C83A25"/>
    <w:rsid w:val="00C83A28"/>
    <w:rsid w:val="00C83B48"/>
    <w:rsid w:val="00C83DB0"/>
    <w:rsid w:val="00C85154"/>
    <w:rsid w:val="00C853A3"/>
    <w:rsid w:val="00C858B2"/>
    <w:rsid w:val="00C85A70"/>
    <w:rsid w:val="00C86A8C"/>
    <w:rsid w:val="00C86E39"/>
    <w:rsid w:val="00C87742"/>
    <w:rsid w:val="00C8797A"/>
    <w:rsid w:val="00C900B8"/>
    <w:rsid w:val="00C90197"/>
    <w:rsid w:val="00C90C71"/>
    <w:rsid w:val="00C91F8A"/>
    <w:rsid w:val="00C91FD1"/>
    <w:rsid w:val="00C92C74"/>
    <w:rsid w:val="00C931CF"/>
    <w:rsid w:val="00C9330E"/>
    <w:rsid w:val="00C938CF"/>
    <w:rsid w:val="00C938F9"/>
    <w:rsid w:val="00C94053"/>
    <w:rsid w:val="00C945EE"/>
    <w:rsid w:val="00C94762"/>
    <w:rsid w:val="00C949A2"/>
    <w:rsid w:val="00C94B39"/>
    <w:rsid w:val="00C95226"/>
    <w:rsid w:val="00C957E9"/>
    <w:rsid w:val="00C9624D"/>
    <w:rsid w:val="00C96717"/>
    <w:rsid w:val="00C969DA"/>
    <w:rsid w:val="00C96CE9"/>
    <w:rsid w:val="00C970BF"/>
    <w:rsid w:val="00C970FF"/>
    <w:rsid w:val="00C97EDD"/>
    <w:rsid w:val="00C97FFC"/>
    <w:rsid w:val="00CA00FD"/>
    <w:rsid w:val="00CA0146"/>
    <w:rsid w:val="00CA0729"/>
    <w:rsid w:val="00CA09B4"/>
    <w:rsid w:val="00CA0A53"/>
    <w:rsid w:val="00CA0B98"/>
    <w:rsid w:val="00CA0C2B"/>
    <w:rsid w:val="00CA119A"/>
    <w:rsid w:val="00CA11AA"/>
    <w:rsid w:val="00CA1BE0"/>
    <w:rsid w:val="00CA1EC2"/>
    <w:rsid w:val="00CA1F11"/>
    <w:rsid w:val="00CA22A3"/>
    <w:rsid w:val="00CA2C77"/>
    <w:rsid w:val="00CA2D1C"/>
    <w:rsid w:val="00CA2D90"/>
    <w:rsid w:val="00CA2E36"/>
    <w:rsid w:val="00CA2F0F"/>
    <w:rsid w:val="00CA3611"/>
    <w:rsid w:val="00CA444F"/>
    <w:rsid w:val="00CA454C"/>
    <w:rsid w:val="00CA48F2"/>
    <w:rsid w:val="00CA5245"/>
    <w:rsid w:val="00CA54CD"/>
    <w:rsid w:val="00CA5857"/>
    <w:rsid w:val="00CA58BA"/>
    <w:rsid w:val="00CA609F"/>
    <w:rsid w:val="00CA66CC"/>
    <w:rsid w:val="00CA67A8"/>
    <w:rsid w:val="00CA71F4"/>
    <w:rsid w:val="00CA7668"/>
    <w:rsid w:val="00CA772B"/>
    <w:rsid w:val="00CA7A1D"/>
    <w:rsid w:val="00CA7B09"/>
    <w:rsid w:val="00CA7F2A"/>
    <w:rsid w:val="00CB05F3"/>
    <w:rsid w:val="00CB0A2F"/>
    <w:rsid w:val="00CB125F"/>
    <w:rsid w:val="00CB12A5"/>
    <w:rsid w:val="00CB1704"/>
    <w:rsid w:val="00CB1CAC"/>
    <w:rsid w:val="00CB2D01"/>
    <w:rsid w:val="00CB2F2A"/>
    <w:rsid w:val="00CB4876"/>
    <w:rsid w:val="00CB5B1A"/>
    <w:rsid w:val="00CB64BB"/>
    <w:rsid w:val="00CB6A40"/>
    <w:rsid w:val="00CB6B22"/>
    <w:rsid w:val="00CB6D30"/>
    <w:rsid w:val="00CB7409"/>
    <w:rsid w:val="00CB7582"/>
    <w:rsid w:val="00CB75BF"/>
    <w:rsid w:val="00CB7663"/>
    <w:rsid w:val="00CB7F5F"/>
    <w:rsid w:val="00CC0400"/>
    <w:rsid w:val="00CC0DD3"/>
    <w:rsid w:val="00CC144F"/>
    <w:rsid w:val="00CC19F7"/>
    <w:rsid w:val="00CC1A07"/>
    <w:rsid w:val="00CC1B39"/>
    <w:rsid w:val="00CC1BFA"/>
    <w:rsid w:val="00CC1D86"/>
    <w:rsid w:val="00CC24A9"/>
    <w:rsid w:val="00CC2659"/>
    <w:rsid w:val="00CC283C"/>
    <w:rsid w:val="00CC2E9F"/>
    <w:rsid w:val="00CC3246"/>
    <w:rsid w:val="00CC35EA"/>
    <w:rsid w:val="00CC3848"/>
    <w:rsid w:val="00CC3959"/>
    <w:rsid w:val="00CC3C58"/>
    <w:rsid w:val="00CC3F2C"/>
    <w:rsid w:val="00CC48F7"/>
    <w:rsid w:val="00CC5015"/>
    <w:rsid w:val="00CC533D"/>
    <w:rsid w:val="00CC53B9"/>
    <w:rsid w:val="00CC5E2B"/>
    <w:rsid w:val="00CC64F6"/>
    <w:rsid w:val="00CC6D1B"/>
    <w:rsid w:val="00CC6D5E"/>
    <w:rsid w:val="00CC6F2D"/>
    <w:rsid w:val="00CC7313"/>
    <w:rsid w:val="00CC7660"/>
    <w:rsid w:val="00CD0200"/>
    <w:rsid w:val="00CD07F6"/>
    <w:rsid w:val="00CD0B7E"/>
    <w:rsid w:val="00CD0B7F"/>
    <w:rsid w:val="00CD1285"/>
    <w:rsid w:val="00CD1376"/>
    <w:rsid w:val="00CD258C"/>
    <w:rsid w:val="00CD2DD8"/>
    <w:rsid w:val="00CD3904"/>
    <w:rsid w:val="00CD3E96"/>
    <w:rsid w:val="00CD3F77"/>
    <w:rsid w:val="00CD40A8"/>
    <w:rsid w:val="00CD425B"/>
    <w:rsid w:val="00CD4A5D"/>
    <w:rsid w:val="00CD4B93"/>
    <w:rsid w:val="00CD4CC4"/>
    <w:rsid w:val="00CD5053"/>
    <w:rsid w:val="00CD53D6"/>
    <w:rsid w:val="00CD57A7"/>
    <w:rsid w:val="00CD665F"/>
    <w:rsid w:val="00CD66A3"/>
    <w:rsid w:val="00CD6ADC"/>
    <w:rsid w:val="00CD6BAB"/>
    <w:rsid w:val="00CD6CF6"/>
    <w:rsid w:val="00CD7193"/>
    <w:rsid w:val="00CD758F"/>
    <w:rsid w:val="00CD78C4"/>
    <w:rsid w:val="00CD7946"/>
    <w:rsid w:val="00CE020C"/>
    <w:rsid w:val="00CE071F"/>
    <w:rsid w:val="00CE0D9A"/>
    <w:rsid w:val="00CE0DC4"/>
    <w:rsid w:val="00CE17D9"/>
    <w:rsid w:val="00CE1EB5"/>
    <w:rsid w:val="00CE28A0"/>
    <w:rsid w:val="00CE38C8"/>
    <w:rsid w:val="00CE39DF"/>
    <w:rsid w:val="00CE433C"/>
    <w:rsid w:val="00CE49D3"/>
    <w:rsid w:val="00CE50A6"/>
    <w:rsid w:val="00CE5184"/>
    <w:rsid w:val="00CE524F"/>
    <w:rsid w:val="00CE55A2"/>
    <w:rsid w:val="00CE58CC"/>
    <w:rsid w:val="00CE5A26"/>
    <w:rsid w:val="00CE5B48"/>
    <w:rsid w:val="00CE5DBB"/>
    <w:rsid w:val="00CE6244"/>
    <w:rsid w:val="00CE6274"/>
    <w:rsid w:val="00CE65C4"/>
    <w:rsid w:val="00CE6A09"/>
    <w:rsid w:val="00CE7014"/>
    <w:rsid w:val="00CE73F1"/>
    <w:rsid w:val="00CE75F2"/>
    <w:rsid w:val="00CE77B6"/>
    <w:rsid w:val="00CE7843"/>
    <w:rsid w:val="00CE7A33"/>
    <w:rsid w:val="00CE7A50"/>
    <w:rsid w:val="00CE7C1D"/>
    <w:rsid w:val="00CF0584"/>
    <w:rsid w:val="00CF0B90"/>
    <w:rsid w:val="00CF2167"/>
    <w:rsid w:val="00CF241F"/>
    <w:rsid w:val="00CF28DD"/>
    <w:rsid w:val="00CF29D6"/>
    <w:rsid w:val="00CF2B8D"/>
    <w:rsid w:val="00CF2EA8"/>
    <w:rsid w:val="00CF2F87"/>
    <w:rsid w:val="00CF33D8"/>
    <w:rsid w:val="00CF360D"/>
    <w:rsid w:val="00CF37FF"/>
    <w:rsid w:val="00CF3A1B"/>
    <w:rsid w:val="00CF3E9B"/>
    <w:rsid w:val="00CF4437"/>
    <w:rsid w:val="00CF456B"/>
    <w:rsid w:val="00CF4653"/>
    <w:rsid w:val="00CF4800"/>
    <w:rsid w:val="00CF4B77"/>
    <w:rsid w:val="00CF59EF"/>
    <w:rsid w:val="00CF5A22"/>
    <w:rsid w:val="00CF5BB4"/>
    <w:rsid w:val="00CF6033"/>
    <w:rsid w:val="00CF66AF"/>
    <w:rsid w:val="00CF6CB3"/>
    <w:rsid w:val="00CF726A"/>
    <w:rsid w:val="00CF73FE"/>
    <w:rsid w:val="00CF7454"/>
    <w:rsid w:val="00D007B9"/>
    <w:rsid w:val="00D015B7"/>
    <w:rsid w:val="00D01600"/>
    <w:rsid w:val="00D017BD"/>
    <w:rsid w:val="00D01846"/>
    <w:rsid w:val="00D01863"/>
    <w:rsid w:val="00D01B64"/>
    <w:rsid w:val="00D01C93"/>
    <w:rsid w:val="00D02126"/>
    <w:rsid w:val="00D0262E"/>
    <w:rsid w:val="00D029BC"/>
    <w:rsid w:val="00D02E92"/>
    <w:rsid w:val="00D03679"/>
    <w:rsid w:val="00D04021"/>
    <w:rsid w:val="00D04180"/>
    <w:rsid w:val="00D0429F"/>
    <w:rsid w:val="00D0533C"/>
    <w:rsid w:val="00D05E3D"/>
    <w:rsid w:val="00D05F67"/>
    <w:rsid w:val="00D06139"/>
    <w:rsid w:val="00D06176"/>
    <w:rsid w:val="00D06688"/>
    <w:rsid w:val="00D069D2"/>
    <w:rsid w:val="00D06B62"/>
    <w:rsid w:val="00D06EDF"/>
    <w:rsid w:val="00D0701A"/>
    <w:rsid w:val="00D070B8"/>
    <w:rsid w:val="00D074CC"/>
    <w:rsid w:val="00D07B1D"/>
    <w:rsid w:val="00D07C0B"/>
    <w:rsid w:val="00D110BD"/>
    <w:rsid w:val="00D1160E"/>
    <w:rsid w:val="00D121E7"/>
    <w:rsid w:val="00D12AC7"/>
    <w:rsid w:val="00D130C2"/>
    <w:rsid w:val="00D13300"/>
    <w:rsid w:val="00D13675"/>
    <w:rsid w:val="00D138D2"/>
    <w:rsid w:val="00D13B99"/>
    <w:rsid w:val="00D141E1"/>
    <w:rsid w:val="00D14540"/>
    <w:rsid w:val="00D1458B"/>
    <w:rsid w:val="00D1464A"/>
    <w:rsid w:val="00D1486D"/>
    <w:rsid w:val="00D148F7"/>
    <w:rsid w:val="00D14AE5"/>
    <w:rsid w:val="00D14BEE"/>
    <w:rsid w:val="00D15170"/>
    <w:rsid w:val="00D15314"/>
    <w:rsid w:val="00D15B48"/>
    <w:rsid w:val="00D15B54"/>
    <w:rsid w:val="00D15DE2"/>
    <w:rsid w:val="00D1601D"/>
    <w:rsid w:val="00D16021"/>
    <w:rsid w:val="00D168FB"/>
    <w:rsid w:val="00D16AD4"/>
    <w:rsid w:val="00D16DA7"/>
    <w:rsid w:val="00D17575"/>
    <w:rsid w:val="00D17C44"/>
    <w:rsid w:val="00D17D6C"/>
    <w:rsid w:val="00D200B4"/>
    <w:rsid w:val="00D2155B"/>
    <w:rsid w:val="00D21B1C"/>
    <w:rsid w:val="00D21D99"/>
    <w:rsid w:val="00D2245B"/>
    <w:rsid w:val="00D22582"/>
    <w:rsid w:val="00D22B27"/>
    <w:rsid w:val="00D23362"/>
    <w:rsid w:val="00D233FF"/>
    <w:rsid w:val="00D23D11"/>
    <w:rsid w:val="00D23F5F"/>
    <w:rsid w:val="00D23FC9"/>
    <w:rsid w:val="00D244B6"/>
    <w:rsid w:val="00D24720"/>
    <w:rsid w:val="00D24809"/>
    <w:rsid w:val="00D24CB5"/>
    <w:rsid w:val="00D253F6"/>
    <w:rsid w:val="00D258F2"/>
    <w:rsid w:val="00D25915"/>
    <w:rsid w:val="00D259E3"/>
    <w:rsid w:val="00D25ECA"/>
    <w:rsid w:val="00D2701B"/>
    <w:rsid w:val="00D27471"/>
    <w:rsid w:val="00D2754D"/>
    <w:rsid w:val="00D275CE"/>
    <w:rsid w:val="00D27B27"/>
    <w:rsid w:val="00D30900"/>
    <w:rsid w:val="00D30AE0"/>
    <w:rsid w:val="00D30C1D"/>
    <w:rsid w:val="00D30D5B"/>
    <w:rsid w:val="00D3108F"/>
    <w:rsid w:val="00D31146"/>
    <w:rsid w:val="00D312D6"/>
    <w:rsid w:val="00D31CA9"/>
    <w:rsid w:val="00D320EB"/>
    <w:rsid w:val="00D3228F"/>
    <w:rsid w:val="00D3280E"/>
    <w:rsid w:val="00D32A69"/>
    <w:rsid w:val="00D32B34"/>
    <w:rsid w:val="00D32CA1"/>
    <w:rsid w:val="00D33616"/>
    <w:rsid w:val="00D336DE"/>
    <w:rsid w:val="00D33BE9"/>
    <w:rsid w:val="00D33F93"/>
    <w:rsid w:val="00D34570"/>
    <w:rsid w:val="00D3463F"/>
    <w:rsid w:val="00D34BCC"/>
    <w:rsid w:val="00D34E92"/>
    <w:rsid w:val="00D34F4D"/>
    <w:rsid w:val="00D352B5"/>
    <w:rsid w:val="00D357FB"/>
    <w:rsid w:val="00D357FF"/>
    <w:rsid w:val="00D36036"/>
    <w:rsid w:val="00D36059"/>
    <w:rsid w:val="00D3628A"/>
    <w:rsid w:val="00D364E9"/>
    <w:rsid w:val="00D3653F"/>
    <w:rsid w:val="00D36681"/>
    <w:rsid w:val="00D3699D"/>
    <w:rsid w:val="00D36D98"/>
    <w:rsid w:val="00D36EF8"/>
    <w:rsid w:val="00D370CF"/>
    <w:rsid w:val="00D37D06"/>
    <w:rsid w:val="00D4037C"/>
    <w:rsid w:val="00D405C4"/>
    <w:rsid w:val="00D40E9C"/>
    <w:rsid w:val="00D410E4"/>
    <w:rsid w:val="00D41464"/>
    <w:rsid w:val="00D41D2C"/>
    <w:rsid w:val="00D41F1E"/>
    <w:rsid w:val="00D41FC0"/>
    <w:rsid w:val="00D424B4"/>
    <w:rsid w:val="00D424C7"/>
    <w:rsid w:val="00D4272C"/>
    <w:rsid w:val="00D428DB"/>
    <w:rsid w:val="00D4354F"/>
    <w:rsid w:val="00D43B2A"/>
    <w:rsid w:val="00D43C9E"/>
    <w:rsid w:val="00D43CF1"/>
    <w:rsid w:val="00D43D83"/>
    <w:rsid w:val="00D4415E"/>
    <w:rsid w:val="00D443BE"/>
    <w:rsid w:val="00D44995"/>
    <w:rsid w:val="00D44B56"/>
    <w:rsid w:val="00D4512B"/>
    <w:rsid w:val="00D45DE8"/>
    <w:rsid w:val="00D45FEB"/>
    <w:rsid w:val="00D47454"/>
    <w:rsid w:val="00D47575"/>
    <w:rsid w:val="00D47E6A"/>
    <w:rsid w:val="00D518CD"/>
    <w:rsid w:val="00D5243B"/>
    <w:rsid w:val="00D52546"/>
    <w:rsid w:val="00D52D14"/>
    <w:rsid w:val="00D52EAC"/>
    <w:rsid w:val="00D52F7F"/>
    <w:rsid w:val="00D533D9"/>
    <w:rsid w:val="00D533EC"/>
    <w:rsid w:val="00D53F74"/>
    <w:rsid w:val="00D54479"/>
    <w:rsid w:val="00D54AF7"/>
    <w:rsid w:val="00D55EE2"/>
    <w:rsid w:val="00D56081"/>
    <w:rsid w:val="00D5651F"/>
    <w:rsid w:val="00D568CA"/>
    <w:rsid w:val="00D56A47"/>
    <w:rsid w:val="00D56A64"/>
    <w:rsid w:val="00D56A95"/>
    <w:rsid w:val="00D56FB4"/>
    <w:rsid w:val="00D57264"/>
    <w:rsid w:val="00D5729C"/>
    <w:rsid w:val="00D57899"/>
    <w:rsid w:val="00D57C1B"/>
    <w:rsid w:val="00D60703"/>
    <w:rsid w:val="00D6076E"/>
    <w:rsid w:val="00D619FF"/>
    <w:rsid w:val="00D6233C"/>
    <w:rsid w:val="00D62545"/>
    <w:rsid w:val="00D627AD"/>
    <w:rsid w:val="00D62D64"/>
    <w:rsid w:val="00D63701"/>
    <w:rsid w:val="00D63879"/>
    <w:rsid w:val="00D63E80"/>
    <w:rsid w:val="00D641B1"/>
    <w:rsid w:val="00D649EE"/>
    <w:rsid w:val="00D64C7E"/>
    <w:rsid w:val="00D64D04"/>
    <w:rsid w:val="00D64E06"/>
    <w:rsid w:val="00D65536"/>
    <w:rsid w:val="00D65BFA"/>
    <w:rsid w:val="00D65D7E"/>
    <w:rsid w:val="00D65DC7"/>
    <w:rsid w:val="00D665A8"/>
    <w:rsid w:val="00D669DE"/>
    <w:rsid w:val="00D66E0E"/>
    <w:rsid w:val="00D671D9"/>
    <w:rsid w:val="00D671E3"/>
    <w:rsid w:val="00D675C3"/>
    <w:rsid w:val="00D67778"/>
    <w:rsid w:val="00D67B13"/>
    <w:rsid w:val="00D70037"/>
    <w:rsid w:val="00D707E3"/>
    <w:rsid w:val="00D70AB7"/>
    <w:rsid w:val="00D70F16"/>
    <w:rsid w:val="00D71937"/>
    <w:rsid w:val="00D7208E"/>
    <w:rsid w:val="00D72147"/>
    <w:rsid w:val="00D72404"/>
    <w:rsid w:val="00D724AC"/>
    <w:rsid w:val="00D72617"/>
    <w:rsid w:val="00D7281E"/>
    <w:rsid w:val="00D72B35"/>
    <w:rsid w:val="00D72E89"/>
    <w:rsid w:val="00D72F57"/>
    <w:rsid w:val="00D7319C"/>
    <w:rsid w:val="00D7323D"/>
    <w:rsid w:val="00D73A71"/>
    <w:rsid w:val="00D73D9E"/>
    <w:rsid w:val="00D748B0"/>
    <w:rsid w:val="00D74E12"/>
    <w:rsid w:val="00D750A4"/>
    <w:rsid w:val="00D75695"/>
    <w:rsid w:val="00D76A44"/>
    <w:rsid w:val="00D76AEB"/>
    <w:rsid w:val="00D76EE0"/>
    <w:rsid w:val="00D7714D"/>
    <w:rsid w:val="00D772DF"/>
    <w:rsid w:val="00D7738A"/>
    <w:rsid w:val="00D77407"/>
    <w:rsid w:val="00D77F01"/>
    <w:rsid w:val="00D77FBD"/>
    <w:rsid w:val="00D80179"/>
    <w:rsid w:val="00D8046E"/>
    <w:rsid w:val="00D80599"/>
    <w:rsid w:val="00D80DFC"/>
    <w:rsid w:val="00D8109C"/>
    <w:rsid w:val="00D81261"/>
    <w:rsid w:val="00D815EF"/>
    <w:rsid w:val="00D81797"/>
    <w:rsid w:val="00D81949"/>
    <w:rsid w:val="00D81DAC"/>
    <w:rsid w:val="00D81F26"/>
    <w:rsid w:val="00D822E2"/>
    <w:rsid w:val="00D82789"/>
    <w:rsid w:val="00D827C8"/>
    <w:rsid w:val="00D82D38"/>
    <w:rsid w:val="00D82EB0"/>
    <w:rsid w:val="00D83250"/>
    <w:rsid w:val="00D83463"/>
    <w:rsid w:val="00D83494"/>
    <w:rsid w:val="00D83706"/>
    <w:rsid w:val="00D837E1"/>
    <w:rsid w:val="00D83A76"/>
    <w:rsid w:val="00D843F2"/>
    <w:rsid w:val="00D84416"/>
    <w:rsid w:val="00D85131"/>
    <w:rsid w:val="00D85154"/>
    <w:rsid w:val="00D855F1"/>
    <w:rsid w:val="00D85CB7"/>
    <w:rsid w:val="00D85E6E"/>
    <w:rsid w:val="00D85F22"/>
    <w:rsid w:val="00D86231"/>
    <w:rsid w:val="00D87364"/>
    <w:rsid w:val="00D87640"/>
    <w:rsid w:val="00D87992"/>
    <w:rsid w:val="00D90413"/>
    <w:rsid w:val="00D90C06"/>
    <w:rsid w:val="00D90EB1"/>
    <w:rsid w:val="00D910DC"/>
    <w:rsid w:val="00D912AB"/>
    <w:rsid w:val="00D91923"/>
    <w:rsid w:val="00D91CA8"/>
    <w:rsid w:val="00D91E7E"/>
    <w:rsid w:val="00D9240A"/>
    <w:rsid w:val="00D92590"/>
    <w:rsid w:val="00D92E99"/>
    <w:rsid w:val="00D92F94"/>
    <w:rsid w:val="00D9333D"/>
    <w:rsid w:val="00D934E5"/>
    <w:rsid w:val="00D9373D"/>
    <w:rsid w:val="00D93753"/>
    <w:rsid w:val="00D950D3"/>
    <w:rsid w:val="00D951CA"/>
    <w:rsid w:val="00D96951"/>
    <w:rsid w:val="00D96E58"/>
    <w:rsid w:val="00D976DE"/>
    <w:rsid w:val="00DA0275"/>
    <w:rsid w:val="00DA0CCC"/>
    <w:rsid w:val="00DA147D"/>
    <w:rsid w:val="00DA153B"/>
    <w:rsid w:val="00DA1610"/>
    <w:rsid w:val="00DA178F"/>
    <w:rsid w:val="00DA2551"/>
    <w:rsid w:val="00DA2702"/>
    <w:rsid w:val="00DA2FFA"/>
    <w:rsid w:val="00DA3167"/>
    <w:rsid w:val="00DA3B86"/>
    <w:rsid w:val="00DA3B9A"/>
    <w:rsid w:val="00DA3CCE"/>
    <w:rsid w:val="00DA3DD5"/>
    <w:rsid w:val="00DA4883"/>
    <w:rsid w:val="00DA4BA9"/>
    <w:rsid w:val="00DA4DC3"/>
    <w:rsid w:val="00DA519E"/>
    <w:rsid w:val="00DA5D65"/>
    <w:rsid w:val="00DA5E6C"/>
    <w:rsid w:val="00DA6208"/>
    <w:rsid w:val="00DA65DE"/>
    <w:rsid w:val="00DA69A7"/>
    <w:rsid w:val="00DA7022"/>
    <w:rsid w:val="00DA7376"/>
    <w:rsid w:val="00DA748F"/>
    <w:rsid w:val="00DA7794"/>
    <w:rsid w:val="00DA77A5"/>
    <w:rsid w:val="00DA7EA0"/>
    <w:rsid w:val="00DB0020"/>
    <w:rsid w:val="00DB092C"/>
    <w:rsid w:val="00DB0C51"/>
    <w:rsid w:val="00DB0E36"/>
    <w:rsid w:val="00DB12CE"/>
    <w:rsid w:val="00DB210D"/>
    <w:rsid w:val="00DB21B1"/>
    <w:rsid w:val="00DB2B52"/>
    <w:rsid w:val="00DB3DBF"/>
    <w:rsid w:val="00DB441E"/>
    <w:rsid w:val="00DB484F"/>
    <w:rsid w:val="00DB4A1D"/>
    <w:rsid w:val="00DB4D50"/>
    <w:rsid w:val="00DB53DC"/>
    <w:rsid w:val="00DB6297"/>
    <w:rsid w:val="00DC021A"/>
    <w:rsid w:val="00DC04F6"/>
    <w:rsid w:val="00DC0553"/>
    <w:rsid w:val="00DC0599"/>
    <w:rsid w:val="00DC0690"/>
    <w:rsid w:val="00DC0B6E"/>
    <w:rsid w:val="00DC0BEA"/>
    <w:rsid w:val="00DC12AB"/>
    <w:rsid w:val="00DC1854"/>
    <w:rsid w:val="00DC1D32"/>
    <w:rsid w:val="00DC1D65"/>
    <w:rsid w:val="00DC1F5F"/>
    <w:rsid w:val="00DC219C"/>
    <w:rsid w:val="00DC21DF"/>
    <w:rsid w:val="00DC228A"/>
    <w:rsid w:val="00DC24B1"/>
    <w:rsid w:val="00DC287A"/>
    <w:rsid w:val="00DC2961"/>
    <w:rsid w:val="00DC33A7"/>
    <w:rsid w:val="00DC3AB5"/>
    <w:rsid w:val="00DC3C57"/>
    <w:rsid w:val="00DC3D71"/>
    <w:rsid w:val="00DC403A"/>
    <w:rsid w:val="00DC419A"/>
    <w:rsid w:val="00DC4200"/>
    <w:rsid w:val="00DC444F"/>
    <w:rsid w:val="00DC4FAB"/>
    <w:rsid w:val="00DC521D"/>
    <w:rsid w:val="00DC5501"/>
    <w:rsid w:val="00DC58E7"/>
    <w:rsid w:val="00DC5D67"/>
    <w:rsid w:val="00DC5DE4"/>
    <w:rsid w:val="00DC5FDC"/>
    <w:rsid w:val="00DC6371"/>
    <w:rsid w:val="00DC69C8"/>
    <w:rsid w:val="00DC6B88"/>
    <w:rsid w:val="00DC6C2E"/>
    <w:rsid w:val="00DC7154"/>
    <w:rsid w:val="00DC79E3"/>
    <w:rsid w:val="00DC7E8A"/>
    <w:rsid w:val="00DC7F2C"/>
    <w:rsid w:val="00DD00BF"/>
    <w:rsid w:val="00DD05E0"/>
    <w:rsid w:val="00DD0F78"/>
    <w:rsid w:val="00DD10A4"/>
    <w:rsid w:val="00DD1221"/>
    <w:rsid w:val="00DD1993"/>
    <w:rsid w:val="00DD1EEA"/>
    <w:rsid w:val="00DD1FFF"/>
    <w:rsid w:val="00DD273C"/>
    <w:rsid w:val="00DD2767"/>
    <w:rsid w:val="00DD2DB5"/>
    <w:rsid w:val="00DD3A55"/>
    <w:rsid w:val="00DD3E2C"/>
    <w:rsid w:val="00DD3F28"/>
    <w:rsid w:val="00DD4446"/>
    <w:rsid w:val="00DD4537"/>
    <w:rsid w:val="00DD45FE"/>
    <w:rsid w:val="00DD493E"/>
    <w:rsid w:val="00DD4945"/>
    <w:rsid w:val="00DD4A2C"/>
    <w:rsid w:val="00DD4BA3"/>
    <w:rsid w:val="00DD4D22"/>
    <w:rsid w:val="00DD4E15"/>
    <w:rsid w:val="00DD5245"/>
    <w:rsid w:val="00DD5A4D"/>
    <w:rsid w:val="00DD5CA2"/>
    <w:rsid w:val="00DD6056"/>
    <w:rsid w:val="00DD62A4"/>
    <w:rsid w:val="00DD6463"/>
    <w:rsid w:val="00DD6919"/>
    <w:rsid w:val="00DE07EF"/>
    <w:rsid w:val="00DE12EB"/>
    <w:rsid w:val="00DE1BA7"/>
    <w:rsid w:val="00DE2304"/>
    <w:rsid w:val="00DE294F"/>
    <w:rsid w:val="00DE2A3C"/>
    <w:rsid w:val="00DE2E99"/>
    <w:rsid w:val="00DE3138"/>
    <w:rsid w:val="00DE362F"/>
    <w:rsid w:val="00DE37F8"/>
    <w:rsid w:val="00DE3FF0"/>
    <w:rsid w:val="00DE4273"/>
    <w:rsid w:val="00DE4FCB"/>
    <w:rsid w:val="00DE5119"/>
    <w:rsid w:val="00DE5D07"/>
    <w:rsid w:val="00DE5D51"/>
    <w:rsid w:val="00DE6209"/>
    <w:rsid w:val="00DE6645"/>
    <w:rsid w:val="00DE66BB"/>
    <w:rsid w:val="00DE72A7"/>
    <w:rsid w:val="00DE7832"/>
    <w:rsid w:val="00DE7D4B"/>
    <w:rsid w:val="00DE7E72"/>
    <w:rsid w:val="00DE7F6F"/>
    <w:rsid w:val="00DF0226"/>
    <w:rsid w:val="00DF0464"/>
    <w:rsid w:val="00DF05AD"/>
    <w:rsid w:val="00DF0703"/>
    <w:rsid w:val="00DF109E"/>
    <w:rsid w:val="00DF1469"/>
    <w:rsid w:val="00DF18FC"/>
    <w:rsid w:val="00DF1C28"/>
    <w:rsid w:val="00DF2266"/>
    <w:rsid w:val="00DF378F"/>
    <w:rsid w:val="00DF382A"/>
    <w:rsid w:val="00DF38F1"/>
    <w:rsid w:val="00DF38F7"/>
    <w:rsid w:val="00DF3F68"/>
    <w:rsid w:val="00DF4F9A"/>
    <w:rsid w:val="00DF5137"/>
    <w:rsid w:val="00DF52A2"/>
    <w:rsid w:val="00DF5924"/>
    <w:rsid w:val="00DF5A03"/>
    <w:rsid w:val="00DF5B55"/>
    <w:rsid w:val="00DF5D2B"/>
    <w:rsid w:val="00DF6276"/>
    <w:rsid w:val="00DF6288"/>
    <w:rsid w:val="00DF6341"/>
    <w:rsid w:val="00DF6EDA"/>
    <w:rsid w:val="00DF72A3"/>
    <w:rsid w:val="00DF7568"/>
    <w:rsid w:val="00DF7C69"/>
    <w:rsid w:val="00E0092D"/>
    <w:rsid w:val="00E00A8C"/>
    <w:rsid w:val="00E00DFE"/>
    <w:rsid w:val="00E00E6C"/>
    <w:rsid w:val="00E00E8E"/>
    <w:rsid w:val="00E00EFB"/>
    <w:rsid w:val="00E0151A"/>
    <w:rsid w:val="00E01608"/>
    <w:rsid w:val="00E018C1"/>
    <w:rsid w:val="00E028E9"/>
    <w:rsid w:val="00E0358E"/>
    <w:rsid w:val="00E035EC"/>
    <w:rsid w:val="00E03E83"/>
    <w:rsid w:val="00E03F9B"/>
    <w:rsid w:val="00E04A35"/>
    <w:rsid w:val="00E0562B"/>
    <w:rsid w:val="00E05630"/>
    <w:rsid w:val="00E06450"/>
    <w:rsid w:val="00E06BC9"/>
    <w:rsid w:val="00E06D78"/>
    <w:rsid w:val="00E06DBB"/>
    <w:rsid w:val="00E10149"/>
    <w:rsid w:val="00E10A34"/>
    <w:rsid w:val="00E111BB"/>
    <w:rsid w:val="00E11257"/>
    <w:rsid w:val="00E11301"/>
    <w:rsid w:val="00E11340"/>
    <w:rsid w:val="00E11483"/>
    <w:rsid w:val="00E114A1"/>
    <w:rsid w:val="00E11A03"/>
    <w:rsid w:val="00E11B5A"/>
    <w:rsid w:val="00E11BCD"/>
    <w:rsid w:val="00E122A1"/>
    <w:rsid w:val="00E12C2E"/>
    <w:rsid w:val="00E12FD2"/>
    <w:rsid w:val="00E1360F"/>
    <w:rsid w:val="00E1380D"/>
    <w:rsid w:val="00E14522"/>
    <w:rsid w:val="00E14A57"/>
    <w:rsid w:val="00E15627"/>
    <w:rsid w:val="00E15D72"/>
    <w:rsid w:val="00E16372"/>
    <w:rsid w:val="00E163B2"/>
    <w:rsid w:val="00E16AD8"/>
    <w:rsid w:val="00E1702D"/>
    <w:rsid w:val="00E17FFA"/>
    <w:rsid w:val="00E20053"/>
    <w:rsid w:val="00E2044B"/>
    <w:rsid w:val="00E208AA"/>
    <w:rsid w:val="00E20C43"/>
    <w:rsid w:val="00E20E4D"/>
    <w:rsid w:val="00E20ED6"/>
    <w:rsid w:val="00E21358"/>
    <w:rsid w:val="00E21432"/>
    <w:rsid w:val="00E21804"/>
    <w:rsid w:val="00E21CA7"/>
    <w:rsid w:val="00E21EBD"/>
    <w:rsid w:val="00E2241D"/>
    <w:rsid w:val="00E2249B"/>
    <w:rsid w:val="00E2274A"/>
    <w:rsid w:val="00E22A0D"/>
    <w:rsid w:val="00E2317F"/>
    <w:rsid w:val="00E232D9"/>
    <w:rsid w:val="00E2344B"/>
    <w:rsid w:val="00E2390B"/>
    <w:rsid w:val="00E23C18"/>
    <w:rsid w:val="00E241C3"/>
    <w:rsid w:val="00E244F6"/>
    <w:rsid w:val="00E24A63"/>
    <w:rsid w:val="00E24CB7"/>
    <w:rsid w:val="00E258DB"/>
    <w:rsid w:val="00E258FD"/>
    <w:rsid w:val="00E2593C"/>
    <w:rsid w:val="00E25FAF"/>
    <w:rsid w:val="00E269A1"/>
    <w:rsid w:val="00E26CEE"/>
    <w:rsid w:val="00E271B1"/>
    <w:rsid w:val="00E27684"/>
    <w:rsid w:val="00E2771E"/>
    <w:rsid w:val="00E278E2"/>
    <w:rsid w:val="00E302B6"/>
    <w:rsid w:val="00E30300"/>
    <w:rsid w:val="00E3042E"/>
    <w:rsid w:val="00E30A32"/>
    <w:rsid w:val="00E30B95"/>
    <w:rsid w:val="00E30FFC"/>
    <w:rsid w:val="00E311EF"/>
    <w:rsid w:val="00E3132B"/>
    <w:rsid w:val="00E31448"/>
    <w:rsid w:val="00E32180"/>
    <w:rsid w:val="00E323E8"/>
    <w:rsid w:val="00E32FBE"/>
    <w:rsid w:val="00E339ED"/>
    <w:rsid w:val="00E342B3"/>
    <w:rsid w:val="00E34948"/>
    <w:rsid w:val="00E3536D"/>
    <w:rsid w:val="00E35541"/>
    <w:rsid w:val="00E358A6"/>
    <w:rsid w:val="00E35EBE"/>
    <w:rsid w:val="00E36800"/>
    <w:rsid w:val="00E36C12"/>
    <w:rsid w:val="00E37569"/>
    <w:rsid w:val="00E376BC"/>
    <w:rsid w:val="00E401B2"/>
    <w:rsid w:val="00E403A4"/>
    <w:rsid w:val="00E40464"/>
    <w:rsid w:val="00E404F0"/>
    <w:rsid w:val="00E40519"/>
    <w:rsid w:val="00E41675"/>
    <w:rsid w:val="00E41D51"/>
    <w:rsid w:val="00E41E30"/>
    <w:rsid w:val="00E42974"/>
    <w:rsid w:val="00E42D3C"/>
    <w:rsid w:val="00E42D93"/>
    <w:rsid w:val="00E42F73"/>
    <w:rsid w:val="00E42FC9"/>
    <w:rsid w:val="00E432CF"/>
    <w:rsid w:val="00E4346E"/>
    <w:rsid w:val="00E43669"/>
    <w:rsid w:val="00E436D1"/>
    <w:rsid w:val="00E43A55"/>
    <w:rsid w:val="00E43D70"/>
    <w:rsid w:val="00E44D4F"/>
    <w:rsid w:val="00E44F1F"/>
    <w:rsid w:val="00E459BD"/>
    <w:rsid w:val="00E4638C"/>
    <w:rsid w:val="00E466C5"/>
    <w:rsid w:val="00E466F3"/>
    <w:rsid w:val="00E46B5E"/>
    <w:rsid w:val="00E46DE5"/>
    <w:rsid w:val="00E47131"/>
    <w:rsid w:val="00E47B2C"/>
    <w:rsid w:val="00E47F52"/>
    <w:rsid w:val="00E500B5"/>
    <w:rsid w:val="00E50679"/>
    <w:rsid w:val="00E50683"/>
    <w:rsid w:val="00E511CF"/>
    <w:rsid w:val="00E51560"/>
    <w:rsid w:val="00E51821"/>
    <w:rsid w:val="00E52618"/>
    <w:rsid w:val="00E52767"/>
    <w:rsid w:val="00E528A5"/>
    <w:rsid w:val="00E52BAA"/>
    <w:rsid w:val="00E53359"/>
    <w:rsid w:val="00E53E24"/>
    <w:rsid w:val="00E53FC8"/>
    <w:rsid w:val="00E54347"/>
    <w:rsid w:val="00E543D7"/>
    <w:rsid w:val="00E5447C"/>
    <w:rsid w:val="00E545B7"/>
    <w:rsid w:val="00E548AA"/>
    <w:rsid w:val="00E54E92"/>
    <w:rsid w:val="00E55424"/>
    <w:rsid w:val="00E557CF"/>
    <w:rsid w:val="00E55915"/>
    <w:rsid w:val="00E55B6A"/>
    <w:rsid w:val="00E55BB5"/>
    <w:rsid w:val="00E55E91"/>
    <w:rsid w:val="00E56367"/>
    <w:rsid w:val="00E60033"/>
    <w:rsid w:val="00E60086"/>
    <w:rsid w:val="00E60DB7"/>
    <w:rsid w:val="00E611DF"/>
    <w:rsid w:val="00E61778"/>
    <w:rsid w:val="00E61950"/>
    <w:rsid w:val="00E61AA0"/>
    <w:rsid w:val="00E621E0"/>
    <w:rsid w:val="00E62F86"/>
    <w:rsid w:val="00E63435"/>
    <w:rsid w:val="00E639DA"/>
    <w:rsid w:val="00E63A1F"/>
    <w:rsid w:val="00E63A44"/>
    <w:rsid w:val="00E63A5C"/>
    <w:rsid w:val="00E63C9B"/>
    <w:rsid w:val="00E65727"/>
    <w:rsid w:val="00E65DD2"/>
    <w:rsid w:val="00E65E79"/>
    <w:rsid w:val="00E66203"/>
    <w:rsid w:val="00E66228"/>
    <w:rsid w:val="00E66704"/>
    <w:rsid w:val="00E66BA2"/>
    <w:rsid w:val="00E66F67"/>
    <w:rsid w:val="00E67416"/>
    <w:rsid w:val="00E67ACC"/>
    <w:rsid w:val="00E67B0A"/>
    <w:rsid w:val="00E67FF3"/>
    <w:rsid w:val="00E702FC"/>
    <w:rsid w:val="00E7062D"/>
    <w:rsid w:val="00E70EF3"/>
    <w:rsid w:val="00E70F54"/>
    <w:rsid w:val="00E715DE"/>
    <w:rsid w:val="00E718B6"/>
    <w:rsid w:val="00E71C32"/>
    <w:rsid w:val="00E723BA"/>
    <w:rsid w:val="00E72414"/>
    <w:rsid w:val="00E726C3"/>
    <w:rsid w:val="00E72790"/>
    <w:rsid w:val="00E7297D"/>
    <w:rsid w:val="00E72BE1"/>
    <w:rsid w:val="00E72CA6"/>
    <w:rsid w:val="00E7311A"/>
    <w:rsid w:val="00E73327"/>
    <w:rsid w:val="00E73581"/>
    <w:rsid w:val="00E73E68"/>
    <w:rsid w:val="00E74573"/>
    <w:rsid w:val="00E748B3"/>
    <w:rsid w:val="00E749E7"/>
    <w:rsid w:val="00E74A70"/>
    <w:rsid w:val="00E74A89"/>
    <w:rsid w:val="00E74CC1"/>
    <w:rsid w:val="00E75234"/>
    <w:rsid w:val="00E764D3"/>
    <w:rsid w:val="00E76A6F"/>
    <w:rsid w:val="00E76B7B"/>
    <w:rsid w:val="00E76FEA"/>
    <w:rsid w:val="00E773D0"/>
    <w:rsid w:val="00E77593"/>
    <w:rsid w:val="00E77B8A"/>
    <w:rsid w:val="00E80302"/>
    <w:rsid w:val="00E80423"/>
    <w:rsid w:val="00E80B0A"/>
    <w:rsid w:val="00E80B66"/>
    <w:rsid w:val="00E81690"/>
    <w:rsid w:val="00E82780"/>
    <w:rsid w:val="00E82D3F"/>
    <w:rsid w:val="00E833F7"/>
    <w:rsid w:val="00E83533"/>
    <w:rsid w:val="00E83659"/>
    <w:rsid w:val="00E83795"/>
    <w:rsid w:val="00E8386C"/>
    <w:rsid w:val="00E83B4A"/>
    <w:rsid w:val="00E83BDF"/>
    <w:rsid w:val="00E84720"/>
    <w:rsid w:val="00E84879"/>
    <w:rsid w:val="00E84B53"/>
    <w:rsid w:val="00E858DA"/>
    <w:rsid w:val="00E859AF"/>
    <w:rsid w:val="00E86AA4"/>
    <w:rsid w:val="00E86B19"/>
    <w:rsid w:val="00E86FCC"/>
    <w:rsid w:val="00E86FE1"/>
    <w:rsid w:val="00E86FF4"/>
    <w:rsid w:val="00E87A1D"/>
    <w:rsid w:val="00E87C2F"/>
    <w:rsid w:val="00E87D26"/>
    <w:rsid w:val="00E87D74"/>
    <w:rsid w:val="00E87F25"/>
    <w:rsid w:val="00E90828"/>
    <w:rsid w:val="00E9094A"/>
    <w:rsid w:val="00E90D75"/>
    <w:rsid w:val="00E9161C"/>
    <w:rsid w:val="00E91D35"/>
    <w:rsid w:val="00E9225E"/>
    <w:rsid w:val="00E923B8"/>
    <w:rsid w:val="00E926A5"/>
    <w:rsid w:val="00E92A54"/>
    <w:rsid w:val="00E93322"/>
    <w:rsid w:val="00E9389A"/>
    <w:rsid w:val="00E93A45"/>
    <w:rsid w:val="00E94372"/>
    <w:rsid w:val="00E94B9B"/>
    <w:rsid w:val="00E9530F"/>
    <w:rsid w:val="00E95548"/>
    <w:rsid w:val="00E95750"/>
    <w:rsid w:val="00E959D2"/>
    <w:rsid w:val="00E962CC"/>
    <w:rsid w:val="00E963A6"/>
    <w:rsid w:val="00E974B5"/>
    <w:rsid w:val="00E97B39"/>
    <w:rsid w:val="00EA0DA7"/>
    <w:rsid w:val="00EA1553"/>
    <w:rsid w:val="00EA1639"/>
    <w:rsid w:val="00EA17C3"/>
    <w:rsid w:val="00EA2ADE"/>
    <w:rsid w:val="00EA2B13"/>
    <w:rsid w:val="00EA2CAA"/>
    <w:rsid w:val="00EA30D4"/>
    <w:rsid w:val="00EA3864"/>
    <w:rsid w:val="00EA389A"/>
    <w:rsid w:val="00EA4941"/>
    <w:rsid w:val="00EA4F20"/>
    <w:rsid w:val="00EA5912"/>
    <w:rsid w:val="00EA595F"/>
    <w:rsid w:val="00EA5CEA"/>
    <w:rsid w:val="00EA62FF"/>
    <w:rsid w:val="00EA671F"/>
    <w:rsid w:val="00EA696A"/>
    <w:rsid w:val="00EA6C66"/>
    <w:rsid w:val="00EA7233"/>
    <w:rsid w:val="00EA73C1"/>
    <w:rsid w:val="00EA795A"/>
    <w:rsid w:val="00EA7F1C"/>
    <w:rsid w:val="00EB0E49"/>
    <w:rsid w:val="00EB11E0"/>
    <w:rsid w:val="00EB147A"/>
    <w:rsid w:val="00EB15B6"/>
    <w:rsid w:val="00EB17F4"/>
    <w:rsid w:val="00EB1A79"/>
    <w:rsid w:val="00EB1F4D"/>
    <w:rsid w:val="00EB3D06"/>
    <w:rsid w:val="00EB4576"/>
    <w:rsid w:val="00EB463D"/>
    <w:rsid w:val="00EB4765"/>
    <w:rsid w:val="00EB4916"/>
    <w:rsid w:val="00EB4B00"/>
    <w:rsid w:val="00EB4D1D"/>
    <w:rsid w:val="00EB5A2F"/>
    <w:rsid w:val="00EB5AB9"/>
    <w:rsid w:val="00EB5EEC"/>
    <w:rsid w:val="00EB6464"/>
    <w:rsid w:val="00EB6C96"/>
    <w:rsid w:val="00EC00C9"/>
    <w:rsid w:val="00EC0226"/>
    <w:rsid w:val="00EC0DD9"/>
    <w:rsid w:val="00EC0E2E"/>
    <w:rsid w:val="00EC150A"/>
    <w:rsid w:val="00EC19F8"/>
    <w:rsid w:val="00EC1E27"/>
    <w:rsid w:val="00EC200C"/>
    <w:rsid w:val="00EC2274"/>
    <w:rsid w:val="00EC2649"/>
    <w:rsid w:val="00EC2F40"/>
    <w:rsid w:val="00EC3040"/>
    <w:rsid w:val="00EC31ED"/>
    <w:rsid w:val="00EC34C5"/>
    <w:rsid w:val="00EC37B6"/>
    <w:rsid w:val="00EC3C9E"/>
    <w:rsid w:val="00EC42E8"/>
    <w:rsid w:val="00EC45FF"/>
    <w:rsid w:val="00EC481E"/>
    <w:rsid w:val="00EC4AC1"/>
    <w:rsid w:val="00EC5169"/>
    <w:rsid w:val="00EC56E6"/>
    <w:rsid w:val="00EC5836"/>
    <w:rsid w:val="00EC5BEB"/>
    <w:rsid w:val="00EC6585"/>
    <w:rsid w:val="00EC66C6"/>
    <w:rsid w:val="00EC688C"/>
    <w:rsid w:val="00EC68B4"/>
    <w:rsid w:val="00EC7209"/>
    <w:rsid w:val="00EC79BF"/>
    <w:rsid w:val="00EC7FEF"/>
    <w:rsid w:val="00ED0835"/>
    <w:rsid w:val="00ED0BAC"/>
    <w:rsid w:val="00ED12E3"/>
    <w:rsid w:val="00ED1CB4"/>
    <w:rsid w:val="00ED2F93"/>
    <w:rsid w:val="00ED36D1"/>
    <w:rsid w:val="00ED3976"/>
    <w:rsid w:val="00ED3A8A"/>
    <w:rsid w:val="00ED3EEB"/>
    <w:rsid w:val="00ED4B04"/>
    <w:rsid w:val="00ED5473"/>
    <w:rsid w:val="00ED57EA"/>
    <w:rsid w:val="00ED5BD4"/>
    <w:rsid w:val="00ED5E91"/>
    <w:rsid w:val="00ED5F37"/>
    <w:rsid w:val="00ED6252"/>
    <w:rsid w:val="00ED6548"/>
    <w:rsid w:val="00ED659A"/>
    <w:rsid w:val="00ED6786"/>
    <w:rsid w:val="00ED69BB"/>
    <w:rsid w:val="00ED69F9"/>
    <w:rsid w:val="00ED6BD4"/>
    <w:rsid w:val="00ED7152"/>
    <w:rsid w:val="00ED71BA"/>
    <w:rsid w:val="00ED71FF"/>
    <w:rsid w:val="00ED769D"/>
    <w:rsid w:val="00ED7EC7"/>
    <w:rsid w:val="00EE0429"/>
    <w:rsid w:val="00EE0766"/>
    <w:rsid w:val="00EE07D3"/>
    <w:rsid w:val="00EE08DA"/>
    <w:rsid w:val="00EE130D"/>
    <w:rsid w:val="00EE1996"/>
    <w:rsid w:val="00EE1C01"/>
    <w:rsid w:val="00EE1DB9"/>
    <w:rsid w:val="00EE22AF"/>
    <w:rsid w:val="00EE26AC"/>
    <w:rsid w:val="00EE279A"/>
    <w:rsid w:val="00EE28A7"/>
    <w:rsid w:val="00EE3520"/>
    <w:rsid w:val="00EE3FA9"/>
    <w:rsid w:val="00EE45BC"/>
    <w:rsid w:val="00EE4803"/>
    <w:rsid w:val="00EE518E"/>
    <w:rsid w:val="00EE51E3"/>
    <w:rsid w:val="00EE527C"/>
    <w:rsid w:val="00EE5440"/>
    <w:rsid w:val="00EE5DBC"/>
    <w:rsid w:val="00EE600D"/>
    <w:rsid w:val="00EE6781"/>
    <w:rsid w:val="00EE75EE"/>
    <w:rsid w:val="00EE75F2"/>
    <w:rsid w:val="00EE7F8C"/>
    <w:rsid w:val="00EF0171"/>
    <w:rsid w:val="00EF041B"/>
    <w:rsid w:val="00EF065D"/>
    <w:rsid w:val="00EF0AB8"/>
    <w:rsid w:val="00EF0E66"/>
    <w:rsid w:val="00EF1493"/>
    <w:rsid w:val="00EF1831"/>
    <w:rsid w:val="00EF1B25"/>
    <w:rsid w:val="00EF1DA0"/>
    <w:rsid w:val="00EF2591"/>
    <w:rsid w:val="00EF27A2"/>
    <w:rsid w:val="00EF2930"/>
    <w:rsid w:val="00EF2CF3"/>
    <w:rsid w:val="00EF31DF"/>
    <w:rsid w:val="00EF347A"/>
    <w:rsid w:val="00EF363C"/>
    <w:rsid w:val="00EF37DA"/>
    <w:rsid w:val="00EF465E"/>
    <w:rsid w:val="00EF4747"/>
    <w:rsid w:val="00EF476B"/>
    <w:rsid w:val="00EF4BF8"/>
    <w:rsid w:val="00EF5193"/>
    <w:rsid w:val="00EF5C8C"/>
    <w:rsid w:val="00EF6828"/>
    <w:rsid w:val="00EF6B40"/>
    <w:rsid w:val="00EF73A6"/>
    <w:rsid w:val="00EF7726"/>
    <w:rsid w:val="00EF78F4"/>
    <w:rsid w:val="00F00A4F"/>
    <w:rsid w:val="00F00D72"/>
    <w:rsid w:val="00F00DBE"/>
    <w:rsid w:val="00F00EB8"/>
    <w:rsid w:val="00F01487"/>
    <w:rsid w:val="00F0180C"/>
    <w:rsid w:val="00F01AE7"/>
    <w:rsid w:val="00F01ED9"/>
    <w:rsid w:val="00F02086"/>
    <w:rsid w:val="00F02253"/>
    <w:rsid w:val="00F023D0"/>
    <w:rsid w:val="00F02693"/>
    <w:rsid w:val="00F03169"/>
    <w:rsid w:val="00F0346C"/>
    <w:rsid w:val="00F03552"/>
    <w:rsid w:val="00F03C2E"/>
    <w:rsid w:val="00F03D06"/>
    <w:rsid w:val="00F0403C"/>
    <w:rsid w:val="00F04A66"/>
    <w:rsid w:val="00F04B4B"/>
    <w:rsid w:val="00F04C39"/>
    <w:rsid w:val="00F0516C"/>
    <w:rsid w:val="00F0595A"/>
    <w:rsid w:val="00F062F6"/>
    <w:rsid w:val="00F063C7"/>
    <w:rsid w:val="00F065D5"/>
    <w:rsid w:val="00F067A2"/>
    <w:rsid w:val="00F06A05"/>
    <w:rsid w:val="00F06C3A"/>
    <w:rsid w:val="00F06CE3"/>
    <w:rsid w:val="00F06EC6"/>
    <w:rsid w:val="00F07139"/>
    <w:rsid w:val="00F0719B"/>
    <w:rsid w:val="00F075A7"/>
    <w:rsid w:val="00F07AF8"/>
    <w:rsid w:val="00F07B9E"/>
    <w:rsid w:val="00F07CEB"/>
    <w:rsid w:val="00F10EDE"/>
    <w:rsid w:val="00F1116F"/>
    <w:rsid w:val="00F1263A"/>
    <w:rsid w:val="00F127A2"/>
    <w:rsid w:val="00F127AC"/>
    <w:rsid w:val="00F12BAD"/>
    <w:rsid w:val="00F12D1C"/>
    <w:rsid w:val="00F139C5"/>
    <w:rsid w:val="00F13AD7"/>
    <w:rsid w:val="00F13B8A"/>
    <w:rsid w:val="00F13EE7"/>
    <w:rsid w:val="00F1408F"/>
    <w:rsid w:val="00F1459C"/>
    <w:rsid w:val="00F153F6"/>
    <w:rsid w:val="00F157EB"/>
    <w:rsid w:val="00F15B77"/>
    <w:rsid w:val="00F15BC0"/>
    <w:rsid w:val="00F163FD"/>
    <w:rsid w:val="00F16631"/>
    <w:rsid w:val="00F16789"/>
    <w:rsid w:val="00F167C9"/>
    <w:rsid w:val="00F167D7"/>
    <w:rsid w:val="00F16E5D"/>
    <w:rsid w:val="00F1712B"/>
    <w:rsid w:val="00F172D9"/>
    <w:rsid w:val="00F17F09"/>
    <w:rsid w:val="00F20BEA"/>
    <w:rsid w:val="00F210A4"/>
    <w:rsid w:val="00F211DF"/>
    <w:rsid w:val="00F21236"/>
    <w:rsid w:val="00F2163C"/>
    <w:rsid w:val="00F21696"/>
    <w:rsid w:val="00F218D9"/>
    <w:rsid w:val="00F21A2F"/>
    <w:rsid w:val="00F21DB9"/>
    <w:rsid w:val="00F225F4"/>
    <w:rsid w:val="00F22A7A"/>
    <w:rsid w:val="00F239DF"/>
    <w:rsid w:val="00F23CD0"/>
    <w:rsid w:val="00F23ECD"/>
    <w:rsid w:val="00F24110"/>
    <w:rsid w:val="00F24468"/>
    <w:rsid w:val="00F24837"/>
    <w:rsid w:val="00F248FE"/>
    <w:rsid w:val="00F2575F"/>
    <w:rsid w:val="00F25A3B"/>
    <w:rsid w:val="00F25E94"/>
    <w:rsid w:val="00F2620E"/>
    <w:rsid w:val="00F2625B"/>
    <w:rsid w:val="00F26A85"/>
    <w:rsid w:val="00F27565"/>
    <w:rsid w:val="00F27D36"/>
    <w:rsid w:val="00F30601"/>
    <w:rsid w:val="00F307C9"/>
    <w:rsid w:val="00F30844"/>
    <w:rsid w:val="00F30AA6"/>
    <w:rsid w:val="00F30C8E"/>
    <w:rsid w:val="00F31019"/>
    <w:rsid w:val="00F310D4"/>
    <w:rsid w:val="00F314F3"/>
    <w:rsid w:val="00F31832"/>
    <w:rsid w:val="00F31CFB"/>
    <w:rsid w:val="00F31D5A"/>
    <w:rsid w:val="00F324BD"/>
    <w:rsid w:val="00F3250B"/>
    <w:rsid w:val="00F3300E"/>
    <w:rsid w:val="00F332EB"/>
    <w:rsid w:val="00F33453"/>
    <w:rsid w:val="00F338D7"/>
    <w:rsid w:val="00F33975"/>
    <w:rsid w:val="00F33AF6"/>
    <w:rsid w:val="00F33C2E"/>
    <w:rsid w:val="00F33D79"/>
    <w:rsid w:val="00F33DE9"/>
    <w:rsid w:val="00F342CE"/>
    <w:rsid w:val="00F34598"/>
    <w:rsid w:val="00F359A2"/>
    <w:rsid w:val="00F35E6D"/>
    <w:rsid w:val="00F360A0"/>
    <w:rsid w:val="00F3619A"/>
    <w:rsid w:val="00F36273"/>
    <w:rsid w:val="00F36376"/>
    <w:rsid w:val="00F363DC"/>
    <w:rsid w:val="00F3662D"/>
    <w:rsid w:val="00F369A6"/>
    <w:rsid w:val="00F374F6"/>
    <w:rsid w:val="00F3768A"/>
    <w:rsid w:val="00F37739"/>
    <w:rsid w:val="00F37901"/>
    <w:rsid w:val="00F37C5B"/>
    <w:rsid w:val="00F4011C"/>
    <w:rsid w:val="00F4021D"/>
    <w:rsid w:val="00F40AAA"/>
    <w:rsid w:val="00F40BA7"/>
    <w:rsid w:val="00F40F9D"/>
    <w:rsid w:val="00F41ACD"/>
    <w:rsid w:val="00F41B15"/>
    <w:rsid w:val="00F4218E"/>
    <w:rsid w:val="00F4244B"/>
    <w:rsid w:val="00F42D68"/>
    <w:rsid w:val="00F432E8"/>
    <w:rsid w:val="00F44558"/>
    <w:rsid w:val="00F44F0F"/>
    <w:rsid w:val="00F46149"/>
    <w:rsid w:val="00F462CF"/>
    <w:rsid w:val="00F46530"/>
    <w:rsid w:val="00F468F3"/>
    <w:rsid w:val="00F46A92"/>
    <w:rsid w:val="00F46CB6"/>
    <w:rsid w:val="00F47235"/>
    <w:rsid w:val="00F4756D"/>
    <w:rsid w:val="00F479CF"/>
    <w:rsid w:val="00F47DE8"/>
    <w:rsid w:val="00F47E50"/>
    <w:rsid w:val="00F50615"/>
    <w:rsid w:val="00F50C89"/>
    <w:rsid w:val="00F51A9A"/>
    <w:rsid w:val="00F51CE8"/>
    <w:rsid w:val="00F5203F"/>
    <w:rsid w:val="00F52BA2"/>
    <w:rsid w:val="00F52C3A"/>
    <w:rsid w:val="00F5363B"/>
    <w:rsid w:val="00F53856"/>
    <w:rsid w:val="00F539A3"/>
    <w:rsid w:val="00F53F67"/>
    <w:rsid w:val="00F542C1"/>
    <w:rsid w:val="00F54949"/>
    <w:rsid w:val="00F549CA"/>
    <w:rsid w:val="00F54D74"/>
    <w:rsid w:val="00F550E3"/>
    <w:rsid w:val="00F55260"/>
    <w:rsid w:val="00F55E73"/>
    <w:rsid w:val="00F55EDA"/>
    <w:rsid w:val="00F560E6"/>
    <w:rsid w:val="00F56336"/>
    <w:rsid w:val="00F56C80"/>
    <w:rsid w:val="00F577B4"/>
    <w:rsid w:val="00F57882"/>
    <w:rsid w:val="00F57BEE"/>
    <w:rsid w:val="00F57FDB"/>
    <w:rsid w:val="00F60092"/>
    <w:rsid w:val="00F61200"/>
    <w:rsid w:val="00F614BD"/>
    <w:rsid w:val="00F61C18"/>
    <w:rsid w:val="00F622F8"/>
    <w:rsid w:val="00F62B63"/>
    <w:rsid w:val="00F6348C"/>
    <w:rsid w:val="00F63846"/>
    <w:rsid w:val="00F6397D"/>
    <w:rsid w:val="00F63B43"/>
    <w:rsid w:val="00F642B5"/>
    <w:rsid w:val="00F64506"/>
    <w:rsid w:val="00F64552"/>
    <w:rsid w:val="00F64574"/>
    <w:rsid w:val="00F64CCC"/>
    <w:rsid w:val="00F64DC1"/>
    <w:rsid w:val="00F64DED"/>
    <w:rsid w:val="00F65110"/>
    <w:rsid w:val="00F65F4B"/>
    <w:rsid w:val="00F65FAC"/>
    <w:rsid w:val="00F6608A"/>
    <w:rsid w:val="00F66444"/>
    <w:rsid w:val="00F666D2"/>
    <w:rsid w:val="00F670D5"/>
    <w:rsid w:val="00F67282"/>
    <w:rsid w:val="00F676B2"/>
    <w:rsid w:val="00F676BF"/>
    <w:rsid w:val="00F67A69"/>
    <w:rsid w:val="00F67EDA"/>
    <w:rsid w:val="00F70A66"/>
    <w:rsid w:val="00F70BFF"/>
    <w:rsid w:val="00F70C9D"/>
    <w:rsid w:val="00F70D02"/>
    <w:rsid w:val="00F71050"/>
    <w:rsid w:val="00F7193F"/>
    <w:rsid w:val="00F719C2"/>
    <w:rsid w:val="00F71D21"/>
    <w:rsid w:val="00F7316F"/>
    <w:rsid w:val="00F73191"/>
    <w:rsid w:val="00F73884"/>
    <w:rsid w:val="00F7392C"/>
    <w:rsid w:val="00F73E08"/>
    <w:rsid w:val="00F73F25"/>
    <w:rsid w:val="00F73F6D"/>
    <w:rsid w:val="00F7457A"/>
    <w:rsid w:val="00F7486B"/>
    <w:rsid w:val="00F74AE2"/>
    <w:rsid w:val="00F74CD9"/>
    <w:rsid w:val="00F75BE0"/>
    <w:rsid w:val="00F75C0E"/>
    <w:rsid w:val="00F75D57"/>
    <w:rsid w:val="00F75E61"/>
    <w:rsid w:val="00F76236"/>
    <w:rsid w:val="00F76A51"/>
    <w:rsid w:val="00F77E45"/>
    <w:rsid w:val="00F80370"/>
    <w:rsid w:val="00F80A7B"/>
    <w:rsid w:val="00F80C14"/>
    <w:rsid w:val="00F80E39"/>
    <w:rsid w:val="00F80E5D"/>
    <w:rsid w:val="00F8103E"/>
    <w:rsid w:val="00F8197B"/>
    <w:rsid w:val="00F81C2E"/>
    <w:rsid w:val="00F81E78"/>
    <w:rsid w:val="00F82C82"/>
    <w:rsid w:val="00F83270"/>
    <w:rsid w:val="00F83299"/>
    <w:rsid w:val="00F8331E"/>
    <w:rsid w:val="00F83665"/>
    <w:rsid w:val="00F83916"/>
    <w:rsid w:val="00F83DD7"/>
    <w:rsid w:val="00F83FB2"/>
    <w:rsid w:val="00F84035"/>
    <w:rsid w:val="00F84D79"/>
    <w:rsid w:val="00F851CE"/>
    <w:rsid w:val="00F85460"/>
    <w:rsid w:val="00F85885"/>
    <w:rsid w:val="00F858C1"/>
    <w:rsid w:val="00F8624B"/>
    <w:rsid w:val="00F86497"/>
    <w:rsid w:val="00F86589"/>
    <w:rsid w:val="00F86D33"/>
    <w:rsid w:val="00F875B7"/>
    <w:rsid w:val="00F879BC"/>
    <w:rsid w:val="00F90274"/>
    <w:rsid w:val="00F905FB"/>
    <w:rsid w:val="00F91219"/>
    <w:rsid w:val="00F91CDF"/>
    <w:rsid w:val="00F91CFD"/>
    <w:rsid w:val="00F91E70"/>
    <w:rsid w:val="00F92444"/>
    <w:rsid w:val="00F924E5"/>
    <w:rsid w:val="00F932CD"/>
    <w:rsid w:val="00F93335"/>
    <w:rsid w:val="00F93397"/>
    <w:rsid w:val="00F9361E"/>
    <w:rsid w:val="00F9393E"/>
    <w:rsid w:val="00F93AA9"/>
    <w:rsid w:val="00F947C8"/>
    <w:rsid w:val="00F94A28"/>
    <w:rsid w:val="00F94C99"/>
    <w:rsid w:val="00F94CC1"/>
    <w:rsid w:val="00F950C4"/>
    <w:rsid w:val="00F957B4"/>
    <w:rsid w:val="00F95875"/>
    <w:rsid w:val="00F95919"/>
    <w:rsid w:val="00F95944"/>
    <w:rsid w:val="00F95AB3"/>
    <w:rsid w:val="00F95DF3"/>
    <w:rsid w:val="00F95F6C"/>
    <w:rsid w:val="00F96A2E"/>
    <w:rsid w:val="00F96FD0"/>
    <w:rsid w:val="00F9737B"/>
    <w:rsid w:val="00F9741C"/>
    <w:rsid w:val="00F97A78"/>
    <w:rsid w:val="00F97DF3"/>
    <w:rsid w:val="00FA0B20"/>
    <w:rsid w:val="00FA11BA"/>
    <w:rsid w:val="00FA148B"/>
    <w:rsid w:val="00FA1CC7"/>
    <w:rsid w:val="00FA1DC7"/>
    <w:rsid w:val="00FA245B"/>
    <w:rsid w:val="00FA24E7"/>
    <w:rsid w:val="00FA2E90"/>
    <w:rsid w:val="00FA3836"/>
    <w:rsid w:val="00FA3978"/>
    <w:rsid w:val="00FA3BFD"/>
    <w:rsid w:val="00FA45C8"/>
    <w:rsid w:val="00FA565B"/>
    <w:rsid w:val="00FA5BA2"/>
    <w:rsid w:val="00FA5DAE"/>
    <w:rsid w:val="00FA5EE6"/>
    <w:rsid w:val="00FA6260"/>
    <w:rsid w:val="00FA6DC2"/>
    <w:rsid w:val="00FA7956"/>
    <w:rsid w:val="00FA7F23"/>
    <w:rsid w:val="00FB0824"/>
    <w:rsid w:val="00FB0BD1"/>
    <w:rsid w:val="00FB1A74"/>
    <w:rsid w:val="00FB2A79"/>
    <w:rsid w:val="00FB2FCB"/>
    <w:rsid w:val="00FB304A"/>
    <w:rsid w:val="00FB4C9C"/>
    <w:rsid w:val="00FB4D24"/>
    <w:rsid w:val="00FB4F5D"/>
    <w:rsid w:val="00FB59BC"/>
    <w:rsid w:val="00FB6480"/>
    <w:rsid w:val="00FB6540"/>
    <w:rsid w:val="00FB65EC"/>
    <w:rsid w:val="00FB69B1"/>
    <w:rsid w:val="00FB6B6B"/>
    <w:rsid w:val="00FB6C29"/>
    <w:rsid w:val="00FB7C55"/>
    <w:rsid w:val="00FC1074"/>
    <w:rsid w:val="00FC1884"/>
    <w:rsid w:val="00FC221E"/>
    <w:rsid w:val="00FC2790"/>
    <w:rsid w:val="00FC2988"/>
    <w:rsid w:val="00FC2CF2"/>
    <w:rsid w:val="00FC371D"/>
    <w:rsid w:val="00FC3AFD"/>
    <w:rsid w:val="00FC3C0A"/>
    <w:rsid w:val="00FC4970"/>
    <w:rsid w:val="00FC4B57"/>
    <w:rsid w:val="00FC5665"/>
    <w:rsid w:val="00FC5F0B"/>
    <w:rsid w:val="00FC6B77"/>
    <w:rsid w:val="00FC6FC0"/>
    <w:rsid w:val="00FC78BB"/>
    <w:rsid w:val="00FC7C1E"/>
    <w:rsid w:val="00FD07EC"/>
    <w:rsid w:val="00FD0990"/>
    <w:rsid w:val="00FD0C5B"/>
    <w:rsid w:val="00FD0CE3"/>
    <w:rsid w:val="00FD0DA7"/>
    <w:rsid w:val="00FD0E7C"/>
    <w:rsid w:val="00FD162F"/>
    <w:rsid w:val="00FD1EC3"/>
    <w:rsid w:val="00FD2100"/>
    <w:rsid w:val="00FD2796"/>
    <w:rsid w:val="00FD382E"/>
    <w:rsid w:val="00FD4020"/>
    <w:rsid w:val="00FD436C"/>
    <w:rsid w:val="00FD446D"/>
    <w:rsid w:val="00FD4649"/>
    <w:rsid w:val="00FD498E"/>
    <w:rsid w:val="00FD4ABB"/>
    <w:rsid w:val="00FD4ED6"/>
    <w:rsid w:val="00FD4F2C"/>
    <w:rsid w:val="00FD51AF"/>
    <w:rsid w:val="00FD6394"/>
    <w:rsid w:val="00FD690D"/>
    <w:rsid w:val="00FD7DF8"/>
    <w:rsid w:val="00FE036F"/>
    <w:rsid w:val="00FE03CE"/>
    <w:rsid w:val="00FE0B39"/>
    <w:rsid w:val="00FE0E6C"/>
    <w:rsid w:val="00FE0EB4"/>
    <w:rsid w:val="00FE110C"/>
    <w:rsid w:val="00FE1CDC"/>
    <w:rsid w:val="00FE2AC3"/>
    <w:rsid w:val="00FE2E06"/>
    <w:rsid w:val="00FE31C1"/>
    <w:rsid w:val="00FE36F4"/>
    <w:rsid w:val="00FE3D99"/>
    <w:rsid w:val="00FE5542"/>
    <w:rsid w:val="00FE5C40"/>
    <w:rsid w:val="00FE64A6"/>
    <w:rsid w:val="00FE6689"/>
    <w:rsid w:val="00FE6980"/>
    <w:rsid w:val="00FE6B2F"/>
    <w:rsid w:val="00FE6EA7"/>
    <w:rsid w:val="00FE70C3"/>
    <w:rsid w:val="00FE7442"/>
    <w:rsid w:val="00FE7781"/>
    <w:rsid w:val="00FE79C5"/>
    <w:rsid w:val="00FF0CE9"/>
    <w:rsid w:val="00FF1A8B"/>
    <w:rsid w:val="00FF2396"/>
    <w:rsid w:val="00FF280A"/>
    <w:rsid w:val="00FF2AD9"/>
    <w:rsid w:val="00FF353D"/>
    <w:rsid w:val="00FF359F"/>
    <w:rsid w:val="00FF3AB8"/>
    <w:rsid w:val="00FF3DCF"/>
    <w:rsid w:val="00FF3EFC"/>
    <w:rsid w:val="00FF43C5"/>
    <w:rsid w:val="00FF492C"/>
    <w:rsid w:val="00FF4A21"/>
    <w:rsid w:val="00FF54F4"/>
    <w:rsid w:val="00FF55A0"/>
    <w:rsid w:val="00FF595A"/>
    <w:rsid w:val="00FF5AA3"/>
    <w:rsid w:val="00FF5AD8"/>
    <w:rsid w:val="00FF5BE9"/>
    <w:rsid w:val="00FF5E60"/>
    <w:rsid w:val="00FF6A16"/>
    <w:rsid w:val="00FF708A"/>
    <w:rsid w:val="00FF71A5"/>
    <w:rsid w:val="00FF74C0"/>
    <w:rsid w:val="00FF7A76"/>
    <w:rsid w:val="00FF7BAB"/>
    <w:rsid w:val="00FF7D73"/>
    <w:rsid w:val="06A302E2"/>
    <w:rsid w:val="0DE021D7"/>
    <w:rsid w:val="141E45AE"/>
    <w:rsid w:val="1797D1E5"/>
    <w:rsid w:val="17DFB9D1"/>
    <w:rsid w:val="19DF3C37"/>
    <w:rsid w:val="1CA63FB0"/>
    <w:rsid w:val="1DA0A7A8"/>
    <w:rsid w:val="202FB1CF"/>
    <w:rsid w:val="233E7004"/>
    <w:rsid w:val="27055526"/>
    <w:rsid w:val="290C90AB"/>
    <w:rsid w:val="2BEF19E9"/>
    <w:rsid w:val="3601ABF7"/>
    <w:rsid w:val="39B90496"/>
    <w:rsid w:val="3B4BD443"/>
    <w:rsid w:val="3B8814E0"/>
    <w:rsid w:val="3B9C8606"/>
    <w:rsid w:val="3BC75E58"/>
    <w:rsid w:val="3BCA90FD"/>
    <w:rsid w:val="3DA19629"/>
    <w:rsid w:val="3EE50873"/>
    <w:rsid w:val="4424FBF6"/>
    <w:rsid w:val="474491D2"/>
    <w:rsid w:val="4B71436A"/>
    <w:rsid w:val="4CC3DEA8"/>
    <w:rsid w:val="4FEE7AFE"/>
    <w:rsid w:val="511E50C6"/>
    <w:rsid w:val="52D99D93"/>
    <w:rsid w:val="54886687"/>
    <w:rsid w:val="55A69B0D"/>
    <w:rsid w:val="6223B63F"/>
    <w:rsid w:val="6283160D"/>
    <w:rsid w:val="6B894D21"/>
    <w:rsid w:val="724F0F60"/>
    <w:rsid w:val="784BF353"/>
    <w:rsid w:val="7B6CBC1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47DB"/>
    <w:pPr>
      <w:jc w:val="both"/>
    </w:pPr>
    <w:rPr>
      <w:rFonts w:ascii="Calibri" w:hAnsi="Calibri" w:cs="Arial"/>
      <w:sz w:val="24"/>
      <w:szCs w:val="24"/>
    </w:rPr>
  </w:style>
  <w:style w:type="paragraph" w:styleId="Heading1">
    <w:name w:val="heading 1"/>
    <w:basedOn w:val="Normal"/>
    <w:next w:val="Normal"/>
    <w:link w:val="Heading1Char"/>
    <w:uiPriority w:val="1"/>
    <w:rsid w:val="001B204E"/>
    <w:pPr>
      <w:ind w:left="720" w:hanging="720"/>
      <w:outlineLvl w:val="0"/>
    </w:pPr>
    <w:rPr>
      <w:b/>
      <w:caps/>
      <w:sz w:val="32"/>
    </w:rPr>
  </w:style>
  <w:style w:type="paragraph" w:styleId="Heading2">
    <w:name w:val="heading 2"/>
    <w:next w:val="Normal"/>
    <w:link w:val="Heading2Char"/>
    <w:rsid w:val="00D410E4"/>
    <w:pPr>
      <w:outlineLvl w:val="1"/>
    </w:pPr>
    <w:rPr>
      <w:rFonts w:ascii="Calibri" w:hAnsi="Calibri" w:cs="Arial"/>
      <w:b/>
      <w:i/>
      <w:sz w:val="28"/>
      <w:szCs w:val="24"/>
    </w:rPr>
  </w:style>
  <w:style w:type="paragraph" w:styleId="Heading3">
    <w:name w:val="heading 3"/>
    <w:basedOn w:val="Normal"/>
    <w:next w:val="Normal"/>
    <w:link w:val="Heading3Char"/>
    <w:rsid w:val="001F7361"/>
    <w:pPr>
      <w:outlineLvl w:val="2"/>
    </w:pPr>
    <w:rPr>
      <w:u w:val="single"/>
    </w:rPr>
  </w:style>
  <w:style w:type="paragraph" w:styleId="Heading4">
    <w:name w:val="heading 4"/>
    <w:basedOn w:val="Normal"/>
    <w:next w:val="Normal"/>
    <w:link w:val="Heading4Char"/>
    <w:rsid w:val="00124A51"/>
    <w:pPr>
      <w:keepNext/>
      <w:spacing w:before="240" w:after="60"/>
      <w:outlineLvl w:val="3"/>
    </w:pPr>
    <w:rPr>
      <w:b/>
      <w:bCs/>
      <w:i/>
      <w:sz w:val="26"/>
      <w:szCs w:val="28"/>
    </w:rPr>
  </w:style>
  <w:style w:type="paragraph" w:styleId="Heading5">
    <w:name w:val="heading 5"/>
    <w:basedOn w:val="Normal"/>
    <w:next w:val="Normal"/>
    <w:link w:val="Heading5Char"/>
    <w:rsid w:val="00124A51"/>
    <w:pPr>
      <w:spacing w:before="240" w:after="60"/>
      <w:outlineLvl w:val="4"/>
    </w:pPr>
    <w:rPr>
      <w:b/>
      <w:bCs/>
      <w:iCs/>
      <w:sz w:val="26"/>
      <w:szCs w:val="26"/>
    </w:rPr>
  </w:style>
  <w:style w:type="paragraph" w:styleId="Heading6">
    <w:name w:val="heading 6"/>
    <w:basedOn w:val="Normal"/>
    <w:next w:val="Normal"/>
    <w:link w:val="Heading6Char"/>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410E4"/>
    <w:rPr>
      <w:rFonts w:ascii="Calibri" w:hAnsi="Calibri" w:cs="Arial"/>
      <w:b/>
      <w:i/>
      <w:sz w:val="28"/>
      <w:szCs w:val="24"/>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uiPriority w:val="7"/>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COMexecsummbulletlist">
    <w:name w:val="COM exec summ bullet list"/>
    <w:basedOn w:val="ListParagraph"/>
    <w:link w:val="COMexecsummbulletlistChar"/>
    <w:qFormat/>
    <w:rsid w:val="00DB0020"/>
  </w:style>
  <w:style w:type="paragraph" w:customStyle="1" w:styleId="COMexecsummmainissuesbullets">
    <w:name w:val="COM exec summ main issues bullets"/>
    <w:basedOn w:val="ListParagraph"/>
    <w:link w:val="COMexecsummmainissuesbulletsChar"/>
    <w:qFormat/>
    <w:rsid w:val="00023AB6"/>
    <w:pPr>
      <w:numPr>
        <w:numId w:val="7"/>
      </w:numPr>
    </w:pPr>
    <w:rPr>
      <w:color w:val="0066FF"/>
    </w:rPr>
  </w:style>
  <w:style w:type="character" w:customStyle="1" w:styleId="COMexecsummbulletlistChar">
    <w:name w:val="COM exec summ bullet list Char"/>
    <w:basedOn w:val="ListParagraphChar"/>
    <w:link w:val="COMexecsummbulletlist"/>
    <w:rsid w:val="00DB0020"/>
    <w:rPr>
      <w:rFonts w:asciiTheme="minorHAnsi" w:hAnsiTheme="minorHAnsi" w:cs="Arial"/>
      <w:snapToGrid w:val="0"/>
      <w:sz w:val="24"/>
      <w:szCs w:val="24"/>
    </w:rPr>
  </w:style>
  <w:style w:type="paragraph" w:customStyle="1" w:styleId="COMH3">
    <w:name w:val="COM H3"/>
    <w:basedOn w:val="Normal"/>
    <w:next w:val="Normal"/>
    <w:link w:val="COMH3Char"/>
    <w:qFormat/>
    <w:rsid w:val="00996EAA"/>
    <w:pPr>
      <w:keepNext/>
      <w:spacing w:after="240"/>
      <w:outlineLvl w:val="2"/>
    </w:pPr>
    <w:rPr>
      <w:b/>
      <w:iCs/>
      <w:sz w:val="28"/>
    </w:rPr>
  </w:style>
  <w:style w:type="paragraph" w:styleId="ListParagraph">
    <w:name w:val="List Paragraph"/>
    <w:aliases w:val="Numbered para,BulletPoints,Bullet point,List Paragraph1,List Paragraph11,Recommendation,ES Paragraph,PBAC ES Paragraph,PBAC normal points,Bullet List,Styl moj,Akapit z listą11,Figure_name,Numbered Indented Text,Bullet- First level,lp1,new"/>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paragraph" w:styleId="ListBullet">
    <w:name w:val="List Bullet"/>
    <w:aliases w:val="zz List Bullet"/>
    <w:basedOn w:val="Normal"/>
    <w:link w:val="ListBulletChar"/>
    <w:unhideWhenUsed/>
    <w:rsid w:val="00EE1996"/>
    <w:pPr>
      <w:numPr>
        <w:numId w:val="4"/>
      </w:numPr>
      <w:contextualSpacing/>
    </w:pPr>
  </w:style>
  <w:style w:type="character" w:customStyle="1" w:styleId="ListParagraphChar">
    <w:name w:val="List Paragraph Char"/>
    <w:aliases w:val="Numbered para Char,BulletPoints Char,Bullet point Char,List Paragraph1 Char,List Paragraph11 Char,Recommendation Char,ES Paragraph Char,PBAC ES Paragraph Char,PBAC normal points Char,Bullet List Char,Styl moj Char,Figure_name Char"/>
    <w:basedOn w:val="DefaultParagraphFont"/>
    <w:link w:val="ListParagraph"/>
    <w:uiPriority w:val="34"/>
    <w:qFormat/>
    <w:locked/>
    <w:rsid w:val="00BB00B3"/>
    <w:rPr>
      <w:rFonts w:asciiTheme="minorHAnsi" w:hAnsiTheme="minorHAnsi" w:cs="Arial"/>
      <w:snapToGrid w:val="0"/>
      <w:sz w:val="24"/>
      <w:szCs w:val="24"/>
    </w:rPr>
  </w:style>
  <w:style w:type="table" w:styleId="TableGrid">
    <w:name w:val="Table Grid"/>
    <w:aliases w:val="Summary box,Table Gridbeth,CMA Table Template,ASD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H2-numbered">
    <w:name w:val="COM H2 - numbered"/>
    <w:basedOn w:val="Heading2"/>
    <w:link w:val="COMH2-numberedChar"/>
    <w:qFormat/>
    <w:rsid w:val="00721EA3"/>
    <w:pPr>
      <w:keepNext/>
      <w:spacing w:after="240"/>
    </w:p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customStyle="1" w:styleId="COMexecsummmainissuesbulletsChar">
    <w:name w:val="COM exec summ main issues bullets Char"/>
    <w:basedOn w:val="ListParagraphChar"/>
    <w:link w:val="COMexecsummmainissuesbullets"/>
    <w:rsid w:val="00023AB6"/>
    <w:rPr>
      <w:rFonts w:asciiTheme="minorHAnsi" w:hAnsiTheme="minorHAnsi" w:cs="Arial"/>
      <w:snapToGrid w:val="0"/>
      <w:color w:val="0066FF"/>
      <w:sz w:val="24"/>
      <w:szCs w:val="24"/>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character" w:customStyle="1" w:styleId="COMH2-numberedChar">
    <w:name w:val="COM H2 - numbered Char"/>
    <w:basedOn w:val="Heading2Char"/>
    <w:link w:val="COMH2-numbered"/>
    <w:rsid w:val="00721EA3"/>
    <w:rPr>
      <w:rFonts w:ascii="Calibri" w:hAnsi="Calibri" w:cs="Arial"/>
      <w:b/>
      <w:i/>
      <w:sz w:val="28"/>
      <w:szCs w:val="24"/>
    </w:rPr>
  </w:style>
  <w:style w:type="paragraph" w:customStyle="1" w:styleId="COMH4">
    <w:name w:val="COM H4"/>
    <w:basedOn w:val="Normal"/>
    <w:link w:val="COMH4Char"/>
    <w:qFormat/>
    <w:rsid w:val="00C042D3"/>
    <w:pPr>
      <w:spacing w:after="120"/>
    </w:pPr>
    <w:rPr>
      <w:b/>
      <w:i/>
    </w:rPr>
  </w:style>
  <w:style w:type="character" w:customStyle="1" w:styleId="COMH3Char">
    <w:name w:val="COM H3 Char"/>
    <w:basedOn w:val="DefaultParagraphFont"/>
    <w:link w:val="COMH3"/>
    <w:rsid w:val="00996EAA"/>
    <w:rPr>
      <w:rFonts w:ascii="Calibri" w:hAnsi="Calibri" w:cs="Arial"/>
      <w:b/>
      <w:iCs/>
      <w:sz w:val="28"/>
      <w:szCs w:val="24"/>
    </w:rPr>
  </w:style>
  <w:style w:type="paragraph" w:customStyle="1" w:styleId="COMbodybulletlist">
    <w:name w:val="COM body bullet list"/>
    <w:basedOn w:val="ListBullet"/>
    <w:link w:val="COMbodybulletlistChar"/>
    <w:qFormat/>
    <w:rsid w:val="00894E87"/>
  </w:style>
  <w:style w:type="character" w:customStyle="1" w:styleId="COMH4Char">
    <w:name w:val="COM H4 Char"/>
    <w:basedOn w:val="DefaultParagraphFont"/>
    <w:link w:val="COMH4"/>
    <w:rsid w:val="00C042D3"/>
    <w:rPr>
      <w:rFonts w:ascii="Calibri" w:hAnsi="Calibri" w:cs="Arial"/>
      <w:b/>
      <w:i/>
      <w:sz w:val="24"/>
      <w:szCs w:val="24"/>
    </w:rPr>
  </w:style>
  <w:style w:type="paragraph" w:customStyle="1" w:styleId="zzBulletpoints">
    <w:name w:val="zz Bullet points"/>
    <w:basedOn w:val="ListParagraph"/>
    <w:rsid w:val="00B70E8E"/>
    <w:pPr>
      <w:numPr>
        <w:numId w:val="2"/>
      </w:numPr>
      <w:contextualSpacing/>
    </w:pPr>
  </w:style>
  <w:style w:type="paragraph" w:customStyle="1" w:styleId="COMBody">
    <w:name w:val="COM Body"/>
    <w:basedOn w:val="Normal"/>
    <w:link w:val="COMBodyChar"/>
    <w:qFormat/>
    <w:rsid w:val="00894E87"/>
  </w:style>
  <w:style w:type="character" w:customStyle="1" w:styleId="ListBulletChar">
    <w:name w:val="List Bullet Char"/>
    <w:aliases w:val="zz List Bullet Char"/>
    <w:basedOn w:val="DefaultParagraphFont"/>
    <w:link w:val="ListBullet"/>
    <w:rsid w:val="00894E87"/>
    <w:rPr>
      <w:rFonts w:ascii="Calibri" w:hAnsi="Calibri" w:cs="Arial"/>
      <w:sz w:val="24"/>
      <w:szCs w:val="24"/>
    </w:rPr>
  </w:style>
  <w:style w:type="paragraph" w:styleId="Revision">
    <w:name w:val="Revision"/>
    <w:hidden/>
    <w:uiPriority w:val="99"/>
    <w:semiHidden/>
    <w:rsid w:val="00043C37"/>
    <w:rPr>
      <w:rFonts w:ascii="Arial" w:hAnsi="Arial" w:cs="Arial"/>
      <w:snapToGrid w:val="0"/>
      <w:sz w:val="22"/>
      <w:lang w:eastAsia="en-US"/>
    </w:rPr>
  </w:style>
  <w:style w:type="character" w:customStyle="1" w:styleId="COMbodybulletlistChar">
    <w:name w:val="COM body bullet list Char"/>
    <w:basedOn w:val="ListBulletChar"/>
    <w:link w:val="COMbodybulletlist"/>
    <w:rsid w:val="00894E87"/>
    <w:rPr>
      <w:rFonts w:ascii="Calibri" w:hAnsi="Calibri" w:cs="Arial"/>
      <w:sz w:val="24"/>
      <w:szCs w:val="24"/>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character" w:customStyle="1" w:styleId="COMBodyChar">
    <w:name w:val="COM Body Char"/>
    <w:basedOn w:val="DefaultParagraphFont"/>
    <w:link w:val="COMBody"/>
    <w:rsid w:val="00894E87"/>
    <w:rPr>
      <w:rFonts w:ascii="Calibri" w:hAnsi="Calibri" w:cs="Arial"/>
      <w:sz w:val="24"/>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COMTabletext">
    <w:name w:val="COM Table text"/>
    <w:link w:val="COMTabletextChar"/>
    <w:qFormat/>
    <w:rsid w:val="00EE1996"/>
    <w:pPr>
      <w:keepNext/>
    </w:pPr>
    <w:rPr>
      <w:rFonts w:ascii="Arial Narrow" w:eastAsiaTheme="majorEastAsia" w:hAnsi="Arial Narrow" w:cstheme="majorBidi"/>
      <w:bCs/>
      <w:szCs w:val="24"/>
    </w:rPr>
  </w:style>
  <w:style w:type="character" w:customStyle="1" w:styleId="COMTabletextChar">
    <w:name w:val="COM Table text Char"/>
    <w:basedOn w:val="DefaultParagraphFont"/>
    <w:link w:val="COMTabletext"/>
    <w:rsid w:val="00EE1996"/>
    <w:rPr>
      <w:rFonts w:ascii="Arial Narrow" w:eastAsiaTheme="majorEastAsia" w:hAnsi="Arial Narrow" w:cstheme="majorBidi"/>
      <w:bCs/>
      <w:szCs w:val="24"/>
    </w:rPr>
  </w:style>
  <w:style w:type="paragraph" w:customStyle="1" w:styleId="COMTableheadingrow">
    <w:name w:val="COM Table heading row"/>
    <w:basedOn w:val="TableHeading"/>
    <w:qFormat/>
    <w:rsid w:val="0020672F"/>
    <w:pPr>
      <w:spacing w:after="0"/>
    </w:pPr>
    <w:rPr>
      <w:szCs w:val="20"/>
    </w:rPr>
  </w:style>
  <w:style w:type="paragraph" w:customStyle="1" w:styleId="COMH1numbered">
    <w:name w:val="COM H1 numbered"/>
    <w:next w:val="Normal"/>
    <w:link w:val="COMH1numberedChar"/>
    <w:qFormat/>
    <w:rsid w:val="00163E81"/>
    <w:pPr>
      <w:keepNext/>
      <w:numPr>
        <w:numId w:val="5"/>
      </w:numPr>
      <w:spacing w:before="240" w:after="120"/>
      <w:outlineLvl w:val="0"/>
    </w:pPr>
    <w:rPr>
      <w:rFonts w:asciiTheme="minorHAnsi" w:hAnsiTheme="minorHAnsi" w:cs="Arial"/>
      <w:b/>
      <w:snapToGrid w:val="0"/>
      <w:sz w:val="32"/>
      <w:szCs w:val="32"/>
    </w:rPr>
  </w:style>
  <w:style w:type="paragraph" w:customStyle="1" w:styleId="COMH1-non-numbered">
    <w:name w:val="COM H1 - non-numbered"/>
    <w:next w:val="Normal"/>
    <w:link w:val="COMH1-non-numberedChar"/>
    <w:qFormat/>
    <w:rsid w:val="00603248"/>
    <w:pPr>
      <w:keepNext/>
      <w:spacing w:before="120" w:after="160"/>
      <w:ind w:left="720" w:hanging="720"/>
      <w:outlineLvl w:val="0"/>
    </w:pPr>
    <w:rPr>
      <w:rFonts w:asciiTheme="minorHAnsi" w:eastAsiaTheme="majorEastAsia" w:hAnsiTheme="minorHAnsi" w:cstheme="majorBidi"/>
      <w:b/>
      <w:spacing w:val="5"/>
      <w:kern w:val="28"/>
      <w:sz w:val="32"/>
      <w:szCs w:val="36"/>
    </w:rPr>
  </w:style>
  <w:style w:type="character" w:customStyle="1" w:styleId="COMH1-non-numberedChar">
    <w:name w:val="COM H1 - non-numbered Char"/>
    <w:basedOn w:val="DefaultParagraphFont"/>
    <w:link w:val="COMH1-non-numbered"/>
    <w:rsid w:val="00603248"/>
    <w:rPr>
      <w:rFonts w:asciiTheme="minorHAnsi" w:eastAsiaTheme="majorEastAsia" w:hAnsiTheme="minorHAnsi" w:cstheme="majorBidi"/>
      <w:b/>
      <w:spacing w:val="5"/>
      <w:kern w:val="28"/>
      <w:sz w:val="32"/>
      <w:szCs w:val="36"/>
    </w:rPr>
  </w:style>
  <w:style w:type="paragraph" w:customStyle="1" w:styleId="COMtablefigcaption">
    <w:name w:val="COM table/fig caption"/>
    <w:next w:val="COMTableheadingrow"/>
    <w:link w:val="COMtablefigcaptionChar"/>
    <w:qFormat/>
    <w:rsid w:val="005478BD"/>
    <w:pPr>
      <w:keepNext/>
    </w:pPr>
    <w:rPr>
      <w:rFonts w:ascii="Arial Narrow" w:eastAsiaTheme="majorEastAsia" w:hAnsi="Arial Narrow" w:cstheme="majorBidi"/>
      <w:b/>
      <w:bCs/>
      <w:szCs w:val="24"/>
    </w:rPr>
  </w:style>
  <w:style w:type="character" w:customStyle="1" w:styleId="COMtablefigcaptionChar">
    <w:name w:val="COM table/fig caption Char"/>
    <w:basedOn w:val="DefaultParagraphFont"/>
    <w:link w:val="COMtablefigcaption"/>
    <w:rsid w:val="005478BD"/>
    <w:rPr>
      <w:rFonts w:ascii="Arial Narrow" w:eastAsiaTheme="majorEastAsia" w:hAnsi="Arial Narrow" w:cstheme="majorBidi"/>
      <w:b/>
      <w:bCs/>
      <w:szCs w:val="24"/>
    </w:rPr>
  </w:style>
  <w:style w:type="paragraph" w:customStyle="1" w:styleId="COMexecsumnumberedpara">
    <w:name w:val="COM exec sum numbered para"/>
    <w:basedOn w:val="ListParagraph"/>
    <w:link w:val="COMexecsumnumberedparaChar"/>
    <w:qFormat/>
    <w:rsid w:val="001E7C76"/>
    <w:pPr>
      <w:numPr>
        <w:ilvl w:val="1"/>
        <w:numId w:val="5"/>
      </w:numPr>
      <w:ind w:left="720"/>
    </w:pPr>
  </w:style>
  <w:style w:type="character" w:customStyle="1" w:styleId="COMexecsumnumberedparaChar">
    <w:name w:val="COM exec sum numbered para Char"/>
    <w:basedOn w:val="ListParagraphChar"/>
    <w:link w:val="COMexecsumnumberedpara"/>
    <w:rsid w:val="001E7C76"/>
    <w:rPr>
      <w:rFonts w:asciiTheme="minorHAnsi" w:hAnsiTheme="minorHAnsi" w:cs="Arial"/>
      <w:snapToGrid w:val="0"/>
      <w:sz w:val="24"/>
      <w:szCs w:val="24"/>
    </w:rPr>
  </w:style>
  <w:style w:type="paragraph" w:customStyle="1" w:styleId="COMTablefooter">
    <w:name w:val="COM Table footer"/>
    <w:basedOn w:val="Normal"/>
    <w:next w:val="Normal"/>
    <w:link w:val="COMTablefooterChar"/>
    <w:qFormat/>
    <w:rsid w:val="00EC5836"/>
    <w:pPr>
      <w:spacing w:after="120"/>
      <w:contextualSpacing/>
    </w:pPr>
    <w:rPr>
      <w:rFonts w:ascii="Arial Narrow" w:hAnsi="Arial Narrow"/>
      <w:snapToGrid w:val="0"/>
      <w:sz w:val="18"/>
      <w:szCs w:val="22"/>
    </w:rPr>
  </w:style>
  <w:style w:type="character" w:customStyle="1" w:styleId="COMTablefooterChar">
    <w:name w:val="COM Table footer Char"/>
    <w:link w:val="COMTablefooter"/>
    <w:rsid w:val="00EC5836"/>
    <w:rPr>
      <w:rFonts w:ascii="Arial Narrow" w:hAnsi="Arial Narrow" w:cs="Arial"/>
      <w:snapToGrid w:val="0"/>
      <w:sz w:val="18"/>
      <w:szCs w:val="22"/>
    </w:rPr>
  </w:style>
  <w:style w:type="paragraph" w:customStyle="1" w:styleId="COMH2-non-numbered">
    <w:name w:val="COM H2 - non-numbered"/>
    <w:basedOn w:val="Heading2"/>
    <w:next w:val="Normal"/>
    <w:link w:val="COMH2-non-numbered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COMH2-non-numberedChar">
    <w:name w:val="COM H2 - non-numbered Char"/>
    <w:basedOn w:val="Heading2Char"/>
    <w:link w:val="COMH2-non-numbered"/>
    <w:rsid w:val="00EE1996"/>
    <w:rPr>
      <w:rFonts w:asciiTheme="minorHAnsi" w:eastAsiaTheme="majorEastAsia" w:hAnsiTheme="minorHAnsi" w:cstheme="majorBidi"/>
      <w:b/>
      <w:i/>
      <w:snapToGrid w:val="0"/>
      <w:spacing w:val="5"/>
      <w:kern w:val="28"/>
      <w:sz w:val="28"/>
      <w:szCs w:val="36"/>
      <w:lang w:eastAsia="en-US"/>
    </w:rPr>
  </w:style>
  <w:style w:type="character" w:customStyle="1" w:styleId="COMH1numberedChar">
    <w:name w:val="COM H1 numbered Char"/>
    <w:basedOn w:val="DefaultParagraphFont"/>
    <w:link w:val="COMH1numbered"/>
    <w:rsid w:val="00163E81"/>
    <w:rPr>
      <w:rFonts w:asciiTheme="minorHAnsi" w:hAnsiTheme="minorHAnsi" w:cs="Arial"/>
      <w:b/>
      <w:snapToGrid w:val="0"/>
      <w:sz w:val="32"/>
      <w:szCs w:val="32"/>
    </w:rPr>
  </w:style>
  <w:style w:type="character" w:styleId="Hyperlink">
    <w:name w:val="Hyperlink"/>
    <w:basedOn w:val="DefaultParagraphFont"/>
    <w:uiPriority w:val="99"/>
    <w:unhideWhenUsed/>
    <w:rsid w:val="006A74CB"/>
    <w:rPr>
      <w:color w:val="0000FF" w:themeColor="hyperlink"/>
      <w:u w:val="single"/>
    </w:rPr>
  </w:style>
  <w:style w:type="paragraph" w:styleId="TOC4">
    <w:name w:val="toc 4"/>
    <w:basedOn w:val="Normal"/>
    <w:next w:val="Normal"/>
    <w:autoRedefine/>
    <w:uiPriority w:val="39"/>
    <w:unhideWhenUsed/>
    <w:rsid w:val="006A74CB"/>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6A74CB"/>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6A74CB"/>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6A74CB"/>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6A74CB"/>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6A74CB"/>
    <w:pPr>
      <w:spacing w:after="100" w:line="259" w:lineRule="auto"/>
      <w:ind w:left="1760"/>
      <w:jc w:val="left"/>
    </w:pPr>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6A74CB"/>
    <w:rPr>
      <w:color w:val="605E5C"/>
      <w:shd w:val="clear" w:color="auto" w:fill="E1DFDD"/>
    </w:rPr>
  </w:style>
  <w:style w:type="character" w:styleId="CommentReference">
    <w:name w:val="annotation reference"/>
    <w:aliases w:val="Table Title"/>
    <w:basedOn w:val="DefaultParagraphFont"/>
    <w:uiPriority w:val="99"/>
    <w:unhideWhenUsed/>
    <w:qFormat/>
    <w:rsid w:val="00B92821"/>
    <w:rPr>
      <w:sz w:val="16"/>
      <w:szCs w:val="16"/>
    </w:rPr>
  </w:style>
  <w:style w:type="paragraph" w:styleId="CommentText">
    <w:name w:val="annotation text"/>
    <w:basedOn w:val="Normal"/>
    <w:link w:val="CommentTextChar"/>
    <w:uiPriority w:val="99"/>
    <w:unhideWhenUsed/>
    <w:rsid w:val="00B92821"/>
    <w:rPr>
      <w:sz w:val="20"/>
      <w:szCs w:val="20"/>
    </w:rPr>
  </w:style>
  <w:style w:type="character" w:customStyle="1" w:styleId="CommentTextChar">
    <w:name w:val="Comment Text Char"/>
    <w:basedOn w:val="DefaultParagraphFont"/>
    <w:link w:val="CommentText"/>
    <w:uiPriority w:val="99"/>
    <w:rsid w:val="00B92821"/>
    <w:rPr>
      <w:rFonts w:ascii="Calibri" w:hAnsi="Calibri" w:cs="Arial"/>
    </w:rPr>
  </w:style>
  <w:style w:type="paragraph" w:styleId="CommentSubject">
    <w:name w:val="annotation subject"/>
    <w:basedOn w:val="CommentText"/>
    <w:next w:val="CommentText"/>
    <w:link w:val="CommentSubjectChar"/>
    <w:semiHidden/>
    <w:unhideWhenUsed/>
    <w:rsid w:val="00B92821"/>
    <w:rPr>
      <w:b/>
      <w:bCs/>
    </w:rPr>
  </w:style>
  <w:style w:type="character" w:customStyle="1" w:styleId="CommentSubjectChar">
    <w:name w:val="Comment Subject Char"/>
    <w:basedOn w:val="CommentTextChar"/>
    <w:link w:val="CommentSubject"/>
    <w:semiHidden/>
    <w:rsid w:val="00B92821"/>
    <w:rPr>
      <w:rFonts w:ascii="Calibri" w:hAnsi="Calibri" w:cs="Arial"/>
      <w:b/>
      <w:bCs/>
    </w:rPr>
  </w:style>
  <w:style w:type="paragraph" w:styleId="Header">
    <w:name w:val="header"/>
    <w:aliases w:val="Page Header,Header title,he=header,cntr/bld"/>
    <w:basedOn w:val="Normal"/>
    <w:link w:val="HeaderChar"/>
    <w:uiPriority w:val="99"/>
    <w:unhideWhenUsed/>
    <w:qFormat/>
    <w:rsid w:val="004030CA"/>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4030CA"/>
    <w:rPr>
      <w:rFonts w:ascii="Calibri" w:hAnsi="Calibri" w:cs="Arial"/>
      <w:sz w:val="24"/>
      <w:szCs w:val="24"/>
    </w:rPr>
  </w:style>
  <w:style w:type="paragraph" w:styleId="Footer">
    <w:name w:val="footer"/>
    <w:basedOn w:val="Normal"/>
    <w:link w:val="FooterChar"/>
    <w:uiPriority w:val="99"/>
    <w:unhideWhenUsed/>
    <w:rsid w:val="004030CA"/>
    <w:pPr>
      <w:tabs>
        <w:tab w:val="center" w:pos="4513"/>
        <w:tab w:val="right" w:pos="9026"/>
      </w:tabs>
    </w:pPr>
  </w:style>
  <w:style w:type="character" w:customStyle="1" w:styleId="FooterChar">
    <w:name w:val="Footer Char"/>
    <w:basedOn w:val="DefaultParagraphFont"/>
    <w:link w:val="Footer"/>
    <w:uiPriority w:val="99"/>
    <w:rsid w:val="004030CA"/>
    <w:rPr>
      <w:rFonts w:ascii="Calibri" w:hAnsi="Calibri" w:cs="Arial"/>
      <w:sz w:val="24"/>
      <w:szCs w:val="24"/>
    </w:rPr>
  </w:style>
  <w:style w:type="paragraph" w:customStyle="1" w:styleId="V50Instructions">
    <w:name w:val="V5.0 Instructions"/>
    <w:basedOn w:val="Normal"/>
    <w:link w:val="V50InstructionsChar"/>
    <w:qFormat/>
    <w:rsid w:val="00B6455D"/>
    <w:pPr>
      <w:spacing w:before="120" w:after="160"/>
      <w:jc w:val="left"/>
    </w:pPr>
    <w:rPr>
      <w:rFonts w:asciiTheme="minorHAnsi" w:eastAsiaTheme="minorHAnsi" w:hAnsiTheme="minorHAnsi" w:cstheme="minorBidi"/>
      <w:color w:val="4BACC6" w:themeColor="accent5"/>
      <w:szCs w:val="22"/>
      <w:lang w:eastAsia="en-US"/>
    </w:rPr>
  </w:style>
  <w:style w:type="character" w:customStyle="1" w:styleId="V50InstructionsChar">
    <w:name w:val="V5.0 Instructions Char"/>
    <w:basedOn w:val="DefaultParagraphFont"/>
    <w:link w:val="V50Instructions"/>
    <w:rsid w:val="00B6455D"/>
    <w:rPr>
      <w:rFonts w:asciiTheme="minorHAnsi" w:eastAsiaTheme="minorHAnsi" w:hAnsiTheme="minorHAnsi" w:cstheme="minorBidi"/>
      <w:color w:val="4BACC6" w:themeColor="accent5"/>
      <w:sz w:val="24"/>
      <w:szCs w:val="22"/>
      <w:lang w:eastAsia="en-US"/>
    </w:rPr>
  </w:style>
  <w:style w:type="paragraph" w:styleId="Caption">
    <w:name w:val="caption"/>
    <w:aliases w:val="Figure caption,Figure caption1 Char Char,IB Caption,Medical Caption,Medical Caption Char,Caption Char1 Char Char,Caption Char Char Char Char,Caption Char1 Char,Caption Char Char Char Char Char,Caption Char Char,Caption Char Char Char Char1,..."/>
    <w:basedOn w:val="COMtablefigcaption"/>
    <w:next w:val="Normal"/>
    <w:link w:val="CaptionChar"/>
    <w:uiPriority w:val="35"/>
    <w:unhideWhenUsed/>
    <w:qFormat/>
    <w:rsid w:val="00C742BE"/>
  </w:style>
  <w:style w:type="table" w:customStyle="1" w:styleId="ASDTable10">
    <w:name w:val="ASD Table10"/>
    <w:basedOn w:val="TableNormal"/>
    <w:next w:val="TableGrid"/>
    <w:uiPriority w:val="39"/>
    <w:rsid w:val="0033519F"/>
    <w:pPr>
      <w:jc w:val="both"/>
    </w:pPr>
    <w:rPr>
      <w:rFonts w:asciiTheme="minorHAnsi" w:eastAsiaTheme="minorEastAsia" w:hAnsi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D47454"/>
    <w:rPr>
      <w:rFonts w:ascii="Calibri" w:hAnsi="Calibri" w:cs="Arial"/>
      <w:b/>
      <w:caps/>
      <w:sz w:val="32"/>
      <w:szCs w:val="24"/>
    </w:rPr>
  </w:style>
  <w:style w:type="character" w:customStyle="1" w:styleId="Heading3Char">
    <w:name w:val="Heading 3 Char"/>
    <w:basedOn w:val="DefaultParagraphFont"/>
    <w:link w:val="Heading3"/>
    <w:rsid w:val="00D47454"/>
    <w:rPr>
      <w:rFonts w:ascii="Calibri" w:hAnsi="Calibri" w:cs="Arial"/>
      <w:sz w:val="24"/>
      <w:szCs w:val="24"/>
      <w:u w:val="single"/>
    </w:rPr>
  </w:style>
  <w:style w:type="character" w:customStyle="1" w:styleId="Heading4Char">
    <w:name w:val="Heading 4 Char"/>
    <w:basedOn w:val="DefaultParagraphFont"/>
    <w:link w:val="Heading4"/>
    <w:rsid w:val="00D47454"/>
    <w:rPr>
      <w:rFonts w:ascii="Calibri" w:hAnsi="Calibri" w:cs="Arial"/>
      <w:b/>
      <w:bCs/>
      <w:i/>
      <w:sz w:val="26"/>
      <w:szCs w:val="28"/>
    </w:rPr>
  </w:style>
  <w:style w:type="character" w:customStyle="1" w:styleId="Heading5Char">
    <w:name w:val="Heading 5 Char"/>
    <w:basedOn w:val="DefaultParagraphFont"/>
    <w:link w:val="Heading5"/>
    <w:rsid w:val="00D47454"/>
    <w:rPr>
      <w:rFonts w:ascii="Calibri" w:hAnsi="Calibri" w:cs="Arial"/>
      <w:b/>
      <w:bCs/>
      <w:iCs/>
      <w:sz w:val="26"/>
      <w:szCs w:val="26"/>
    </w:rPr>
  </w:style>
  <w:style w:type="character" w:customStyle="1" w:styleId="Heading6Char">
    <w:name w:val="Heading 6 Char"/>
    <w:basedOn w:val="DefaultParagraphFont"/>
    <w:link w:val="Heading6"/>
    <w:rsid w:val="00D47454"/>
    <w:rPr>
      <w:rFonts w:ascii="Calibri" w:hAnsi="Calibri" w:cs="Arial"/>
      <w:b/>
      <w:bCs/>
      <w:i/>
      <w:sz w:val="24"/>
      <w:szCs w:val="24"/>
    </w:rPr>
  </w:style>
  <w:style w:type="character" w:styleId="Strong">
    <w:name w:val="Strong"/>
    <w:basedOn w:val="DefaultParagraphFont"/>
    <w:uiPriority w:val="22"/>
    <w:qFormat/>
    <w:rsid w:val="00D47454"/>
    <w:rPr>
      <w:b/>
      <w:bCs/>
    </w:rPr>
  </w:style>
  <w:style w:type="character" w:customStyle="1" w:styleId="CaptionChar">
    <w:name w:val="Caption Char"/>
    <w:aliases w:val="Figure caption Char,Figure caption1 Char Char Char,IB Caption Char,Medical Caption Char1,Medical Caption Char Char,Caption Char1 Char Char Char,Caption Char Char Char Char Char1,Caption Char1 Char Char1,Caption Char Char Char Char Char Char"/>
    <w:basedOn w:val="DefaultParagraphFont"/>
    <w:link w:val="Caption"/>
    <w:uiPriority w:val="35"/>
    <w:locked/>
    <w:rsid w:val="00D47454"/>
    <w:rPr>
      <w:rFonts w:ascii="Arial Narrow" w:eastAsiaTheme="majorEastAsia" w:hAnsi="Arial Narrow" w:cstheme="majorBidi"/>
      <w:b/>
      <w:bCs/>
      <w:szCs w:val="24"/>
    </w:rPr>
  </w:style>
  <w:style w:type="paragraph" w:customStyle="1" w:styleId="TableText">
    <w:name w:val="Table Text"/>
    <w:basedOn w:val="Normal"/>
    <w:link w:val="TableTextChar"/>
    <w:qFormat/>
    <w:rsid w:val="00D47454"/>
    <w:pPr>
      <w:spacing w:before="20" w:after="20"/>
      <w:jc w:val="left"/>
    </w:pPr>
    <w:rPr>
      <w:rFonts w:ascii="Arial Narrow" w:eastAsiaTheme="minorHAnsi" w:hAnsi="Arial Narrow" w:cstheme="minorBidi"/>
      <w:sz w:val="20"/>
      <w:szCs w:val="22"/>
      <w:lang w:eastAsia="en-US"/>
    </w:rPr>
  </w:style>
  <w:style w:type="character" w:customStyle="1" w:styleId="TableTextChar">
    <w:name w:val="Table Text Char"/>
    <w:link w:val="TableText"/>
    <w:locked/>
    <w:rsid w:val="00D47454"/>
    <w:rPr>
      <w:rFonts w:ascii="Arial Narrow" w:eastAsiaTheme="minorHAnsi" w:hAnsi="Arial Narrow" w:cstheme="minorBidi"/>
      <w:szCs w:val="22"/>
      <w:lang w:eastAsia="en-US"/>
    </w:rPr>
  </w:style>
  <w:style w:type="table" w:customStyle="1" w:styleId="TableGrid14">
    <w:name w:val="Table Grid14"/>
    <w:basedOn w:val="TableNormal"/>
    <w:next w:val="TableGrid"/>
    <w:rsid w:val="00D4745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rPr>
        <w:b/>
      </w:rPr>
      <w:tblPr/>
      <w:tcPr>
        <w:shd w:val="clear" w:color="auto" w:fill="D9D9D9" w:themeFill="background1" w:themeFillShade="D9"/>
      </w:tcPr>
    </w:tblStylePr>
  </w:style>
  <w:style w:type="paragraph" w:customStyle="1" w:styleId="TableNotes">
    <w:name w:val="Table Notes"/>
    <w:basedOn w:val="Normal"/>
    <w:next w:val="Normal"/>
    <w:rsid w:val="00D47454"/>
    <w:pPr>
      <w:keepLines/>
      <w:spacing w:before="20" w:after="240"/>
      <w:contextualSpacing/>
      <w:jc w:val="left"/>
    </w:pPr>
    <w:rPr>
      <w:rFonts w:asciiTheme="minorHAnsi" w:hAnsiTheme="minorHAnsi" w:cs="Times New Roman"/>
      <w:sz w:val="16"/>
      <w:szCs w:val="16"/>
    </w:rPr>
  </w:style>
  <w:style w:type="paragraph" w:styleId="NormalWeb">
    <w:name w:val="Normal (Web)"/>
    <w:basedOn w:val="Normal"/>
    <w:uiPriority w:val="99"/>
    <w:semiHidden/>
    <w:unhideWhenUsed/>
    <w:rsid w:val="00D47454"/>
    <w:pPr>
      <w:spacing w:before="100" w:beforeAutospacing="1" w:after="100" w:afterAutospacing="1"/>
      <w:jc w:val="left"/>
    </w:pPr>
    <w:rPr>
      <w:rFonts w:ascii="Times New Roman" w:hAnsi="Times New Roman" w:cs="Times New Roman"/>
    </w:rPr>
  </w:style>
  <w:style w:type="paragraph" w:customStyle="1" w:styleId="TableHeading">
    <w:name w:val="Table Heading"/>
    <w:basedOn w:val="Normal"/>
    <w:qFormat/>
    <w:rsid w:val="00D47454"/>
    <w:pPr>
      <w:keepNext/>
      <w:spacing w:after="60"/>
      <w:jc w:val="left"/>
    </w:pPr>
    <w:rPr>
      <w:rFonts w:ascii="Arial Narrow" w:eastAsiaTheme="minorHAnsi" w:hAnsi="Arial Narrow" w:cstheme="minorBidi"/>
      <w:b/>
      <w:sz w:val="20"/>
      <w:szCs w:val="22"/>
      <w:lang w:eastAsia="en-US"/>
    </w:rPr>
  </w:style>
  <w:style w:type="table" w:customStyle="1" w:styleId="TableGrid1">
    <w:name w:val="Table Grid1"/>
    <w:basedOn w:val="TableNormal"/>
    <w:next w:val="TableGrid"/>
    <w:uiPriority w:val="39"/>
    <w:rsid w:val="00D47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454"/>
    <w:pPr>
      <w:autoSpaceDE w:val="0"/>
      <w:autoSpaceDN w:val="0"/>
      <w:adjustRightInd w:val="0"/>
    </w:pPr>
    <w:rPr>
      <w:rFonts w:ascii="Arial" w:hAnsi="Arial" w:cs="Arial"/>
      <w:color w:val="000000"/>
      <w:sz w:val="24"/>
      <w:szCs w:val="24"/>
    </w:rPr>
  </w:style>
  <w:style w:type="character" w:customStyle="1" w:styleId="cf01">
    <w:name w:val="cf01"/>
    <w:basedOn w:val="DefaultParagraphFont"/>
    <w:rsid w:val="00D47454"/>
    <w:rPr>
      <w:rFonts w:ascii="Segoe UI" w:hAnsi="Segoe UI" w:cs="Segoe UI" w:hint="default"/>
      <w:sz w:val="18"/>
      <w:szCs w:val="18"/>
    </w:rPr>
  </w:style>
  <w:style w:type="paragraph" w:customStyle="1" w:styleId="TableFooter">
    <w:name w:val="Table Footer"/>
    <w:basedOn w:val="Normal"/>
    <w:link w:val="TableFooterChar"/>
    <w:qFormat/>
    <w:rsid w:val="00D47454"/>
    <w:pPr>
      <w:widowControl w:val="0"/>
    </w:pPr>
    <w:rPr>
      <w:rFonts w:ascii="Arial Narrow" w:hAnsi="Arial Narrow"/>
      <w:snapToGrid w:val="0"/>
      <w:sz w:val="18"/>
      <w:szCs w:val="22"/>
      <w:lang w:eastAsia="en-US"/>
    </w:rPr>
  </w:style>
  <w:style w:type="character" w:customStyle="1" w:styleId="TableFooterChar">
    <w:name w:val="Table Footer Char"/>
    <w:link w:val="TableFooter"/>
    <w:rsid w:val="00D47454"/>
    <w:rPr>
      <w:rFonts w:ascii="Arial Narrow" w:hAnsi="Arial Narrow" w:cs="Arial"/>
      <w:snapToGrid w:val="0"/>
      <w:sz w:val="18"/>
      <w:szCs w:val="22"/>
      <w:lang w:eastAsia="en-US"/>
    </w:rPr>
  </w:style>
  <w:style w:type="paragraph" w:customStyle="1" w:styleId="Tabletext0">
    <w:name w:val="Table text"/>
    <w:basedOn w:val="Normal"/>
    <w:link w:val="TabletextChar0"/>
    <w:uiPriority w:val="2"/>
    <w:qFormat/>
    <w:rsid w:val="00D47454"/>
    <w:pPr>
      <w:jc w:val="left"/>
    </w:pPr>
    <w:rPr>
      <w:rFonts w:ascii="Arial Narrow" w:hAnsi="Arial Narrow" w:cs="Times New Roman"/>
      <w:sz w:val="20"/>
      <w:szCs w:val="22"/>
      <w:lang w:eastAsia="en-US"/>
    </w:rPr>
  </w:style>
  <w:style w:type="character" w:customStyle="1" w:styleId="TabletextChar0">
    <w:name w:val="Table text Char"/>
    <w:link w:val="Tabletext0"/>
    <w:uiPriority w:val="2"/>
    <w:rsid w:val="00D47454"/>
    <w:rPr>
      <w:rFonts w:ascii="Arial Narrow" w:hAnsi="Arial Narrow"/>
      <w:szCs w:val="22"/>
      <w:lang w:eastAsia="en-US"/>
    </w:rPr>
  </w:style>
  <w:style w:type="paragraph" w:customStyle="1" w:styleId="Tableheadingrow">
    <w:name w:val="Table heading row"/>
    <w:qFormat/>
    <w:rsid w:val="00791A28"/>
    <w:pPr>
      <w:keepNext/>
    </w:pPr>
    <w:rPr>
      <w:rFonts w:ascii="Arial Narrow" w:eastAsiaTheme="majorEastAsia" w:hAnsi="Arial Narrow"/>
      <w:b/>
      <w:kern w:val="2"/>
      <w:szCs w:val="24"/>
      <w:lang w:val="en-US"/>
      <w14:ligatures w14:val="standardContextual"/>
    </w:rPr>
  </w:style>
  <w:style w:type="paragraph" w:customStyle="1" w:styleId="TableFigureCaption">
    <w:name w:val="Table/Figure Caption"/>
    <w:next w:val="Tableheadingrow"/>
    <w:link w:val="TableFigureCaptionChar"/>
    <w:qFormat/>
    <w:rsid w:val="00791A28"/>
    <w:pPr>
      <w:keepNext/>
    </w:pPr>
    <w:rPr>
      <w:rFonts w:ascii="Arial Narrow" w:eastAsiaTheme="majorEastAsia" w:hAnsi="Arial Narrow" w:cstheme="majorBidi"/>
      <w:b/>
      <w:bCs/>
      <w:kern w:val="2"/>
      <w:szCs w:val="24"/>
      <w14:ligatures w14:val="standardContextual"/>
    </w:rPr>
  </w:style>
  <w:style w:type="character" w:customStyle="1" w:styleId="TableFigureCaptionChar">
    <w:name w:val="Table/Figure Caption Char"/>
    <w:basedOn w:val="DefaultParagraphFont"/>
    <w:link w:val="TableFigureCaption"/>
    <w:rsid w:val="00791A28"/>
    <w:rPr>
      <w:rFonts w:ascii="Arial Narrow" w:eastAsiaTheme="majorEastAsia" w:hAnsi="Arial Narrow" w:cstheme="majorBidi"/>
      <w:b/>
      <w:bCs/>
      <w:kern w:val="2"/>
      <w:szCs w:val="24"/>
      <w14:ligatures w14:val="standardContextual"/>
    </w:rPr>
  </w:style>
  <w:style w:type="paragraph" w:customStyle="1" w:styleId="TableFigureFooter">
    <w:name w:val="Table/Figure Footer"/>
    <w:basedOn w:val="Normal"/>
    <w:link w:val="TableFigureFooterChar"/>
    <w:qFormat/>
    <w:rsid w:val="00791A28"/>
    <w:pPr>
      <w:spacing w:after="120"/>
      <w:contextualSpacing/>
    </w:pPr>
    <w:rPr>
      <w:rFonts w:ascii="Arial Narrow" w:hAnsi="Arial Narrow"/>
      <w:snapToGrid w:val="0"/>
      <w:sz w:val="18"/>
      <w:szCs w:val="22"/>
      <w14:ligatures w14:val="standardContextual"/>
    </w:rPr>
  </w:style>
  <w:style w:type="character" w:customStyle="1" w:styleId="TableFigureFooterChar">
    <w:name w:val="Table/Figure Footer Char"/>
    <w:link w:val="TableFigureFooter"/>
    <w:rsid w:val="00791A28"/>
    <w:rPr>
      <w:rFonts w:ascii="Arial Narrow" w:hAnsi="Arial Narrow" w:cs="Arial"/>
      <w:snapToGrid w:val="0"/>
      <w:sz w:val="18"/>
      <w:szCs w:val="22"/>
      <w14:ligatures w14:val="standardContextual"/>
    </w:rPr>
  </w:style>
  <w:style w:type="paragraph" w:customStyle="1" w:styleId="PBACHeading1">
    <w:name w:val="PBAC Heading 1"/>
    <w:qFormat/>
    <w:rsid w:val="0022309B"/>
    <w:pPr>
      <w:ind w:left="720" w:hanging="720"/>
    </w:pPr>
    <w:rPr>
      <w:rFonts w:ascii="Calibri" w:hAnsi="Calibri" w:cs="Arial"/>
      <w:b/>
      <w:snapToGrid w:val="0"/>
      <w:sz w:val="32"/>
      <w:szCs w:val="22"/>
      <w:lang w:eastAsia="en-US"/>
    </w:rPr>
  </w:style>
  <w:style w:type="paragraph" w:customStyle="1" w:styleId="2-SectionHeading">
    <w:name w:val="2-Section Heading"/>
    <w:qFormat/>
    <w:rsid w:val="00791EE2"/>
    <w:pPr>
      <w:keepNext/>
      <w:spacing w:before="240" w:after="120"/>
      <w:ind w:left="720" w:hanging="720"/>
      <w:outlineLvl w:val="0"/>
    </w:pPr>
    <w:rPr>
      <w:rFonts w:asciiTheme="minorHAnsi" w:hAnsiTheme="minorHAnsi" w:cs="Arial"/>
      <w:b/>
      <w:snapToGrid w:val="0"/>
      <w:sz w:val="32"/>
      <w:szCs w:val="32"/>
    </w:rPr>
  </w:style>
  <w:style w:type="paragraph" w:customStyle="1" w:styleId="Bulletpoints">
    <w:name w:val="Bullet points"/>
    <w:basedOn w:val="Normal"/>
    <w:rsid w:val="00DF0226"/>
    <w:pPr>
      <w:spacing w:after="120"/>
      <w:ind w:left="720"/>
      <w:contextualSpacing/>
    </w:pPr>
    <w:rPr>
      <w:snapToGrid w:val="0"/>
    </w:rPr>
  </w:style>
  <w:style w:type="paragraph" w:customStyle="1" w:styleId="pf0">
    <w:name w:val="pf0"/>
    <w:basedOn w:val="Normal"/>
    <w:rsid w:val="00632204"/>
    <w:pPr>
      <w:spacing w:before="100" w:beforeAutospacing="1" w:after="100" w:afterAutospacing="1"/>
      <w:jc w:val="left"/>
    </w:pPr>
    <w:rPr>
      <w:rFonts w:ascii="Times New Roman" w:hAnsi="Times New Roman" w:cs="Times New Roman"/>
    </w:rPr>
  </w:style>
  <w:style w:type="paragraph" w:customStyle="1" w:styleId="3-SubsectionHeading">
    <w:name w:val="3-Subsection Heading"/>
    <w:basedOn w:val="Heading2"/>
    <w:next w:val="Normal"/>
    <w:link w:val="3-SubsectionHeadingChar"/>
    <w:qFormat/>
    <w:rsid w:val="008C335E"/>
    <w:pPr>
      <w:keepNext/>
      <w:spacing w:before="120" w:after="120"/>
      <w:jc w:val="both"/>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8C335E"/>
    <w:rPr>
      <w:rFonts w:asciiTheme="minorHAnsi" w:eastAsiaTheme="majorEastAsia" w:hAnsiTheme="minorHAnsi" w:cstheme="majorBidi"/>
      <w:b/>
      <w:i/>
      <w:spacing w:val="5"/>
      <w:kern w:val="28"/>
      <w:sz w:val="28"/>
      <w:szCs w:val="36"/>
      <w:lang w:eastAsia="en-US"/>
    </w:rPr>
  </w:style>
  <w:style w:type="paragraph" w:styleId="NoSpacing">
    <w:name w:val="No Spacing"/>
    <w:uiPriority w:val="1"/>
    <w:qFormat/>
    <w:rsid w:val="008C335E"/>
    <w:rPr>
      <w:sz w:val="24"/>
      <w:szCs w:val="24"/>
      <w:lang w:eastAsia="en-US"/>
    </w:rPr>
  </w:style>
  <w:style w:type="paragraph" w:customStyle="1" w:styleId="3-BodyText">
    <w:name w:val="3-Body Text"/>
    <w:basedOn w:val="ListParagraph"/>
    <w:link w:val="3-BodyTextChar"/>
    <w:qFormat/>
    <w:rsid w:val="006E0923"/>
    <w:pPr>
      <w:numPr>
        <w:numId w:val="0"/>
      </w:numPr>
      <w:ind w:left="720" w:hanging="720"/>
    </w:pPr>
  </w:style>
  <w:style w:type="character" w:customStyle="1" w:styleId="3-BodyTextChar">
    <w:name w:val="3-Body Text Char"/>
    <w:basedOn w:val="DefaultParagraphFont"/>
    <w:link w:val="3-BodyText"/>
    <w:locked/>
    <w:rsid w:val="00B31A07"/>
    <w:rPr>
      <w:rFonts w:asciiTheme="minorHAnsi" w:hAnsiTheme="minorHAnsi" w:cs="Arial"/>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02649533">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205605640">
      <w:bodyDiv w:val="1"/>
      <w:marLeft w:val="0"/>
      <w:marRight w:val="0"/>
      <w:marTop w:val="0"/>
      <w:marBottom w:val="0"/>
      <w:divBdr>
        <w:top w:val="none" w:sz="0" w:space="0" w:color="auto"/>
        <w:left w:val="none" w:sz="0" w:space="0" w:color="auto"/>
        <w:bottom w:val="none" w:sz="0" w:space="0" w:color="auto"/>
        <w:right w:val="none" w:sz="0" w:space="0" w:color="auto"/>
      </w:divBdr>
    </w:div>
    <w:div w:id="223030672">
      <w:bodyDiv w:val="1"/>
      <w:marLeft w:val="0"/>
      <w:marRight w:val="0"/>
      <w:marTop w:val="0"/>
      <w:marBottom w:val="0"/>
      <w:divBdr>
        <w:top w:val="none" w:sz="0" w:space="0" w:color="auto"/>
        <w:left w:val="none" w:sz="0" w:space="0" w:color="auto"/>
        <w:bottom w:val="none" w:sz="0" w:space="0" w:color="auto"/>
        <w:right w:val="none" w:sz="0" w:space="0" w:color="auto"/>
      </w:divBdr>
    </w:div>
    <w:div w:id="234053469">
      <w:bodyDiv w:val="1"/>
      <w:marLeft w:val="0"/>
      <w:marRight w:val="0"/>
      <w:marTop w:val="0"/>
      <w:marBottom w:val="0"/>
      <w:divBdr>
        <w:top w:val="none" w:sz="0" w:space="0" w:color="auto"/>
        <w:left w:val="none" w:sz="0" w:space="0" w:color="auto"/>
        <w:bottom w:val="none" w:sz="0" w:space="0" w:color="auto"/>
        <w:right w:val="none" w:sz="0" w:space="0" w:color="auto"/>
      </w:divBdr>
    </w:div>
    <w:div w:id="25520919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421149625">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900097010">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275674526">
      <w:bodyDiv w:val="1"/>
      <w:marLeft w:val="0"/>
      <w:marRight w:val="0"/>
      <w:marTop w:val="0"/>
      <w:marBottom w:val="0"/>
      <w:divBdr>
        <w:top w:val="none" w:sz="0" w:space="0" w:color="auto"/>
        <w:left w:val="none" w:sz="0" w:space="0" w:color="auto"/>
        <w:bottom w:val="none" w:sz="0" w:space="0" w:color="auto"/>
        <w:right w:val="none" w:sz="0" w:space="0" w:color="auto"/>
      </w:divBdr>
    </w:div>
    <w:div w:id="1308122980">
      <w:bodyDiv w:val="1"/>
      <w:marLeft w:val="0"/>
      <w:marRight w:val="0"/>
      <w:marTop w:val="0"/>
      <w:marBottom w:val="0"/>
      <w:divBdr>
        <w:top w:val="none" w:sz="0" w:space="0" w:color="auto"/>
        <w:left w:val="none" w:sz="0" w:space="0" w:color="auto"/>
        <w:bottom w:val="none" w:sz="0" w:space="0" w:color="auto"/>
        <w:right w:val="none" w:sz="0" w:space="0" w:color="auto"/>
      </w:divBdr>
    </w:div>
    <w:div w:id="1642803914">
      <w:bodyDiv w:val="1"/>
      <w:marLeft w:val="0"/>
      <w:marRight w:val="0"/>
      <w:marTop w:val="0"/>
      <w:marBottom w:val="0"/>
      <w:divBdr>
        <w:top w:val="none" w:sz="0" w:space="0" w:color="auto"/>
        <w:left w:val="none" w:sz="0" w:space="0" w:color="auto"/>
        <w:bottom w:val="none" w:sz="0" w:space="0" w:color="auto"/>
        <w:right w:val="none" w:sz="0" w:space="0" w:color="auto"/>
      </w:divBdr>
    </w:div>
    <w:div w:id="1735082092">
      <w:bodyDiv w:val="1"/>
      <w:marLeft w:val="0"/>
      <w:marRight w:val="0"/>
      <w:marTop w:val="0"/>
      <w:marBottom w:val="0"/>
      <w:divBdr>
        <w:top w:val="none" w:sz="0" w:space="0" w:color="auto"/>
        <w:left w:val="none" w:sz="0" w:space="0" w:color="auto"/>
        <w:bottom w:val="none" w:sz="0" w:space="0" w:color="auto"/>
        <w:right w:val="none" w:sz="0" w:space="0" w:color="auto"/>
      </w:divBdr>
    </w:div>
    <w:div w:id="1782336389">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46172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file:///C:/Users/mckerc/Downloads/www.servicesaustralia.gov.au/hpos"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file:///C:/Users/mckerc/Downloads/www.servicesaustralia.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2" ma:contentTypeDescription="Create a new document." ma:contentTypeScope="" ma:versionID="d8bc8e23389a3f098476a638d3e9dd9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f7a7ed6552211f961a0f9484ffbf2dd5"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Props1.xml><?xml version="1.0" encoding="utf-8"?>
<ds:datastoreItem xmlns:ds="http://schemas.openxmlformats.org/officeDocument/2006/customXml" ds:itemID="{42E83014-4E88-420D-9D25-5F827ED8DAFF}">
  <ds:schemaRefs>
    <ds:schemaRef ds:uri="http://schemas.openxmlformats.org/officeDocument/2006/bibliography"/>
  </ds:schemaRefs>
</ds:datastoreItem>
</file>

<file path=customXml/itemProps2.xml><?xml version="1.0" encoding="utf-8"?>
<ds:datastoreItem xmlns:ds="http://schemas.openxmlformats.org/officeDocument/2006/customXml" ds:itemID="{C8D053D9-363C-48E1-9F04-D754727C6267}"/>
</file>

<file path=customXml/itemProps3.xml><?xml version="1.0" encoding="utf-8"?>
<ds:datastoreItem xmlns:ds="http://schemas.openxmlformats.org/officeDocument/2006/customXml" ds:itemID="{384A2C01-F16C-4172-BB44-0CEE72F6A2BF}"/>
</file>

<file path=customXml/itemProps4.xml><?xml version="1.0" encoding="utf-8"?>
<ds:datastoreItem xmlns:ds="http://schemas.openxmlformats.org/officeDocument/2006/customXml" ds:itemID="{F9B5EDE4-F334-49D6-8B2E-AB9715DFB751}"/>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60</Pages>
  <Words>23561</Words>
  <Characters>134301</Characters>
  <Application>Microsoft Office Word</Application>
  <DocSecurity>0</DocSecurity>
  <Lines>1119</Lines>
  <Paragraphs>315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2025-03-03T22:45:00Z</dcterms:created>
  <dcterms:modified xsi:type="dcterms:W3CDTF">2025-03-03T22:50:00Z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0x0101007FED174C5281F747A8037A05221D6DBD</vt:lpwstr>
  </property>
</Properties>
</file>