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17E1E1BE" w:rsidR="00872E8F" w:rsidRPr="00E22C6F" w:rsidRDefault="00B134C5" w:rsidP="001A6A0D">
      <w:pPr>
        <w:pStyle w:val="1MainTitle"/>
        <w:jc w:val="left"/>
      </w:pPr>
      <w:r w:rsidRPr="00E22C6F">
        <w:t>5.</w:t>
      </w:r>
      <w:r w:rsidR="00D80C29" w:rsidRPr="00E22C6F">
        <w:t>15</w:t>
      </w:r>
      <w:r w:rsidR="004F0BFC" w:rsidRPr="00E22C6F">
        <w:t xml:space="preserve"> </w:t>
      </w:r>
      <w:r w:rsidRPr="00E22C6F">
        <w:t>ADALIMUMAB</w:t>
      </w:r>
      <w:r w:rsidR="70971A32" w:rsidRPr="00E22C6F">
        <w:t xml:space="preserve">, </w:t>
      </w:r>
      <w:r w:rsidR="001A6A0D" w:rsidRPr="00E22C6F">
        <w:br/>
      </w:r>
      <w:r w:rsidR="00D80C29" w:rsidRPr="00E22C6F">
        <w:t>Injection 20 mg in 0.2 mL pre-filled syringe,</w:t>
      </w:r>
      <w:r w:rsidR="00D80C29" w:rsidRPr="00E22C6F">
        <w:br/>
        <w:t>Injection 40 mg in 0.4 mL pre-filled syringe,</w:t>
      </w:r>
      <w:r w:rsidR="00D80C29" w:rsidRPr="00E22C6F">
        <w:br/>
        <w:t>Injection 40 mg in 0.4 mL pre-filled pen,</w:t>
      </w:r>
      <w:r w:rsidR="00D80C29" w:rsidRPr="00E22C6F">
        <w:br/>
        <w:t>Injection 80 mg 0.8 mL pre-filled syringe,</w:t>
      </w:r>
      <w:r w:rsidR="00D80C29" w:rsidRPr="00E22C6F">
        <w:br/>
        <w:t>Injection 80 mg in 0.8 mL pre-filled pen</w:t>
      </w:r>
      <w:r w:rsidR="00E6489A" w:rsidRPr="00E22C6F">
        <w:t>,</w:t>
      </w:r>
      <w:r w:rsidR="00872E8F" w:rsidRPr="00E22C6F">
        <w:br/>
      </w:r>
      <w:bookmarkStart w:id="0" w:name="_Hlk171430226"/>
      <w:r w:rsidR="00D80C29" w:rsidRPr="00E22C6F">
        <w:t>Hyrimoz</w:t>
      </w:r>
      <w:bookmarkEnd w:id="0"/>
      <w:r w:rsidR="70971A32" w:rsidRPr="00E22C6F">
        <w:t>®,</w:t>
      </w:r>
      <w:r w:rsidR="00872E8F" w:rsidRPr="00E22C6F">
        <w:br/>
      </w:r>
      <w:r w:rsidR="000E31CF">
        <w:t>SANDOZ PTY LTD</w:t>
      </w:r>
    </w:p>
    <w:p w14:paraId="5F4D54C1" w14:textId="7EB307E9" w:rsidR="00E11F44" w:rsidRPr="00E22C6F" w:rsidRDefault="007E490F" w:rsidP="00B81E7E">
      <w:pPr>
        <w:pStyle w:val="2-SectionHeading"/>
        <w:numPr>
          <w:ilvl w:val="0"/>
          <w:numId w:val="2"/>
        </w:numPr>
      </w:pPr>
      <w:r w:rsidRPr="00E22C6F">
        <w:t xml:space="preserve">Purpose of </w:t>
      </w:r>
      <w:r w:rsidR="00FA0B04" w:rsidRPr="00E22C6F">
        <w:t>Submission</w:t>
      </w:r>
      <w:r w:rsidRPr="00E22C6F">
        <w:t xml:space="preserve"> </w:t>
      </w:r>
    </w:p>
    <w:p w14:paraId="50FAB4A3" w14:textId="3E53F03A" w:rsidR="007E490F" w:rsidRPr="00E22C6F" w:rsidRDefault="006C6C10" w:rsidP="002D591C">
      <w:pPr>
        <w:widowControl w:val="0"/>
        <w:numPr>
          <w:ilvl w:val="1"/>
          <w:numId w:val="2"/>
        </w:numPr>
        <w:spacing w:after="120"/>
      </w:pPr>
      <w:r w:rsidRPr="00E22C6F">
        <w:t xml:space="preserve">The </w:t>
      </w:r>
      <w:r w:rsidR="00CE5976" w:rsidRPr="00E22C6F">
        <w:t>Category 4</w:t>
      </w:r>
      <w:r w:rsidR="00C96EC0" w:rsidRPr="00E22C6F">
        <w:t xml:space="preserve"> </w:t>
      </w:r>
      <w:r w:rsidRPr="00E22C6F">
        <w:t xml:space="preserve">submission </w:t>
      </w:r>
      <w:r w:rsidR="0023466E" w:rsidRPr="00E22C6F">
        <w:t>sought</w:t>
      </w:r>
      <w:r w:rsidR="00C24EF8" w:rsidRPr="00E22C6F">
        <w:t xml:space="preserve"> to list a biosimilar brand of adalimumab (</w:t>
      </w:r>
      <w:bookmarkStart w:id="1" w:name="_Hlk171434399"/>
      <w:r w:rsidR="00132F5E" w:rsidRPr="00E22C6F">
        <w:t>Hyrimoz</w:t>
      </w:r>
      <w:r w:rsidR="00C24EF8" w:rsidRPr="00E22C6F">
        <w:t>®) in the</w:t>
      </w:r>
      <w:r w:rsidR="003833A7" w:rsidRPr="00E22C6F">
        <w:t xml:space="preserve"> </w:t>
      </w:r>
      <w:r w:rsidR="00C24EF8" w:rsidRPr="00E22C6F">
        <w:t xml:space="preserve">forms </w:t>
      </w:r>
      <w:r w:rsidR="003833A7" w:rsidRPr="00E22C6F">
        <w:t xml:space="preserve">and strengths </w:t>
      </w:r>
      <w:r w:rsidR="00C24EF8" w:rsidRPr="00E22C6F">
        <w:t>of</w:t>
      </w:r>
      <w:r w:rsidR="00132F5E" w:rsidRPr="00E22C6F">
        <w:t xml:space="preserve"> 40</w:t>
      </w:r>
      <w:r w:rsidR="00E22C6F">
        <w:t xml:space="preserve"> </w:t>
      </w:r>
      <w:r w:rsidR="00132F5E" w:rsidRPr="00E22C6F">
        <w:t>mg in 0.4</w:t>
      </w:r>
      <w:r w:rsidR="00E22C6F">
        <w:t xml:space="preserve"> </w:t>
      </w:r>
      <w:r w:rsidR="00132F5E" w:rsidRPr="00E22C6F">
        <w:t>mL, 80</w:t>
      </w:r>
      <w:r w:rsidR="00E22C6F">
        <w:t xml:space="preserve"> </w:t>
      </w:r>
      <w:r w:rsidR="00132F5E" w:rsidRPr="00E22C6F">
        <w:t>mg in 0.8</w:t>
      </w:r>
      <w:r w:rsidR="00E22C6F">
        <w:t xml:space="preserve"> </w:t>
      </w:r>
      <w:r w:rsidR="00132F5E" w:rsidRPr="00E22C6F">
        <w:t xml:space="preserve">mL </w:t>
      </w:r>
      <w:r w:rsidR="00E6489A" w:rsidRPr="00E22C6F">
        <w:t>pre-filled pen (</w:t>
      </w:r>
      <w:r w:rsidR="00C24EF8" w:rsidRPr="00E22C6F">
        <w:t>PFP</w:t>
      </w:r>
      <w:r w:rsidR="00E6489A" w:rsidRPr="00E22C6F">
        <w:t>)</w:t>
      </w:r>
      <w:r w:rsidR="00C24EF8" w:rsidRPr="00E22C6F">
        <w:t xml:space="preserve"> and</w:t>
      </w:r>
      <w:r w:rsidR="00132F5E" w:rsidRPr="00E22C6F">
        <w:t xml:space="preserve"> 20</w:t>
      </w:r>
      <w:r w:rsidR="00E22C6F">
        <w:t> </w:t>
      </w:r>
      <w:r w:rsidR="00132F5E" w:rsidRPr="00E22C6F">
        <w:t>mg in 0.2 mL, 40</w:t>
      </w:r>
      <w:r w:rsidR="00E22C6F">
        <w:t xml:space="preserve"> </w:t>
      </w:r>
      <w:r w:rsidR="00132F5E" w:rsidRPr="00E22C6F">
        <w:t>mg in 0.4</w:t>
      </w:r>
      <w:r w:rsidR="00E22C6F">
        <w:t xml:space="preserve"> </w:t>
      </w:r>
      <w:r w:rsidR="00132F5E" w:rsidRPr="00E22C6F">
        <w:t xml:space="preserve">mL, 80 mg in 0.8 mL </w:t>
      </w:r>
      <w:r w:rsidR="00E6489A" w:rsidRPr="00E22C6F">
        <w:t>pre-filled syringe (</w:t>
      </w:r>
      <w:r w:rsidR="00C24EF8" w:rsidRPr="00E22C6F">
        <w:t>PFS</w:t>
      </w:r>
      <w:r w:rsidR="00E6489A" w:rsidRPr="00E22C6F">
        <w:t>)</w:t>
      </w:r>
      <w:bookmarkEnd w:id="1"/>
      <w:r w:rsidR="00C24EF8" w:rsidRPr="00E22C6F">
        <w:t xml:space="preserve"> under the same circumstances </w:t>
      </w:r>
      <w:r w:rsidR="007223FF" w:rsidRPr="00E22C6F">
        <w:t xml:space="preserve">as the currently </w:t>
      </w:r>
      <w:r w:rsidR="00C24EF8" w:rsidRPr="00E22C6F">
        <w:t>PBS-listed</w:t>
      </w:r>
      <w:r w:rsidR="007223FF" w:rsidRPr="00E22C6F">
        <w:t xml:space="preserve"> </w:t>
      </w:r>
      <w:r w:rsidR="00C24EF8" w:rsidRPr="00E22C6F">
        <w:t>reference biologic</w:t>
      </w:r>
      <w:r w:rsidR="007223FF" w:rsidRPr="00E22C6F">
        <w:t>,</w:t>
      </w:r>
      <w:r w:rsidR="00C24EF8" w:rsidRPr="00E22C6F">
        <w:t xml:space="preserve"> Humira®</w:t>
      </w:r>
      <w:r w:rsidR="007223FF" w:rsidRPr="00E22C6F">
        <w:t>.</w:t>
      </w:r>
    </w:p>
    <w:p w14:paraId="3D1D4320" w14:textId="77777777" w:rsidR="007E490F" w:rsidRPr="00E22C6F" w:rsidRDefault="007E490F" w:rsidP="001F2311">
      <w:pPr>
        <w:pStyle w:val="2-SectionHeading"/>
        <w:numPr>
          <w:ilvl w:val="0"/>
          <w:numId w:val="2"/>
        </w:numPr>
      </w:pPr>
      <w:r w:rsidRPr="00E22C6F">
        <w:t xml:space="preserve">Background </w:t>
      </w:r>
    </w:p>
    <w:p w14:paraId="76C00EE6" w14:textId="77777777" w:rsidR="00390973" w:rsidRPr="00E22C6F" w:rsidRDefault="00390973" w:rsidP="00390973">
      <w:pPr>
        <w:pStyle w:val="4-SubsectionHeading"/>
      </w:pPr>
      <w:r w:rsidRPr="00E22C6F">
        <w:t>Registration status</w:t>
      </w:r>
    </w:p>
    <w:p w14:paraId="647A08BD" w14:textId="132D6489" w:rsidR="00B420F3" w:rsidRPr="00E22C6F" w:rsidRDefault="00AE5365" w:rsidP="00701092">
      <w:pPr>
        <w:pStyle w:val="ListParagraph"/>
        <w:numPr>
          <w:ilvl w:val="1"/>
          <w:numId w:val="2"/>
        </w:numPr>
        <w:jc w:val="both"/>
        <w:rPr>
          <w:rFonts w:ascii="Calibri" w:hAnsi="Calibri" w:cs="Times New Roman"/>
          <w:snapToGrid/>
        </w:rPr>
      </w:pPr>
      <w:r w:rsidRPr="00E22C6F">
        <w:rPr>
          <w:rFonts w:ascii="Calibri" w:hAnsi="Calibri" w:cs="Times New Roman"/>
          <w:snapToGrid/>
        </w:rPr>
        <w:t xml:space="preserve">The requested forms and strengths of </w:t>
      </w:r>
      <w:r w:rsidR="00B420F3" w:rsidRPr="00E22C6F">
        <w:rPr>
          <w:rFonts w:ascii="Calibri" w:hAnsi="Calibri" w:cs="Times New Roman"/>
          <w:snapToGrid/>
        </w:rPr>
        <w:t xml:space="preserve">Hyrimoz were registered on the Australian Register of Therapeutic Goods Administration (ARTG) on 15 May 2024, and determined to be biosimilar to the reference brand Humira. </w:t>
      </w:r>
    </w:p>
    <w:p w14:paraId="0094486E" w14:textId="77777777" w:rsidR="007E490F" w:rsidRPr="00E22C6F" w:rsidRDefault="007E490F" w:rsidP="007E490F">
      <w:pPr>
        <w:pStyle w:val="4-SubsectionHeading"/>
      </w:pPr>
      <w:r w:rsidRPr="00E22C6F">
        <w:t xml:space="preserve">Previous PBAC consideration </w:t>
      </w:r>
    </w:p>
    <w:p w14:paraId="5C6809F1" w14:textId="28E5B735" w:rsidR="007E490F" w:rsidRPr="00E22C6F" w:rsidRDefault="00390973" w:rsidP="00634D70">
      <w:pPr>
        <w:widowControl w:val="0"/>
        <w:numPr>
          <w:ilvl w:val="1"/>
          <w:numId w:val="2"/>
        </w:numPr>
        <w:spacing w:after="120"/>
      </w:pPr>
      <w:r w:rsidRPr="00E22C6F">
        <w:t xml:space="preserve">This is the first PBAC submission </w:t>
      </w:r>
      <w:r w:rsidR="00536309" w:rsidRPr="00E22C6F">
        <w:t>for the requested forms and strengths of Hyrimoz (the submission refers to these as</w:t>
      </w:r>
      <w:r w:rsidRPr="00E22C6F">
        <w:t xml:space="preserve"> </w:t>
      </w:r>
      <w:r w:rsidR="00DD710A" w:rsidRPr="00E22C6F">
        <w:t>h</w:t>
      </w:r>
      <w:r w:rsidR="00AB69CC" w:rsidRPr="00E22C6F">
        <w:t xml:space="preserve">igh </w:t>
      </w:r>
      <w:r w:rsidR="00DD710A" w:rsidRPr="00E22C6F">
        <w:t>c</w:t>
      </w:r>
      <w:r w:rsidR="00AB69CC" w:rsidRPr="00E22C6F">
        <w:t xml:space="preserve">oncentration </w:t>
      </w:r>
      <w:r w:rsidR="00DD710A" w:rsidRPr="00E22C6F">
        <w:t>f</w:t>
      </w:r>
      <w:r w:rsidR="00AB69CC" w:rsidRPr="00E22C6F">
        <w:t xml:space="preserve">ormula </w:t>
      </w:r>
      <w:r w:rsidR="00DD710A" w:rsidRPr="00E22C6F">
        <w:t>Hyrimoz</w:t>
      </w:r>
      <w:r w:rsidR="00536309" w:rsidRPr="00E22C6F">
        <w:t>;</w:t>
      </w:r>
      <w:r w:rsidR="00441DEB" w:rsidRPr="00E22C6F">
        <w:t xml:space="preserve"> </w:t>
      </w:r>
      <w:r w:rsidR="00AB69CC" w:rsidRPr="00E22C6F">
        <w:t>hereafter referred to as ‘Hyrimoz HCF’)</w:t>
      </w:r>
      <w:r w:rsidR="00B56916" w:rsidRPr="00E22C6F">
        <w:t xml:space="preserve">. </w:t>
      </w:r>
    </w:p>
    <w:p w14:paraId="58A27015" w14:textId="60EF0239" w:rsidR="00390973" w:rsidRPr="00E22C6F" w:rsidRDefault="00390973" w:rsidP="00634D70">
      <w:pPr>
        <w:widowControl w:val="0"/>
        <w:numPr>
          <w:ilvl w:val="1"/>
          <w:numId w:val="2"/>
        </w:numPr>
        <w:spacing w:after="120"/>
      </w:pPr>
      <w:r w:rsidRPr="00E22C6F">
        <w:t>The PBAC recommended</w:t>
      </w:r>
      <w:r w:rsidR="00A22849" w:rsidRPr="00E22C6F">
        <w:t xml:space="preserve"> </w:t>
      </w:r>
      <w:r w:rsidR="00ED77BF" w:rsidRPr="00E22C6F">
        <w:t>40</w:t>
      </w:r>
      <w:r w:rsidR="00E22C6F">
        <w:t xml:space="preserve"> </w:t>
      </w:r>
      <w:r w:rsidR="00ED77BF" w:rsidRPr="00E22C6F">
        <w:t>mg in 0.</w:t>
      </w:r>
      <w:r w:rsidR="00536309" w:rsidRPr="00E22C6F">
        <w:t>8</w:t>
      </w:r>
      <w:r w:rsidR="00E22C6F">
        <w:t xml:space="preserve"> </w:t>
      </w:r>
      <w:r w:rsidR="00ED77BF" w:rsidRPr="00E22C6F">
        <w:t>mL</w:t>
      </w:r>
      <w:r w:rsidR="0093440E" w:rsidRPr="00E22C6F">
        <w:t xml:space="preserve"> </w:t>
      </w:r>
      <w:r w:rsidR="000937D2" w:rsidRPr="00E22C6F">
        <w:t>PFP and PFS</w:t>
      </w:r>
      <w:r w:rsidR="00DD4C9E" w:rsidRPr="00E22C6F">
        <w:t xml:space="preserve"> </w:t>
      </w:r>
      <w:r w:rsidRPr="00E22C6F">
        <w:t xml:space="preserve">at its </w:t>
      </w:r>
      <w:r w:rsidR="00A22849" w:rsidRPr="00E22C6F">
        <w:t>March</w:t>
      </w:r>
      <w:r w:rsidRPr="00E22C6F">
        <w:t xml:space="preserve"> 202</w:t>
      </w:r>
      <w:r w:rsidR="004E635B" w:rsidRPr="00E22C6F">
        <w:t>0</w:t>
      </w:r>
      <w:r w:rsidRPr="00E22C6F">
        <w:t xml:space="preserve"> meeting</w:t>
      </w:r>
      <w:r w:rsidR="000937D2" w:rsidRPr="00E22C6F">
        <w:t xml:space="preserve"> and is currently </w:t>
      </w:r>
      <w:r w:rsidR="003A0211" w:rsidRPr="00E22C6F">
        <w:t>listed on the PBS</w:t>
      </w:r>
      <w:r w:rsidR="00536309" w:rsidRPr="00E22C6F">
        <w:t xml:space="preserve"> (the submission refers to these as low concentration formula Hyrimoz; hereafter referred to as ‘Hyrimoz LCF’)</w:t>
      </w:r>
      <w:r w:rsidR="00CB07BE" w:rsidRPr="00E22C6F">
        <w:t>.</w:t>
      </w:r>
    </w:p>
    <w:p w14:paraId="6CF917D5" w14:textId="19661C82" w:rsidR="00493E47" w:rsidRPr="00E22C6F" w:rsidRDefault="0040358A" w:rsidP="00634D70">
      <w:pPr>
        <w:widowControl w:val="0"/>
        <w:numPr>
          <w:ilvl w:val="1"/>
          <w:numId w:val="2"/>
        </w:numPr>
        <w:spacing w:after="120"/>
      </w:pPr>
      <w:r w:rsidRPr="00E22C6F">
        <w:t xml:space="preserve">Table </w:t>
      </w:r>
      <w:r w:rsidR="00441DEB" w:rsidRPr="00E22C6F">
        <w:t>1</w:t>
      </w:r>
      <w:r w:rsidRPr="00E22C6F">
        <w:t xml:space="preserve"> provides a summary of the </w:t>
      </w:r>
      <w:r w:rsidR="0036035D">
        <w:t xml:space="preserve">forms and strengths requested in the </w:t>
      </w:r>
      <w:r w:rsidRPr="00E22C6F">
        <w:t>submission a</w:t>
      </w:r>
      <w:r w:rsidR="0036035D">
        <w:t>gainst</w:t>
      </w:r>
      <w:r w:rsidRPr="00E22C6F">
        <w:t xml:space="preserve"> the current </w:t>
      </w:r>
      <w:r w:rsidR="0036035D">
        <w:t xml:space="preserve">forms and strengths </w:t>
      </w:r>
      <w:r w:rsidRPr="00E22C6F">
        <w:t xml:space="preserve">of adalimumab available </w:t>
      </w:r>
      <w:r w:rsidR="0036035D">
        <w:t xml:space="preserve">in </w:t>
      </w:r>
      <w:r w:rsidR="00CA6750">
        <w:t xml:space="preserve">the </w:t>
      </w:r>
      <w:r w:rsidR="0036035D">
        <w:t xml:space="preserve">different brands </w:t>
      </w:r>
      <w:r w:rsidRPr="00E22C6F">
        <w:t>on the PBS.</w:t>
      </w:r>
    </w:p>
    <w:p w14:paraId="1E18247B" w14:textId="784F18E0" w:rsidR="00AE5365" w:rsidRPr="002D591C" w:rsidRDefault="00AE5365" w:rsidP="00B51A9C">
      <w:pPr>
        <w:keepNext/>
        <w:keepLines/>
        <w:widowControl w:val="0"/>
        <w:rPr>
          <w:rFonts w:ascii="Arial Narrow" w:hAnsi="Arial Narrow"/>
          <w:b/>
          <w:bCs/>
          <w:sz w:val="20"/>
          <w:szCs w:val="20"/>
        </w:rPr>
      </w:pPr>
      <w:r w:rsidRPr="002D591C">
        <w:rPr>
          <w:rFonts w:ascii="Arial Narrow" w:hAnsi="Arial Narrow"/>
          <w:b/>
          <w:bCs/>
          <w:sz w:val="20"/>
          <w:szCs w:val="20"/>
        </w:rPr>
        <w:lastRenderedPageBreak/>
        <w:t xml:space="preserve">Table </w:t>
      </w:r>
      <w:r w:rsidR="00441DEB" w:rsidRPr="002D591C">
        <w:rPr>
          <w:rFonts w:ascii="Arial Narrow" w:hAnsi="Arial Narrow"/>
          <w:b/>
          <w:bCs/>
          <w:sz w:val="20"/>
          <w:szCs w:val="20"/>
        </w:rPr>
        <w:t>1</w:t>
      </w:r>
      <w:r w:rsidRPr="002D591C">
        <w:rPr>
          <w:rFonts w:ascii="Arial Narrow" w:hAnsi="Arial Narrow"/>
          <w:b/>
          <w:bCs/>
          <w:sz w:val="20"/>
          <w:szCs w:val="20"/>
        </w:rPr>
        <w:t>: Summary of the submission’s request and the current brands of adalimumab available on the PBS</w:t>
      </w:r>
    </w:p>
    <w:tbl>
      <w:tblPr>
        <w:tblStyle w:val="TableGrid"/>
        <w:tblW w:w="5000" w:type="pct"/>
        <w:tblLook w:val="04A0" w:firstRow="1" w:lastRow="0" w:firstColumn="1" w:lastColumn="0" w:noHBand="0" w:noVBand="1"/>
      </w:tblPr>
      <w:tblGrid>
        <w:gridCol w:w="3680"/>
        <w:gridCol w:w="2979"/>
        <w:gridCol w:w="2357"/>
      </w:tblGrid>
      <w:tr w:rsidR="004A20B5" w:rsidRPr="00AD4467" w14:paraId="6DB36450" w14:textId="6E48F99E" w:rsidTr="004A20B5">
        <w:tc>
          <w:tcPr>
            <w:tcW w:w="2041" w:type="pct"/>
          </w:tcPr>
          <w:p w14:paraId="2A65AEC5" w14:textId="77777777" w:rsidR="004A20B5" w:rsidRPr="002D591C" w:rsidRDefault="004A20B5" w:rsidP="00B51A9C">
            <w:pPr>
              <w:keepNext/>
              <w:keepLines/>
              <w:widowControl w:val="0"/>
              <w:rPr>
                <w:rFonts w:ascii="Arial Narrow" w:hAnsi="Arial Narrow"/>
                <w:sz w:val="20"/>
                <w:szCs w:val="20"/>
              </w:rPr>
            </w:pPr>
          </w:p>
        </w:tc>
        <w:tc>
          <w:tcPr>
            <w:tcW w:w="1652" w:type="pct"/>
          </w:tcPr>
          <w:p w14:paraId="19EE800E" w14:textId="5509A01C" w:rsidR="004A20B5" w:rsidRPr="002D591C" w:rsidRDefault="004A20B5" w:rsidP="00B51A9C">
            <w:pPr>
              <w:keepNext/>
              <w:keepLines/>
              <w:widowControl w:val="0"/>
              <w:rPr>
                <w:rFonts w:ascii="Arial Narrow" w:hAnsi="Arial Narrow"/>
                <w:b/>
                <w:bCs/>
                <w:sz w:val="20"/>
                <w:szCs w:val="20"/>
              </w:rPr>
            </w:pPr>
            <w:r w:rsidRPr="002D591C">
              <w:rPr>
                <w:rFonts w:ascii="Arial Narrow" w:hAnsi="Arial Narrow"/>
                <w:b/>
                <w:bCs/>
                <w:sz w:val="20"/>
                <w:szCs w:val="20"/>
              </w:rPr>
              <w:t>Brands available</w:t>
            </w:r>
          </w:p>
        </w:tc>
        <w:tc>
          <w:tcPr>
            <w:tcW w:w="1308" w:type="pct"/>
          </w:tcPr>
          <w:p w14:paraId="009D1BF0" w14:textId="2F4B7FA1" w:rsidR="004A20B5" w:rsidRPr="002D591C" w:rsidRDefault="0036035D" w:rsidP="00B51A9C">
            <w:pPr>
              <w:keepNext/>
              <w:keepLines/>
              <w:widowControl w:val="0"/>
              <w:rPr>
                <w:rFonts w:ascii="Arial Narrow" w:hAnsi="Arial Narrow"/>
                <w:b/>
                <w:bCs/>
                <w:sz w:val="20"/>
                <w:szCs w:val="20"/>
              </w:rPr>
            </w:pPr>
            <w:r w:rsidRPr="002D591C">
              <w:rPr>
                <w:rFonts w:ascii="Arial Narrow" w:hAnsi="Arial Narrow"/>
                <w:b/>
                <w:bCs/>
                <w:sz w:val="20"/>
                <w:szCs w:val="20"/>
              </w:rPr>
              <w:t>Form r</w:t>
            </w:r>
            <w:r w:rsidR="004A20B5" w:rsidRPr="002D591C">
              <w:rPr>
                <w:rFonts w:ascii="Arial Narrow" w:hAnsi="Arial Narrow"/>
                <w:b/>
                <w:bCs/>
                <w:sz w:val="20"/>
                <w:szCs w:val="20"/>
              </w:rPr>
              <w:t xml:space="preserve">equested </w:t>
            </w:r>
            <w:r w:rsidRPr="002D591C">
              <w:rPr>
                <w:rFonts w:ascii="Arial Narrow" w:hAnsi="Arial Narrow"/>
                <w:b/>
                <w:bCs/>
                <w:sz w:val="20"/>
                <w:szCs w:val="20"/>
              </w:rPr>
              <w:t xml:space="preserve">of Hyrimoz </w:t>
            </w:r>
            <w:r w:rsidR="004A20B5" w:rsidRPr="002D591C">
              <w:rPr>
                <w:rFonts w:ascii="Arial Narrow" w:hAnsi="Arial Narrow"/>
                <w:b/>
                <w:bCs/>
                <w:sz w:val="20"/>
                <w:szCs w:val="20"/>
              </w:rPr>
              <w:t>in the submission</w:t>
            </w:r>
          </w:p>
        </w:tc>
      </w:tr>
      <w:tr w:rsidR="004A20B5" w:rsidRPr="00AD4467" w14:paraId="16229303" w14:textId="26456B47" w:rsidTr="004A20B5">
        <w:tc>
          <w:tcPr>
            <w:tcW w:w="3692" w:type="pct"/>
            <w:gridSpan w:val="2"/>
            <w:shd w:val="clear" w:color="auto" w:fill="D9D9D9" w:themeFill="background1" w:themeFillShade="D9"/>
          </w:tcPr>
          <w:p w14:paraId="541DCBDC" w14:textId="01EEA106"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High concentration formulation (HCF)</w:t>
            </w:r>
          </w:p>
        </w:tc>
        <w:tc>
          <w:tcPr>
            <w:tcW w:w="1308" w:type="pct"/>
            <w:shd w:val="clear" w:color="auto" w:fill="D9D9D9" w:themeFill="background1" w:themeFillShade="D9"/>
          </w:tcPr>
          <w:p w14:paraId="50315943" w14:textId="77777777" w:rsidR="004A20B5" w:rsidRPr="002D591C" w:rsidRDefault="004A20B5" w:rsidP="00B51A9C">
            <w:pPr>
              <w:keepNext/>
              <w:keepLines/>
              <w:widowControl w:val="0"/>
              <w:rPr>
                <w:rFonts w:ascii="Arial Narrow" w:hAnsi="Arial Narrow"/>
                <w:sz w:val="20"/>
                <w:szCs w:val="20"/>
              </w:rPr>
            </w:pPr>
          </w:p>
        </w:tc>
      </w:tr>
      <w:tr w:rsidR="004A20B5" w:rsidRPr="00AD4467" w14:paraId="2384301E" w14:textId="103A35D9" w:rsidTr="004A20B5">
        <w:tc>
          <w:tcPr>
            <w:tcW w:w="2041" w:type="pct"/>
          </w:tcPr>
          <w:p w14:paraId="476E96A2" w14:textId="79D3301C"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adalimumab 20 mg in 0.2 mL pre-filled syringe</w:t>
            </w:r>
          </w:p>
        </w:tc>
        <w:tc>
          <w:tcPr>
            <w:tcW w:w="1652" w:type="pct"/>
          </w:tcPr>
          <w:p w14:paraId="1D9CCD7F" w14:textId="73779E40"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Humira</w:t>
            </w:r>
          </w:p>
        </w:tc>
        <w:tc>
          <w:tcPr>
            <w:tcW w:w="1308" w:type="pct"/>
          </w:tcPr>
          <w:p w14:paraId="2430812D" w14:textId="4234ACEC"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Yes</w:t>
            </w:r>
          </w:p>
        </w:tc>
      </w:tr>
      <w:tr w:rsidR="004A20B5" w:rsidRPr="00AD4467" w14:paraId="676927C9" w14:textId="73D86FCA" w:rsidTr="004A20B5">
        <w:tc>
          <w:tcPr>
            <w:tcW w:w="2041" w:type="pct"/>
          </w:tcPr>
          <w:p w14:paraId="48D1D945" w14:textId="58A5C80C"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adalimumab 20 mg in 0.4 mL pre-filled syringe</w:t>
            </w:r>
          </w:p>
        </w:tc>
        <w:tc>
          <w:tcPr>
            <w:tcW w:w="1652" w:type="pct"/>
          </w:tcPr>
          <w:p w14:paraId="358917F7" w14:textId="2317D4AF"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Amgevita</w:t>
            </w:r>
          </w:p>
        </w:tc>
        <w:tc>
          <w:tcPr>
            <w:tcW w:w="1308" w:type="pct"/>
          </w:tcPr>
          <w:p w14:paraId="51458D6C" w14:textId="2901A2A0"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No</w:t>
            </w:r>
          </w:p>
        </w:tc>
      </w:tr>
      <w:tr w:rsidR="004A20B5" w:rsidRPr="00AD4467" w14:paraId="7A1F6C6A" w14:textId="744F3795" w:rsidTr="004A20B5">
        <w:tc>
          <w:tcPr>
            <w:tcW w:w="2041" w:type="pct"/>
          </w:tcPr>
          <w:p w14:paraId="335C4363" w14:textId="57A1430F"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adalimumab 40 mg in 0.4 mL pre-filled pen</w:t>
            </w:r>
          </w:p>
        </w:tc>
        <w:tc>
          <w:tcPr>
            <w:tcW w:w="1652" w:type="pct"/>
          </w:tcPr>
          <w:p w14:paraId="7591EC34" w14:textId="5EDE17ED"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Humira, Adalicip, Yuflyma</w:t>
            </w:r>
          </w:p>
        </w:tc>
        <w:tc>
          <w:tcPr>
            <w:tcW w:w="1308" w:type="pct"/>
          </w:tcPr>
          <w:p w14:paraId="1E1436AF" w14:textId="5A67A2B2"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Yes</w:t>
            </w:r>
          </w:p>
        </w:tc>
      </w:tr>
      <w:tr w:rsidR="004A20B5" w:rsidRPr="00AD4467" w14:paraId="2B4760A6" w14:textId="08828C41" w:rsidTr="004A20B5">
        <w:tc>
          <w:tcPr>
            <w:tcW w:w="2041" w:type="pct"/>
          </w:tcPr>
          <w:p w14:paraId="228F2382" w14:textId="2B44BC9E"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adalimumab 40 mg in 0.4 mL pre-filled syringe</w:t>
            </w:r>
          </w:p>
        </w:tc>
        <w:tc>
          <w:tcPr>
            <w:tcW w:w="1652" w:type="pct"/>
          </w:tcPr>
          <w:p w14:paraId="6851F596" w14:textId="48D6FF3C"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Humira, Adalicip, Yuflyma</w:t>
            </w:r>
          </w:p>
        </w:tc>
        <w:tc>
          <w:tcPr>
            <w:tcW w:w="1308" w:type="pct"/>
          </w:tcPr>
          <w:p w14:paraId="134B4154" w14:textId="6AE06993"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Yes</w:t>
            </w:r>
          </w:p>
        </w:tc>
      </w:tr>
      <w:tr w:rsidR="004A20B5" w:rsidRPr="00AD4467" w14:paraId="2C4E9CE1" w14:textId="4915F155" w:rsidTr="004A20B5">
        <w:tc>
          <w:tcPr>
            <w:tcW w:w="2041" w:type="pct"/>
          </w:tcPr>
          <w:p w14:paraId="6C537C05" w14:textId="0009719B"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adalimumab 80 mg in 0.8 mL pre-filled pen</w:t>
            </w:r>
          </w:p>
        </w:tc>
        <w:tc>
          <w:tcPr>
            <w:tcW w:w="1652" w:type="pct"/>
          </w:tcPr>
          <w:p w14:paraId="59C9C31A" w14:textId="5442343D"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Humira</w:t>
            </w:r>
          </w:p>
        </w:tc>
        <w:tc>
          <w:tcPr>
            <w:tcW w:w="1308" w:type="pct"/>
          </w:tcPr>
          <w:p w14:paraId="69D81E19" w14:textId="65E539FD"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Yes</w:t>
            </w:r>
          </w:p>
        </w:tc>
      </w:tr>
      <w:tr w:rsidR="004A20B5" w:rsidRPr="00AD4467" w14:paraId="0585C4E0" w14:textId="23078538" w:rsidTr="004A20B5">
        <w:tc>
          <w:tcPr>
            <w:tcW w:w="2041" w:type="pct"/>
          </w:tcPr>
          <w:p w14:paraId="5EE534CF" w14:textId="1B45624F"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adalimumab 80 mg in 0.8 mL pre-filled syringe</w:t>
            </w:r>
          </w:p>
        </w:tc>
        <w:tc>
          <w:tcPr>
            <w:tcW w:w="1652" w:type="pct"/>
          </w:tcPr>
          <w:p w14:paraId="1A27D792" w14:textId="77C2FDB8"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Humira</w:t>
            </w:r>
          </w:p>
        </w:tc>
        <w:tc>
          <w:tcPr>
            <w:tcW w:w="1308" w:type="pct"/>
          </w:tcPr>
          <w:p w14:paraId="728E6A8A" w14:textId="0438E16A"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Yes</w:t>
            </w:r>
          </w:p>
        </w:tc>
      </w:tr>
      <w:tr w:rsidR="004A20B5" w:rsidRPr="00AD4467" w14:paraId="5CDBF3BC" w14:textId="5C9A2EFC" w:rsidTr="004A20B5">
        <w:tc>
          <w:tcPr>
            <w:tcW w:w="3692" w:type="pct"/>
            <w:gridSpan w:val="2"/>
            <w:shd w:val="clear" w:color="auto" w:fill="D9D9D9" w:themeFill="background1" w:themeFillShade="D9"/>
          </w:tcPr>
          <w:p w14:paraId="44611E80" w14:textId="2D407B58"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Low concentration formulation (LCF)</w:t>
            </w:r>
          </w:p>
        </w:tc>
        <w:tc>
          <w:tcPr>
            <w:tcW w:w="1308" w:type="pct"/>
            <w:shd w:val="clear" w:color="auto" w:fill="D9D9D9" w:themeFill="background1" w:themeFillShade="D9"/>
          </w:tcPr>
          <w:p w14:paraId="22096752" w14:textId="77777777" w:rsidR="004A20B5" w:rsidRPr="002D591C" w:rsidRDefault="004A20B5" w:rsidP="00B51A9C">
            <w:pPr>
              <w:keepNext/>
              <w:keepLines/>
              <w:widowControl w:val="0"/>
              <w:rPr>
                <w:rFonts w:ascii="Arial Narrow" w:hAnsi="Arial Narrow"/>
                <w:sz w:val="20"/>
                <w:szCs w:val="20"/>
              </w:rPr>
            </w:pPr>
          </w:p>
        </w:tc>
      </w:tr>
      <w:tr w:rsidR="004A20B5" w:rsidRPr="00AD4467" w14:paraId="6D34166E" w14:textId="5DCD6C3C" w:rsidTr="004A20B5">
        <w:tc>
          <w:tcPr>
            <w:tcW w:w="2041" w:type="pct"/>
          </w:tcPr>
          <w:p w14:paraId="5DA864FF" w14:textId="4FD92504"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adalimumab 40 mg in 0.8 mL pre-filled pen</w:t>
            </w:r>
          </w:p>
        </w:tc>
        <w:tc>
          <w:tcPr>
            <w:tcW w:w="1652" w:type="pct"/>
          </w:tcPr>
          <w:p w14:paraId="08BA46A0" w14:textId="3D0EC255"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Amgevita, Hadlima, Hyrimoz, Idacio</w:t>
            </w:r>
          </w:p>
        </w:tc>
        <w:tc>
          <w:tcPr>
            <w:tcW w:w="1308" w:type="pct"/>
          </w:tcPr>
          <w:p w14:paraId="2CBE2386" w14:textId="322E80C5" w:rsidR="004A20B5" w:rsidRPr="002D591C" w:rsidRDefault="004A20B5" w:rsidP="00B51A9C">
            <w:pPr>
              <w:keepNext/>
              <w:keepLines/>
              <w:widowControl w:val="0"/>
              <w:rPr>
                <w:rFonts w:ascii="Arial Narrow" w:hAnsi="Arial Narrow"/>
                <w:sz w:val="20"/>
                <w:szCs w:val="20"/>
              </w:rPr>
            </w:pPr>
            <w:r w:rsidRPr="002D591C">
              <w:rPr>
                <w:rFonts w:ascii="Arial Narrow" w:hAnsi="Arial Narrow"/>
                <w:sz w:val="20"/>
                <w:szCs w:val="20"/>
              </w:rPr>
              <w:t>No</w:t>
            </w:r>
          </w:p>
        </w:tc>
      </w:tr>
    </w:tbl>
    <w:p w14:paraId="5050F427" w14:textId="157D9EFB" w:rsidR="009749BE" w:rsidRPr="002D591C" w:rsidRDefault="00A42BE9" w:rsidP="004E0937">
      <w:pPr>
        <w:widowControl w:val="0"/>
        <w:spacing w:after="120"/>
        <w:rPr>
          <w:rFonts w:ascii="Arial Narrow" w:hAnsi="Arial Narrow"/>
          <w:sz w:val="18"/>
          <w:szCs w:val="18"/>
        </w:rPr>
      </w:pPr>
      <w:r w:rsidRPr="002D591C">
        <w:rPr>
          <w:rFonts w:ascii="Arial Narrow" w:hAnsi="Arial Narrow"/>
          <w:sz w:val="18"/>
          <w:szCs w:val="18"/>
        </w:rPr>
        <w:t>Table compiled during evaluation.</w:t>
      </w:r>
    </w:p>
    <w:p w14:paraId="00B4749E" w14:textId="7CCEDA42" w:rsidR="0051344F" w:rsidRPr="00E22C6F" w:rsidRDefault="00964A9F" w:rsidP="00B81E7E">
      <w:pPr>
        <w:pStyle w:val="2-SectionHeading"/>
        <w:numPr>
          <w:ilvl w:val="0"/>
          <w:numId w:val="2"/>
        </w:numPr>
      </w:pPr>
      <w:r w:rsidRPr="00E22C6F">
        <w:t xml:space="preserve">Requested listing </w:t>
      </w:r>
    </w:p>
    <w:p w14:paraId="2B25163B" w14:textId="77777777" w:rsidR="0051643A" w:rsidRPr="0051643A" w:rsidRDefault="00964A9F" w:rsidP="0051643A">
      <w:pPr>
        <w:pStyle w:val="ListParagraph"/>
        <w:numPr>
          <w:ilvl w:val="1"/>
          <w:numId w:val="2"/>
        </w:numPr>
        <w:rPr>
          <w:rFonts w:ascii="Calibri" w:hAnsi="Calibri" w:cs="Times New Roman"/>
          <w:snapToGrid/>
        </w:rPr>
      </w:pPr>
      <w:r w:rsidRPr="00E22C6F">
        <w:t>The submission request</w:t>
      </w:r>
      <w:r w:rsidR="00452010" w:rsidRPr="00E22C6F">
        <w:t>s</w:t>
      </w:r>
      <w:r w:rsidRPr="00E22C6F">
        <w:t xml:space="preserve"> </w:t>
      </w:r>
      <w:r w:rsidR="00E13FF6" w:rsidRPr="00E22C6F">
        <w:t xml:space="preserve">listing </w:t>
      </w:r>
      <w:r w:rsidR="00496B90" w:rsidRPr="00E22C6F">
        <w:t xml:space="preserve">Hyrimoz </w:t>
      </w:r>
      <w:r w:rsidR="00D43B6C" w:rsidRPr="00E22C6F">
        <w:t xml:space="preserve">HCF </w:t>
      </w:r>
      <w:r w:rsidR="00E13FF6" w:rsidRPr="00E22C6F">
        <w:t>under the same circumstances as the PBS-listed reference biologic Humira.</w:t>
      </w:r>
      <w:r w:rsidRPr="00E22C6F">
        <w:t xml:space="preserve"> </w:t>
      </w:r>
      <w:r w:rsidR="0051643A" w:rsidRPr="0051643A">
        <w:rPr>
          <w:rFonts w:ascii="Calibri" w:hAnsi="Calibri" w:cs="Times New Roman"/>
          <w:snapToGrid/>
        </w:rPr>
        <w:t xml:space="preserve">If listed, Hyrimoz HCF will be the first PBS-listed biosimilar brand of adalimumab in the 20 mg in 0.2 mL and 80 mg in 0.8 mL presentations. </w:t>
      </w:r>
    </w:p>
    <w:p w14:paraId="3AA1F90F" w14:textId="0F2B844F" w:rsidR="00963297" w:rsidRPr="00E22C6F" w:rsidRDefault="00963297" w:rsidP="00963297">
      <w:pPr>
        <w:pStyle w:val="ListParagraph"/>
        <w:numPr>
          <w:ilvl w:val="1"/>
          <w:numId w:val="2"/>
        </w:numPr>
        <w:spacing w:after="160" w:line="259" w:lineRule="auto"/>
        <w:contextualSpacing/>
        <w:jc w:val="both"/>
        <w:rPr>
          <w:rFonts w:cstheme="minorBidi"/>
          <w:szCs w:val="22"/>
        </w:rPr>
      </w:pPr>
      <w:r w:rsidRPr="00E22C6F">
        <w:rPr>
          <w:rFonts w:cstheme="minorBidi"/>
          <w:szCs w:val="22"/>
        </w:rPr>
        <w:t xml:space="preserve">The PBS indications </w:t>
      </w:r>
      <w:r w:rsidR="007C7EF2">
        <w:rPr>
          <w:rFonts w:cstheme="minorBidi"/>
          <w:szCs w:val="22"/>
        </w:rPr>
        <w:t xml:space="preserve">requested in the submission </w:t>
      </w:r>
      <w:r w:rsidRPr="00E22C6F">
        <w:rPr>
          <w:rFonts w:cstheme="minorBidi"/>
          <w:szCs w:val="22"/>
        </w:rPr>
        <w:t xml:space="preserve">for Hyrimoz </w:t>
      </w:r>
      <w:r w:rsidR="00181BCF" w:rsidRPr="00E22C6F">
        <w:rPr>
          <w:rFonts w:cstheme="minorBidi"/>
          <w:szCs w:val="22"/>
        </w:rPr>
        <w:t xml:space="preserve">HCF </w:t>
      </w:r>
      <w:r w:rsidRPr="00E22C6F">
        <w:rPr>
          <w:rFonts w:cstheme="minorBidi"/>
          <w:szCs w:val="22"/>
        </w:rPr>
        <w:t xml:space="preserve">are: </w:t>
      </w:r>
    </w:p>
    <w:p w14:paraId="72DC872B" w14:textId="77777777" w:rsidR="00963297" w:rsidRPr="00E22C6F" w:rsidRDefault="00963297" w:rsidP="00F217E6">
      <w:pPr>
        <w:pStyle w:val="ListParagraph"/>
        <w:widowControl w:val="0"/>
        <w:numPr>
          <w:ilvl w:val="1"/>
          <w:numId w:val="43"/>
        </w:numPr>
        <w:ind w:hanging="447"/>
        <w:contextualSpacing/>
        <w:jc w:val="both"/>
        <w:rPr>
          <w:rFonts w:cstheme="minorBidi"/>
          <w:szCs w:val="22"/>
        </w:rPr>
      </w:pPr>
      <w:bookmarkStart w:id="2" w:name="_Hlk171433054"/>
      <w:r w:rsidRPr="00E22C6F">
        <w:rPr>
          <w:rFonts w:cstheme="minorBidi"/>
          <w:szCs w:val="22"/>
        </w:rPr>
        <w:t xml:space="preserve">Severe Crohn disease </w:t>
      </w:r>
    </w:p>
    <w:p w14:paraId="113A6AD8" w14:textId="77777777" w:rsidR="00963297" w:rsidRPr="00E22C6F" w:rsidRDefault="00963297" w:rsidP="00F217E6">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Moderate to severe ulcerative colitis </w:t>
      </w:r>
    </w:p>
    <w:p w14:paraId="09219B71" w14:textId="77777777" w:rsidR="00963297" w:rsidRPr="00E22C6F" w:rsidRDefault="00963297" w:rsidP="00F217E6">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Severe active juvenile idiopathic arthritis </w:t>
      </w:r>
    </w:p>
    <w:p w14:paraId="6954EFA7" w14:textId="77777777" w:rsidR="00963297" w:rsidRPr="00E22C6F" w:rsidRDefault="00963297" w:rsidP="00F217E6">
      <w:pPr>
        <w:pStyle w:val="ListParagraph"/>
        <w:widowControl w:val="0"/>
        <w:numPr>
          <w:ilvl w:val="1"/>
          <w:numId w:val="43"/>
        </w:numPr>
        <w:ind w:hanging="447"/>
        <w:contextualSpacing/>
        <w:jc w:val="both"/>
        <w:rPr>
          <w:rFonts w:cstheme="minorBidi"/>
          <w:szCs w:val="22"/>
        </w:rPr>
      </w:pPr>
      <w:r w:rsidRPr="00E22C6F">
        <w:rPr>
          <w:rFonts w:cstheme="minorBidi"/>
          <w:szCs w:val="22"/>
        </w:rPr>
        <w:t>Complex refractory Fistulising Crohn disease</w:t>
      </w:r>
    </w:p>
    <w:p w14:paraId="7A7ABCF2" w14:textId="77777777" w:rsidR="00963297" w:rsidRPr="00E22C6F" w:rsidRDefault="00963297" w:rsidP="00F217E6">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Severe active rheumatoid arthritis </w:t>
      </w:r>
    </w:p>
    <w:p w14:paraId="51AF839A" w14:textId="77777777" w:rsidR="00963297" w:rsidRPr="00E22C6F" w:rsidRDefault="00963297" w:rsidP="00F217E6">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Severe psoriatic arthritis </w:t>
      </w:r>
    </w:p>
    <w:p w14:paraId="5558962B" w14:textId="77777777" w:rsidR="00963297" w:rsidRPr="00E22C6F" w:rsidRDefault="00963297" w:rsidP="00F217E6">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Ankylosing spondylitis </w:t>
      </w:r>
    </w:p>
    <w:p w14:paraId="4285C6B0" w14:textId="77777777" w:rsidR="00963297" w:rsidRPr="00E22C6F" w:rsidRDefault="00963297" w:rsidP="00F217E6">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Severe chronic plaque psoriasis </w:t>
      </w:r>
    </w:p>
    <w:p w14:paraId="21242A54" w14:textId="5F6A1544" w:rsidR="00963297" w:rsidRPr="00E22C6F" w:rsidRDefault="00963297" w:rsidP="009B4CDD">
      <w:pPr>
        <w:pStyle w:val="ListParagraph"/>
        <w:widowControl w:val="0"/>
        <w:numPr>
          <w:ilvl w:val="1"/>
          <w:numId w:val="43"/>
        </w:numPr>
        <w:ind w:hanging="448"/>
        <w:jc w:val="both"/>
        <w:rPr>
          <w:rFonts w:cstheme="minorBidi"/>
          <w:szCs w:val="22"/>
        </w:rPr>
      </w:pPr>
      <w:r w:rsidRPr="00E22C6F">
        <w:rPr>
          <w:rFonts w:cstheme="minorBidi"/>
          <w:szCs w:val="22"/>
        </w:rPr>
        <w:t>Moderate to severe hidradenitis suppurativa</w:t>
      </w:r>
    </w:p>
    <w:p w14:paraId="6906AE61" w14:textId="234BAD1A" w:rsidR="002B6D79" w:rsidRPr="00B41F86" w:rsidRDefault="0051643A" w:rsidP="00701092">
      <w:pPr>
        <w:pStyle w:val="ListParagraph"/>
        <w:numPr>
          <w:ilvl w:val="1"/>
          <w:numId w:val="2"/>
        </w:numPr>
        <w:jc w:val="both"/>
        <w:rPr>
          <w:rFonts w:ascii="Calibri" w:hAnsi="Calibri" w:cs="Times New Roman"/>
          <w:snapToGrid/>
        </w:rPr>
      </w:pPr>
      <w:bookmarkStart w:id="3" w:name="_Hlk170224684"/>
      <w:bookmarkEnd w:id="2"/>
      <w:r>
        <w:t>The submission did not request H</w:t>
      </w:r>
      <w:r w:rsidR="00441E23">
        <w:t>y</w:t>
      </w:r>
      <w:r>
        <w:t xml:space="preserve">rimoz </w:t>
      </w:r>
      <w:r w:rsidR="003D4EDD">
        <w:t xml:space="preserve">be listed </w:t>
      </w:r>
      <w:r>
        <w:t xml:space="preserve">for </w:t>
      </w:r>
      <w:r w:rsidRPr="00B41F86">
        <w:t>vision-threatening non-infectious uveitis</w:t>
      </w:r>
      <w:r>
        <w:t>.</w:t>
      </w:r>
      <w:r w:rsidRPr="00B41F86">
        <w:t xml:space="preserve"> </w:t>
      </w:r>
      <w:r w:rsidR="00441E23">
        <w:t>A</w:t>
      </w:r>
      <w:r w:rsidR="00441E23" w:rsidRPr="00B41F86">
        <w:t>t its March 2024 meeting</w:t>
      </w:r>
      <w:r w:rsidR="00441E23">
        <w:t>,</w:t>
      </w:r>
      <w:r w:rsidR="00441E23" w:rsidRPr="00B41F86">
        <w:t xml:space="preserve"> </w:t>
      </w:r>
      <w:r w:rsidR="00441E23">
        <w:t>t</w:t>
      </w:r>
      <w:r w:rsidR="002B6D79" w:rsidRPr="00B41F86">
        <w:t>he PBAC recommended the General Schedule, Authority Required listing of adalimumab (Humira) for the treatment of vision-threatening non-infectious uveitis (adal</w:t>
      </w:r>
      <w:r w:rsidR="002A6947" w:rsidRPr="00B41F86">
        <w:t>i</w:t>
      </w:r>
      <w:r w:rsidR="002B6D79" w:rsidRPr="00B41F86">
        <w:t>mumab (Humira)</w:t>
      </w:r>
      <w:r w:rsidR="002A6947" w:rsidRPr="00B41F86">
        <w:t>, March 2024 PBAC meeting outcome</w:t>
      </w:r>
      <w:r w:rsidR="00493E47" w:rsidRPr="00B41F86">
        <w:t>)</w:t>
      </w:r>
      <w:r w:rsidR="002B6D79" w:rsidRPr="00267C10">
        <w:t xml:space="preserve">. </w:t>
      </w:r>
      <w:r w:rsidR="00441E23">
        <w:t>In its March 2024 consideration, t</w:t>
      </w:r>
      <w:r w:rsidR="00441E23" w:rsidRPr="00441E23">
        <w:t xml:space="preserve">he PBAC noted multiple biosimilars were available for adalimumab and considered existing ‘a’ </w:t>
      </w:r>
      <w:proofErr w:type="gramStart"/>
      <w:r w:rsidR="00441E23" w:rsidRPr="00441E23">
        <w:t>flagging arrangements</w:t>
      </w:r>
      <w:proofErr w:type="gramEnd"/>
      <w:r w:rsidR="00441E23" w:rsidRPr="00441E23">
        <w:t xml:space="preserve"> should be implemented for the listing for non-infectious uveitis </w:t>
      </w:r>
      <w:r w:rsidR="00441E23">
        <w:t>(</w:t>
      </w:r>
      <w:r w:rsidR="00441E23" w:rsidRPr="00441E23">
        <w:t>para</w:t>
      </w:r>
      <w:r w:rsidR="00441E23">
        <w:t>graph</w:t>
      </w:r>
      <w:r w:rsidR="00441E23" w:rsidRPr="00441E23">
        <w:t xml:space="preserve"> 7.20</w:t>
      </w:r>
      <w:r w:rsidR="00441E23">
        <w:t>, adalimumab (Humira) Public Summary Document (PSD), March 2024 PBAC meeting</w:t>
      </w:r>
      <w:r w:rsidR="003D4EDD">
        <w:t>)</w:t>
      </w:r>
      <w:r w:rsidR="00441E23" w:rsidRPr="00441E23">
        <w:t>.</w:t>
      </w:r>
      <w:r w:rsidR="00441E23">
        <w:t xml:space="preserve"> </w:t>
      </w:r>
      <w:r w:rsidR="002A6947" w:rsidRPr="00B41F86">
        <w:t xml:space="preserve">The PBAC </w:t>
      </w:r>
      <w:r w:rsidR="00267C10">
        <w:t>was asked</w:t>
      </w:r>
      <w:r w:rsidR="000F70B6" w:rsidRPr="00B41F86">
        <w:t xml:space="preserve"> </w:t>
      </w:r>
      <w:r w:rsidR="002A6947" w:rsidRPr="00B41F86">
        <w:t xml:space="preserve">to </w:t>
      </w:r>
      <w:r w:rsidR="00213DA9" w:rsidRPr="00B41F86">
        <w:t xml:space="preserve">advise </w:t>
      </w:r>
      <w:r w:rsidR="002A6947" w:rsidRPr="00B41F86">
        <w:t xml:space="preserve">whether </w:t>
      </w:r>
      <w:r w:rsidR="00213DA9" w:rsidRPr="00B41F86">
        <w:t xml:space="preserve">it would consider </w:t>
      </w:r>
      <w:r w:rsidR="002A6947" w:rsidRPr="00B41F86">
        <w:t>Hyrimoz</w:t>
      </w:r>
      <w:r w:rsidR="00213DA9" w:rsidRPr="00B41F86">
        <w:t xml:space="preserve"> cost-effective under the same circumstances as Humira, including for those in which it recommended listing Humira for uveitis</w:t>
      </w:r>
      <w:r w:rsidR="002A6947" w:rsidRPr="00B41F86">
        <w:t xml:space="preserve">, noting that </w:t>
      </w:r>
      <w:r w:rsidR="00D20A02" w:rsidRPr="00B41F86">
        <w:t xml:space="preserve">Hyrimoz </w:t>
      </w:r>
      <w:r w:rsidR="002A6947" w:rsidRPr="00B41F86">
        <w:t xml:space="preserve">is TGA approved for this indication (Hyrimoz TGA approval letter). </w:t>
      </w:r>
    </w:p>
    <w:bookmarkEnd w:id="3"/>
    <w:p w14:paraId="2476CD71" w14:textId="47313631" w:rsidR="00474028" w:rsidRPr="00940963" w:rsidRDefault="007B3B18" w:rsidP="001A06B1">
      <w:pPr>
        <w:widowControl w:val="0"/>
        <w:numPr>
          <w:ilvl w:val="1"/>
          <w:numId w:val="2"/>
        </w:numPr>
        <w:spacing w:after="120"/>
      </w:pPr>
      <w:r w:rsidRPr="00940963">
        <w:t xml:space="preserve">The PBAC </w:t>
      </w:r>
      <w:r w:rsidR="00267C10" w:rsidRPr="00940963">
        <w:t xml:space="preserve">was </w:t>
      </w:r>
      <w:r w:rsidRPr="00940963">
        <w:t>asked to advise whether biosimilar uptake drivers, including the differential authority requirements for subsequent continuing treatment between the reference and biosimilar brands</w:t>
      </w:r>
      <w:r w:rsidR="00FA44BD" w:rsidRPr="00940963">
        <w:t>;</w:t>
      </w:r>
      <w:r w:rsidRPr="00940963">
        <w:t xml:space="preserve"> and inclusion of an administrative note encouraging </w:t>
      </w:r>
      <w:r w:rsidRPr="00940963">
        <w:lastRenderedPageBreak/>
        <w:t xml:space="preserve">the use of biosimilar brands for treatment naïve patients, should apply to Hyrimoz HCF PFS and PFP if it is recommended for listing. </w:t>
      </w:r>
    </w:p>
    <w:p w14:paraId="14CB308B" w14:textId="4FEDAFB2" w:rsidR="00513971" w:rsidRPr="00940963" w:rsidRDefault="00DF7A57" w:rsidP="00701092">
      <w:pPr>
        <w:pStyle w:val="3Bodytext"/>
        <w:numPr>
          <w:ilvl w:val="1"/>
          <w:numId w:val="2"/>
        </w:numPr>
        <w:jc w:val="both"/>
      </w:pPr>
      <w:r w:rsidRPr="00940963">
        <w:t xml:space="preserve">Table 2 is a summary of the current brands, forms and strengths of adalimumab available on the PBS which are equivalent to each other for the purposes of substitution. </w:t>
      </w:r>
      <w:r w:rsidR="00513971" w:rsidRPr="00940963">
        <w:t xml:space="preserve">The PBAC </w:t>
      </w:r>
      <w:r w:rsidR="00267C10" w:rsidRPr="00940963">
        <w:t xml:space="preserve">was </w:t>
      </w:r>
      <w:r w:rsidR="00513971" w:rsidRPr="00940963">
        <w:t>asked to advise, under Section 101(4AACD) of the</w:t>
      </w:r>
      <w:r w:rsidR="000C3C1D" w:rsidRPr="00940963">
        <w:t xml:space="preserve"> </w:t>
      </w:r>
      <w:r w:rsidR="00513971" w:rsidRPr="000049FD">
        <w:rPr>
          <w:i/>
          <w:iCs/>
        </w:rPr>
        <w:t>National Health Act 1953</w:t>
      </w:r>
      <w:r w:rsidR="00513971" w:rsidRPr="00940963">
        <w:t xml:space="preserve"> whether, in the Schedule of Pharmaceutical Benefits:</w:t>
      </w:r>
    </w:p>
    <w:p w14:paraId="6756D166" w14:textId="475B09C8" w:rsidR="002C1F76" w:rsidRPr="00940963" w:rsidRDefault="00D02AB4" w:rsidP="00FB01D2">
      <w:pPr>
        <w:pStyle w:val="3Bodytext"/>
        <w:numPr>
          <w:ilvl w:val="2"/>
          <w:numId w:val="59"/>
        </w:numPr>
      </w:pPr>
      <w:r>
        <w:t>T</w:t>
      </w:r>
      <w:r w:rsidR="002C1F76" w:rsidRPr="00940963">
        <w:t xml:space="preserve">he PFS of </w:t>
      </w:r>
      <w:r w:rsidR="00A03638" w:rsidRPr="00940963">
        <w:t xml:space="preserve">Hyrimoz HCF should be </w:t>
      </w:r>
      <w:r w:rsidR="002C1F76" w:rsidRPr="00940963">
        <w:t xml:space="preserve">treated as equivalent to </w:t>
      </w:r>
      <w:r w:rsidR="00A03638" w:rsidRPr="00940963">
        <w:t>the different brands of adalimumab of the same strength for specific indications (see Table 2) for the purposes of substitution (i.e. ‘a’ flagged in the schedule)</w:t>
      </w:r>
      <w:r w:rsidR="002C1F76" w:rsidRPr="00940963">
        <w:t>; with the exception that the 40 mg in 0.4 mL PFS of the different brands of adalimumab should be treated as equivalent to the 40 mg in 0.8 mL PFS of the different brands of adalimumab.</w:t>
      </w:r>
    </w:p>
    <w:p w14:paraId="4100EF2C" w14:textId="0A931ADF" w:rsidR="002C1F76" w:rsidRPr="00940963" w:rsidRDefault="00D02AB4" w:rsidP="00FB01D2">
      <w:pPr>
        <w:pStyle w:val="3Bodytext"/>
        <w:numPr>
          <w:ilvl w:val="2"/>
          <w:numId w:val="59"/>
        </w:numPr>
      </w:pPr>
      <w:r>
        <w:t>T</w:t>
      </w:r>
      <w:r w:rsidR="002C1F76" w:rsidRPr="00940963">
        <w:t>he PFP of</w:t>
      </w:r>
      <w:r w:rsidR="00A03638" w:rsidRPr="00940963">
        <w:t xml:space="preserve"> Hyrimoz HCF</w:t>
      </w:r>
      <w:r w:rsidR="002C1F76" w:rsidRPr="00940963">
        <w:t xml:space="preserve"> should be treated as equivalent to </w:t>
      </w:r>
      <w:r w:rsidR="00A03638" w:rsidRPr="00940963">
        <w:t xml:space="preserve">the different brands of adalimumab of the same strength for specific indications (see Table 2) </w:t>
      </w:r>
      <w:r w:rsidR="002C1F76" w:rsidRPr="00940963">
        <w:t>for the purposes of substitution (i.e. ‘a’ flagged in the schedule), with the exception that the 40 mg in 0.4 mL PFP of the different brands of adalimumab should be treated as equivalent to the 40 mg in 0.8 mL PFP of the different brands of adalimumab.</w:t>
      </w:r>
    </w:p>
    <w:p w14:paraId="019A1CE1" w14:textId="77777777" w:rsidR="00577A29" w:rsidRDefault="00577A29" w:rsidP="00EB26D9">
      <w:pPr>
        <w:widowControl w:val="0"/>
        <w:rPr>
          <w:rFonts w:ascii="Arial Narrow" w:hAnsi="Arial Narrow"/>
          <w:b/>
          <w:bCs/>
          <w:sz w:val="20"/>
          <w:szCs w:val="20"/>
        </w:rPr>
      </w:pPr>
      <w:r>
        <w:rPr>
          <w:rFonts w:ascii="Arial Narrow" w:hAnsi="Arial Narrow"/>
          <w:b/>
          <w:bCs/>
          <w:sz w:val="20"/>
          <w:szCs w:val="20"/>
        </w:rPr>
        <w:br w:type="page"/>
      </w:r>
    </w:p>
    <w:p w14:paraId="1DE9CAA4" w14:textId="5E3DBD75" w:rsidR="00404640" w:rsidRPr="000049FD" w:rsidRDefault="00404640" w:rsidP="00EB26D9">
      <w:pPr>
        <w:widowControl w:val="0"/>
        <w:rPr>
          <w:rFonts w:ascii="Arial Narrow" w:hAnsi="Arial Narrow"/>
          <w:b/>
          <w:bCs/>
          <w:sz w:val="20"/>
          <w:szCs w:val="20"/>
        </w:rPr>
      </w:pPr>
      <w:r w:rsidRPr="000049FD">
        <w:rPr>
          <w:rFonts w:ascii="Arial Narrow" w:hAnsi="Arial Narrow"/>
          <w:b/>
          <w:bCs/>
          <w:sz w:val="20"/>
          <w:szCs w:val="20"/>
        </w:rPr>
        <w:lastRenderedPageBreak/>
        <w:t>Table 2: Summary of the current brands, forms and strengths of adalimumab available on the PBS which are equivalent to each other for the purposes of substitution (i.e. ‘a’ flagged in the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3"/>
        <w:gridCol w:w="1845"/>
        <w:gridCol w:w="3208"/>
      </w:tblGrid>
      <w:tr w:rsidR="00404640" w:rsidRPr="000049FD" w14:paraId="60CF7749" w14:textId="77777777" w:rsidTr="00EB26D9">
        <w:trPr>
          <w:trHeight w:val="290"/>
        </w:trPr>
        <w:tc>
          <w:tcPr>
            <w:tcW w:w="2198" w:type="pct"/>
            <w:shd w:val="clear" w:color="auto" w:fill="auto"/>
            <w:noWrap/>
            <w:vAlign w:val="bottom"/>
            <w:hideMark/>
          </w:tcPr>
          <w:p w14:paraId="2D0FB44B" w14:textId="77777777" w:rsidR="00404640" w:rsidRPr="000049FD" w:rsidRDefault="00404640" w:rsidP="00973750">
            <w:pPr>
              <w:jc w:val="left"/>
              <w:rPr>
                <w:rFonts w:ascii="Arial Narrow" w:hAnsi="Arial Narrow" w:cs="Calibri"/>
                <w:b/>
                <w:bCs/>
                <w:color w:val="000000"/>
                <w:sz w:val="20"/>
                <w:szCs w:val="20"/>
              </w:rPr>
            </w:pPr>
            <w:r w:rsidRPr="000049FD">
              <w:rPr>
                <w:rFonts w:ascii="Arial Narrow" w:hAnsi="Arial Narrow" w:cs="Calibri"/>
                <w:b/>
                <w:bCs/>
                <w:color w:val="000000"/>
                <w:sz w:val="20"/>
                <w:szCs w:val="20"/>
              </w:rPr>
              <w:t>Form</w:t>
            </w:r>
          </w:p>
        </w:tc>
        <w:tc>
          <w:tcPr>
            <w:tcW w:w="1023" w:type="pct"/>
          </w:tcPr>
          <w:p w14:paraId="4E847C5C" w14:textId="77777777" w:rsidR="00404640" w:rsidRPr="000049FD" w:rsidRDefault="00404640" w:rsidP="00973750">
            <w:pPr>
              <w:jc w:val="left"/>
              <w:rPr>
                <w:rFonts w:ascii="Arial Narrow" w:hAnsi="Arial Narrow" w:cs="Calibri"/>
                <w:b/>
                <w:bCs/>
                <w:color w:val="000000"/>
                <w:sz w:val="20"/>
                <w:szCs w:val="20"/>
              </w:rPr>
            </w:pPr>
            <w:r w:rsidRPr="000049FD">
              <w:rPr>
                <w:rFonts w:ascii="Arial Narrow" w:hAnsi="Arial Narrow" w:cs="Calibri"/>
                <w:b/>
                <w:bCs/>
                <w:color w:val="000000"/>
                <w:sz w:val="20"/>
                <w:szCs w:val="20"/>
              </w:rPr>
              <w:t>Brand Name</w:t>
            </w:r>
          </w:p>
        </w:tc>
        <w:tc>
          <w:tcPr>
            <w:tcW w:w="1780" w:type="pct"/>
          </w:tcPr>
          <w:p w14:paraId="4BA3AA77" w14:textId="77777777" w:rsidR="00404640" w:rsidRPr="000049FD" w:rsidRDefault="00404640" w:rsidP="00973750">
            <w:pPr>
              <w:jc w:val="left"/>
              <w:rPr>
                <w:rFonts w:ascii="Arial Narrow" w:hAnsi="Arial Narrow" w:cs="Calibri"/>
                <w:b/>
                <w:bCs/>
                <w:color w:val="000000"/>
                <w:sz w:val="20"/>
                <w:szCs w:val="20"/>
              </w:rPr>
            </w:pPr>
            <w:r w:rsidRPr="000049FD">
              <w:rPr>
                <w:rFonts w:ascii="Arial Narrow" w:hAnsi="Arial Narrow" w:cs="Calibri"/>
                <w:b/>
                <w:bCs/>
                <w:color w:val="000000"/>
                <w:sz w:val="20"/>
                <w:szCs w:val="20"/>
              </w:rPr>
              <w:t>a-flagged (Y/N/if an exception applies)</w:t>
            </w:r>
          </w:p>
        </w:tc>
      </w:tr>
      <w:tr w:rsidR="00404640" w:rsidRPr="000049FD" w14:paraId="7670F2EE" w14:textId="77777777" w:rsidTr="00973750">
        <w:trPr>
          <w:trHeight w:val="290"/>
        </w:trPr>
        <w:tc>
          <w:tcPr>
            <w:tcW w:w="5000" w:type="pct"/>
            <w:gridSpan w:val="3"/>
            <w:shd w:val="clear" w:color="auto" w:fill="auto"/>
            <w:noWrap/>
          </w:tcPr>
          <w:p w14:paraId="1220267B" w14:textId="77777777" w:rsidR="00404640" w:rsidRPr="00B41F86" w:rsidRDefault="00404640" w:rsidP="00973750">
            <w:pPr>
              <w:jc w:val="center"/>
              <w:rPr>
                <w:rFonts w:ascii="Arial Narrow" w:hAnsi="Arial Narrow" w:cs="Calibri"/>
                <w:color w:val="000000"/>
                <w:sz w:val="20"/>
                <w:szCs w:val="20"/>
              </w:rPr>
            </w:pPr>
            <w:r w:rsidRPr="00B41F86">
              <w:rPr>
                <w:rFonts w:ascii="Arial Narrow" w:hAnsi="Arial Narrow" w:cs="Calibri"/>
                <w:color w:val="000000"/>
                <w:sz w:val="20"/>
                <w:szCs w:val="20"/>
              </w:rPr>
              <w:t>‘a’ flagging for 20mg adalimumab syringe</w:t>
            </w:r>
          </w:p>
        </w:tc>
      </w:tr>
      <w:tr w:rsidR="00404640" w:rsidRPr="000049FD" w14:paraId="184E69B7" w14:textId="77777777" w:rsidTr="00E80190">
        <w:trPr>
          <w:trHeight w:val="138"/>
        </w:trPr>
        <w:tc>
          <w:tcPr>
            <w:tcW w:w="2198" w:type="pct"/>
            <w:shd w:val="clear" w:color="auto" w:fill="auto"/>
            <w:noWrap/>
            <w:hideMark/>
          </w:tcPr>
          <w:p w14:paraId="662481C8"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20 mg/0.2 mL injection, 2 x 0.2 mL syringes</w:t>
            </w:r>
          </w:p>
        </w:tc>
        <w:tc>
          <w:tcPr>
            <w:tcW w:w="1023" w:type="pct"/>
          </w:tcPr>
          <w:p w14:paraId="2193B019"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Humira</w:t>
            </w:r>
          </w:p>
        </w:tc>
        <w:tc>
          <w:tcPr>
            <w:tcW w:w="1780" w:type="pct"/>
          </w:tcPr>
          <w:p w14:paraId="39D76BC6"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2B775CE3" w14:textId="77777777" w:rsidTr="00701092">
        <w:trPr>
          <w:trHeight w:val="290"/>
        </w:trPr>
        <w:tc>
          <w:tcPr>
            <w:tcW w:w="2198" w:type="pct"/>
            <w:shd w:val="clear" w:color="auto" w:fill="auto"/>
            <w:noWrap/>
            <w:hideMark/>
          </w:tcPr>
          <w:p w14:paraId="133A62B5"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20 mg/0.4 mL injection, 0.4 mL syringe</w:t>
            </w:r>
          </w:p>
        </w:tc>
        <w:tc>
          <w:tcPr>
            <w:tcW w:w="1023" w:type="pct"/>
          </w:tcPr>
          <w:p w14:paraId="41E96955"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Amgevita</w:t>
            </w:r>
          </w:p>
        </w:tc>
        <w:tc>
          <w:tcPr>
            <w:tcW w:w="1780" w:type="pct"/>
          </w:tcPr>
          <w:p w14:paraId="327AC8D5" w14:textId="77777777" w:rsidR="00404640" w:rsidRPr="000049FD" w:rsidRDefault="00404640" w:rsidP="00973750">
            <w:pPr>
              <w:jc w:val="left"/>
              <w:rPr>
                <w:rFonts w:ascii="Arial Narrow" w:hAnsi="Arial Narrow" w:cs="Calibri"/>
                <w:color w:val="000000"/>
                <w:sz w:val="20"/>
                <w:szCs w:val="20"/>
                <w:vertAlign w:val="superscript"/>
              </w:rPr>
            </w:pPr>
            <w:r w:rsidRPr="000049FD">
              <w:rPr>
                <w:rFonts w:ascii="Arial Narrow" w:hAnsi="Arial Narrow" w:cs="Calibri"/>
                <w:color w:val="000000"/>
                <w:sz w:val="20"/>
                <w:szCs w:val="20"/>
              </w:rPr>
              <w:t>Y, except for item codes 12351C</w:t>
            </w:r>
            <w:r w:rsidRPr="000049FD">
              <w:rPr>
                <w:rFonts w:ascii="Arial Narrow" w:hAnsi="Arial Narrow" w:cs="Calibri"/>
                <w:color w:val="000000"/>
                <w:sz w:val="20"/>
                <w:szCs w:val="20"/>
                <w:vertAlign w:val="superscript"/>
              </w:rPr>
              <w:t>a</w:t>
            </w:r>
            <w:r w:rsidRPr="000049FD">
              <w:rPr>
                <w:rFonts w:ascii="Arial Narrow" w:hAnsi="Arial Narrow" w:cs="Calibri"/>
                <w:color w:val="000000"/>
                <w:sz w:val="20"/>
                <w:szCs w:val="20"/>
              </w:rPr>
              <w:t xml:space="preserve"> &amp; 12436M</w:t>
            </w:r>
            <w:r w:rsidRPr="000049FD">
              <w:rPr>
                <w:rFonts w:ascii="Arial Narrow" w:hAnsi="Arial Narrow" w:cs="Calibri"/>
                <w:color w:val="000000"/>
                <w:sz w:val="20"/>
                <w:szCs w:val="20"/>
                <w:vertAlign w:val="superscript"/>
              </w:rPr>
              <w:t>b</w:t>
            </w:r>
          </w:p>
        </w:tc>
      </w:tr>
      <w:tr w:rsidR="00404640" w:rsidRPr="000049FD" w14:paraId="4F0D79AD" w14:textId="77777777" w:rsidTr="00973750">
        <w:trPr>
          <w:trHeight w:val="290"/>
        </w:trPr>
        <w:tc>
          <w:tcPr>
            <w:tcW w:w="5000" w:type="pct"/>
            <w:gridSpan w:val="3"/>
            <w:shd w:val="clear" w:color="auto" w:fill="auto"/>
            <w:noWrap/>
          </w:tcPr>
          <w:p w14:paraId="1D332B36" w14:textId="77777777" w:rsidR="00404640" w:rsidRPr="00B41F86" w:rsidRDefault="00404640" w:rsidP="00973750">
            <w:pPr>
              <w:jc w:val="center"/>
              <w:rPr>
                <w:rFonts w:ascii="Arial Narrow" w:hAnsi="Arial Narrow" w:cs="Calibri"/>
                <w:color w:val="000000"/>
                <w:sz w:val="20"/>
                <w:szCs w:val="20"/>
              </w:rPr>
            </w:pPr>
            <w:r w:rsidRPr="00B41F86">
              <w:rPr>
                <w:rFonts w:ascii="Arial Narrow" w:hAnsi="Arial Narrow" w:cs="Calibri"/>
                <w:color w:val="000000"/>
                <w:sz w:val="20"/>
                <w:szCs w:val="20"/>
              </w:rPr>
              <w:t>‘a’ flagging for 40mg adalimumab pen devices</w:t>
            </w:r>
          </w:p>
        </w:tc>
      </w:tr>
      <w:tr w:rsidR="00404640" w:rsidRPr="000049FD" w14:paraId="6E1729C3" w14:textId="77777777" w:rsidTr="00E80190">
        <w:trPr>
          <w:trHeight w:val="123"/>
        </w:trPr>
        <w:tc>
          <w:tcPr>
            <w:tcW w:w="2198" w:type="pct"/>
            <w:vMerge w:val="restart"/>
            <w:shd w:val="clear" w:color="auto" w:fill="auto"/>
            <w:noWrap/>
            <w:hideMark/>
          </w:tcPr>
          <w:p w14:paraId="5301D17D"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40 mg/0.4 mL injection, 2 x 0.4 mL pen devices **</w:t>
            </w:r>
          </w:p>
        </w:tc>
        <w:tc>
          <w:tcPr>
            <w:tcW w:w="1023" w:type="pct"/>
          </w:tcPr>
          <w:p w14:paraId="1C1C383F" w14:textId="3C0360E1"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Adalicip</w:t>
            </w:r>
          </w:p>
        </w:tc>
        <w:tc>
          <w:tcPr>
            <w:tcW w:w="1780" w:type="pct"/>
          </w:tcPr>
          <w:p w14:paraId="01A6910C"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1EE9A256" w14:textId="77777777" w:rsidTr="00E80190">
        <w:trPr>
          <w:trHeight w:val="736"/>
        </w:trPr>
        <w:tc>
          <w:tcPr>
            <w:tcW w:w="2198" w:type="pct"/>
            <w:vMerge/>
            <w:shd w:val="clear" w:color="auto" w:fill="auto"/>
            <w:noWrap/>
          </w:tcPr>
          <w:p w14:paraId="09AA04B9" w14:textId="77777777" w:rsidR="00404640" w:rsidRPr="000049FD" w:rsidRDefault="00404640" w:rsidP="00973750">
            <w:pPr>
              <w:jc w:val="left"/>
              <w:rPr>
                <w:rFonts w:ascii="Arial Narrow" w:hAnsi="Arial Narrow" w:cs="Calibri"/>
                <w:color w:val="000000"/>
                <w:sz w:val="20"/>
                <w:szCs w:val="20"/>
              </w:rPr>
            </w:pPr>
          </w:p>
        </w:tc>
        <w:tc>
          <w:tcPr>
            <w:tcW w:w="1023" w:type="pct"/>
          </w:tcPr>
          <w:p w14:paraId="5A83D4FE"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Humira</w:t>
            </w:r>
          </w:p>
        </w:tc>
        <w:tc>
          <w:tcPr>
            <w:tcW w:w="1780" w:type="pct"/>
          </w:tcPr>
          <w:p w14:paraId="0E8EFF6D" w14:textId="77777777" w:rsidR="00404640" w:rsidRPr="000049FD" w:rsidRDefault="00404640" w:rsidP="00973750">
            <w:pPr>
              <w:jc w:val="left"/>
              <w:rPr>
                <w:rFonts w:ascii="Arial Narrow" w:hAnsi="Arial Narrow" w:cs="Calibri"/>
                <w:color w:val="000000"/>
                <w:sz w:val="20"/>
                <w:szCs w:val="20"/>
                <w:vertAlign w:val="superscript"/>
              </w:rPr>
            </w:pPr>
            <w:r w:rsidRPr="000049FD">
              <w:rPr>
                <w:rFonts w:ascii="Arial Narrow" w:hAnsi="Arial Narrow" w:cs="Calibri"/>
                <w:color w:val="000000"/>
                <w:sz w:val="20"/>
                <w:szCs w:val="20"/>
              </w:rPr>
              <w:t>Y, except for item codes 13211H</w:t>
            </w:r>
            <w:r w:rsidRPr="000049FD">
              <w:rPr>
                <w:rFonts w:ascii="Arial Narrow" w:hAnsi="Arial Narrow" w:cs="Calibri"/>
                <w:color w:val="000000"/>
                <w:sz w:val="20"/>
                <w:szCs w:val="20"/>
                <w:vertAlign w:val="superscript"/>
              </w:rPr>
              <w:t>a</w:t>
            </w:r>
            <w:r w:rsidRPr="000049FD">
              <w:rPr>
                <w:rFonts w:ascii="Arial Narrow" w:hAnsi="Arial Narrow" w:cs="Calibri"/>
                <w:color w:val="000000"/>
                <w:sz w:val="20"/>
                <w:szCs w:val="20"/>
              </w:rPr>
              <w:t>, 13214L</w:t>
            </w:r>
            <w:r w:rsidRPr="000049FD">
              <w:rPr>
                <w:rFonts w:ascii="Arial Narrow" w:hAnsi="Arial Narrow" w:cs="Calibri"/>
                <w:color w:val="000000"/>
                <w:sz w:val="20"/>
                <w:szCs w:val="20"/>
                <w:vertAlign w:val="superscript"/>
              </w:rPr>
              <w:t>c</w:t>
            </w:r>
            <w:r w:rsidRPr="000049FD">
              <w:rPr>
                <w:rFonts w:ascii="Arial Narrow" w:hAnsi="Arial Narrow" w:cs="Calibri"/>
                <w:color w:val="000000"/>
                <w:sz w:val="20"/>
                <w:szCs w:val="20"/>
              </w:rPr>
              <w:t>, 13215M</w:t>
            </w:r>
            <w:r w:rsidRPr="000049FD">
              <w:rPr>
                <w:rFonts w:ascii="Arial Narrow" w:hAnsi="Arial Narrow" w:cs="Calibri"/>
                <w:color w:val="000000"/>
                <w:sz w:val="20"/>
                <w:szCs w:val="20"/>
                <w:vertAlign w:val="superscript"/>
              </w:rPr>
              <w:t>d</w:t>
            </w:r>
            <w:r w:rsidRPr="000049FD">
              <w:rPr>
                <w:rFonts w:ascii="Arial Narrow" w:hAnsi="Arial Narrow" w:cs="Calibri"/>
                <w:color w:val="000000"/>
                <w:sz w:val="20"/>
                <w:szCs w:val="20"/>
              </w:rPr>
              <w:t>, 13221W</w:t>
            </w:r>
            <w:r w:rsidRPr="000049FD">
              <w:rPr>
                <w:rFonts w:ascii="Arial Narrow" w:hAnsi="Arial Narrow" w:cs="Calibri"/>
                <w:color w:val="000000"/>
                <w:sz w:val="20"/>
                <w:szCs w:val="20"/>
                <w:vertAlign w:val="superscript"/>
              </w:rPr>
              <w:t>e</w:t>
            </w:r>
            <w:r w:rsidRPr="000049FD">
              <w:rPr>
                <w:rFonts w:ascii="Arial Narrow" w:hAnsi="Arial Narrow" w:cs="Calibri"/>
                <w:color w:val="000000"/>
                <w:sz w:val="20"/>
                <w:szCs w:val="20"/>
              </w:rPr>
              <w:t>, 13223Y</w:t>
            </w:r>
            <w:r w:rsidRPr="000049FD">
              <w:rPr>
                <w:rFonts w:ascii="Arial Narrow" w:hAnsi="Arial Narrow" w:cs="Calibri"/>
                <w:color w:val="000000"/>
                <w:sz w:val="20"/>
                <w:szCs w:val="20"/>
                <w:vertAlign w:val="superscript"/>
              </w:rPr>
              <w:t>f</w:t>
            </w:r>
            <w:r w:rsidRPr="000049FD">
              <w:rPr>
                <w:rFonts w:ascii="Arial Narrow" w:hAnsi="Arial Narrow" w:cs="Calibri"/>
                <w:color w:val="000000"/>
                <w:sz w:val="20"/>
                <w:szCs w:val="20"/>
              </w:rPr>
              <w:t>, 13224B</w:t>
            </w:r>
            <w:r w:rsidRPr="000049FD">
              <w:rPr>
                <w:rFonts w:ascii="Arial Narrow" w:hAnsi="Arial Narrow" w:cs="Calibri"/>
                <w:color w:val="000000"/>
                <w:sz w:val="20"/>
                <w:szCs w:val="20"/>
                <w:vertAlign w:val="superscript"/>
              </w:rPr>
              <w:t>b</w:t>
            </w:r>
            <w:r w:rsidRPr="000049FD">
              <w:rPr>
                <w:rFonts w:ascii="Arial Narrow" w:hAnsi="Arial Narrow" w:cs="Calibri"/>
                <w:color w:val="000000"/>
                <w:sz w:val="20"/>
                <w:szCs w:val="20"/>
              </w:rPr>
              <w:t>, 13225C</w:t>
            </w:r>
            <w:r w:rsidRPr="000049FD">
              <w:rPr>
                <w:rFonts w:ascii="Arial Narrow" w:hAnsi="Arial Narrow" w:cs="Calibri"/>
                <w:color w:val="000000"/>
                <w:sz w:val="20"/>
                <w:szCs w:val="20"/>
                <w:vertAlign w:val="superscript"/>
              </w:rPr>
              <w:t>b</w:t>
            </w:r>
            <w:r w:rsidRPr="000049FD">
              <w:rPr>
                <w:rFonts w:ascii="Arial Narrow" w:hAnsi="Arial Narrow" w:cs="Calibri"/>
                <w:color w:val="000000"/>
                <w:sz w:val="20"/>
                <w:szCs w:val="20"/>
              </w:rPr>
              <w:t>, 13226D</w:t>
            </w:r>
            <w:r w:rsidRPr="000049FD">
              <w:rPr>
                <w:rFonts w:ascii="Arial Narrow" w:hAnsi="Arial Narrow" w:cs="Calibri"/>
                <w:color w:val="000000"/>
                <w:sz w:val="20"/>
                <w:szCs w:val="20"/>
                <w:vertAlign w:val="superscript"/>
              </w:rPr>
              <w:t>g</w:t>
            </w:r>
            <w:r w:rsidRPr="000049FD">
              <w:rPr>
                <w:rFonts w:ascii="Arial Narrow" w:hAnsi="Arial Narrow" w:cs="Calibri"/>
                <w:color w:val="000000"/>
                <w:sz w:val="20"/>
                <w:szCs w:val="20"/>
              </w:rPr>
              <w:t>, 13230H</w:t>
            </w:r>
            <w:r w:rsidRPr="000049FD">
              <w:rPr>
                <w:rFonts w:ascii="Arial Narrow" w:hAnsi="Arial Narrow" w:cs="Calibri"/>
                <w:color w:val="000000"/>
                <w:sz w:val="20"/>
                <w:szCs w:val="20"/>
                <w:vertAlign w:val="superscript"/>
              </w:rPr>
              <w:t>h</w:t>
            </w:r>
            <w:r w:rsidRPr="000049FD">
              <w:rPr>
                <w:rFonts w:ascii="Arial Narrow" w:hAnsi="Arial Narrow" w:cs="Calibri"/>
                <w:color w:val="000000"/>
                <w:sz w:val="20"/>
                <w:szCs w:val="20"/>
              </w:rPr>
              <w:t>,</w:t>
            </w:r>
            <w:r w:rsidRPr="000049FD">
              <w:rPr>
                <w:rFonts w:ascii="Arial Narrow" w:hAnsi="Arial Narrow"/>
                <w:sz w:val="20"/>
                <w:szCs w:val="20"/>
              </w:rPr>
              <w:t xml:space="preserve"> </w:t>
            </w:r>
            <w:r w:rsidRPr="000049FD">
              <w:rPr>
                <w:rFonts w:ascii="Arial Narrow" w:hAnsi="Arial Narrow" w:cs="Calibri"/>
                <w:color w:val="000000"/>
                <w:sz w:val="20"/>
                <w:szCs w:val="20"/>
              </w:rPr>
              <w:t>13691N</w:t>
            </w:r>
            <w:r w:rsidRPr="000049FD">
              <w:rPr>
                <w:rFonts w:ascii="Arial Narrow" w:hAnsi="Arial Narrow" w:cs="Calibri"/>
                <w:color w:val="000000"/>
                <w:sz w:val="20"/>
                <w:szCs w:val="20"/>
                <w:vertAlign w:val="superscript"/>
              </w:rPr>
              <w:t>i</w:t>
            </w:r>
            <w:r w:rsidRPr="000049FD">
              <w:rPr>
                <w:rFonts w:ascii="Arial Narrow" w:hAnsi="Arial Narrow" w:cs="Calibri"/>
                <w:color w:val="000000"/>
                <w:sz w:val="20"/>
                <w:szCs w:val="20"/>
              </w:rPr>
              <w:t>, 13703F</w:t>
            </w:r>
            <w:r w:rsidRPr="000049FD">
              <w:rPr>
                <w:rFonts w:ascii="Arial Narrow" w:hAnsi="Arial Narrow" w:cs="Calibri"/>
                <w:color w:val="000000"/>
                <w:sz w:val="20"/>
                <w:szCs w:val="20"/>
                <w:vertAlign w:val="superscript"/>
              </w:rPr>
              <w:t>i</w:t>
            </w:r>
            <w:r w:rsidRPr="000049FD">
              <w:rPr>
                <w:rFonts w:ascii="Arial Narrow" w:hAnsi="Arial Narrow" w:cs="Calibri"/>
                <w:color w:val="000000"/>
                <w:sz w:val="20"/>
                <w:szCs w:val="20"/>
              </w:rPr>
              <w:t xml:space="preserve"> &amp; 13764K</w:t>
            </w:r>
            <w:r w:rsidRPr="000049FD">
              <w:rPr>
                <w:rFonts w:ascii="Arial Narrow" w:hAnsi="Arial Narrow" w:cs="Calibri"/>
                <w:color w:val="000000"/>
                <w:sz w:val="20"/>
                <w:szCs w:val="20"/>
                <w:vertAlign w:val="superscript"/>
              </w:rPr>
              <w:t>g</w:t>
            </w:r>
          </w:p>
        </w:tc>
      </w:tr>
      <w:tr w:rsidR="00404640" w:rsidRPr="000049FD" w14:paraId="5788113D" w14:textId="77777777" w:rsidTr="00E80190">
        <w:trPr>
          <w:trHeight w:val="84"/>
        </w:trPr>
        <w:tc>
          <w:tcPr>
            <w:tcW w:w="2198" w:type="pct"/>
            <w:vMerge/>
            <w:shd w:val="clear" w:color="auto" w:fill="auto"/>
            <w:noWrap/>
          </w:tcPr>
          <w:p w14:paraId="04057764" w14:textId="77777777" w:rsidR="00404640" w:rsidRPr="000049FD" w:rsidRDefault="00404640" w:rsidP="00973750">
            <w:pPr>
              <w:jc w:val="left"/>
              <w:rPr>
                <w:rFonts w:ascii="Arial Narrow" w:hAnsi="Arial Narrow" w:cs="Calibri"/>
                <w:color w:val="000000"/>
                <w:sz w:val="20"/>
                <w:szCs w:val="20"/>
              </w:rPr>
            </w:pPr>
          </w:p>
        </w:tc>
        <w:tc>
          <w:tcPr>
            <w:tcW w:w="1023" w:type="pct"/>
          </w:tcPr>
          <w:p w14:paraId="60C1E901"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Yuflyma</w:t>
            </w:r>
          </w:p>
        </w:tc>
        <w:tc>
          <w:tcPr>
            <w:tcW w:w="1780" w:type="pct"/>
          </w:tcPr>
          <w:p w14:paraId="0A14B59D"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7CD5CC39" w14:textId="77777777" w:rsidTr="00E80190">
        <w:trPr>
          <w:trHeight w:val="66"/>
        </w:trPr>
        <w:tc>
          <w:tcPr>
            <w:tcW w:w="2198" w:type="pct"/>
            <w:shd w:val="clear" w:color="auto" w:fill="auto"/>
            <w:noWrap/>
          </w:tcPr>
          <w:p w14:paraId="1A0A3CC3"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40 mg/0.8 mL injection, 2 x 0.8 mL pen devices**</w:t>
            </w:r>
          </w:p>
        </w:tc>
        <w:tc>
          <w:tcPr>
            <w:tcW w:w="1023" w:type="pct"/>
          </w:tcPr>
          <w:p w14:paraId="75BF57F5" w14:textId="0C44DA7D"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Amgevita</w:t>
            </w:r>
          </w:p>
        </w:tc>
        <w:tc>
          <w:tcPr>
            <w:tcW w:w="1780" w:type="pct"/>
          </w:tcPr>
          <w:p w14:paraId="489E52A8"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027FE342" w14:textId="77777777" w:rsidTr="00E80190">
        <w:trPr>
          <w:trHeight w:val="66"/>
        </w:trPr>
        <w:tc>
          <w:tcPr>
            <w:tcW w:w="2198" w:type="pct"/>
            <w:shd w:val="clear" w:color="auto" w:fill="auto"/>
            <w:noWrap/>
          </w:tcPr>
          <w:p w14:paraId="310894B4" w14:textId="77777777" w:rsidR="00404640" w:rsidRPr="000049FD" w:rsidRDefault="00404640" w:rsidP="00973750">
            <w:pPr>
              <w:jc w:val="left"/>
              <w:rPr>
                <w:rFonts w:ascii="Arial Narrow" w:hAnsi="Arial Narrow" w:cs="Calibri"/>
                <w:color w:val="000000"/>
                <w:sz w:val="20"/>
                <w:szCs w:val="20"/>
              </w:rPr>
            </w:pPr>
          </w:p>
        </w:tc>
        <w:tc>
          <w:tcPr>
            <w:tcW w:w="1023" w:type="pct"/>
          </w:tcPr>
          <w:p w14:paraId="20DA1B63" w14:textId="487E95DF"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Hadlima</w:t>
            </w:r>
          </w:p>
        </w:tc>
        <w:tc>
          <w:tcPr>
            <w:tcW w:w="1780" w:type="pct"/>
          </w:tcPr>
          <w:p w14:paraId="6A5964E0"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21497B3F" w14:textId="77777777" w:rsidTr="00E80190">
        <w:trPr>
          <w:trHeight w:val="66"/>
        </w:trPr>
        <w:tc>
          <w:tcPr>
            <w:tcW w:w="2198" w:type="pct"/>
            <w:shd w:val="clear" w:color="auto" w:fill="auto"/>
            <w:noWrap/>
          </w:tcPr>
          <w:p w14:paraId="7F3E1471" w14:textId="77777777" w:rsidR="00404640" w:rsidRPr="000049FD" w:rsidRDefault="00404640" w:rsidP="00973750">
            <w:pPr>
              <w:jc w:val="left"/>
              <w:rPr>
                <w:rFonts w:ascii="Arial Narrow" w:hAnsi="Arial Narrow" w:cs="Calibri"/>
                <w:color w:val="000000"/>
                <w:sz w:val="20"/>
                <w:szCs w:val="20"/>
              </w:rPr>
            </w:pPr>
          </w:p>
        </w:tc>
        <w:tc>
          <w:tcPr>
            <w:tcW w:w="1023" w:type="pct"/>
          </w:tcPr>
          <w:p w14:paraId="10C6B849" w14:textId="3B486926"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Hyrimoz</w:t>
            </w:r>
          </w:p>
        </w:tc>
        <w:tc>
          <w:tcPr>
            <w:tcW w:w="1780" w:type="pct"/>
          </w:tcPr>
          <w:p w14:paraId="32988C41"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1496BAC8" w14:textId="77777777" w:rsidTr="00E80190">
        <w:trPr>
          <w:trHeight w:val="66"/>
        </w:trPr>
        <w:tc>
          <w:tcPr>
            <w:tcW w:w="2198" w:type="pct"/>
            <w:shd w:val="clear" w:color="auto" w:fill="auto"/>
            <w:noWrap/>
          </w:tcPr>
          <w:p w14:paraId="1B09ED5D" w14:textId="77777777" w:rsidR="00404640" w:rsidRPr="000049FD" w:rsidRDefault="00404640" w:rsidP="00973750">
            <w:pPr>
              <w:jc w:val="left"/>
              <w:rPr>
                <w:rFonts w:ascii="Arial Narrow" w:hAnsi="Arial Narrow" w:cs="Calibri"/>
                <w:color w:val="000000"/>
                <w:sz w:val="20"/>
                <w:szCs w:val="20"/>
              </w:rPr>
            </w:pPr>
          </w:p>
        </w:tc>
        <w:tc>
          <w:tcPr>
            <w:tcW w:w="1023" w:type="pct"/>
          </w:tcPr>
          <w:p w14:paraId="66E3DB94"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Idacio</w:t>
            </w:r>
          </w:p>
        </w:tc>
        <w:tc>
          <w:tcPr>
            <w:tcW w:w="1780" w:type="pct"/>
          </w:tcPr>
          <w:p w14:paraId="4E6BB1F4"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057F9EA4" w14:textId="77777777" w:rsidTr="00973750">
        <w:trPr>
          <w:trHeight w:val="290"/>
        </w:trPr>
        <w:tc>
          <w:tcPr>
            <w:tcW w:w="5000" w:type="pct"/>
            <w:gridSpan w:val="3"/>
            <w:shd w:val="clear" w:color="auto" w:fill="auto"/>
            <w:noWrap/>
          </w:tcPr>
          <w:p w14:paraId="758835AA" w14:textId="77777777" w:rsidR="00404640" w:rsidRPr="000049FD" w:rsidRDefault="00404640" w:rsidP="00973750">
            <w:pPr>
              <w:jc w:val="center"/>
              <w:rPr>
                <w:rFonts w:ascii="Arial Narrow" w:hAnsi="Arial Narrow" w:cs="Calibri"/>
                <w:color w:val="000000"/>
                <w:sz w:val="20"/>
                <w:szCs w:val="20"/>
              </w:rPr>
            </w:pPr>
            <w:r w:rsidRPr="00B41F86">
              <w:rPr>
                <w:rFonts w:ascii="Arial Narrow" w:hAnsi="Arial Narrow" w:cs="Calibri"/>
                <w:color w:val="000000"/>
                <w:sz w:val="20"/>
                <w:szCs w:val="20"/>
              </w:rPr>
              <w:t>‘a’ flagging for 40mg adalimumab syringes</w:t>
            </w:r>
          </w:p>
        </w:tc>
      </w:tr>
      <w:tr w:rsidR="00404640" w:rsidRPr="000049FD" w14:paraId="6AC19F6D" w14:textId="77777777" w:rsidTr="00E80190">
        <w:trPr>
          <w:trHeight w:val="66"/>
        </w:trPr>
        <w:tc>
          <w:tcPr>
            <w:tcW w:w="2198" w:type="pct"/>
            <w:vMerge w:val="restart"/>
            <w:shd w:val="clear" w:color="auto" w:fill="auto"/>
            <w:noWrap/>
          </w:tcPr>
          <w:p w14:paraId="0BF5B201"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40 mg/0.4 mL injection, 2 x 0.4 mL syringes*</w:t>
            </w:r>
          </w:p>
        </w:tc>
        <w:tc>
          <w:tcPr>
            <w:tcW w:w="1023" w:type="pct"/>
          </w:tcPr>
          <w:p w14:paraId="6C160FA6" w14:textId="3629D341"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Adalicip</w:t>
            </w:r>
          </w:p>
        </w:tc>
        <w:tc>
          <w:tcPr>
            <w:tcW w:w="1780" w:type="pct"/>
          </w:tcPr>
          <w:p w14:paraId="25633A55"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3E13DEF3" w14:textId="77777777" w:rsidTr="00701092">
        <w:trPr>
          <w:trHeight w:val="290"/>
        </w:trPr>
        <w:tc>
          <w:tcPr>
            <w:tcW w:w="2198" w:type="pct"/>
            <w:vMerge/>
            <w:shd w:val="clear" w:color="auto" w:fill="auto"/>
            <w:noWrap/>
          </w:tcPr>
          <w:p w14:paraId="210DFC8E" w14:textId="77777777" w:rsidR="00404640" w:rsidRPr="000049FD" w:rsidRDefault="00404640" w:rsidP="00973750">
            <w:pPr>
              <w:jc w:val="left"/>
              <w:rPr>
                <w:rFonts w:ascii="Arial Narrow" w:hAnsi="Arial Narrow" w:cs="Calibri"/>
                <w:color w:val="000000"/>
                <w:sz w:val="20"/>
                <w:szCs w:val="20"/>
              </w:rPr>
            </w:pPr>
          </w:p>
        </w:tc>
        <w:tc>
          <w:tcPr>
            <w:tcW w:w="1023" w:type="pct"/>
          </w:tcPr>
          <w:p w14:paraId="309E92E7"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Humira</w:t>
            </w:r>
          </w:p>
          <w:p w14:paraId="4E766E0D" w14:textId="77777777" w:rsidR="00404640" w:rsidRPr="000049FD" w:rsidRDefault="00404640" w:rsidP="00973750">
            <w:pPr>
              <w:jc w:val="left"/>
              <w:rPr>
                <w:rFonts w:ascii="Arial Narrow" w:hAnsi="Arial Narrow" w:cs="Calibri"/>
                <w:color w:val="000000"/>
                <w:sz w:val="20"/>
                <w:szCs w:val="20"/>
              </w:rPr>
            </w:pPr>
          </w:p>
        </w:tc>
        <w:tc>
          <w:tcPr>
            <w:tcW w:w="1780" w:type="pct"/>
          </w:tcPr>
          <w:p w14:paraId="3068C32A" w14:textId="77777777" w:rsidR="00404640" w:rsidRPr="000049FD" w:rsidRDefault="00404640" w:rsidP="00973750">
            <w:pPr>
              <w:jc w:val="left"/>
              <w:rPr>
                <w:rFonts w:ascii="Arial Narrow" w:hAnsi="Arial Narrow" w:cs="Calibri"/>
                <w:color w:val="000000"/>
                <w:sz w:val="20"/>
                <w:szCs w:val="20"/>
                <w:vertAlign w:val="superscript"/>
              </w:rPr>
            </w:pPr>
            <w:r w:rsidRPr="000049FD">
              <w:rPr>
                <w:rFonts w:ascii="Arial Narrow" w:hAnsi="Arial Narrow" w:cs="Calibri"/>
                <w:color w:val="000000"/>
                <w:sz w:val="20"/>
                <w:szCs w:val="20"/>
              </w:rPr>
              <w:t>Y, except for item codes 13208E</w:t>
            </w:r>
            <w:r w:rsidRPr="000049FD">
              <w:rPr>
                <w:rFonts w:ascii="Arial Narrow" w:hAnsi="Arial Narrow" w:cs="Calibri"/>
                <w:color w:val="000000"/>
                <w:sz w:val="20"/>
                <w:szCs w:val="20"/>
                <w:vertAlign w:val="superscript"/>
              </w:rPr>
              <w:t>g</w:t>
            </w:r>
            <w:r w:rsidRPr="000049FD">
              <w:rPr>
                <w:rFonts w:ascii="Arial Narrow" w:hAnsi="Arial Narrow" w:cs="Calibri"/>
                <w:color w:val="000000"/>
                <w:sz w:val="20"/>
                <w:szCs w:val="20"/>
              </w:rPr>
              <w:t>, 13209F</w:t>
            </w:r>
            <w:r w:rsidRPr="000049FD">
              <w:rPr>
                <w:rFonts w:ascii="Arial Narrow" w:hAnsi="Arial Narrow" w:cs="Calibri"/>
                <w:color w:val="000000"/>
                <w:sz w:val="20"/>
                <w:szCs w:val="20"/>
                <w:vertAlign w:val="superscript"/>
              </w:rPr>
              <w:t>f</w:t>
            </w:r>
            <w:r w:rsidRPr="000049FD">
              <w:rPr>
                <w:rFonts w:ascii="Arial Narrow" w:hAnsi="Arial Narrow" w:cs="Calibri"/>
                <w:color w:val="000000"/>
                <w:sz w:val="20"/>
                <w:szCs w:val="20"/>
              </w:rPr>
              <w:t>, 13213K</w:t>
            </w:r>
            <w:r w:rsidRPr="000049FD">
              <w:rPr>
                <w:rFonts w:ascii="Arial Narrow" w:hAnsi="Arial Narrow" w:cs="Calibri"/>
                <w:color w:val="000000"/>
                <w:sz w:val="20"/>
                <w:szCs w:val="20"/>
                <w:vertAlign w:val="superscript"/>
              </w:rPr>
              <w:t>a</w:t>
            </w:r>
            <w:r w:rsidRPr="000049FD">
              <w:rPr>
                <w:rFonts w:ascii="Arial Narrow" w:hAnsi="Arial Narrow" w:cs="Calibri"/>
                <w:color w:val="000000"/>
                <w:sz w:val="20"/>
                <w:szCs w:val="20"/>
              </w:rPr>
              <w:t>, 13216N</w:t>
            </w:r>
            <w:r w:rsidRPr="000049FD">
              <w:rPr>
                <w:rFonts w:ascii="Arial Narrow" w:hAnsi="Arial Narrow" w:cs="Calibri"/>
                <w:color w:val="000000"/>
                <w:sz w:val="20"/>
                <w:szCs w:val="20"/>
                <w:vertAlign w:val="superscript"/>
              </w:rPr>
              <w:t>c</w:t>
            </w:r>
            <w:r w:rsidRPr="000049FD">
              <w:rPr>
                <w:rFonts w:ascii="Arial Narrow" w:hAnsi="Arial Narrow" w:cs="Calibri"/>
                <w:color w:val="000000"/>
                <w:sz w:val="20"/>
                <w:szCs w:val="20"/>
              </w:rPr>
              <w:t>, 13217P</w:t>
            </w:r>
            <w:r w:rsidRPr="000049FD">
              <w:rPr>
                <w:rFonts w:ascii="Arial Narrow" w:hAnsi="Arial Narrow" w:cs="Calibri"/>
                <w:color w:val="000000"/>
                <w:sz w:val="20"/>
                <w:szCs w:val="20"/>
                <w:vertAlign w:val="superscript"/>
              </w:rPr>
              <w:t>d</w:t>
            </w:r>
            <w:r w:rsidRPr="000049FD">
              <w:rPr>
                <w:rFonts w:ascii="Arial Narrow" w:hAnsi="Arial Narrow" w:cs="Calibri"/>
                <w:color w:val="000000"/>
                <w:sz w:val="20"/>
                <w:szCs w:val="20"/>
              </w:rPr>
              <w:t>, 13218Q</w:t>
            </w:r>
            <w:r w:rsidRPr="000049FD">
              <w:rPr>
                <w:rFonts w:ascii="Arial Narrow" w:hAnsi="Arial Narrow" w:cs="Calibri"/>
                <w:color w:val="000000"/>
                <w:sz w:val="20"/>
                <w:szCs w:val="20"/>
                <w:vertAlign w:val="superscript"/>
              </w:rPr>
              <w:t>b</w:t>
            </w:r>
            <w:r w:rsidRPr="000049FD">
              <w:rPr>
                <w:rFonts w:ascii="Arial Narrow" w:hAnsi="Arial Narrow" w:cs="Calibri"/>
                <w:color w:val="000000"/>
                <w:sz w:val="20"/>
                <w:szCs w:val="20"/>
              </w:rPr>
              <w:t>, 13219R</w:t>
            </w:r>
            <w:r w:rsidRPr="000049FD">
              <w:rPr>
                <w:rFonts w:ascii="Arial Narrow" w:hAnsi="Arial Narrow" w:cs="Calibri"/>
                <w:color w:val="000000"/>
                <w:sz w:val="20"/>
                <w:szCs w:val="20"/>
                <w:vertAlign w:val="superscript"/>
              </w:rPr>
              <w:t>b</w:t>
            </w:r>
            <w:r w:rsidRPr="000049FD">
              <w:rPr>
                <w:rFonts w:ascii="Arial Narrow" w:hAnsi="Arial Narrow" w:cs="Calibri"/>
                <w:color w:val="000000"/>
                <w:sz w:val="20"/>
                <w:szCs w:val="20"/>
              </w:rPr>
              <w:t>, 13220T</w:t>
            </w:r>
            <w:r w:rsidRPr="000049FD">
              <w:rPr>
                <w:rFonts w:ascii="Arial Narrow" w:hAnsi="Arial Narrow" w:cs="Calibri"/>
                <w:color w:val="000000"/>
                <w:sz w:val="20"/>
                <w:szCs w:val="20"/>
                <w:vertAlign w:val="superscript"/>
              </w:rPr>
              <w:t>h</w:t>
            </w:r>
            <w:r w:rsidRPr="000049FD">
              <w:rPr>
                <w:rFonts w:ascii="Arial Narrow" w:hAnsi="Arial Narrow" w:cs="Calibri"/>
                <w:color w:val="000000"/>
                <w:sz w:val="20"/>
                <w:szCs w:val="20"/>
              </w:rPr>
              <w:t>, 13704G</w:t>
            </w:r>
            <w:r w:rsidRPr="000049FD">
              <w:rPr>
                <w:rFonts w:ascii="Arial Narrow" w:hAnsi="Arial Narrow" w:cs="Calibri"/>
                <w:color w:val="000000"/>
                <w:sz w:val="20"/>
                <w:szCs w:val="20"/>
                <w:vertAlign w:val="superscript"/>
              </w:rPr>
              <w:t>i</w:t>
            </w:r>
            <w:r w:rsidRPr="000049FD">
              <w:rPr>
                <w:rFonts w:ascii="Arial Narrow" w:hAnsi="Arial Narrow" w:cs="Calibri"/>
                <w:color w:val="000000"/>
                <w:sz w:val="20"/>
                <w:szCs w:val="20"/>
              </w:rPr>
              <w:t>, 13732R</w:t>
            </w:r>
            <w:r w:rsidRPr="000049FD">
              <w:rPr>
                <w:rFonts w:ascii="Arial Narrow" w:hAnsi="Arial Narrow" w:cs="Calibri"/>
                <w:color w:val="000000"/>
                <w:sz w:val="20"/>
                <w:szCs w:val="20"/>
                <w:vertAlign w:val="superscript"/>
              </w:rPr>
              <w:t>i</w:t>
            </w:r>
            <w:r w:rsidRPr="000049FD">
              <w:rPr>
                <w:rFonts w:ascii="Arial Narrow" w:hAnsi="Arial Narrow" w:cs="Calibri"/>
                <w:color w:val="000000"/>
                <w:sz w:val="20"/>
                <w:szCs w:val="20"/>
              </w:rPr>
              <w:t xml:space="preserve"> &amp; 13763J</w:t>
            </w:r>
            <w:r w:rsidRPr="000049FD">
              <w:rPr>
                <w:rFonts w:ascii="Arial Narrow" w:hAnsi="Arial Narrow" w:cs="Calibri"/>
                <w:color w:val="000000"/>
                <w:sz w:val="20"/>
                <w:szCs w:val="20"/>
                <w:vertAlign w:val="superscript"/>
              </w:rPr>
              <w:t>g</w:t>
            </w:r>
          </w:p>
        </w:tc>
      </w:tr>
      <w:tr w:rsidR="00404640" w:rsidRPr="000049FD" w14:paraId="2E4BEB92" w14:textId="77777777" w:rsidTr="00E80190">
        <w:trPr>
          <w:trHeight w:val="66"/>
        </w:trPr>
        <w:tc>
          <w:tcPr>
            <w:tcW w:w="2198" w:type="pct"/>
            <w:vMerge/>
            <w:shd w:val="clear" w:color="auto" w:fill="auto"/>
            <w:noWrap/>
            <w:hideMark/>
          </w:tcPr>
          <w:p w14:paraId="1B5CEF10" w14:textId="77777777" w:rsidR="00404640" w:rsidRPr="000049FD" w:rsidRDefault="00404640" w:rsidP="00973750">
            <w:pPr>
              <w:jc w:val="left"/>
              <w:rPr>
                <w:rFonts w:ascii="Arial Narrow" w:hAnsi="Arial Narrow" w:cs="Calibri"/>
                <w:color w:val="000000"/>
                <w:sz w:val="20"/>
                <w:szCs w:val="20"/>
              </w:rPr>
            </w:pPr>
          </w:p>
        </w:tc>
        <w:tc>
          <w:tcPr>
            <w:tcW w:w="1023" w:type="pct"/>
          </w:tcPr>
          <w:p w14:paraId="574C0A09"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Yuflyma</w:t>
            </w:r>
          </w:p>
        </w:tc>
        <w:tc>
          <w:tcPr>
            <w:tcW w:w="1780" w:type="pct"/>
          </w:tcPr>
          <w:p w14:paraId="1B29D137"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57648FF2" w14:textId="77777777" w:rsidTr="00E80190">
        <w:trPr>
          <w:trHeight w:val="66"/>
        </w:trPr>
        <w:tc>
          <w:tcPr>
            <w:tcW w:w="2198" w:type="pct"/>
            <w:vMerge w:val="restart"/>
            <w:shd w:val="clear" w:color="auto" w:fill="auto"/>
            <w:noWrap/>
            <w:hideMark/>
          </w:tcPr>
          <w:p w14:paraId="3199098C"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40 mg/0.8 mL injection, 2 x 0.8 mL syringes*</w:t>
            </w:r>
          </w:p>
        </w:tc>
        <w:tc>
          <w:tcPr>
            <w:tcW w:w="1023" w:type="pct"/>
          </w:tcPr>
          <w:p w14:paraId="1B0DCF5F" w14:textId="7260A0AD"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Amgevita</w:t>
            </w:r>
          </w:p>
        </w:tc>
        <w:tc>
          <w:tcPr>
            <w:tcW w:w="1780" w:type="pct"/>
          </w:tcPr>
          <w:p w14:paraId="7BD938CA"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691D4744" w14:textId="77777777" w:rsidTr="00E80190">
        <w:trPr>
          <w:trHeight w:val="66"/>
        </w:trPr>
        <w:tc>
          <w:tcPr>
            <w:tcW w:w="2198" w:type="pct"/>
            <w:vMerge/>
            <w:shd w:val="clear" w:color="auto" w:fill="auto"/>
            <w:noWrap/>
          </w:tcPr>
          <w:p w14:paraId="47F32CC7" w14:textId="77777777" w:rsidR="00404640" w:rsidRPr="000049FD" w:rsidRDefault="00404640" w:rsidP="00973750">
            <w:pPr>
              <w:jc w:val="left"/>
              <w:rPr>
                <w:rFonts w:ascii="Arial Narrow" w:hAnsi="Arial Narrow" w:cs="Calibri"/>
                <w:color w:val="000000"/>
                <w:sz w:val="20"/>
                <w:szCs w:val="20"/>
              </w:rPr>
            </w:pPr>
          </w:p>
        </w:tc>
        <w:tc>
          <w:tcPr>
            <w:tcW w:w="1023" w:type="pct"/>
          </w:tcPr>
          <w:p w14:paraId="26E8E485" w14:textId="0000F574"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Hadlima</w:t>
            </w:r>
          </w:p>
        </w:tc>
        <w:tc>
          <w:tcPr>
            <w:tcW w:w="1780" w:type="pct"/>
          </w:tcPr>
          <w:p w14:paraId="4F938334"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46E7E02E" w14:textId="77777777" w:rsidTr="00E80190">
        <w:trPr>
          <w:trHeight w:val="169"/>
        </w:trPr>
        <w:tc>
          <w:tcPr>
            <w:tcW w:w="2198" w:type="pct"/>
            <w:vMerge/>
            <w:shd w:val="clear" w:color="auto" w:fill="auto"/>
            <w:noWrap/>
          </w:tcPr>
          <w:p w14:paraId="2343F2B1" w14:textId="77777777" w:rsidR="00404640" w:rsidRPr="000049FD" w:rsidRDefault="00404640" w:rsidP="00973750">
            <w:pPr>
              <w:jc w:val="left"/>
              <w:rPr>
                <w:rFonts w:ascii="Arial Narrow" w:hAnsi="Arial Narrow" w:cs="Calibri"/>
                <w:color w:val="000000"/>
                <w:sz w:val="20"/>
                <w:szCs w:val="20"/>
              </w:rPr>
            </w:pPr>
          </w:p>
        </w:tc>
        <w:tc>
          <w:tcPr>
            <w:tcW w:w="1023" w:type="pct"/>
          </w:tcPr>
          <w:p w14:paraId="3572BD7B" w14:textId="3FD50622"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Hyrimoz</w:t>
            </w:r>
          </w:p>
        </w:tc>
        <w:tc>
          <w:tcPr>
            <w:tcW w:w="1780" w:type="pct"/>
          </w:tcPr>
          <w:p w14:paraId="0DDBDE32"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657E3FA7" w14:textId="77777777" w:rsidTr="00E80190">
        <w:trPr>
          <w:trHeight w:val="66"/>
        </w:trPr>
        <w:tc>
          <w:tcPr>
            <w:tcW w:w="2198" w:type="pct"/>
            <w:vMerge/>
            <w:shd w:val="clear" w:color="auto" w:fill="auto"/>
            <w:noWrap/>
          </w:tcPr>
          <w:p w14:paraId="48903182" w14:textId="77777777" w:rsidR="00404640" w:rsidRPr="000049FD" w:rsidRDefault="00404640" w:rsidP="00973750">
            <w:pPr>
              <w:jc w:val="left"/>
              <w:rPr>
                <w:rFonts w:ascii="Arial Narrow" w:hAnsi="Arial Narrow" w:cs="Calibri"/>
                <w:color w:val="000000"/>
                <w:sz w:val="20"/>
                <w:szCs w:val="20"/>
              </w:rPr>
            </w:pPr>
          </w:p>
        </w:tc>
        <w:tc>
          <w:tcPr>
            <w:tcW w:w="1023" w:type="pct"/>
          </w:tcPr>
          <w:p w14:paraId="5EC8182C"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Idacio</w:t>
            </w:r>
          </w:p>
        </w:tc>
        <w:tc>
          <w:tcPr>
            <w:tcW w:w="1780" w:type="pct"/>
          </w:tcPr>
          <w:p w14:paraId="3D5448EB"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Y</w:t>
            </w:r>
          </w:p>
        </w:tc>
      </w:tr>
      <w:tr w:rsidR="00404640" w:rsidRPr="000049FD" w14:paraId="7F1DE8DE" w14:textId="77777777" w:rsidTr="00973750">
        <w:trPr>
          <w:trHeight w:val="290"/>
        </w:trPr>
        <w:tc>
          <w:tcPr>
            <w:tcW w:w="5000" w:type="pct"/>
            <w:gridSpan w:val="3"/>
            <w:shd w:val="clear" w:color="auto" w:fill="auto"/>
            <w:noWrap/>
          </w:tcPr>
          <w:p w14:paraId="375CD32B" w14:textId="77777777" w:rsidR="00404640" w:rsidRPr="000049FD" w:rsidRDefault="00404640" w:rsidP="00973750">
            <w:pPr>
              <w:jc w:val="center"/>
              <w:rPr>
                <w:rFonts w:ascii="Arial Narrow" w:hAnsi="Arial Narrow" w:cs="Calibri"/>
                <w:color w:val="000000"/>
                <w:sz w:val="20"/>
                <w:szCs w:val="20"/>
              </w:rPr>
            </w:pPr>
            <w:r w:rsidRPr="00B41F86">
              <w:rPr>
                <w:rFonts w:ascii="Arial Narrow" w:hAnsi="Arial Narrow" w:cs="Calibri"/>
                <w:color w:val="000000"/>
                <w:sz w:val="20"/>
                <w:szCs w:val="20"/>
              </w:rPr>
              <w:t>‘a’ flagging for 80mg adalimumab pen device</w:t>
            </w:r>
          </w:p>
        </w:tc>
      </w:tr>
      <w:tr w:rsidR="00404640" w:rsidRPr="000049FD" w14:paraId="1A35DF96" w14:textId="77777777" w:rsidTr="00E80190">
        <w:trPr>
          <w:trHeight w:val="66"/>
        </w:trPr>
        <w:tc>
          <w:tcPr>
            <w:tcW w:w="2198" w:type="pct"/>
            <w:shd w:val="clear" w:color="auto" w:fill="auto"/>
            <w:noWrap/>
            <w:hideMark/>
          </w:tcPr>
          <w:p w14:paraId="397B7B18"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80 mg/0.8 mL injection, 0.8 mL pen device</w:t>
            </w:r>
          </w:p>
        </w:tc>
        <w:tc>
          <w:tcPr>
            <w:tcW w:w="1023" w:type="pct"/>
          </w:tcPr>
          <w:p w14:paraId="512E17AB"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Humira</w:t>
            </w:r>
          </w:p>
        </w:tc>
        <w:tc>
          <w:tcPr>
            <w:tcW w:w="1780" w:type="pct"/>
          </w:tcPr>
          <w:p w14:paraId="704ECDB0"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N</w:t>
            </w:r>
          </w:p>
        </w:tc>
      </w:tr>
      <w:tr w:rsidR="00404640" w:rsidRPr="000049FD" w14:paraId="6CF2109B" w14:textId="77777777" w:rsidTr="00973750">
        <w:trPr>
          <w:trHeight w:val="290"/>
        </w:trPr>
        <w:tc>
          <w:tcPr>
            <w:tcW w:w="5000" w:type="pct"/>
            <w:gridSpan w:val="3"/>
            <w:shd w:val="clear" w:color="auto" w:fill="auto"/>
            <w:noWrap/>
          </w:tcPr>
          <w:p w14:paraId="1FCF40B5" w14:textId="77777777" w:rsidR="00404640" w:rsidRPr="000049FD" w:rsidRDefault="00404640" w:rsidP="00973750">
            <w:pPr>
              <w:jc w:val="center"/>
              <w:rPr>
                <w:rFonts w:ascii="Arial Narrow" w:hAnsi="Arial Narrow" w:cs="Calibri"/>
                <w:color w:val="000000"/>
                <w:sz w:val="20"/>
                <w:szCs w:val="20"/>
              </w:rPr>
            </w:pPr>
            <w:r w:rsidRPr="00B41F86">
              <w:rPr>
                <w:rFonts w:ascii="Arial Narrow" w:hAnsi="Arial Narrow" w:cs="Calibri"/>
                <w:color w:val="000000"/>
                <w:sz w:val="20"/>
                <w:szCs w:val="20"/>
              </w:rPr>
              <w:t>‘a’ flagging for 80mg adalimumab syringes</w:t>
            </w:r>
          </w:p>
        </w:tc>
      </w:tr>
      <w:tr w:rsidR="00404640" w:rsidRPr="000049FD" w14:paraId="0ADBB6D8" w14:textId="77777777" w:rsidTr="00E80190">
        <w:trPr>
          <w:trHeight w:val="66"/>
        </w:trPr>
        <w:tc>
          <w:tcPr>
            <w:tcW w:w="2198" w:type="pct"/>
            <w:shd w:val="clear" w:color="auto" w:fill="auto"/>
            <w:noWrap/>
            <w:hideMark/>
          </w:tcPr>
          <w:p w14:paraId="1D73F4A2"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80 mg/0.8 mL injection, 0.8 mL syringe</w:t>
            </w:r>
          </w:p>
        </w:tc>
        <w:tc>
          <w:tcPr>
            <w:tcW w:w="1023" w:type="pct"/>
          </w:tcPr>
          <w:p w14:paraId="047CBB1B"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Humira</w:t>
            </w:r>
          </w:p>
        </w:tc>
        <w:tc>
          <w:tcPr>
            <w:tcW w:w="1780" w:type="pct"/>
          </w:tcPr>
          <w:p w14:paraId="40229C87" w14:textId="77777777" w:rsidR="00404640" w:rsidRPr="000049FD" w:rsidRDefault="00404640" w:rsidP="00973750">
            <w:pPr>
              <w:jc w:val="left"/>
              <w:rPr>
                <w:rFonts w:ascii="Arial Narrow" w:hAnsi="Arial Narrow" w:cs="Calibri"/>
                <w:color w:val="000000"/>
                <w:sz w:val="20"/>
                <w:szCs w:val="20"/>
              </w:rPr>
            </w:pPr>
            <w:r w:rsidRPr="000049FD">
              <w:rPr>
                <w:rFonts w:ascii="Arial Narrow" w:hAnsi="Arial Narrow" w:cs="Calibri"/>
                <w:color w:val="000000"/>
                <w:sz w:val="20"/>
                <w:szCs w:val="20"/>
              </w:rPr>
              <w:t>N</w:t>
            </w:r>
          </w:p>
        </w:tc>
      </w:tr>
    </w:tbl>
    <w:p w14:paraId="2A02411B" w14:textId="4C60CB99"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Table compiled during evaluation.</w:t>
      </w:r>
    </w:p>
    <w:p w14:paraId="33886AF9" w14:textId="60570CEA"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a Indicated for moderate to severe ulcerative colitis.</w:t>
      </w:r>
    </w:p>
    <w:p w14:paraId="137C94D9" w14:textId="09DE292D"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b Indicated for severe Crohn disease.</w:t>
      </w:r>
    </w:p>
    <w:p w14:paraId="2D66F9C3" w14:textId="14240902"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c Indicated for severe psoriatic arthritis.</w:t>
      </w:r>
    </w:p>
    <w:p w14:paraId="628878C4" w14:textId="24204C80"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d Indicated for severe chronic plaque psoriasis.</w:t>
      </w:r>
    </w:p>
    <w:p w14:paraId="288DE99F" w14:textId="036D323E"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e Indicated for moderate to severe hidradenitis suppurativa.</w:t>
      </w:r>
    </w:p>
    <w:p w14:paraId="67483A3F" w14:textId="72E4C297"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f Indicated for severe active juvenile idiopathic arthritis.</w:t>
      </w:r>
    </w:p>
    <w:p w14:paraId="58EF79A6" w14:textId="6B7E74A1"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g Indicated for ankylosing spondylitis.</w:t>
      </w:r>
    </w:p>
    <w:p w14:paraId="761AAB52" w14:textId="69217147"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h Indicated for complex refractory Fistulising Crohn disease.</w:t>
      </w:r>
    </w:p>
    <w:p w14:paraId="782B56B5" w14:textId="25AADDF7"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i Indicated for severe active rheumatoid arthritis.</w:t>
      </w:r>
    </w:p>
    <w:p w14:paraId="31AA4994" w14:textId="77777777" w:rsidR="00404640" w:rsidRPr="00B41F86" w:rsidRDefault="00404640" w:rsidP="00EB26D9">
      <w:pPr>
        <w:widowControl w:val="0"/>
        <w:rPr>
          <w:rFonts w:ascii="Arial Narrow" w:hAnsi="Arial Narrow"/>
          <w:sz w:val="18"/>
          <w:szCs w:val="18"/>
        </w:rPr>
      </w:pPr>
      <w:r w:rsidRPr="00B41F86">
        <w:rPr>
          <w:rFonts w:ascii="Arial Narrow" w:hAnsi="Arial Narrow"/>
          <w:sz w:val="18"/>
          <w:szCs w:val="18"/>
        </w:rPr>
        <w:t>*40 mg in 0.4 mL PFS of the different brands of adalimumab should be treated as equivalent to the 40 mg in 0.8 mL PFS of the different brands of adalimumab for the purposes of substitution (i.e. ‘a’ flagged in the schedule).</w:t>
      </w:r>
    </w:p>
    <w:p w14:paraId="0A3CCA8F" w14:textId="568B2DB8" w:rsidR="00404640" w:rsidRPr="00B41F86" w:rsidRDefault="00404640" w:rsidP="00E80190">
      <w:pPr>
        <w:spacing w:after="120"/>
        <w:rPr>
          <w:rFonts w:ascii="Arial Narrow" w:hAnsi="Arial Narrow"/>
          <w:sz w:val="18"/>
          <w:szCs w:val="18"/>
        </w:rPr>
      </w:pPr>
      <w:r w:rsidRPr="00B41F86">
        <w:rPr>
          <w:rFonts w:ascii="Arial Narrow" w:hAnsi="Arial Narrow"/>
          <w:sz w:val="18"/>
          <w:szCs w:val="18"/>
        </w:rPr>
        <w:t>**40 mg in 0.4 mL PFP of the different brands of adalimumab should be treated as equivalent to the 40 mg in 0.8 mL PFP of the different brands of adalimumab for the purposes of substitution (i.e. ‘a’ flagged in the schedule).</w:t>
      </w:r>
    </w:p>
    <w:p w14:paraId="7C9D394B" w14:textId="39E4E644" w:rsidR="00513971" w:rsidRPr="000049FD" w:rsidRDefault="004A4E0C" w:rsidP="003B40EE">
      <w:pPr>
        <w:widowControl w:val="0"/>
        <w:numPr>
          <w:ilvl w:val="1"/>
          <w:numId w:val="2"/>
        </w:numPr>
        <w:spacing w:after="120"/>
        <w:rPr>
          <w:iCs/>
        </w:rPr>
      </w:pPr>
      <w:bookmarkStart w:id="4" w:name="_Hlk172196437"/>
      <w:r w:rsidRPr="00E22C6F">
        <w:t>The requested restrictions are complex due to the number of items and indications required for the listing. If recommended by the PBAC, the implementation of these listings may occur across separate stages. As the submission requested the same restrictions as the reference brand, the full restrictions have not been reproduced here.</w:t>
      </w:r>
      <w:r w:rsidR="003B40EE" w:rsidRPr="00E22C6F">
        <w:t xml:space="preserve"> </w:t>
      </w:r>
      <w:r w:rsidR="00513971" w:rsidRPr="00B41F86">
        <w:rPr>
          <w:iCs/>
        </w:rPr>
        <w:t>An example of the listing follows:</w:t>
      </w:r>
      <w:r w:rsidR="00513971" w:rsidRPr="000049FD">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006"/>
        <w:gridCol w:w="950"/>
        <w:gridCol w:w="801"/>
        <w:gridCol w:w="1228"/>
        <w:gridCol w:w="1917"/>
      </w:tblGrid>
      <w:tr w:rsidR="00513971" w:rsidRPr="000049FD" w14:paraId="767C7B7A" w14:textId="77777777" w:rsidTr="0096145E">
        <w:trPr>
          <w:cantSplit/>
          <w:trHeight w:val="499"/>
        </w:trPr>
        <w:tc>
          <w:tcPr>
            <w:tcW w:w="1727" w:type="pct"/>
          </w:tcPr>
          <w:p w14:paraId="36ABFF1D" w14:textId="77777777" w:rsidR="00513971" w:rsidRPr="00B41F86" w:rsidRDefault="00513971" w:rsidP="0096145E">
            <w:pPr>
              <w:keepNext/>
              <w:spacing w:before="40" w:after="40"/>
              <w:rPr>
                <w:rFonts w:ascii="Arial Narrow" w:eastAsia="Calibri" w:hAnsi="Arial Narrow"/>
                <w:b/>
                <w:bCs/>
                <w:iCs/>
                <w:sz w:val="20"/>
                <w:szCs w:val="20"/>
              </w:rPr>
            </w:pPr>
            <w:bookmarkStart w:id="5" w:name="_Hlk81294680"/>
            <w:bookmarkEnd w:id="4"/>
            <w:r w:rsidRPr="00B41F86">
              <w:rPr>
                <w:rFonts w:ascii="Arial Narrow" w:eastAsia="Calibri" w:hAnsi="Arial Narrow"/>
                <w:b/>
                <w:bCs/>
                <w:iCs/>
                <w:sz w:val="20"/>
                <w:szCs w:val="20"/>
              </w:rPr>
              <w:lastRenderedPageBreak/>
              <w:t>Name, restriction, manner of administration, form</w:t>
            </w:r>
          </w:p>
        </w:tc>
        <w:tc>
          <w:tcPr>
            <w:tcW w:w="558" w:type="pct"/>
          </w:tcPr>
          <w:p w14:paraId="7F66C197" w14:textId="77777777" w:rsidR="00513971" w:rsidRPr="00B41F86" w:rsidRDefault="00513971" w:rsidP="0096145E">
            <w:pPr>
              <w:keepNext/>
              <w:spacing w:before="40" w:after="40"/>
              <w:jc w:val="center"/>
              <w:rPr>
                <w:rFonts w:ascii="Arial Narrow" w:eastAsia="Calibri" w:hAnsi="Arial Narrow"/>
                <w:b/>
                <w:bCs/>
                <w:iCs/>
                <w:sz w:val="20"/>
                <w:szCs w:val="20"/>
              </w:rPr>
            </w:pPr>
            <w:r w:rsidRPr="00B41F86">
              <w:rPr>
                <w:rFonts w:ascii="Arial Narrow" w:eastAsia="Calibri" w:hAnsi="Arial Narrow"/>
                <w:b/>
                <w:bCs/>
                <w:iCs/>
                <w:sz w:val="20"/>
                <w:szCs w:val="20"/>
              </w:rPr>
              <w:t xml:space="preserve">Max. Qty </w:t>
            </w:r>
          </w:p>
          <w:p w14:paraId="241DB7B1" w14:textId="77777777" w:rsidR="00513971" w:rsidRPr="00B41F86" w:rsidRDefault="00513971" w:rsidP="0096145E">
            <w:pPr>
              <w:keepNext/>
              <w:spacing w:before="40" w:after="40"/>
              <w:jc w:val="center"/>
              <w:rPr>
                <w:rFonts w:ascii="Arial Narrow" w:eastAsia="Calibri" w:hAnsi="Arial Narrow"/>
                <w:b/>
                <w:bCs/>
                <w:iCs/>
                <w:sz w:val="20"/>
                <w:szCs w:val="20"/>
              </w:rPr>
            </w:pPr>
            <w:r w:rsidRPr="00B41F86">
              <w:rPr>
                <w:rFonts w:ascii="Arial Narrow" w:eastAsia="Calibri" w:hAnsi="Arial Narrow"/>
                <w:b/>
                <w:bCs/>
                <w:iCs/>
                <w:sz w:val="20"/>
                <w:szCs w:val="20"/>
              </w:rPr>
              <w:t>(packs)</w:t>
            </w:r>
          </w:p>
        </w:tc>
        <w:tc>
          <w:tcPr>
            <w:tcW w:w="527" w:type="pct"/>
          </w:tcPr>
          <w:p w14:paraId="231CC244" w14:textId="77777777" w:rsidR="00513971" w:rsidRPr="00B41F86" w:rsidRDefault="00513971" w:rsidP="0096145E">
            <w:pPr>
              <w:keepNext/>
              <w:spacing w:before="40" w:after="40"/>
              <w:jc w:val="center"/>
              <w:rPr>
                <w:rFonts w:ascii="Arial Narrow" w:eastAsia="Calibri" w:hAnsi="Arial Narrow"/>
                <w:b/>
                <w:bCs/>
                <w:iCs/>
                <w:sz w:val="20"/>
                <w:szCs w:val="20"/>
              </w:rPr>
            </w:pPr>
            <w:r w:rsidRPr="00B41F86">
              <w:rPr>
                <w:rFonts w:ascii="Arial Narrow" w:eastAsia="Calibri" w:hAnsi="Arial Narrow"/>
                <w:b/>
                <w:bCs/>
                <w:iCs/>
                <w:sz w:val="20"/>
                <w:szCs w:val="20"/>
              </w:rPr>
              <w:t>Max. Qty</w:t>
            </w:r>
          </w:p>
          <w:p w14:paraId="215570B0" w14:textId="77777777" w:rsidR="00513971" w:rsidRPr="00B41F86" w:rsidRDefault="00513971" w:rsidP="0096145E">
            <w:pPr>
              <w:keepNext/>
              <w:spacing w:before="40" w:after="40"/>
              <w:jc w:val="center"/>
              <w:rPr>
                <w:rFonts w:ascii="Arial Narrow" w:eastAsia="Calibri" w:hAnsi="Arial Narrow"/>
                <w:b/>
                <w:bCs/>
                <w:iCs/>
                <w:sz w:val="20"/>
                <w:szCs w:val="20"/>
              </w:rPr>
            </w:pPr>
            <w:r w:rsidRPr="00B41F86">
              <w:rPr>
                <w:rFonts w:ascii="Arial Narrow" w:eastAsia="Calibri" w:hAnsi="Arial Narrow"/>
                <w:b/>
                <w:bCs/>
                <w:iCs/>
                <w:sz w:val="20"/>
                <w:szCs w:val="20"/>
              </w:rPr>
              <w:t>(units)</w:t>
            </w:r>
          </w:p>
        </w:tc>
        <w:tc>
          <w:tcPr>
            <w:tcW w:w="444" w:type="pct"/>
          </w:tcPr>
          <w:p w14:paraId="65D0DC70" w14:textId="77777777" w:rsidR="00513971" w:rsidRPr="00B41F86" w:rsidRDefault="00513971" w:rsidP="0096145E">
            <w:pPr>
              <w:keepNext/>
              <w:spacing w:before="40" w:after="40"/>
              <w:jc w:val="center"/>
              <w:rPr>
                <w:rFonts w:ascii="Arial Narrow" w:eastAsia="Calibri" w:hAnsi="Arial Narrow"/>
                <w:b/>
                <w:bCs/>
                <w:iCs/>
                <w:sz w:val="20"/>
                <w:szCs w:val="20"/>
              </w:rPr>
            </w:pPr>
            <w:r w:rsidRPr="00B41F86">
              <w:rPr>
                <w:rFonts w:ascii="Arial Narrow" w:eastAsia="Calibri" w:hAnsi="Arial Narrow"/>
                <w:b/>
                <w:bCs/>
                <w:iCs/>
                <w:sz w:val="20"/>
                <w:szCs w:val="20"/>
              </w:rPr>
              <w:t>No. of repeats</w:t>
            </w:r>
          </w:p>
        </w:tc>
        <w:tc>
          <w:tcPr>
            <w:tcW w:w="681" w:type="pct"/>
          </w:tcPr>
          <w:p w14:paraId="18A59FFD" w14:textId="77777777" w:rsidR="00513971" w:rsidRPr="00B41F86" w:rsidRDefault="00513971" w:rsidP="0096145E">
            <w:pPr>
              <w:keepNext/>
              <w:spacing w:before="40" w:after="40"/>
              <w:jc w:val="center"/>
              <w:rPr>
                <w:rFonts w:ascii="Arial Narrow" w:eastAsia="Calibri" w:hAnsi="Arial Narrow"/>
                <w:b/>
                <w:bCs/>
                <w:iCs/>
                <w:sz w:val="20"/>
                <w:szCs w:val="20"/>
              </w:rPr>
            </w:pPr>
            <w:r w:rsidRPr="00B41F86">
              <w:rPr>
                <w:rFonts w:ascii="Arial Narrow" w:eastAsia="Calibri" w:hAnsi="Arial Narrow"/>
                <w:b/>
                <w:bCs/>
                <w:iCs/>
                <w:sz w:val="20"/>
                <w:szCs w:val="20"/>
              </w:rPr>
              <w:t xml:space="preserve">PBS item </w:t>
            </w:r>
          </w:p>
          <w:p w14:paraId="24F76495" w14:textId="77777777" w:rsidR="00513971" w:rsidRPr="00B41F86" w:rsidRDefault="00513971" w:rsidP="0096145E">
            <w:pPr>
              <w:keepNext/>
              <w:spacing w:before="40" w:after="40"/>
              <w:jc w:val="center"/>
              <w:rPr>
                <w:rFonts w:ascii="Arial Narrow" w:eastAsia="Calibri" w:hAnsi="Arial Narrow"/>
                <w:b/>
                <w:bCs/>
                <w:iCs/>
                <w:sz w:val="20"/>
                <w:szCs w:val="20"/>
              </w:rPr>
            </w:pPr>
            <w:r w:rsidRPr="00B41F86">
              <w:rPr>
                <w:rFonts w:ascii="Arial Narrow" w:eastAsia="Calibri" w:hAnsi="Arial Narrow"/>
                <w:b/>
                <w:bCs/>
                <w:iCs/>
                <w:sz w:val="20"/>
                <w:szCs w:val="20"/>
              </w:rPr>
              <w:t>code</w:t>
            </w:r>
          </w:p>
        </w:tc>
        <w:tc>
          <w:tcPr>
            <w:tcW w:w="1063" w:type="pct"/>
          </w:tcPr>
          <w:p w14:paraId="41DA8065" w14:textId="77777777" w:rsidR="00513971" w:rsidRPr="00B41F86" w:rsidRDefault="00513971" w:rsidP="0096145E">
            <w:pPr>
              <w:keepNext/>
              <w:spacing w:before="40" w:after="40"/>
              <w:rPr>
                <w:rFonts w:ascii="Arial Narrow" w:eastAsia="Calibri" w:hAnsi="Arial Narrow"/>
                <w:iCs/>
                <w:sz w:val="20"/>
                <w:szCs w:val="20"/>
              </w:rPr>
            </w:pPr>
            <w:r w:rsidRPr="00B41F86">
              <w:rPr>
                <w:rFonts w:ascii="Arial Narrow" w:eastAsia="Calibri" w:hAnsi="Arial Narrow"/>
                <w:b/>
                <w:iCs/>
                <w:sz w:val="20"/>
                <w:szCs w:val="20"/>
              </w:rPr>
              <w:t>Proprietary name and manufacturer</w:t>
            </w:r>
          </w:p>
        </w:tc>
      </w:tr>
      <w:tr w:rsidR="00513971" w:rsidRPr="000049FD" w14:paraId="04AAB481" w14:textId="77777777" w:rsidTr="0096145E">
        <w:trPr>
          <w:cantSplit/>
          <w:trHeight w:val="870"/>
        </w:trPr>
        <w:tc>
          <w:tcPr>
            <w:tcW w:w="1727" w:type="pct"/>
            <w:tcBorders>
              <w:bottom w:val="single" w:sz="4" w:space="0" w:color="auto"/>
            </w:tcBorders>
          </w:tcPr>
          <w:p w14:paraId="209A00E4" w14:textId="77777777" w:rsidR="00513971" w:rsidRPr="00B41F86" w:rsidRDefault="00513971" w:rsidP="0096145E">
            <w:pPr>
              <w:keepNext/>
              <w:spacing w:after="120"/>
              <w:rPr>
                <w:rFonts w:ascii="Arial Narrow" w:hAnsi="Arial Narrow" w:cs="Arial"/>
                <w:bCs/>
                <w:iCs/>
                <w:sz w:val="20"/>
                <w:szCs w:val="20"/>
              </w:rPr>
            </w:pPr>
            <w:r w:rsidRPr="00B41F86">
              <w:rPr>
                <w:rFonts w:ascii="Arial Narrow" w:hAnsi="Arial Narrow" w:cs="Arial"/>
                <w:bCs/>
                <w:iCs/>
                <w:sz w:val="20"/>
                <w:szCs w:val="20"/>
              </w:rPr>
              <w:t xml:space="preserve">ADALIMUMAB  </w:t>
            </w:r>
          </w:p>
          <w:p w14:paraId="4F20F12F" w14:textId="77777777" w:rsidR="00513971" w:rsidRPr="00B41F86" w:rsidRDefault="00513971" w:rsidP="0096145E">
            <w:pPr>
              <w:keepNext/>
              <w:spacing w:before="40" w:after="40"/>
              <w:rPr>
                <w:rFonts w:ascii="Arial Narrow" w:hAnsi="Arial Narrow" w:cs="Arial"/>
                <w:bCs/>
                <w:iCs/>
                <w:sz w:val="20"/>
                <w:szCs w:val="20"/>
              </w:rPr>
            </w:pPr>
            <w:r w:rsidRPr="00B41F86">
              <w:rPr>
                <w:rFonts w:ascii="Arial Narrow" w:eastAsia="Calibri" w:hAnsi="Arial Narrow"/>
                <w:iCs/>
                <w:sz w:val="20"/>
                <w:szCs w:val="20"/>
              </w:rPr>
              <w:t>adalimumab 40 mg/0.4 mL injection, pre-filled pen</w:t>
            </w:r>
          </w:p>
        </w:tc>
        <w:tc>
          <w:tcPr>
            <w:tcW w:w="558" w:type="pct"/>
            <w:tcBorders>
              <w:top w:val="nil"/>
              <w:bottom w:val="single" w:sz="4" w:space="0" w:color="auto"/>
            </w:tcBorders>
          </w:tcPr>
          <w:p w14:paraId="3DD1876B" w14:textId="77777777" w:rsidR="00513971" w:rsidRPr="00B41F86" w:rsidRDefault="00513971" w:rsidP="0096145E">
            <w:pPr>
              <w:keepNext/>
              <w:spacing w:after="120"/>
              <w:jc w:val="center"/>
              <w:rPr>
                <w:rFonts w:ascii="Arial Narrow" w:hAnsi="Arial Narrow" w:cs="Arial"/>
                <w:bCs/>
                <w:iCs/>
                <w:sz w:val="20"/>
                <w:szCs w:val="20"/>
                <w:vertAlign w:val="superscript"/>
              </w:rPr>
            </w:pPr>
            <w:r w:rsidRPr="00B41F86">
              <w:rPr>
                <w:rFonts w:ascii="Arial Narrow" w:hAnsi="Arial Narrow" w:cs="Arial"/>
                <w:bCs/>
                <w:iCs/>
                <w:sz w:val="20"/>
                <w:szCs w:val="20"/>
              </w:rPr>
              <w:t>1</w:t>
            </w:r>
          </w:p>
        </w:tc>
        <w:tc>
          <w:tcPr>
            <w:tcW w:w="527" w:type="pct"/>
            <w:tcBorders>
              <w:top w:val="nil"/>
              <w:bottom w:val="single" w:sz="4" w:space="0" w:color="auto"/>
            </w:tcBorders>
          </w:tcPr>
          <w:p w14:paraId="2A44EA91" w14:textId="77777777" w:rsidR="00513971" w:rsidRPr="00B41F86" w:rsidRDefault="00513971" w:rsidP="0096145E">
            <w:pPr>
              <w:keepNext/>
              <w:spacing w:after="120"/>
              <w:jc w:val="center"/>
              <w:rPr>
                <w:rFonts w:ascii="Arial Narrow" w:hAnsi="Arial Narrow" w:cs="Arial"/>
                <w:bCs/>
                <w:iCs/>
                <w:sz w:val="20"/>
                <w:szCs w:val="20"/>
              </w:rPr>
            </w:pPr>
            <w:r w:rsidRPr="00B41F86">
              <w:rPr>
                <w:rFonts w:ascii="Arial Narrow" w:hAnsi="Arial Narrow" w:cs="Arial"/>
                <w:bCs/>
                <w:iCs/>
                <w:sz w:val="20"/>
                <w:szCs w:val="20"/>
              </w:rPr>
              <w:t>2</w:t>
            </w:r>
          </w:p>
        </w:tc>
        <w:tc>
          <w:tcPr>
            <w:tcW w:w="444" w:type="pct"/>
            <w:tcBorders>
              <w:top w:val="nil"/>
              <w:bottom w:val="single" w:sz="4" w:space="0" w:color="auto"/>
            </w:tcBorders>
          </w:tcPr>
          <w:p w14:paraId="30E77639" w14:textId="77777777" w:rsidR="00513971" w:rsidRPr="00B41F86" w:rsidRDefault="00513971" w:rsidP="0096145E">
            <w:pPr>
              <w:keepNext/>
              <w:spacing w:after="120"/>
              <w:jc w:val="center"/>
              <w:rPr>
                <w:rFonts w:ascii="Arial Narrow" w:hAnsi="Arial Narrow" w:cs="Arial"/>
                <w:bCs/>
                <w:iCs/>
                <w:sz w:val="20"/>
                <w:szCs w:val="20"/>
              </w:rPr>
            </w:pPr>
            <w:r w:rsidRPr="00B41F86">
              <w:rPr>
                <w:rFonts w:ascii="Arial Narrow" w:hAnsi="Arial Narrow" w:cs="Arial"/>
                <w:bCs/>
                <w:iCs/>
                <w:sz w:val="20"/>
                <w:szCs w:val="20"/>
              </w:rPr>
              <w:t>2</w:t>
            </w:r>
          </w:p>
        </w:tc>
        <w:tc>
          <w:tcPr>
            <w:tcW w:w="681" w:type="pct"/>
            <w:tcBorders>
              <w:top w:val="nil"/>
              <w:bottom w:val="single" w:sz="4" w:space="0" w:color="auto"/>
            </w:tcBorders>
          </w:tcPr>
          <w:p w14:paraId="3AAF2F5D" w14:textId="77777777" w:rsidR="00513971" w:rsidRPr="00B41F86" w:rsidRDefault="00513971" w:rsidP="0096145E">
            <w:pPr>
              <w:keepNext/>
              <w:spacing w:after="120"/>
              <w:jc w:val="center"/>
              <w:rPr>
                <w:rFonts w:ascii="Arial Narrow" w:hAnsi="Arial Narrow" w:cs="Arial"/>
                <w:bCs/>
                <w:iCs/>
                <w:sz w:val="20"/>
                <w:szCs w:val="20"/>
              </w:rPr>
            </w:pPr>
            <w:r w:rsidRPr="00B41F86">
              <w:rPr>
                <w:rFonts w:ascii="Arial Narrow" w:hAnsi="Arial Narrow" w:cs="Arial"/>
                <w:bCs/>
                <w:iCs/>
                <w:sz w:val="20"/>
                <w:szCs w:val="20"/>
              </w:rPr>
              <w:t>12345R</w:t>
            </w:r>
          </w:p>
        </w:tc>
        <w:tc>
          <w:tcPr>
            <w:tcW w:w="1063" w:type="pct"/>
            <w:tcBorders>
              <w:top w:val="nil"/>
              <w:bottom w:val="single" w:sz="4" w:space="0" w:color="auto"/>
            </w:tcBorders>
          </w:tcPr>
          <w:p w14:paraId="6DB8E7A3" w14:textId="459FD6EF" w:rsidR="00513971" w:rsidRPr="00B41F86" w:rsidRDefault="00BF450A" w:rsidP="0096145E">
            <w:pPr>
              <w:keepNext/>
              <w:spacing w:after="120"/>
              <w:rPr>
                <w:rFonts w:ascii="Arial Narrow" w:hAnsi="Arial Narrow" w:cs="Arial"/>
                <w:bCs/>
                <w:iCs/>
                <w:sz w:val="20"/>
                <w:szCs w:val="20"/>
              </w:rPr>
            </w:pPr>
            <w:r w:rsidRPr="00B41F86">
              <w:rPr>
                <w:rFonts w:ascii="Arial Narrow" w:hAnsi="Arial Narrow" w:cs="Arial"/>
                <w:bCs/>
                <w:iCs/>
                <w:sz w:val="20"/>
                <w:szCs w:val="20"/>
              </w:rPr>
              <w:t>H</w:t>
            </w:r>
            <w:r w:rsidR="0078757B" w:rsidRPr="00B41F86">
              <w:rPr>
                <w:rFonts w:ascii="Arial Narrow" w:hAnsi="Arial Narrow" w:cs="Arial"/>
                <w:bCs/>
                <w:iCs/>
                <w:sz w:val="20"/>
                <w:szCs w:val="20"/>
              </w:rPr>
              <w:t>yrimoz</w:t>
            </w:r>
            <w:r w:rsidR="00513971" w:rsidRPr="00B41F86">
              <w:rPr>
                <w:rFonts w:ascii="Arial Narrow" w:hAnsi="Arial Narrow" w:cs="Arial"/>
                <w:bCs/>
                <w:iCs/>
                <w:sz w:val="20"/>
                <w:szCs w:val="20"/>
              </w:rPr>
              <w:t xml:space="preserve">® </w:t>
            </w:r>
          </w:p>
          <w:p w14:paraId="699B44C9" w14:textId="7341BCCB" w:rsidR="00513971" w:rsidRPr="00B41F86" w:rsidRDefault="00BE7B81" w:rsidP="0096145E">
            <w:pPr>
              <w:keepNext/>
              <w:spacing w:after="120"/>
              <w:rPr>
                <w:rFonts w:ascii="Arial Narrow" w:hAnsi="Arial Narrow" w:cs="Arial"/>
                <w:bCs/>
                <w:iCs/>
                <w:sz w:val="20"/>
                <w:szCs w:val="20"/>
              </w:rPr>
            </w:pPr>
            <w:r w:rsidRPr="00B41F86">
              <w:rPr>
                <w:rFonts w:ascii="Arial Narrow" w:hAnsi="Arial Narrow" w:cs="Arial"/>
                <w:bCs/>
                <w:iCs/>
                <w:sz w:val="20"/>
                <w:szCs w:val="20"/>
              </w:rPr>
              <w:t>Sandoz Pty Ltd</w:t>
            </w:r>
          </w:p>
        </w:tc>
      </w:tr>
      <w:tr w:rsidR="00513971" w:rsidRPr="000049FD" w14:paraId="24249468" w14:textId="77777777" w:rsidTr="0096145E">
        <w:trPr>
          <w:cantSplit/>
          <w:trHeight w:val="870"/>
        </w:trPr>
        <w:tc>
          <w:tcPr>
            <w:tcW w:w="1727" w:type="pct"/>
          </w:tcPr>
          <w:p w14:paraId="23DB7868" w14:textId="77777777" w:rsidR="00513971" w:rsidRPr="00B41F86" w:rsidRDefault="00513971" w:rsidP="0096145E">
            <w:pPr>
              <w:keepNext/>
              <w:spacing w:after="120"/>
              <w:rPr>
                <w:rFonts w:ascii="Arial Narrow" w:hAnsi="Arial Narrow" w:cs="Arial"/>
                <w:bCs/>
                <w:iCs/>
                <w:sz w:val="20"/>
                <w:szCs w:val="20"/>
              </w:rPr>
            </w:pPr>
            <w:r w:rsidRPr="00B41F86">
              <w:rPr>
                <w:rFonts w:ascii="Arial Narrow" w:hAnsi="Arial Narrow" w:cs="Arial"/>
                <w:bCs/>
                <w:iCs/>
                <w:sz w:val="20"/>
                <w:szCs w:val="20"/>
              </w:rPr>
              <w:t xml:space="preserve">ADALIMUMAB  </w:t>
            </w:r>
          </w:p>
          <w:p w14:paraId="35A6E275" w14:textId="77777777" w:rsidR="00513971" w:rsidRPr="00B41F86" w:rsidRDefault="00513971" w:rsidP="0096145E">
            <w:pPr>
              <w:keepNext/>
              <w:spacing w:after="120"/>
              <w:rPr>
                <w:rFonts w:ascii="Arial Narrow" w:hAnsi="Arial Narrow" w:cs="Arial"/>
                <w:bCs/>
                <w:iCs/>
                <w:sz w:val="20"/>
                <w:szCs w:val="20"/>
              </w:rPr>
            </w:pPr>
            <w:r w:rsidRPr="00B41F86">
              <w:rPr>
                <w:rFonts w:ascii="Arial Narrow" w:eastAsia="Calibri" w:hAnsi="Arial Narrow"/>
                <w:iCs/>
                <w:sz w:val="20"/>
                <w:szCs w:val="20"/>
              </w:rPr>
              <w:t>adalimumab 40 mg/0.4 mL injection, pre-filled syringe</w:t>
            </w:r>
          </w:p>
        </w:tc>
        <w:tc>
          <w:tcPr>
            <w:tcW w:w="558" w:type="pct"/>
            <w:tcBorders>
              <w:top w:val="single" w:sz="4" w:space="0" w:color="auto"/>
              <w:bottom w:val="single" w:sz="4" w:space="0" w:color="auto"/>
            </w:tcBorders>
          </w:tcPr>
          <w:p w14:paraId="5E4A7094" w14:textId="77777777" w:rsidR="00513971" w:rsidRPr="00B41F86" w:rsidRDefault="00513971" w:rsidP="0096145E">
            <w:pPr>
              <w:keepNext/>
              <w:spacing w:after="120"/>
              <w:jc w:val="center"/>
              <w:rPr>
                <w:rFonts w:ascii="Arial Narrow" w:hAnsi="Arial Narrow" w:cs="Arial"/>
                <w:bCs/>
                <w:iCs/>
                <w:sz w:val="20"/>
                <w:szCs w:val="20"/>
              </w:rPr>
            </w:pPr>
            <w:r w:rsidRPr="00B41F86">
              <w:rPr>
                <w:rFonts w:ascii="Arial Narrow" w:hAnsi="Arial Narrow" w:cs="Arial"/>
                <w:bCs/>
                <w:iCs/>
                <w:sz w:val="20"/>
                <w:szCs w:val="20"/>
              </w:rPr>
              <w:t>1</w:t>
            </w:r>
          </w:p>
        </w:tc>
        <w:tc>
          <w:tcPr>
            <w:tcW w:w="527" w:type="pct"/>
            <w:tcBorders>
              <w:top w:val="single" w:sz="4" w:space="0" w:color="auto"/>
              <w:bottom w:val="single" w:sz="4" w:space="0" w:color="auto"/>
            </w:tcBorders>
          </w:tcPr>
          <w:p w14:paraId="68CDC1F1" w14:textId="77777777" w:rsidR="00513971" w:rsidRPr="00B41F86" w:rsidRDefault="00513971" w:rsidP="0096145E">
            <w:pPr>
              <w:keepNext/>
              <w:spacing w:after="120"/>
              <w:jc w:val="center"/>
              <w:rPr>
                <w:rFonts w:ascii="Arial Narrow" w:hAnsi="Arial Narrow" w:cs="Arial"/>
                <w:bCs/>
                <w:iCs/>
                <w:sz w:val="20"/>
                <w:szCs w:val="20"/>
              </w:rPr>
            </w:pPr>
            <w:r w:rsidRPr="00B41F86">
              <w:rPr>
                <w:rFonts w:ascii="Arial Narrow" w:hAnsi="Arial Narrow" w:cs="Arial"/>
                <w:bCs/>
                <w:iCs/>
                <w:sz w:val="20"/>
                <w:szCs w:val="20"/>
              </w:rPr>
              <w:t>2</w:t>
            </w:r>
          </w:p>
        </w:tc>
        <w:tc>
          <w:tcPr>
            <w:tcW w:w="444" w:type="pct"/>
            <w:tcBorders>
              <w:top w:val="single" w:sz="4" w:space="0" w:color="auto"/>
              <w:bottom w:val="single" w:sz="4" w:space="0" w:color="auto"/>
            </w:tcBorders>
          </w:tcPr>
          <w:p w14:paraId="38963522" w14:textId="77777777" w:rsidR="00513971" w:rsidRPr="00B41F86" w:rsidRDefault="00513971" w:rsidP="0096145E">
            <w:pPr>
              <w:keepNext/>
              <w:spacing w:after="120"/>
              <w:jc w:val="center"/>
              <w:rPr>
                <w:rFonts w:ascii="Arial Narrow" w:hAnsi="Arial Narrow" w:cs="Arial"/>
                <w:bCs/>
                <w:iCs/>
                <w:sz w:val="20"/>
                <w:szCs w:val="20"/>
              </w:rPr>
            </w:pPr>
            <w:r w:rsidRPr="00B41F86">
              <w:rPr>
                <w:rFonts w:ascii="Arial Narrow" w:hAnsi="Arial Narrow" w:cs="Arial"/>
                <w:bCs/>
                <w:iCs/>
                <w:sz w:val="20"/>
                <w:szCs w:val="20"/>
              </w:rPr>
              <w:t>2</w:t>
            </w:r>
          </w:p>
        </w:tc>
        <w:tc>
          <w:tcPr>
            <w:tcW w:w="681" w:type="pct"/>
            <w:tcBorders>
              <w:top w:val="single" w:sz="4" w:space="0" w:color="auto"/>
              <w:bottom w:val="single" w:sz="4" w:space="0" w:color="auto"/>
            </w:tcBorders>
          </w:tcPr>
          <w:p w14:paraId="7581397B" w14:textId="77777777" w:rsidR="00513971" w:rsidRPr="00B41F86" w:rsidRDefault="00513971" w:rsidP="0096145E">
            <w:pPr>
              <w:keepNext/>
              <w:spacing w:after="120"/>
              <w:jc w:val="center"/>
              <w:rPr>
                <w:rFonts w:ascii="Arial Narrow" w:hAnsi="Arial Narrow" w:cs="Arial"/>
                <w:bCs/>
                <w:iCs/>
                <w:sz w:val="20"/>
                <w:szCs w:val="20"/>
              </w:rPr>
            </w:pPr>
            <w:r w:rsidRPr="00B41F86">
              <w:rPr>
                <w:rFonts w:ascii="Arial Narrow" w:hAnsi="Arial Narrow" w:cs="Arial"/>
                <w:bCs/>
                <w:iCs/>
                <w:sz w:val="20"/>
                <w:szCs w:val="20"/>
              </w:rPr>
              <w:t>12338J</w:t>
            </w:r>
          </w:p>
        </w:tc>
        <w:tc>
          <w:tcPr>
            <w:tcW w:w="1063" w:type="pct"/>
            <w:tcBorders>
              <w:top w:val="single" w:sz="4" w:space="0" w:color="auto"/>
              <w:bottom w:val="single" w:sz="4" w:space="0" w:color="auto"/>
            </w:tcBorders>
          </w:tcPr>
          <w:p w14:paraId="7987259B" w14:textId="63F9B982" w:rsidR="00513971" w:rsidRPr="00B41F86" w:rsidRDefault="0078757B" w:rsidP="0096145E">
            <w:pPr>
              <w:keepNext/>
              <w:spacing w:after="120"/>
              <w:rPr>
                <w:rFonts w:ascii="Arial Narrow" w:hAnsi="Arial Narrow" w:cs="Arial"/>
                <w:bCs/>
                <w:iCs/>
                <w:sz w:val="20"/>
                <w:szCs w:val="20"/>
              </w:rPr>
            </w:pPr>
            <w:r w:rsidRPr="00B41F86">
              <w:rPr>
                <w:rFonts w:ascii="Arial Narrow" w:hAnsi="Arial Narrow" w:cs="Arial"/>
                <w:bCs/>
                <w:iCs/>
                <w:sz w:val="20"/>
                <w:szCs w:val="20"/>
              </w:rPr>
              <w:t>Hyrimoz</w:t>
            </w:r>
            <w:r w:rsidR="00513971" w:rsidRPr="00B41F86">
              <w:rPr>
                <w:rFonts w:ascii="Arial Narrow" w:hAnsi="Arial Narrow" w:cs="Arial"/>
                <w:bCs/>
                <w:iCs/>
                <w:sz w:val="20"/>
                <w:szCs w:val="20"/>
              </w:rPr>
              <w:t xml:space="preserve">® </w:t>
            </w:r>
          </w:p>
          <w:p w14:paraId="50BAAA50" w14:textId="2863A535" w:rsidR="00513971" w:rsidRPr="00B41F86" w:rsidRDefault="00BE7B81" w:rsidP="0096145E">
            <w:pPr>
              <w:keepNext/>
              <w:spacing w:after="120"/>
              <w:rPr>
                <w:rFonts w:ascii="Arial Narrow" w:hAnsi="Arial Narrow" w:cs="Arial"/>
                <w:bCs/>
                <w:iCs/>
                <w:sz w:val="20"/>
                <w:szCs w:val="20"/>
              </w:rPr>
            </w:pPr>
            <w:r w:rsidRPr="00B41F86">
              <w:rPr>
                <w:rFonts w:ascii="Arial Narrow" w:hAnsi="Arial Narrow" w:cs="Arial"/>
                <w:bCs/>
                <w:iCs/>
                <w:sz w:val="20"/>
                <w:szCs w:val="20"/>
              </w:rPr>
              <w:t>Sandoz Pty Ltd</w:t>
            </w:r>
          </w:p>
        </w:tc>
      </w:tr>
    </w:tbl>
    <w:bookmarkEnd w:id="5"/>
    <w:p w14:paraId="0E40F34D" w14:textId="350CFCB1" w:rsidR="000D1FB7" w:rsidRDefault="00513971" w:rsidP="00513971">
      <w:pPr>
        <w:pStyle w:val="TableFooter"/>
        <w:rPr>
          <w:iCs/>
        </w:rPr>
      </w:pPr>
      <w:r w:rsidRPr="00B41F86">
        <w:rPr>
          <w:iCs/>
        </w:rPr>
        <w:t>The sponsor has requested the same number of items and indications as Humira. Maximum quantity packs and units and number of repeats will change to match the item code and indication. The example indication used is “</w:t>
      </w:r>
      <w:r w:rsidRPr="00B41F86">
        <w:rPr>
          <w:rFonts w:eastAsiaTheme="minorHAnsi"/>
          <w:iCs/>
        </w:rPr>
        <w:t>Severe Crohn disease</w:t>
      </w:r>
      <w:r w:rsidRPr="00B41F86">
        <w:rPr>
          <w:iCs/>
        </w:rPr>
        <w:t xml:space="preserve"> </w:t>
      </w:r>
      <w:r w:rsidRPr="00B41F86">
        <w:rPr>
          <w:rFonts w:eastAsiaTheme="minorHAnsi"/>
          <w:iCs/>
        </w:rPr>
        <w:t>Treatment Phase: Initial treatment - Initial 1 (new patient)</w:t>
      </w:r>
      <w:r w:rsidRPr="00B41F86">
        <w:rPr>
          <w:iCs/>
        </w:rPr>
        <w:t>”.</w:t>
      </w:r>
    </w:p>
    <w:p w14:paraId="66062520" w14:textId="3BB05DB6" w:rsidR="00513971" w:rsidRPr="00E22C6F" w:rsidRDefault="00513971" w:rsidP="00513971">
      <w:pPr>
        <w:pStyle w:val="2-SectionHeading"/>
        <w:numPr>
          <w:ilvl w:val="0"/>
          <w:numId w:val="2"/>
        </w:numPr>
        <w:rPr>
          <w:color w:val="FF0000"/>
        </w:rPr>
      </w:pPr>
      <w:r w:rsidRPr="00E22C6F">
        <w:t xml:space="preserve">Comparator </w:t>
      </w:r>
    </w:p>
    <w:p w14:paraId="62835B8C" w14:textId="496B94ED" w:rsidR="00E732C4" w:rsidRPr="00E22C6F" w:rsidRDefault="00C27C1C" w:rsidP="00EB26D9">
      <w:pPr>
        <w:pStyle w:val="3Bodytext"/>
        <w:numPr>
          <w:ilvl w:val="1"/>
          <w:numId w:val="2"/>
        </w:numPr>
        <w:jc w:val="both"/>
        <w:rPr>
          <w:i/>
          <w:iCs/>
        </w:rPr>
      </w:pPr>
      <w:r w:rsidRPr="00E22C6F">
        <w:t xml:space="preserve">The submission nominated </w:t>
      </w:r>
      <w:r w:rsidR="009C3C9B" w:rsidRPr="00E22C6F">
        <w:t>the reference bran</w:t>
      </w:r>
      <w:r w:rsidR="002F2517" w:rsidRPr="00E22C6F">
        <w:t>d</w:t>
      </w:r>
      <w:r w:rsidR="009C3C9B" w:rsidRPr="00E22C6F">
        <w:t xml:space="preserve"> of adalimumab, Humira, as the main comparator</w:t>
      </w:r>
      <w:r w:rsidR="009C3C9B" w:rsidRPr="00E22C6F">
        <w:rPr>
          <w:i/>
          <w:iCs/>
        </w:rPr>
        <w:t xml:space="preserve">. </w:t>
      </w:r>
      <w:r w:rsidR="000049FD" w:rsidRPr="00B41F86">
        <w:t>The PBAC</w:t>
      </w:r>
      <w:r w:rsidR="000049FD" w:rsidRPr="003E0E75">
        <w:rPr>
          <w:rFonts w:ascii="Calibri" w:eastAsia="Times New Roman" w:hAnsi="Calibri" w:cs="Times New Roman"/>
          <w:szCs w:val="24"/>
        </w:rPr>
        <w:t xml:space="preserve"> </w:t>
      </w:r>
      <w:r w:rsidR="000049FD" w:rsidRPr="00B41F86">
        <w:t>considered that this was appropriate</w:t>
      </w:r>
      <w:r w:rsidR="00787609" w:rsidRPr="00E22C6F">
        <w:rPr>
          <w:i/>
          <w:iCs/>
        </w:rPr>
        <w:t>.</w:t>
      </w:r>
    </w:p>
    <w:p w14:paraId="313E55A0" w14:textId="3F094D85" w:rsidR="00C27C1C" w:rsidRPr="00E22C6F" w:rsidRDefault="00C27C1C" w:rsidP="00C27C1C">
      <w:pPr>
        <w:pStyle w:val="Heading1"/>
        <w:keepLines/>
        <w:numPr>
          <w:ilvl w:val="0"/>
          <w:numId w:val="2"/>
        </w:numPr>
        <w:spacing w:before="240"/>
        <w:ind w:left="709" w:hanging="709"/>
        <w:rPr>
          <w:sz w:val="32"/>
          <w:szCs w:val="32"/>
        </w:rPr>
      </w:pPr>
      <w:r w:rsidRPr="00E22C6F">
        <w:rPr>
          <w:sz w:val="32"/>
          <w:szCs w:val="32"/>
        </w:rPr>
        <w:t>Consideration of the evidence</w:t>
      </w:r>
    </w:p>
    <w:p w14:paraId="601E97DC" w14:textId="77777777" w:rsidR="006950BC" w:rsidRPr="00FE0001" w:rsidRDefault="006950BC" w:rsidP="006950BC">
      <w:pPr>
        <w:pStyle w:val="4-SubsectionHeading"/>
        <w:rPr>
          <w:iCs/>
          <w:lang w:eastAsia="en-US"/>
        </w:rPr>
      </w:pPr>
      <w:r w:rsidRPr="00FE0001">
        <w:rPr>
          <w:iCs/>
          <w:lang w:eastAsia="en-US"/>
        </w:rPr>
        <w:t>Sponsor hearing</w:t>
      </w:r>
    </w:p>
    <w:p w14:paraId="10B4BE39" w14:textId="77777777" w:rsidR="006950BC" w:rsidRPr="00FE0001" w:rsidRDefault="006950BC" w:rsidP="006950BC">
      <w:pPr>
        <w:pStyle w:val="3Bodytext"/>
        <w:keepNext/>
        <w:numPr>
          <w:ilvl w:val="1"/>
          <w:numId w:val="2"/>
        </w:numPr>
        <w:jc w:val="both"/>
        <w:rPr>
          <w:rFonts w:cstheme="minorHAnsi"/>
          <w:szCs w:val="24"/>
        </w:rPr>
      </w:pPr>
      <w:r w:rsidRPr="00FE0001">
        <w:rPr>
          <w:rFonts w:cstheme="minorHAnsi"/>
          <w:szCs w:val="24"/>
        </w:rPr>
        <w:t>There was no hearing for this item.</w:t>
      </w:r>
    </w:p>
    <w:p w14:paraId="00F24862" w14:textId="77777777" w:rsidR="006950BC" w:rsidRPr="00FE0001" w:rsidRDefault="006950BC" w:rsidP="006950BC">
      <w:pPr>
        <w:pStyle w:val="4-SubsectionHeading"/>
        <w:rPr>
          <w:iCs/>
          <w:lang w:eastAsia="en-US"/>
        </w:rPr>
      </w:pPr>
      <w:r w:rsidRPr="00FE0001">
        <w:rPr>
          <w:iCs/>
          <w:lang w:eastAsia="en-US"/>
        </w:rPr>
        <w:t>Consumer comments</w:t>
      </w:r>
    </w:p>
    <w:p w14:paraId="69CF8980" w14:textId="0E95DC32" w:rsidR="006950BC" w:rsidRPr="00FE0001" w:rsidRDefault="000E013C" w:rsidP="006950BC">
      <w:pPr>
        <w:pStyle w:val="3Bodytext"/>
        <w:numPr>
          <w:ilvl w:val="1"/>
          <w:numId w:val="2"/>
        </w:numPr>
        <w:jc w:val="both"/>
        <w:rPr>
          <w:rFonts w:cstheme="minorHAnsi"/>
          <w:szCs w:val="24"/>
        </w:rPr>
      </w:pPr>
      <w:r w:rsidRPr="00FE0001">
        <w:rPr>
          <w:bCs/>
        </w:rPr>
        <w:t>The PBAC noted that no consumer comments were received for this item</w:t>
      </w:r>
      <w:r w:rsidR="00FE0001">
        <w:t>.</w:t>
      </w:r>
      <w:r w:rsidR="006950BC" w:rsidRPr="00FE0001">
        <w:t xml:space="preserve"> </w:t>
      </w:r>
    </w:p>
    <w:p w14:paraId="65AE4242" w14:textId="7354C792" w:rsidR="004E7330" w:rsidRPr="00E22C6F" w:rsidRDefault="00CB6450" w:rsidP="004E7330">
      <w:pPr>
        <w:pStyle w:val="4-SubsectionHeading"/>
        <w:keepNext w:val="0"/>
        <w:rPr>
          <w:lang w:eastAsia="en-US"/>
        </w:rPr>
      </w:pPr>
      <w:r w:rsidRPr="00E22C6F">
        <w:rPr>
          <w:lang w:eastAsia="en-US"/>
        </w:rPr>
        <w:t xml:space="preserve">Clinical trials </w:t>
      </w:r>
    </w:p>
    <w:p w14:paraId="1067917B" w14:textId="4511C558" w:rsidR="006740DE" w:rsidRPr="000E013C" w:rsidRDefault="00D94869" w:rsidP="00E00D94">
      <w:pPr>
        <w:pStyle w:val="3-BodyText"/>
        <w:numPr>
          <w:ilvl w:val="1"/>
          <w:numId w:val="2"/>
        </w:numPr>
      </w:pPr>
      <w:r w:rsidRPr="000E013C">
        <w:t xml:space="preserve">The submission presented the following clinical </w:t>
      </w:r>
      <w:r w:rsidR="00660FD6" w:rsidRPr="000E013C">
        <w:t xml:space="preserve">trials to support the </w:t>
      </w:r>
      <w:r w:rsidR="00C97F90" w:rsidRPr="000E013C">
        <w:t>claim that Hyrimoz</w:t>
      </w:r>
      <w:r w:rsidR="004360DE" w:rsidRPr="000E013C">
        <w:t xml:space="preserve"> HCF</w:t>
      </w:r>
      <w:r w:rsidR="00C97F90" w:rsidRPr="000E013C">
        <w:t xml:space="preserve"> is </w:t>
      </w:r>
      <w:proofErr w:type="gramStart"/>
      <w:r w:rsidR="00E15CFD" w:rsidRPr="000E013C">
        <w:t>similar to</w:t>
      </w:r>
      <w:proofErr w:type="gramEnd"/>
      <w:r w:rsidR="00E15CFD" w:rsidRPr="000E013C">
        <w:t xml:space="preserve"> Humira </w:t>
      </w:r>
      <w:r w:rsidR="00C97F90" w:rsidRPr="000E013C">
        <w:t xml:space="preserve">in terms </w:t>
      </w:r>
      <w:r w:rsidR="005F7F38" w:rsidRPr="000E013C">
        <w:t xml:space="preserve">pharmacokinetics, </w:t>
      </w:r>
      <w:r w:rsidR="00C97F90" w:rsidRPr="000E013C">
        <w:t>efficacy and safety</w:t>
      </w:r>
      <w:r w:rsidRPr="000E013C">
        <w:t xml:space="preserve">. </w:t>
      </w:r>
      <w:r w:rsidR="006F5091" w:rsidRPr="00FE0001">
        <w:t>The evaluation noted t</w:t>
      </w:r>
      <w:r w:rsidR="00E00D94" w:rsidRPr="00FE0001">
        <w:t xml:space="preserve">he clinical trials reported in this submission </w:t>
      </w:r>
      <w:r w:rsidR="000E013C" w:rsidRPr="00FE0001">
        <w:t xml:space="preserve">were </w:t>
      </w:r>
      <w:r w:rsidR="00E00D94" w:rsidRPr="00FE0001">
        <w:t xml:space="preserve">the same as </w:t>
      </w:r>
      <w:r w:rsidR="006F5091" w:rsidRPr="00FE0001">
        <w:t xml:space="preserve">the trials included with Hyrimoz LCF </w:t>
      </w:r>
      <w:r w:rsidR="00E00D94" w:rsidRPr="00FE0001">
        <w:t xml:space="preserve">March 2020 PBAC </w:t>
      </w:r>
      <w:r w:rsidR="006F5091" w:rsidRPr="00FE0001">
        <w:t>submission</w:t>
      </w:r>
      <w:r w:rsidR="00E00D94" w:rsidRPr="00FE0001">
        <w:t xml:space="preserve">, </w:t>
      </w:r>
      <w:r w:rsidR="006F5091" w:rsidRPr="00FE0001">
        <w:t xml:space="preserve">with the addition of </w:t>
      </w:r>
      <w:r w:rsidR="00E00D94" w:rsidRPr="00FE0001">
        <w:t>CGPN017B12101 which compares Hyrimoz LCF and HCF</w:t>
      </w:r>
      <w:r w:rsidR="006F5091" w:rsidRPr="00FE0001">
        <w:t>.</w:t>
      </w:r>
      <w:r w:rsidR="00E00D94" w:rsidRPr="00FE0001">
        <w:t xml:space="preserve"> </w:t>
      </w:r>
      <w:r w:rsidR="004E0937" w:rsidRPr="00FE0001">
        <w:t xml:space="preserve">As a </w:t>
      </w:r>
      <w:r w:rsidR="00181BCF" w:rsidRPr="00FE0001">
        <w:t xml:space="preserve">Category 4 submission, </w:t>
      </w:r>
      <w:r w:rsidR="00181BCF" w:rsidRPr="00FE0001">
        <w:rPr>
          <w:lang w:eastAsia="en-US"/>
        </w:rPr>
        <w:t>no evaluation of the clinical evidence was undertaken</w:t>
      </w:r>
      <w:r w:rsidR="00181BCF" w:rsidRPr="00FE0001">
        <w:t>.</w:t>
      </w:r>
      <w:r w:rsidR="00E00D94" w:rsidRPr="00FE0001">
        <w:t xml:space="preserve"> </w:t>
      </w:r>
    </w:p>
    <w:p w14:paraId="266F969A" w14:textId="347CB579" w:rsidR="006C47BF" w:rsidRPr="00E22C6F" w:rsidRDefault="006C47BF" w:rsidP="00B51A9C">
      <w:pPr>
        <w:pStyle w:val="TableFigureHeading"/>
        <w:keepLines/>
        <w:rPr>
          <w:szCs w:val="20"/>
        </w:rPr>
      </w:pPr>
      <w:r w:rsidRPr="00E22C6F">
        <w:rPr>
          <w:szCs w:val="20"/>
        </w:rPr>
        <w:lastRenderedPageBreak/>
        <w:t xml:space="preserve">Table </w:t>
      </w:r>
      <w:r w:rsidR="00BD3DC1">
        <w:rPr>
          <w:szCs w:val="20"/>
        </w:rPr>
        <w:t>3</w:t>
      </w:r>
      <w:r w:rsidRPr="00E22C6F">
        <w:rPr>
          <w:szCs w:val="20"/>
        </w:rPr>
        <w:t>: Studies and associated reports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4959"/>
        <w:gridCol w:w="1777"/>
      </w:tblGrid>
      <w:tr w:rsidR="004E7330" w:rsidRPr="00E22C6F" w14:paraId="252253EB" w14:textId="77777777" w:rsidTr="0096145E">
        <w:trPr>
          <w:cantSplit/>
          <w:trHeight w:val="539"/>
          <w:tblHeader/>
        </w:trPr>
        <w:tc>
          <w:tcPr>
            <w:tcW w:w="1198" w:type="pct"/>
          </w:tcPr>
          <w:p w14:paraId="35DEB78F" w14:textId="77777777" w:rsidR="004E7330" w:rsidRPr="00E22C6F" w:rsidRDefault="004E7330" w:rsidP="00B51A9C">
            <w:pPr>
              <w:pStyle w:val="NoSpacing"/>
              <w:keepNext/>
              <w:keepLines/>
              <w:spacing w:before="40" w:after="40"/>
              <w:rPr>
                <w:rFonts w:ascii="Arial Narrow" w:hAnsi="Arial Narrow" w:cs="Arial"/>
                <w:b/>
                <w:sz w:val="20"/>
                <w:szCs w:val="20"/>
              </w:rPr>
            </w:pPr>
            <w:bookmarkStart w:id="6" w:name="_Hlk86163265"/>
            <w:r w:rsidRPr="00E22C6F">
              <w:rPr>
                <w:rFonts w:ascii="Arial Narrow" w:hAnsi="Arial Narrow" w:cs="Arial"/>
                <w:b/>
                <w:sz w:val="20"/>
                <w:szCs w:val="20"/>
              </w:rPr>
              <w:t>Trial ID (Full Study No.)</w:t>
            </w:r>
          </w:p>
        </w:tc>
        <w:tc>
          <w:tcPr>
            <w:tcW w:w="2799" w:type="pct"/>
          </w:tcPr>
          <w:p w14:paraId="3C34AB30" w14:textId="77777777" w:rsidR="004E7330" w:rsidRPr="00E22C6F" w:rsidRDefault="004E7330" w:rsidP="00B51A9C">
            <w:pPr>
              <w:keepNext/>
              <w:keepLines/>
              <w:spacing w:before="40" w:after="40"/>
              <w:rPr>
                <w:rFonts w:ascii="Arial Narrow" w:hAnsi="Arial Narrow" w:cs="Arial"/>
                <w:b/>
                <w:sz w:val="20"/>
                <w:szCs w:val="20"/>
              </w:rPr>
            </w:pPr>
            <w:r w:rsidRPr="00E22C6F">
              <w:rPr>
                <w:rFonts w:ascii="Arial Narrow" w:hAnsi="Arial Narrow" w:cs="Arial"/>
                <w:b/>
                <w:sz w:val="20"/>
                <w:szCs w:val="20"/>
              </w:rPr>
              <w:t xml:space="preserve">Protocol title/publication title </w:t>
            </w:r>
          </w:p>
        </w:tc>
        <w:tc>
          <w:tcPr>
            <w:tcW w:w="1003" w:type="pct"/>
          </w:tcPr>
          <w:p w14:paraId="4B9819CB" w14:textId="77777777" w:rsidR="004E7330" w:rsidRPr="00E22C6F" w:rsidRDefault="004E7330" w:rsidP="00B51A9C">
            <w:pPr>
              <w:keepNext/>
              <w:keepLines/>
              <w:spacing w:before="40" w:after="40"/>
              <w:rPr>
                <w:rFonts w:ascii="Arial Narrow" w:hAnsi="Arial Narrow" w:cs="Arial"/>
                <w:b/>
                <w:sz w:val="20"/>
                <w:szCs w:val="20"/>
              </w:rPr>
            </w:pPr>
            <w:r w:rsidRPr="00E22C6F">
              <w:rPr>
                <w:rFonts w:ascii="Arial Narrow" w:hAnsi="Arial Narrow" w:cs="Arial"/>
                <w:b/>
                <w:sz w:val="20"/>
                <w:szCs w:val="20"/>
              </w:rPr>
              <w:t>Publication citation</w:t>
            </w:r>
          </w:p>
        </w:tc>
      </w:tr>
      <w:tr w:rsidR="001C2EBB" w:rsidRPr="00E22C6F" w14:paraId="0107E92A" w14:textId="77777777" w:rsidTr="0096145E">
        <w:trPr>
          <w:cantSplit/>
        </w:trPr>
        <w:tc>
          <w:tcPr>
            <w:tcW w:w="1198" w:type="pct"/>
          </w:tcPr>
          <w:p w14:paraId="32A5652D" w14:textId="0745AC5C" w:rsidR="001C2EBB" w:rsidRPr="00E22C6F" w:rsidRDefault="001C2EBB" w:rsidP="00B51A9C">
            <w:pPr>
              <w:pStyle w:val="NoSpacing"/>
              <w:keepNext/>
              <w:keepLines/>
              <w:tabs>
                <w:tab w:val="left" w:pos="1289"/>
              </w:tabs>
              <w:rPr>
                <w:rFonts w:ascii="Arial Narrow" w:hAnsi="Arial Narrow" w:cs="Arial"/>
                <w:sz w:val="20"/>
                <w:szCs w:val="20"/>
              </w:rPr>
            </w:pPr>
            <w:r w:rsidRPr="00E22C6F">
              <w:rPr>
                <w:rFonts w:ascii="Arial Narrow" w:hAnsi="Arial Narrow" w:cs="Arial"/>
                <w:sz w:val="20"/>
                <w:szCs w:val="20"/>
              </w:rPr>
              <w:t>CGPN017B12101</w:t>
            </w:r>
          </w:p>
        </w:tc>
        <w:tc>
          <w:tcPr>
            <w:tcW w:w="2799" w:type="pct"/>
          </w:tcPr>
          <w:p w14:paraId="597C5D08" w14:textId="424D847E" w:rsidR="001C2EBB" w:rsidRPr="00EB26D9" w:rsidRDefault="005B2A59"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A randomized, double-blind, parallel, two-arm study compared the pharmacokinetics, safety and immunogenicity of HYRIMOZ HCF (100</w:t>
            </w:r>
            <w:r w:rsidR="00E22C6F">
              <w:rPr>
                <w:rFonts w:ascii="Arial Narrow" w:hAnsi="Arial Narrow" w:cs="Arial"/>
                <w:sz w:val="20"/>
                <w:szCs w:val="20"/>
              </w:rPr>
              <w:t xml:space="preserve"> </w:t>
            </w:r>
            <w:r w:rsidRPr="00EB26D9">
              <w:rPr>
                <w:rFonts w:ascii="Arial Narrow" w:hAnsi="Arial Narrow" w:cs="Arial"/>
                <w:sz w:val="20"/>
                <w:szCs w:val="20"/>
              </w:rPr>
              <w:t>mg/mL) with HYRIMOZ LCF (50mg/mL) after a single dose of 40</w:t>
            </w:r>
            <w:r w:rsidR="00E22C6F">
              <w:rPr>
                <w:rFonts w:ascii="Arial Narrow" w:hAnsi="Arial Narrow" w:cs="Arial"/>
                <w:sz w:val="20"/>
                <w:szCs w:val="20"/>
              </w:rPr>
              <w:t xml:space="preserve"> </w:t>
            </w:r>
            <w:r w:rsidRPr="00EB26D9">
              <w:rPr>
                <w:rFonts w:ascii="Arial Narrow" w:hAnsi="Arial Narrow" w:cs="Arial"/>
                <w:sz w:val="20"/>
                <w:szCs w:val="20"/>
              </w:rPr>
              <w:t xml:space="preserve">mg subcutaneous injection in healthy male subjects </w:t>
            </w:r>
          </w:p>
          <w:p w14:paraId="787E9C1A" w14:textId="77777777" w:rsidR="005B2A59" w:rsidRPr="00EB26D9" w:rsidRDefault="005B2A59" w:rsidP="00B51A9C">
            <w:pPr>
              <w:keepNext/>
              <w:keepLines/>
              <w:autoSpaceDE w:val="0"/>
              <w:autoSpaceDN w:val="0"/>
              <w:adjustRightInd w:val="0"/>
              <w:rPr>
                <w:rFonts w:ascii="Arial Narrow" w:hAnsi="Arial Narrow" w:cs="Arial"/>
                <w:sz w:val="20"/>
                <w:szCs w:val="20"/>
              </w:rPr>
            </w:pPr>
          </w:p>
          <w:p w14:paraId="1309D8F8" w14:textId="77777777" w:rsidR="001C2EBB" w:rsidRPr="00EB26D9" w:rsidRDefault="001C2EBB"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Objective: To demonstrate PK comparability between Hyrimoz- HCF and Hyrimoz- LCF in terms of:</w:t>
            </w:r>
          </w:p>
          <w:p w14:paraId="7BD56C7F" w14:textId="77777777" w:rsidR="001C2EBB" w:rsidRPr="00EB26D9" w:rsidRDefault="001C2EBB"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 Cmax and AUCinf (as agreed with FDA)1</w:t>
            </w:r>
          </w:p>
          <w:p w14:paraId="45B02C23" w14:textId="77777777" w:rsidR="001C2EBB" w:rsidRPr="00EB26D9" w:rsidRDefault="001C2EBB"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 Cmax and AUC0-360 (as agreed with EMA)1</w:t>
            </w:r>
          </w:p>
          <w:p w14:paraId="0E273389" w14:textId="129A190D" w:rsidR="001C2EBB" w:rsidRPr="00EB26D9" w:rsidRDefault="001C2EBB"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Healthy male subjects</w:t>
            </w:r>
          </w:p>
        </w:tc>
        <w:tc>
          <w:tcPr>
            <w:tcW w:w="1003" w:type="pct"/>
          </w:tcPr>
          <w:p w14:paraId="77030359" w14:textId="77777777" w:rsidR="001C2EBB" w:rsidRPr="00E22C6F" w:rsidRDefault="001C2EBB" w:rsidP="00B51A9C">
            <w:pPr>
              <w:keepNext/>
              <w:keepLines/>
              <w:rPr>
                <w:rFonts w:ascii="Arial Narrow" w:hAnsi="Arial Narrow" w:cs="Arial"/>
                <w:bCs/>
                <w:sz w:val="20"/>
                <w:szCs w:val="20"/>
              </w:rPr>
            </w:pPr>
            <w:r w:rsidRPr="00E22C6F">
              <w:rPr>
                <w:rFonts w:ascii="Arial Narrow" w:hAnsi="Arial Narrow" w:cs="Arial"/>
                <w:bCs/>
                <w:sz w:val="20"/>
                <w:szCs w:val="20"/>
              </w:rPr>
              <w:t xml:space="preserve">Clinical Study Report </w:t>
            </w:r>
          </w:p>
          <w:p w14:paraId="10F0CD7D" w14:textId="497E93E3" w:rsidR="001C2EBB" w:rsidRPr="00E22C6F" w:rsidRDefault="001C2EBB" w:rsidP="00B51A9C">
            <w:pPr>
              <w:keepNext/>
              <w:keepLines/>
              <w:rPr>
                <w:rFonts w:ascii="Arial Narrow" w:hAnsi="Arial Narrow" w:cs="Arial"/>
                <w:bCs/>
                <w:sz w:val="20"/>
                <w:szCs w:val="20"/>
              </w:rPr>
            </w:pPr>
            <w:r w:rsidRPr="00E22C6F">
              <w:rPr>
                <w:rFonts w:ascii="Arial Narrow" w:hAnsi="Arial Narrow" w:cs="Arial"/>
                <w:bCs/>
                <w:sz w:val="20"/>
                <w:szCs w:val="20"/>
              </w:rPr>
              <w:t xml:space="preserve">Report date: </w:t>
            </w:r>
            <w:r w:rsidR="00A813EC" w:rsidRPr="00E22C6F">
              <w:rPr>
                <w:rFonts w:ascii="Arial Narrow" w:hAnsi="Arial Narrow" w:cs="Arial"/>
                <w:bCs/>
                <w:sz w:val="20"/>
                <w:szCs w:val="20"/>
              </w:rPr>
              <w:t>25-Jan 2024</w:t>
            </w:r>
          </w:p>
        </w:tc>
      </w:tr>
      <w:tr w:rsidR="004E7330" w:rsidRPr="00E22C6F" w14:paraId="3F3436B6" w14:textId="77777777" w:rsidTr="0096145E">
        <w:trPr>
          <w:cantSplit/>
        </w:trPr>
        <w:tc>
          <w:tcPr>
            <w:tcW w:w="1198" w:type="pct"/>
          </w:tcPr>
          <w:p w14:paraId="23A7BD52" w14:textId="77777777" w:rsidR="004E7330" w:rsidRPr="00E22C6F" w:rsidRDefault="004E7330" w:rsidP="00B51A9C">
            <w:pPr>
              <w:pStyle w:val="NoSpacing"/>
              <w:keepNext/>
              <w:keepLines/>
              <w:tabs>
                <w:tab w:val="left" w:pos="1289"/>
              </w:tabs>
              <w:rPr>
                <w:rFonts w:ascii="Arial Narrow" w:hAnsi="Arial Narrow" w:cs="Arial"/>
                <w:sz w:val="20"/>
                <w:szCs w:val="20"/>
              </w:rPr>
            </w:pPr>
            <w:r w:rsidRPr="00E22C6F">
              <w:rPr>
                <w:rFonts w:ascii="Arial Narrow" w:hAnsi="Arial Narrow" w:cs="Arial"/>
                <w:sz w:val="20"/>
                <w:szCs w:val="20"/>
              </w:rPr>
              <w:t>GP17-101</w:t>
            </w:r>
          </w:p>
          <w:p w14:paraId="7516B758" w14:textId="77777777" w:rsidR="004E7330" w:rsidRPr="00E22C6F" w:rsidRDefault="004E7330" w:rsidP="00B51A9C">
            <w:pPr>
              <w:pStyle w:val="NoSpacing"/>
              <w:keepNext/>
              <w:keepLines/>
              <w:tabs>
                <w:tab w:val="left" w:pos="1289"/>
              </w:tabs>
              <w:rPr>
                <w:rFonts w:ascii="Arial Narrow" w:hAnsi="Arial Narrow" w:cs="Arial"/>
                <w:sz w:val="20"/>
                <w:szCs w:val="20"/>
              </w:rPr>
            </w:pPr>
            <w:r w:rsidRPr="00E22C6F">
              <w:rPr>
                <w:rFonts w:ascii="Arial Narrow" w:hAnsi="Arial Narrow" w:cs="Arial"/>
                <w:sz w:val="20"/>
                <w:szCs w:val="20"/>
              </w:rPr>
              <w:t xml:space="preserve">(supportive PK study) </w:t>
            </w:r>
          </w:p>
        </w:tc>
        <w:tc>
          <w:tcPr>
            <w:tcW w:w="2799" w:type="pct"/>
          </w:tcPr>
          <w:p w14:paraId="0384B2E5" w14:textId="77777777" w:rsidR="004E7330" w:rsidRPr="00EB26D9" w:rsidRDefault="004E7330"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A single-centre, randomised, double-blind, single-dose, three-arm, parallel group study in 219 healthy male and female subjects.</w:t>
            </w:r>
          </w:p>
          <w:p w14:paraId="14CF9B7D" w14:textId="77777777" w:rsidR="004E7330" w:rsidRPr="00EB26D9" w:rsidRDefault="004E7330" w:rsidP="00B51A9C">
            <w:pPr>
              <w:keepNext/>
              <w:keepLines/>
              <w:autoSpaceDE w:val="0"/>
              <w:autoSpaceDN w:val="0"/>
              <w:adjustRightInd w:val="0"/>
              <w:rPr>
                <w:rFonts w:ascii="Arial Narrow" w:hAnsi="Arial Narrow" w:cs="Arial"/>
                <w:sz w:val="20"/>
                <w:szCs w:val="20"/>
              </w:rPr>
            </w:pPr>
          </w:p>
          <w:p w14:paraId="7B8CC8E6" w14:textId="77777777" w:rsidR="004E7330" w:rsidRPr="00EB26D9" w:rsidRDefault="004E7330"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Objective: to demonstrate PK bioequivalence of Hyrimoz, Humira (EU) and Humira (US) in terms of C</w:t>
            </w:r>
            <w:r w:rsidRPr="00EB26D9">
              <w:rPr>
                <w:rFonts w:ascii="Arial Narrow" w:hAnsi="Arial Narrow" w:cs="Arial"/>
                <w:sz w:val="20"/>
                <w:szCs w:val="20"/>
                <w:vertAlign w:val="subscript"/>
              </w:rPr>
              <w:t>max</w:t>
            </w:r>
            <w:r w:rsidRPr="00EB26D9">
              <w:rPr>
                <w:rFonts w:ascii="Arial Narrow" w:hAnsi="Arial Narrow" w:cs="Arial"/>
                <w:sz w:val="20"/>
                <w:szCs w:val="20"/>
              </w:rPr>
              <w:t xml:space="preserve"> and AUC</w:t>
            </w:r>
            <w:r w:rsidRPr="00EB26D9">
              <w:rPr>
                <w:rFonts w:ascii="Arial Narrow" w:hAnsi="Arial Narrow" w:cs="Arial"/>
                <w:sz w:val="20"/>
                <w:szCs w:val="20"/>
                <w:vertAlign w:val="subscript"/>
              </w:rPr>
              <w:t>0-inf</w:t>
            </w:r>
            <w:r w:rsidRPr="00EB26D9">
              <w:rPr>
                <w:rFonts w:ascii="Arial Narrow" w:hAnsi="Arial Narrow" w:cs="Arial"/>
                <w:sz w:val="20"/>
                <w:szCs w:val="20"/>
              </w:rPr>
              <w:t xml:space="preserve"> and AUC</w:t>
            </w:r>
            <w:r w:rsidRPr="00EB26D9">
              <w:rPr>
                <w:rFonts w:ascii="Arial Narrow" w:hAnsi="Arial Narrow" w:cs="Arial"/>
                <w:sz w:val="20"/>
                <w:szCs w:val="20"/>
                <w:vertAlign w:val="subscript"/>
              </w:rPr>
              <w:t>0-last</w:t>
            </w:r>
            <w:r w:rsidRPr="00EB26D9">
              <w:rPr>
                <w:rFonts w:ascii="Arial Narrow" w:hAnsi="Arial Narrow" w:cs="Arial"/>
                <w:sz w:val="20"/>
                <w:szCs w:val="20"/>
              </w:rPr>
              <w:t xml:space="preserve"> after a single s.c. injection of 40 mg of adalimumab</w:t>
            </w:r>
          </w:p>
        </w:tc>
        <w:tc>
          <w:tcPr>
            <w:tcW w:w="1003" w:type="pct"/>
          </w:tcPr>
          <w:p w14:paraId="63040C20" w14:textId="77777777" w:rsidR="004E7330" w:rsidRPr="00E22C6F" w:rsidRDefault="004E7330" w:rsidP="00B51A9C">
            <w:pPr>
              <w:keepNext/>
              <w:keepLines/>
              <w:rPr>
                <w:rFonts w:ascii="Arial Narrow" w:hAnsi="Arial Narrow" w:cs="Arial"/>
                <w:bCs/>
                <w:sz w:val="20"/>
                <w:szCs w:val="20"/>
              </w:rPr>
            </w:pPr>
            <w:r w:rsidRPr="00E22C6F">
              <w:rPr>
                <w:rFonts w:ascii="Arial Narrow" w:hAnsi="Arial Narrow" w:cs="Arial"/>
                <w:bCs/>
                <w:sz w:val="20"/>
                <w:szCs w:val="20"/>
              </w:rPr>
              <w:t xml:space="preserve">Clinical Study Report </w:t>
            </w:r>
          </w:p>
          <w:p w14:paraId="2D52091C" w14:textId="77777777" w:rsidR="004E7330" w:rsidRPr="00E22C6F" w:rsidRDefault="004E7330" w:rsidP="00B51A9C">
            <w:pPr>
              <w:keepNext/>
              <w:keepLines/>
              <w:rPr>
                <w:rFonts w:ascii="Arial Narrow" w:hAnsi="Arial Narrow" w:cs="Arial"/>
                <w:bCs/>
                <w:sz w:val="20"/>
                <w:szCs w:val="20"/>
              </w:rPr>
            </w:pPr>
            <w:r w:rsidRPr="00E22C6F">
              <w:rPr>
                <w:rFonts w:ascii="Arial Narrow" w:hAnsi="Arial Narrow" w:cs="Arial"/>
                <w:bCs/>
                <w:sz w:val="20"/>
                <w:szCs w:val="20"/>
              </w:rPr>
              <w:t>Report date: 11-May-2017</w:t>
            </w:r>
          </w:p>
        </w:tc>
      </w:tr>
      <w:tr w:rsidR="004E7330" w:rsidRPr="00E22C6F" w14:paraId="71F82C45" w14:textId="77777777" w:rsidTr="0096145E">
        <w:trPr>
          <w:cantSplit/>
        </w:trPr>
        <w:tc>
          <w:tcPr>
            <w:tcW w:w="1198" w:type="pct"/>
          </w:tcPr>
          <w:p w14:paraId="5123BF28" w14:textId="77777777" w:rsidR="004E7330" w:rsidRPr="00E22C6F" w:rsidRDefault="004E7330" w:rsidP="00B51A9C">
            <w:pPr>
              <w:pStyle w:val="NoSpacing"/>
              <w:keepNext/>
              <w:keepLines/>
              <w:tabs>
                <w:tab w:val="left" w:pos="1289"/>
              </w:tabs>
              <w:rPr>
                <w:rFonts w:ascii="Arial Narrow" w:hAnsi="Arial Narrow" w:cs="Arial"/>
                <w:sz w:val="20"/>
                <w:szCs w:val="20"/>
              </w:rPr>
            </w:pPr>
            <w:r w:rsidRPr="00E22C6F">
              <w:rPr>
                <w:rFonts w:ascii="Arial Narrow" w:hAnsi="Arial Narrow" w:cs="Arial"/>
                <w:sz w:val="20"/>
                <w:szCs w:val="20"/>
              </w:rPr>
              <w:t>GP17-102</w:t>
            </w:r>
          </w:p>
          <w:p w14:paraId="63692F9B" w14:textId="77777777" w:rsidR="004E7330" w:rsidRPr="00E22C6F" w:rsidRDefault="004E7330" w:rsidP="00B51A9C">
            <w:pPr>
              <w:pStyle w:val="NoSpacing"/>
              <w:keepNext/>
              <w:keepLines/>
              <w:tabs>
                <w:tab w:val="left" w:pos="1289"/>
              </w:tabs>
              <w:rPr>
                <w:rFonts w:ascii="Arial Narrow" w:hAnsi="Arial Narrow" w:cs="Arial"/>
                <w:sz w:val="20"/>
                <w:szCs w:val="20"/>
              </w:rPr>
            </w:pPr>
            <w:r w:rsidRPr="00E22C6F">
              <w:rPr>
                <w:rFonts w:ascii="Arial Narrow" w:hAnsi="Arial Narrow" w:cs="Arial"/>
                <w:sz w:val="20"/>
                <w:szCs w:val="20"/>
              </w:rPr>
              <w:t xml:space="preserve">(supportive PK study – device development) </w:t>
            </w:r>
          </w:p>
        </w:tc>
        <w:tc>
          <w:tcPr>
            <w:tcW w:w="2799" w:type="pct"/>
          </w:tcPr>
          <w:p w14:paraId="5554317D" w14:textId="77777777" w:rsidR="004E7330" w:rsidRPr="00EB26D9" w:rsidRDefault="004E7330"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 xml:space="preserve">A single-centre, randomised, open-label, single-dose, two-arm, parallel group study in 108 healthy male subjects </w:t>
            </w:r>
          </w:p>
          <w:p w14:paraId="19FB5CA2" w14:textId="77777777" w:rsidR="004E7330" w:rsidRPr="00EB26D9" w:rsidRDefault="004E7330" w:rsidP="00B51A9C">
            <w:pPr>
              <w:keepNext/>
              <w:keepLines/>
              <w:autoSpaceDE w:val="0"/>
              <w:autoSpaceDN w:val="0"/>
              <w:adjustRightInd w:val="0"/>
              <w:rPr>
                <w:rFonts w:ascii="Arial Narrow" w:hAnsi="Arial Narrow" w:cs="Arial"/>
                <w:sz w:val="20"/>
                <w:szCs w:val="20"/>
              </w:rPr>
            </w:pPr>
          </w:p>
          <w:p w14:paraId="5B1D6C9F" w14:textId="3CFCF787" w:rsidR="004E7330" w:rsidRPr="00EB26D9" w:rsidRDefault="004E7330"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Objective: to describe PK of Hyrimoz administered by</w:t>
            </w:r>
            <w:r w:rsidRPr="00E22C6F">
              <w:rPr>
                <w:rFonts w:ascii="Arial Narrow" w:hAnsi="Arial Narrow"/>
                <w:sz w:val="20"/>
                <w:szCs w:val="20"/>
              </w:rPr>
              <w:t xml:space="preserve"> </w:t>
            </w:r>
            <w:r w:rsidRPr="00EB26D9">
              <w:rPr>
                <w:rFonts w:ascii="Arial Narrow" w:hAnsi="Arial Narrow" w:cs="Arial"/>
                <w:sz w:val="20"/>
                <w:szCs w:val="20"/>
              </w:rPr>
              <w:t>autoinjector or pre-filled syringe (PFS) as a single s.c injection of 40</w:t>
            </w:r>
            <w:r w:rsidR="00E22C6F">
              <w:rPr>
                <w:rFonts w:ascii="Arial Narrow" w:hAnsi="Arial Narrow" w:cs="Arial"/>
                <w:sz w:val="20"/>
                <w:szCs w:val="20"/>
              </w:rPr>
              <w:t xml:space="preserve"> </w:t>
            </w:r>
            <w:r w:rsidRPr="00EB26D9">
              <w:rPr>
                <w:rFonts w:ascii="Arial Narrow" w:hAnsi="Arial Narrow" w:cs="Arial"/>
                <w:sz w:val="20"/>
                <w:szCs w:val="20"/>
              </w:rPr>
              <w:t>mg to healthy adult male subjects with body weights between 50 and 94.9kg in terms of AUC</w:t>
            </w:r>
            <w:r w:rsidRPr="00EB26D9">
              <w:rPr>
                <w:rFonts w:ascii="Arial Narrow" w:hAnsi="Arial Narrow" w:cs="Arial"/>
                <w:sz w:val="20"/>
                <w:szCs w:val="20"/>
                <w:vertAlign w:val="subscript"/>
              </w:rPr>
              <w:t xml:space="preserve">0-360h </w:t>
            </w:r>
            <w:r w:rsidRPr="00EB26D9">
              <w:rPr>
                <w:rFonts w:ascii="Arial Narrow" w:hAnsi="Arial Narrow" w:cs="Arial"/>
                <w:sz w:val="20"/>
                <w:szCs w:val="20"/>
              </w:rPr>
              <w:t>(device comparison).</w:t>
            </w:r>
          </w:p>
        </w:tc>
        <w:tc>
          <w:tcPr>
            <w:tcW w:w="1003" w:type="pct"/>
          </w:tcPr>
          <w:p w14:paraId="12DCEB54" w14:textId="77777777" w:rsidR="004E7330" w:rsidRPr="00E22C6F" w:rsidRDefault="004E7330" w:rsidP="00B51A9C">
            <w:pPr>
              <w:keepNext/>
              <w:keepLines/>
              <w:rPr>
                <w:rFonts w:ascii="Arial Narrow" w:hAnsi="Arial Narrow" w:cs="Arial"/>
                <w:bCs/>
                <w:sz w:val="20"/>
                <w:szCs w:val="20"/>
              </w:rPr>
            </w:pPr>
            <w:r w:rsidRPr="00E22C6F">
              <w:rPr>
                <w:rFonts w:ascii="Arial Narrow" w:hAnsi="Arial Narrow" w:cs="Arial"/>
                <w:bCs/>
                <w:sz w:val="20"/>
                <w:szCs w:val="20"/>
              </w:rPr>
              <w:t xml:space="preserve">Clinical Study Report </w:t>
            </w:r>
          </w:p>
          <w:p w14:paraId="403CA7A5" w14:textId="77777777" w:rsidR="004E7330" w:rsidRPr="00E22C6F" w:rsidRDefault="004E7330" w:rsidP="00B51A9C">
            <w:pPr>
              <w:keepNext/>
              <w:keepLines/>
              <w:rPr>
                <w:rFonts w:ascii="Arial Narrow" w:hAnsi="Arial Narrow" w:cs="Arial"/>
                <w:bCs/>
                <w:sz w:val="20"/>
                <w:szCs w:val="20"/>
              </w:rPr>
            </w:pPr>
            <w:r w:rsidRPr="00E22C6F">
              <w:rPr>
                <w:rFonts w:ascii="Arial Narrow" w:hAnsi="Arial Narrow" w:cs="Arial"/>
                <w:bCs/>
                <w:sz w:val="20"/>
                <w:szCs w:val="20"/>
              </w:rPr>
              <w:t>Report date: 11-May-2017</w:t>
            </w:r>
          </w:p>
        </w:tc>
      </w:tr>
      <w:tr w:rsidR="004E7330" w:rsidRPr="00E22C6F" w14:paraId="25AC073D" w14:textId="77777777" w:rsidTr="0096145E">
        <w:trPr>
          <w:cantSplit/>
        </w:trPr>
        <w:tc>
          <w:tcPr>
            <w:tcW w:w="1198" w:type="pct"/>
          </w:tcPr>
          <w:p w14:paraId="58C75045" w14:textId="77777777" w:rsidR="004E7330" w:rsidRPr="00E22C6F" w:rsidRDefault="004E7330" w:rsidP="00B51A9C">
            <w:pPr>
              <w:pStyle w:val="NoSpacing"/>
              <w:keepNext/>
              <w:keepLines/>
              <w:tabs>
                <w:tab w:val="left" w:pos="1289"/>
              </w:tabs>
              <w:rPr>
                <w:rFonts w:ascii="Arial Narrow" w:hAnsi="Arial Narrow" w:cs="Arial"/>
                <w:sz w:val="20"/>
                <w:szCs w:val="20"/>
              </w:rPr>
            </w:pPr>
            <w:r w:rsidRPr="00E22C6F">
              <w:rPr>
                <w:rFonts w:ascii="Arial Narrow" w:hAnsi="Arial Narrow" w:cs="Arial"/>
                <w:sz w:val="20"/>
                <w:szCs w:val="20"/>
              </w:rPr>
              <w:t>GP17-103</w:t>
            </w:r>
          </w:p>
          <w:p w14:paraId="715F54FC" w14:textId="77777777" w:rsidR="004E7330" w:rsidRPr="00E22C6F" w:rsidRDefault="004E7330" w:rsidP="00B51A9C">
            <w:pPr>
              <w:pStyle w:val="NoSpacing"/>
              <w:keepNext/>
              <w:keepLines/>
              <w:tabs>
                <w:tab w:val="left" w:pos="1289"/>
              </w:tabs>
              <w:rPr>
                <w:rFonts w:ascii="Arial Narrow" w:hAnsi="Arial Narrow" w:cs="Arial"/>
                <w:sz w:val="20"/>
                <w:szCs w:val="20"/>
              </w:rPr>
            </w:pPr>
            <w:r w:rsidRPr="00E22C6F">
              <w:rPr>
                <w:rFonts w:ascii="Arial Narrow" w:hAnsi="Arial Narrow" w:cs="Arial"/>
                <w:sz w:val="20"/>
                <w:szCs w:val="20"/>
              </w:rPr>
              <w:t xml:space="preserve">(supportive PK study – technical transfer) </w:t>
            </w:r>
          </w:p>
        </w:tc>
        <w:tc>
          <w:tcPr>
            <w:tcW w:w="2799" w:type="pct"/>
          </w:tcPr>
          <w:p w14:paraId="714C334B" w14:textId="77777777" w:rsidR="004E7330" w:rsidRPr="00EB26D9" w:rsidRDefault="004E7330"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 xml:space="preserve">A multi-centre, randomised, double-blind, parallel group, two-arm study in 178 healthy male subjects </w:t>
            </w:r>
          </w:p>
          <w:p w14:paraId="1358A5E1" w14:textId="77777777" w:rsidR="004E7330" w:rsidRPr="00EB26D9" w:rsidRDefault="004E7330" w:rsidP="00B51A9C">
            <w:pPr>
              <w:keepNext/>
              <w:keepLines/>
              <w:autoSpaceDE w:val="0"/>
              <w:autoSpaceDN w:val="0"/>
              <w:adjustRightInd w:val="0"/>
              <w:rPr>
                <w:rFonts w:ascii="Arial Narrow" w:hAnsi="Arial Narrow" w:cs="Arial"/>
                <w:sz w:val="20"/>
                <w:szCs w:val="20"/>
              </w:rPr>
            </w:pPr>
          </w:p>
          <w:p w14:paraId="4AE0764A" w14:textId="77777777" w:rsidR="004E7330" w:rsidRPr="00EB26D9" w:rsidRDefault="004E7330"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Objective: to demonstrate PK bioequivalence (90% CI of ratio of geometric means within the margins of [0.8; 1.25]) of Hyrimoz-Cook and Hyrimoz-Schaftenau in terms of C</w:t>
            </w:r>
            <w:r w:rsidRPr="00EB26D9">
              <w:rPr>
                <w:rFonts w:ascii="Arial Narrow" w:hAnsi="Arial Narrow" w:cs="Arial"/>
                <w:sz w:val="20"/>
                <w:szCs w:val="20"/>
                <w:vertAlign w:val="subscript"/>
              </w:rPr>
              <w:t>max</w:t>
            </w:r>
            <w:r w:rsidRPr="00EB26D9">
              <w:rPr>
                <w:rFonts w:ascii="Arial Narrow" w:hAnsi="Arial Narrow" w:cs="Arial"/>
                <w:sz w:val="20"/>
                <w:szCs w:val="20"/>
              </w:rPr>
              <w:t>, AUC</w:t>
            </w:r>
            <w:r w:rsidRPr="00EB26D9">
              <w:rPr>
                <w:rFonts w:ascii="Arial Narrow" w:hAnsi="Arial Narrow" w:cs="Arial"/>
                <w:sz w:val="20"/>
                <w:szCs w:val="20"/>
                <w:vertAlign w:val="subscript"/>
              </w:rPr>
              <w:t>0-inf</w:t>
            </w:r>
            <w:r w:rsidRPr="00EB26D9">
              <w:rPr>
                <w:rFonts w:ascii="Arial Narrow" w:hAnsi="Arial Narrow" w:cs="Arial"/>
                <w:sz w:val="20"/>
                <w:szCs w:val="20"/>
              </w:rPr>
              <w:t xml:space="preserve"> and</w:t>
            </w:r>
            <w:r w:rsidRPr="00E22C6F">
              <w:rPr>
                <w:rFonts w:ascii="Arial Narrow" w:hAnsi="Arial Narrow"/>
                <w:sz w:val="20"/>
                <w:szCs w:val="20"/>
              </w:rPr>
              <w:t xml:space="preserve"> </w:t>
            </w:r>
            <w:r w:rsidRPr="00EB26D9">
              <w:rPr>
                <w:rFonts w:ascii="Arial Narrow" w:hAnsi="Arial Narrow" w:cs="Arial"/>
                <w:sz w:val="20"/>
                <w:szCs w:val="20"/>
              </w:rPr>
              <w:t>AUC</w:t>
            </w:r>
            <w:r w:rsidRPr="00EB26D9">
              <w:rPr>
                <w:rFonts w:ascii="Arial Narrow" w:hAnsi="Arial Narrow" w:cs="Arial"/>
                <w:sz w:val="20"/>
                <w:szCs w:val="20"/>
                <w:vertAlign w:val="subscript"/>
              </w:rPr>
              <w:t>0-last</w:t>
            </w:r>
            <w:r w:rsidRPr="00EB26D9">
              <w:rPr>
                <w:rFonts w:ascii="Arial Narrow" w:hAnsi="Arial Narrow" w:cs="Arial"/>
                <w:sz w:val="20"/>
                <w:szCs w:val="20"/>
              </w:rPr>
              <w:t xml:space="preserve"> after a single s.c. injection of 40 mg of adalimumab.</w:t>
            </w:r>
            <w:r w:rsidRPr="00E22C6F">
              <w:rPr>
                <w:rFonts w:ascii="Arial Narrow" w:hAnsi="Arial Narrow"/>
                <w:sz w:val="20"/>
                <w:szCs w:val="20"/>
              </w:rPr>
              <w:t xml:space="preserve"> </w:t>
            </w:r>
          </w:p>
        </w:tc>
        <w:tc>
          <w:tcPr>
            <w:tcW w:w="1003" w:type="pct"/>
          </w:tcPr>
          <w:p w14:paraId="2026CEA6" w14:textId="77777777" w:rsidR="004E7330" w:rsidRPr="00E22C6F" w:rsidRDefault="004E7330" w:rsidP="00B51A9C">
            <w:pPr>
              <w:keepNext/>
              <w:keepLines/>
              <w:rPr>
                <w:rFonts w:ascii="Arial Narrow" w:hAnsi="Arial Narrow" w:cs="Arial"/>
                <w:bCs/>
                <w:sz w:val="20"/>
                <w:szCs w:val="20"/>
              </w:rPr>
            </w:pPr>
            <w:r w:rsidRPr="00E22C6F">
              <w:rPr>
                <w:rFonts w:ascii="Arial Narrow" w:hAnsi="Arial Narrow" w:cs="Arial"/>
                <w:bCs/>
                <w:sz w:val="20"/>
                <w:szCs w:val="20"/>
              </w:rPr>
              <w:t xml:space="preserve">Clinical Study Report </w:t>
            </w:r>
          </w:p>
          <w:p w14:paraId="0BD28103" w14:textId="77777777" w:rsidR="004E7330" w:rsidRPr="00E22C6F" w:rsidRDefault="004E7330" w:rsidP="00B51A9C">
            <w:pPr>
              <w:keepNext/>
              <w:keepLines/>
              <w:rPr>
                <w:rFonts w:ascii="Arial Narrow" w:hAnsi="Arial Narrow" w:cs="Arial"/>
                <w:bCs/>
                <w:sz w:val="20"/>
                <w:szCs w:val="20"/>
              </w:rPr>
            </w:pPr>
            <w:r w:rsidRPr="00E22C6F">
              <w:rPr>
                <w:rFonts w:ascii="Arial Narrow" w:hAnsi="Arial Narrow" w:cs="Arial"/>
                <w:bCs/>
                <w:sz w:val="20"/>
                <w:szCs w:val="20"/>
              </w:rPr>
              <w:t>Report date: 11-May-2017</w:t>
            </w:r>
          </w:p>
        </w:tc>
      </w:tr>
      <w:tr w:rsidR="004E7330" w:rsidRPr="00E22C6F" w14:paraId="2229940E" w14:textId="77777777" w:rsidTr="001D48EA">
        <w:trPr>
          <w:cantSplit/>
        </w:trPr>
        <w:tc>
          <w:tcPr>
            <w:tcW w:w="1198" w:type="pct"/>
            <w:shd w:val="clear" w:color="auto" w:fill="auto"/>
          </w:tcPr>
          <w:p w14:paraId="539E7D03" w14:textId="77777777" w:rsidR="004E7330" w:rsidRPr="00EB26D9" w:rsidRDefault="004E7330" w:rsidP="00B51A9C">
            <w:pPr>
              <w:pStyle w:val="NoSpacing"/>
              <w:keepNext/>
              <w:keepLines/>
              <w:tabs>
                <w:tab w:val="left" w:pos="1289"/>
              </w:tabs>
              <w:rPr>
                <w:rFonts w:ascii="Arial Narrow" w:hAnsi="Arial Narrow" w:cs="Arial"/>
                <w:sz w:val="20"/>
                <w:szCs w:val="20"/>
              </w:rPr>
            </w:pPr>
            <w:bookmarkStart w:id="7" w:name="_Hlk30263857"/>
            <w:r w:rsidRPr="00EB26D9">
              <w:rPr>
                <w:rFonts w:ascii="Arial Narrow" w:hAnsi="Arial Narrow" w:cs="Arial"/>
                <w:sz w:val="20"/>
                <w:szCs w:val="20"/>
              </w:rPr>
              <w:t>GP17-104</w:t>
            </w:r>
          </w:p>
          <w:bookmarkEnd w:id="7"/>
          <w:p w14:paraId="022EAB5E" w14:textId="77777777" w:rsidR="004E7330" w:rsidRPr="00EB26D9" w:rsidRDefault="004E7330" w:rsidP="00B51A9C">
            <w:pPr>
              <w:pStyle w:val="NoSpacing"/>
              <w:keepNext/>
              <w:keepLines/>
              <w:tabs>
                <w:tab w:val="left" w:pos="1289"/>
              </w:tabs>
              <w:rPr>
                <w:rFonts w:ascii="Arial Narrow" w:hAnsi="Arial Narrow" w:cs="Arial"/>
                <w:sz w:val="20"/>
                <w:szCs w:val="20"/>
              </w:rPr>
            </w:pPr>
            <w:r w:rsidRPr="00EB26D9">
              <w:rPr>
                <w:rFonts w:ascii="Arial Narrow" w:hAnsi="Arial Narrow" w:cs="Arial"/>
                <w:sz w:val="20"/>
                <w:szCs w:val="20"/>
              </w:rPr>
              <w:t>(pivotal PK study)</w:t>
            </w:r>
          </w:p>
        </w:tc>
        <w:tc>
          <w:tcPr>
            <w:tcW w:w="2799" w:type="pct"/>
          </w:tcPr>
          <w:p w14:paraId="5370EF5E" w14:textId="77777777" w:rsidR="004E7330" w:rsidRPr="00EB26D9" w:rsidRDefault="004E7330" w:rsidP="00B51A9C">
            <w:pPr>
              <w:keepNext/>
              <w:keepLines/>
              <w:autoSpaceDE w:val="0"/>
              <w:autoSpaceDN w:val="0"/>
              <w:adjustRightInd w:val="0"/>
              <w:rPr>
                <w:rFonts w:ascii="Arial Narrow" w:eastAsia="TimesNewRoman" w:hAnsi="Arial Narrow" w:cs="Arial"/>
                <w:sz w:val="20"/>
                <w:szCs w:val="20"/>
              </w:rPr>
            </w:pPr>
            <w:r w:rsidRPr="00EB26D9">
              <w:rPr>
                <w:rFonts w:ascii="Arial Narrow" w:hAnsi="Arial Narrow" w:cs="Arial"/>
                <w:sz w:val="20"/>
                <w:szCs w:val="20"/>
              </w:rPr>
              <w:t>A single-centre, randomized, double-blind, single-dose, three-arm, parallel group study in 318 healthy male subjects</w:t>
            </w:r>
            <w:r w:rsidRPr="00EB26D9">
              <w:rPr>
                <w:rFonts w:ascii="Arial Narrow" w:eastAsia="TimesNewRoman" w:hAnsi="Arial Narrow" w:cs="Arial"/>
                <w:sz w:val="20"/>
                <w:szCs w:val="20"/>
              </w:rPr>
              <w:t xml:space="preserve"> comparing Hyrimoz with Humira (EU) and Humira (EU) with Humira (US).</w:t>
            </w:r>
          </w:p>
          <w:p w14:paraId="2E9BC829" w14:textId="77777777" w:rsidR="004E7330" w:rsidRPr="00EB26D9" w:rsidRDefault="004E7330" w:rsidP="00B51A9C">
            <w:pPr>
              <w:keepNext/>
              <w:keepLines/>
              <w:autoSpaceDE w:val="0"/>
              <w:autoSpaceDN w:val="0"/>
              <w:adjustRightInd w:val="0"/>
              <w:rPr>
                <w:rFonts w:ascii="Arial Narrow" w:hAnsi="Arial Narrow" w:cs="Arial"/>
                <w:sz w:val="20"/>
                <w:szCs w:val="20"/>
              </w:rPr>
            </w:pPr>
          </w:p>
          <w:p w14:paraId="295AA3AA" w14:textId="77777777" w:rsidR="004E7330" w:rsidRPr="00EB26D9" w:rsidRDefault="004E7330"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Objective: To demonstrate PK bioequivalence (90% CI</w:t>
            </w:r>
          </w:p>
          <w:p w14:paraId="15457146" w14:textId="77777777" w:rsidR="004E7330" w:rsidRPr="00EB26D9" w:rsidRDefault="004E7330"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of ratio of geometric means within the margins of [0.8; 1.25]) of Hyrimoz and Humira (EU), and PK bioequivalence of Humira (EU) and Humira (US) in terms of C</w:t>
            </w:r>
            <w:r w:rsidRPr="00EB26D9">
              <w:rPr>
                <w:rFonts w:ascii="Arial Narrow" w:hAnsi="Arial Narrow" w:cs="Arial"/>
                <w:sz w:val="20"/>
                <w:szCs w:val="20"/>
                <w:vertAlign w:val="subscript"/>
              </w:rPr>
              <w:t>max</w:t>
            </w:r>
            <w:r w:rsidRPr="00EB26D9">
              <w:rPr>
                <w:rFonts w:ascii="Arial Narrow" w:hAnsi="Arial Narrow" w:cs="Arial"/>
                <w:sz w:val="20"/>
                <w:szCs w:val="20"/>
              </w:rPr>
              <w:t xml:space="preserve"> and AUC</w:t>
            </w:r>
            <w:r w:rsidRPr="00EB26D9">
              <w:rPr>
                <w:rFonts w:ascii="Arial Narrow" w:hAnsi="Arial Narrow" w:cs="Arial"/>
                <w:sz w:val="20"/>
                <w:szCs w:val="20"/>
                <w:vertAlign w:val="subscript"/>
              </w:rPr>
              <w:t>0-inf</w:t>
            </w:r>
            <w:r w:rsidRPr="00EB26D9">
              <w:rPr>
                <w:rFonts w:ascii="Arial Narrow" w:hAnsi="Arial Narrow" w:cs="Arial"/>
                <w:sz w:val="20"/>
                <w:szCs w:val="20"/>
              </w:rPr>
              <w:t xml:space="preserve"> after a single s.c. injection of 40 mg of adalimumab</w:t>
            </w:r>
          </w:p>
        </w:tc>
        <w:tc>
          <w:tcPr>
            <w:tcW w:w="1003" w:type="pct"/>
          </w:tcPr>
          <w:p w14:paraId="24174CF8" w14:textId="77777777" w:rsidR="004E7330" w:rsidRPr="00E22C6F" w:rsidRDefault="004E7330" w:rsidP="00B51A9C">
            <w:pPr>
              <w:keepNext/>
              <w:keepLines/>
              <w:rPr>
                <w:rFonts w:ascii="Arial Narrow" w:hAnsi="Arial Narrow" w:cs="Arial"/>
                <w:bCs/>
                <w:sz w:val="20"/>
                <w:szCs w:val="20"/>
              </w:rPr>
            </w:pPr>
            <w:r w:rsidRPr="00E22C6F">
              <w:rPr>
                <w:rFonts w:ascii="Arial Narrow" w:hAnsi="Arial Narrow" w:cs="Arial"/>
                <w:bCs/>
                <w:sz w:val="20"/>
                <w:szCs w:val="20"/>
              </w:rPr>
              <w:t xml:space="preserve">Clinical Study Report </w:t>
            </w:r>
          </w:p>
          <w:p w14:paraId="2CF084F6" w14:textId="77777777" w:rsidR="004E7330" w:rsidRPr="00E22C6F" w:rsidRDefault="004E7330" w:rsidP="00B51A9C">
            <w:pPr>
              <w:keepNext/>
              <w:keepLines/>
              <w:rPr>
                <w:rFonts w:ascii="Arial Narrow" w:hAnsi="Arial Narrow" w:cs="Arial"/>
                <w:b/>
                <w:sz w:val="20"/>
                <w:szCs w:val="20"/>
              </w:rPr>
            </w:pPr>
            <w:r w:rsidRPr="00E22C6F">
              <w:rPr>
                <w:rFonts w:ascii="Arial Narrow" w:hAnsi="Arial Narrow" w:cs="Arial"/>
                <w:bCs/>
                <w:sz w:val="20"/>
                <w:szCs w:val="20"/>
              </w:rPr>
              <w:t>Report date: 11-May-2017</w:t>
            </w:r>
          </w:p>
        </w:tc>
      </w:tr>
      <w:tr w:rsidR="004E7330" w:rsidRPr="00E22C6F" w14:paraId="61DA7686" w14:textId="77777777" w:rsidTr="001D48EA">
        <w:trPr>
          <w:cantSplit/>
        </w:trPr>
        <w:tc>
          <w:tcPr>
            <w:tcW w:w="1198" w:type="pct"/>
            <w:shd w:val="clear" w:color="auto" w:fill="auto"/>
          </w:tcPr>
          <w:p w14:paraId="3021A9E4" w14:textId="77777777" w:rsidR="004E7330" w:rsidRPr="00E22C6F" w:rsidRDefault="004E7330" w:rsidP="00B51A9C">
            <w:pPr>
              <w:pStyle w:val="NoSpacing"/>
              <w:keepNext/>
              <w:keepLines/>
              <w:tabs>
                <w:tab w:val="left" w:pos="1289"/>
              </w:tabs>
              <w:rPr>
                <w:rFonts w:ascii="Arial Narrow" w:hAnsi="Arial Narrow" w:cs="Arial"/>
                <w:sz w:val="20"/>
                <w:szCs w:val="20"/>
              </w:rPr>
            </w:pPr>
            <w:bookmarkStart w:id="8" w:name="_Hlk30263885"/>
            <w:r w:rsidRPr="00E22C6F">
              <w:rPr>
                <w:rFonts w:ascii="Arial Narrow" w:hAnsi="Arial Narrow" w:cs="Arial"/>
                <w:sz w:val="20"/>
                <w:szCs w:val="20"/>
              </w:rPr>
              <w:t>GP17-301</w:t>
            </w:r>
          </w:p>
          <w:bookmarkEnd w:id="8"/>
          <w:p w14:paraId="167F4A46" w14:textId="77777777" w:rsidR="004E7330" w:rsidRPr="00E22C6F" w:rsidRDefault="004E7330" w:rsidP="00B51A9C">
            <w:pPr>
              <w:pStyle w:val="NoSpacing"/>
              <w:keepNext/>
              <w:keepLines/>
              <w:tabs>
                <w:tab w:val="left" w:pos="1289"/>
              </w:tabs>
              <w:rPr>
                <w:rFonts w:ascii="Arial Narrow" w:hAnsi="Arial Narrow" w:cs="Arial"/>
                <w:sz w:val="20"/>
                <w:szCs w:val="20"/>
              </w:rPr>
            </w:pPr>
            <w:r w:rsidRPr="00E22C6F">
              <w:rPr>
                <w:rFonts w:ascii="Arial Narrow" w:hAnsi="Arial Narrow" w:cs="Arial"/>
                <w:sz w:val="20"/>
                <w:szCs w:val="20"/>
              </w:rPr>
              <w:t>(</w:t>
            </w:r>
            <w:proofErr w:type="gramStart"/>
            <w:r w:rsidRPr="00E22C6F">
              <w:rPr>
                <w:rFonts w:ascii="Arial Narrow" w:hAnsi="Arial Narrow" w:cs="Arial"/>
                <w:sz w:val="20"/>
                <w:szCs w:val="20"/>
              </w:rPr>
              <w:t>pivotal</w:t>
            </w:r>
            <w:proofErr w:type="gramEnd"/>
            <w:r w:rsidRPr="00E22C6F">
              <w:rPr>
                <w:rFonts w:ascii="Arial Narrow" w:hAnsi="Arial Narrow" w:cs="Arial"/>
                <w:sz w:val="20"/>
                <w:szCs w:val="20"/>
              </w:rPr>
              <w:t xml:space="preserve"> confirmatory</w:t>
            </w:r>
          </w:p>
          <w:p w14:paraId="2C512CFB" w14:textId="77777777" w:rsidR="004E7330" w:rsidRPr="00E22C6F" w:rsidRDefault="004E7330" w:rsidP="00B51A9C">
            <w:pPr>
              <w:pStyle w:val="NoSpacing"/>
              <w:keepNext/>
              <w:keepLines/>
              <w:tabs>
                <w:tab w:val="left" w:pos="1289"/>
              </w:tabs>
              <w:rPr>
                <w:rFonts w:ascii="Arial Narrow" w:hAnsi="Arial Narrow" w:cs="Arial"/>
                <w:sz w:val="20"/>
                <w:szCs w:val="20"/>
              </w:rPr>
            </w:pPr>
            <w:r w:rsidRPr="00E22C6F">
              <w:rPr>
                <w:rFonts w:ascii="Arial Narrow" w:hAnsi="Arial Narrow" w:cs="Arial"/>
                <w:sz w:val="20"/>
                <w:szCs w:val="20"/>
              </w:rPr>
              <w:t>efficacy and safety study)</w:t>
            </w:r>
          </w:p>
        </w:tc>
        <w:tc>
          <w:tcPr>
            <w:tcW w:w="2799" w:type="pct"/>
          </w:tcPr>
          <w:p w14:paraId="413772F3" w14:textId="77777777" w:rsidR="004E7330" w:rsidRPr="00EB26D9" w:rsidRDefault="004E7330"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 xml:space="preserve">A multi-center, randomized, double-blind, comparator-controlled study with treatment switches in 465 male and female patients with moderate to severe chronic plaque-type psoriasis. Patients enrolled in the EU received either Hyrimoz or Humira (EU), and patients enrolled in the US received either Hyrimoz or Humira (US). </w:t>
            </w:r>
          </w:p>
          <w:p w14:paraId="07419EFC" w14:textId="77777777" w:rsidR="004E7330" w:rsidRPr="00EB26D9" w:rsidRDefault="004E7330" w:rsidP="00B51A9C">
            <w:pPr>
              <w:keepNext/>
              <w:keepLines/>
              <w:autoSpaceDE w:val="0"/>
              <w:autoSpaceDN w:val="0"/>
              <w:adjustRightInd w:val="0"/>
              <w:rPr>
                <w:rFonts w:ascii="Arial Narrow" w:hAnsi="Arial Narrow" w:cs="Arial"/>
                <w:sz w:val="20"/>
                <w:szCs w:val="20"/>
              </w:rPr>
            </w:pPr>
          </w:p>
          <w:p w14:paraId="7B7CE0B1" w14:textId="77777777" w:rsidR="004E7330" w:rsidRPr="00EB26D9" w:rsidRDefault="004E7330" w:rsidP="00B51A9C">
            <w:pPr>
              <w:keepNext/>
              <w:keepLines/>
              <w:autoSpaceDE w:val="0"/>
              <w:autoSpaceDN w:val="0"/>
              <w:adjustRightInd w:val="0"/>
              <w:rPr>
                <w:rFonts w:ascii="Arial Narrow" w:hAnsi="Arial Narrow" w:cs="Arial"/>
                <w:sz w:val="20"/>
                <w:szCs w:val="20"/>
              </w:rPr>
            </w:pPr>
            <w:r w:rsidRPr="00EB26D9">
              <w:rPr>
                <w:rFonts w:ascii="Arial Narrow" w:hAnsi="Arial Narrow" w:cs="Arial"/>
                <w:sz w:val="20"/>
                <w:szCs w:val="20"/>
              </w:rPr>
              <w:t xml:space="preserve">Objective: To demonstrate equivalent efficacy of Hyrimoz and Humira with respect to PASI75 response rate at </w:t>
            </w:r>
            <w:bookmarkStart w:id="9" w:name="_Hlk30256295"/>
            <w:r w:rsidRPr="00EB26D9">
              <w:rPr>
                <w:rFonts w:ascii="Arial Narrow" w:hAnsi="Arial Narrow" w:cs="Arial"/>
                <w:sz w:val="20"/>
                <w:szCs w:val="20"/>
              </w:rPr>
              <w:t>Week 16 and similar safety and immunogenicity in patients with moderate to severe chronic plaque-type psoriasis</w:t>
            </w:r>
            <w:bookmarkEnd w:id="9"/>
          </w:p>
        </w:tc>
        <w:tc>
          <w:tcPr>
            <w:tcW w:w="1003" w:type="pct"/>
          </w:tcPr>
          <w:p w14:paraId="00C4DA85" w14:textId="77777777" w:rsidR="004E7330" w:rsidRPr="00E22C6F" w:rsidRDefault="004E7330" w:rsidP="00B51A9C">
            <w:pPr>
              <w:keepNext/>
              <w:keepLines/>
              <w:rPr>
                <w:rFonts w:ascii="Arial Narrow" w:hAnsi="Arial Narrow" w:cs="Arial"/>
                <w:bCs/>
                <w:sz w:val="20"/>
                <w:szCs w:val="20"/>
              </w:rPr>
            </w:pPr>
            <w:r w:rsidRPr="00E22C6F">
              <w:rPr>
                <w:rFonts w:ascii="Arial Narrow" w:hAnsi="Arial Narrow" w:cs="Arial"/>
                <w:bCs/>
                <w:sz w:val="20"/>
                <w:szCs w:val="20"/>
              </w:rPr>
              <w:t xml:space="preserve">Clinical Study Report </w:t>
            </w:r>
          </w:p>
          <w:p w14:paraId="1AFFC94E" w14:textId="77777777" w:rsidR="004E7330" w:rsidRPr="00E22C6F" w:rsidRDefault="004E7330" w:rsidP="00B51A9C">
            <w:pPr>
              <w:keepNext/>
              <w:keepLines/>
              <w:rPr>
                <w:rFonts w:ascii="Arial Narrow" w:hAnsi="Arial Narrow" w:cs="Arial"/>
                <w:bCs/>
                <w:sz w:val="20"/>
                <w:szCs w:val="20"/>
              </w:rPr>
            </w:pPr>
            <w:r w:rsidRPr="00E22C6F">
              <w:rPr>
                <w:rFonts w:ascii="Arial Narrow" w:hAnsi="Arial Narrow" w:cs="Arial"/>
                <w:bCs/>
                <w:sz w:val="20"/>
                <w:szCs w:val="20"/>
              </w:rPr>
              <w:t xml:space="preserve">Report date: </w:t>
            </w:r>
            <w:r w:rsidRPr="00EB26D9">
              <w:rPr>
                <w:rFonts w:ascii="Arial Narrow" w:hAnsi="Arial Narrow" w:cs="Arial"/>
                <w:bCs/>
                <w:sz w:val="20"/>
                <w:szCs w:val="20"/>
              </w:rPr>
              <w:t>11-May-2017</w:t>
            </w:r>
          </w:p>
        </w:tc>
      </w:tr>
    </w:tbl>
    <w:p w14:paraId="63C717B2" w14:textId="27929F80" w:rsidR="00676302" w:rsidRPr="00E22C6F" w:rsidRDefault="008474A0" w:rsidP="00676302">
      <w:pPr>
        <w:pStyle w:val="FooterTableFigure"/>
        <w:rPr>
          <w:szCs w:val="18"/>
        </w:rPr>
      </w:pPr>
      <w:r w:rsidRPr="00E22C6F">
        <w:rPr>
          <w:szCs w:val="18"/>
        </w:rPr>
        <w:t>Source</w:t>
      </w:r>
      <w:r w:rsidR="00DE40D9" w:rsidRPr="00E22C6F">
        <w:rPr>
          <w:szCs w:val="18"/>
        </w:rPr>
        <w:t xml:space="preserve">: </w:t>
      </w:r>
      <w:r w:rsidR="00676302" w:rsidRPr="00E22C6F">
        <w:rPr>
          <w:szCs w:val="18"/>
        </w:rPr>
        <w:t>Table 1-1, p</w:t>
      </w:r>
      <w:r w:rsidR="00C80550" w:rsidRPr="00E22C6F">
        <w:rPr>
          <w:szCs w:val="18"/>
        </w:rPr>
        <w:t>8</w:t>
      </w:r>
      <w:r w:rsidR="000B6C3F" w:rsidRPr="00E22C6F">
        <w:rPr>
          <w:szCs w:val="18"/>
        </w:rPr>
        <w:t xml:space="preserve"> </w:t>
      </w:r>
      <w:r w:rsidR="000C3C1D" w:rsidRPr="00E22C6F">
        <w:rPr>
          <w:szCs w:val="18"/>
        </w:rPr>
        <w:t>A5-c</w:t>
      </w:r>
      <w:r w:rsidR="000B6C3F" w:rsidRPr="00E22C6F">
        <w:rPr>
          <w:szCs w:val="18"/>
        </w:rPr>
        <w:t>linical overview LCF and Table 1-1, p8</w:t>
      </w:r>
      <w:r w:rsidR="00E049CA" w:rsidRPr="00E22C6F">
        <w:rPr>
          <w:szCs w:val="18"/>
        </w:rPr>
        <w:t xml:space="preserve"> </w:t>
      </w:r>
      <w:r w:rsidR="000C3C1D" w:rsidRPr="00E22C6F">
        <w:rPr>
          <w:szCs w:val="18"/>
        </w:rPr>
        <w:t>A6-c</w:t>
      </w:r>
      <w:r w:rsidR="00E049CA" w:rsidRPr="00E22C6F">
        <w:rPr>
          <w:szCs w:val="18"/>
        </w:rPr>
        <w:t>linical overview addendum HCF.</w:t>
      </w:r>
    </w:p>
    <w:bookmarkEnd w:id="6"/>
    <w:p w14:paraId="0C65AAA1" w14:textId="77777777" w:rsidR="00CB6450" w:rsidRPr="00E22C6F" w:rsidRDefault="00CB6450" w:rsidP="00CB6450">
      <w:pPr>
        <w:pStyle w:val="4-SubsectionHeading"/>
        <w:rPr>
          <w:lang w:eastAsia="en-US"/>
        </w:rPr>
      </w:pPr>
      <w:r w:rsidRPr="00E22C6F">
        <w:rPr>
          <w:lang w:eastAsia="en-US"/>
        </w:rPr>
        <w:lastRenderedPageBreak/>
        <w:t>Clinical claim</w:t>
      </w:r>
    </w:p>
    <w:p w14:paraId="0CDB3ED3" w14:textId="77777777" w:rsidR="00D02AB4" w:rsidRDefault="00724DA2" w:rsidP="00686263">
      <w:pPr>
        <w:pStyle w:val="3Bodytext"/>
        <w:numPr>
          <w:ilvl w:val="1"/>
          <w:numId w:val="2"/>
        </w:numPr>
      </w:pPr>
      <w:r w:rsidRPr="00E22C6F">
        <w:t xml:space="preserve">The </w:t>
      </w:r>
      <w:r w:rsidR="00AE7BB9" w:rsidRPr="00E22C6F">
        <w:t xml:space="preserve">submission </w:t>
      </w:r>
      <w:r w:rsidRPr="00E22C6F">
        <w:t>claim</w:t>
      </w:r>
      <w:r w:rsidR="00AE7BB9" w:rsidRPr="00E22C6F">
        <w:t>ed</w:t>
      </w:r>
      <w:r w:rsidRPr="00E22C6F">
        <w:t xml:space="preserve"> that Hyrimoz</w:t>
      </w:r>
      <w:r w:rsidR="004360DE" w:rsidRPr="00E22C6F">
        <w:t xml:space="preserve"> HCF</w:t>
      </w:r>
      <w:r w:rsidRPr="00E22C6F">
        <w:t xml:space="preserve"> is non-inferior in terms of </w:t>
      </w:r>
      <w:r w:rsidR="00F56860" w:rsidRPr="00E22C6F">
        <w:t xml:space="preserve">comparative </w:t>
      </w:r>
      <w:r w:rsidRPr="00E22C6F">
        <w:t xml:space="preserve">efficacy and safety to Humira. </w:t>
      </w:r>
      <w:bookmarkStart w:id="10" w:name="_Hlk172620035"/>
      <w:r w:rsidRPr="00E22C6F">
        <w:t xml:space="preserve">The </w:t>
      </w:r>
      <w:r w:rsidR="00686263">
        <w:t xml:space="preserve">PBAC noted the </w:t>
      </w:r>
      <w:r w:rsidRPr="00E22C6F">
        <w:t xml:space="preserve">TGA </w:t>
      </w:r>
      <w:r w:rsidR="003D3F9E" w:rsidRPr="00E22C6F">
        <w:t>Delegate</w:t>
      </w:r>
      <w:r w:rsidRPr="00E22C6F">
        <w:t xml:space="preserve"> found that the results of the clinical and pharmacokinetic </w:t>
      </w:r>
      <w:r w:rsidR="009D3CB4" w:rsidRPr="00E22C6F">
        <w:t>trials</w:t>
      </w:r>
      <w:r w:rsidRPr="00E22C6F">
        <w:t xml:space="preserve"> showed that the two products were similar in terms of both efficacy and safety and were biosimilar to one other. </w:t>
      </w:r>
      <w:bookmarkEnd w:id="10"/>
    </w:p>
    <w:p w14:paraId="1371D7B6" w14:textId="1FD39CDF" w:rsidR="00724DA2" w:rsidRPr="00E22C6F" w:rsidRDefault="00686263" w:rsidP="001B70CE">
      <w:pPr>
        <w:pStyle w:val="3Bodytext"/>
        <w:numPr>
          <w:ilvl w:val="1"/>
          <w:numId w:val="2"/>
        </w:numPr>
      </w:pPr>
      <w:r w:rsidRPr="00686263">
        <w:rPr>
          <w:iCs/>
        </w:rPr>
        <w:t>The</w:t>
      </w:r>
      <w:r w:rsidRPr="00686263">
        <w:t xml:space="preserve"> PBAC considered that the claim of non-inferior comparative effectiveness and non-inferior comparative safety </w:t>
      </w:r>
      <w:r w:rsidR="00D02AB4">
        <w:t xml:space="preserve">to Humira </w:t>
      </w:r>
      <w:r w:rsidRPr="00686263">
        <w:t>was reasonable.</w:t>
      </w:r>
    </w:p>
    <w:p w14:paraId="101C0C30" w14:textId="77777777" w:rsidR="00CB6450" w:rsidRPr="00E22C6F" w:rsidRDefault="00CB6450" w:rsidP="00CB6450">
      <w:pPr>
        <w:pStyle w:val="4-SubsectionHeading"/>
        <w:rPr>
          <w:lang w:eastAsia="en-US"/>
        </w:rPr>
      </w:pPr>
      <w:r w:rsidRPr="00E22C6F">
        <w:rPr>
          <w:lang w:eastAsia="en-US"/>
        </w:rPr>
        <w:t xml:space="preserve">Economic analysis </w:t>
      </w:r>
    </w:p>
    <w:p w14:paraId="21DDA25E" w14:textId="53E90DB4" w:rsidR="00511F84" w:rsidRPr="00E22C6F" w:rsidRDefault="00181BCF" w:rsidP="00511F84">
      <w:pPr>
        <w:widowControl w:val="0"/>
        <w:numPr>
          <w:ilvl w:val="1"/>
          <w:numId w:val="2"/>
        </w:numPr>
        <w:spacing w:after="120"/>
        <w:rPr>
          <w:iCs/>
        </w:rPr>
      </w:pPr>
      <w:r w:rsidRPr="00E22C6F">
        <w:t xml:space="preserve">The submission did not present an economic analysis as it was a Category 4 submission. </w:t>
      </w:r>
      <w:r w:rsidR="00FC3AF5" w:rsidRPr="00E22C6F">
        <w:t xml:space="preserve">The submission requested listing of Hyrimoz </w:t>
      </w:r>
      <w:r w:rsidR="004360DE" w:rsidRPr="00E22C6F">
        <w:t xml:space="preserve">HCF </w:t>
      </w:r>
      <w:r w:rsidR="00FC3AF5" w:rsidRPr="00E22C6F">
        <w:t>on a cost-minimisation basis to Humira.</w:t>
      </w:r>
      <w:r w:rsidR="00E64419" w:rsidRPr="00E22C6F">
        <w:rPr>
          <w:iCs/>
        </w:rPr>
        <w:t xml:space="preserve"> </w:t>
      </w:r>
      <w:r w:rsidR="00511F84" w:rsidRPr="00E22C6F">
        <w:rPr>
          <w:iCs/>
        </w:rPr>
        <w:t xml:space="preserve">The submission </w:t>
      </w:r>
      <w:r w:rsidRPr="00E22C6F">
        <w:rPr>
          <w:iCs/>
        </w:rPr>
        <w:t>requested</w:t>
      </w:r>
      <w:r w:rsidR="00511F84" w:rsidRPr="00E22C6F">
        <w:rPr>
          <w:iCs/>
        </w:rPr>
        <w:t xml:space="preserve"> the same AEMP for </w:t>
      </w:r>
      <w:r w:rsidR="00624172" w:rsidRPr="00E22C6F">
        <w:rPr>
          <w:iCs/>
        </w:rPr>
        <w:t xml:space="preserve">Hyrimoz </w:t>
      </w:r>
      <w:r w:rsidR="004360DE" w:rsidRPr="00E22C6F">
        <w:rPr>
          <w:iCs/>
        </w:rPr>
        <w:t xml:space="preserve">HCF </w:t>
      </w:r>
      <w:r w:rsidR="00511F84" w:rsidRPr="00E22C6F">
        <w:rPr>
          <w:iCs/>
        </w:rPr>
        <w:t>as Humira for the equivalent form and strength.</w:t>
      </w:r>
    </w:p>
    <w:p w14:paraId="3C559220" w14:textId="35DF7F8A" w:rsidR="00181BCF" w:rsidRPr="00CA2A6F" w:rsidRDefault="00181BCF" w:rsidP="00EB26D9">
      <w:pPr>
        <w:pStyle w:val="3Bodytext"/>
        <w:numPr>
          <w:ilvl w:val="1"/>
          <w:numId w:val="2"/>
        </w:numPr>
        <w:jc w:val="both"/>
        <w:rPr>
          <w:lang w:eastAsia="en-US"/>
        </w:rPr>
      </w:pPr>
      <w:r w:rsidRPr="00CA2A6F">
        <w:t xml:space="preserve">The submission did not propose an equi-effective dose. </w:t>
      </w:r>
      <w:r w:rsidRPr="00D1006D">
        <w:t xml:space="preserve">The PBAC previously advised 1 mg of </w:t>
      </w:r>
      <w:r w:rsidR="00852EC0">
        <w:t>Hadlima</w:t>
      </w:r>
      <w:r w:rsidR="00852EC0" w:rsidRPr="00D1006D">
        <w:t xml:space="preserve"> </w:t>
      </w:r>
      <w:r w:rsidRPr="00D1006D">
        <w:t>= 1 mg of Humira and all other biosimilar brands and formulations of adalimumab (paragraph 6.3</w:t>
      </w:r>
      <w:r w:rsidR="001B70CE">
        <w:t>,</w:t>
      </w:r>
      <w:r w:rsidR="00852EC0">
        <w:t xml:space="preserve"> </w:t>
      </w:r>
      <w:r w:rsidRPr="00D1006D">
        <w:t>adalimumab</w:t>
      </w:r>
      <w:r w:rsidR="00852EC0">
        <w:t xml:space="preserve"> </w:t>
      </w:r>
      <w:r w:rsidR="001B70CE">
        <w:t xml:space="preserve">(Hadlima) </w:t>
      </w:r>
      <w:r w:rsidRPr="00D1006D">
        <w:t xml:space="preserve">PSD, </w:t>
      </w:r>
      <w:r w:rsidR="00852EC0">
        <w:t xml:space="preserve">November </w:t>
      </w:r>
      <w:r w:rsidRPr="00D1006D">
        <w:t>2023 PBAC Meeting).</w:t>
      </w:r>
    </w:p>
    <w:p w14:paraId="77A6947F" w14:textId="77777777" w:rsidR="00CB6450" w:rsidRPr="00E22C6F" w:rsidRDefault="00CB6450" w:rsidP="00CB6450">
      <w:pPr>
        <w:pStyle w:val="4-SubsectionHeading"/>
        <w:rPr>
          <w:lang w:eastAsia="en-US"/>
        </w:rPr>
      </w:pPr>
      <w:r w:rsidRPr="00E22C6F">
        <w:rPr>
          <w:lang w:eastAsia="en-US"/>
        </w:rPr>
        <w:t>Estimated PBS usage and financial implications</w:t>
      </w:r>
    </w:p>
    <w:p w14:paraId="68F782BF" w14:textId="6467C243" w:rsidR="004B68B7" w:rsidRPr="00E22C6F" w:rsidRDefault="00DA0A2E" w:rsidP="001A06B1">
      <w:pPr>
        <w:pStyle w:val="3Bodytext"/>
        <w:numPr>
          <w:ilvl w:val="1"/>
          <w:numId w:val="2"/>
        </w:numPr>
        <w:jc w:val="both"/>
      </w:pPr>
      <w:r w:rsidRPr="00E22C6F">
        <w:t xml:space="preserve">The submission </w:t>
      </w:r>
      <w:r w:rsidR="00D622F6" w:rsidRPr="00E22C6F">
        <w:t xml:space="preserve">considered listing </w:t>
      </w:r>
      <w:r w:rsidRPr="00E22C6F">
        <w:t>Hyrimoz HCF</w:t>
      </w:r>
      <w:r w:rsidR="00D622F6" w:rsidRPr="00E22C6F">
        <w:t xml:space="preserve"> on the PBS is not</w:t>
      </w:r>
      <w:r w:rsidRPr="00E22C6F">
        <w:t xml:space="preserve"> expected to increase</w:t>
      </w:r>
      <w:r w:rsidR="0082614B" w:rsidRPr="00E22C6F">
        <w:t xml:space="preserve"> overall use of adalimumab</w:t>
      </w:r>
      <w:r w:rsidRPr="00E22C6F">
        <w:t xml:space="preserve">. </w:t>
      </w:r>
    </w:p>
    <w:p w14:paraId="7F80BAFC" w14:textId="77777777" w:rsidR="004E0937" w:rsidRPr="00E22C6F" w:rsidRDefault="001D4E9C" w:rsidP="001A06B1">
      <w:pPr>
        <w:pStyle w:val="3Bodytext"/>
        <w:numPr>
          <w:ilvl w:val="1"/>
          <w:numId w:val="2"/>
        </w:numPr>
        <w:jc w:val="both"/>
        <w:rPr>
          <w:i/>
          <w:iCs/>
        </w:rPr>
      </w:pPr>
      <w:r w:rsidRPr="00E22C6F">
        <w:t xml:space="preserve">The requested price was based on the AEMP of the PBS listed </w:t>
      </w:r>
      <w:r w:rsidR="00CC7B4D" w:rsidRPr="00E22C6F">
        <w:t xml:space="preserve">adalimumab </w:t>
      </w:r>
      <w:r w:rsidRPr="00E22C6F">
        <w:t>brands.</w:t>
      </w:r>
    </w:p>
    <w:p w14:paraId="0852E732" w14:textId="1555ADCC" w:rsidR="000D1FB7" w:rsidRPr="009B4CDD" w:rsidRDefault="00CB38D8" w:rsidP="009B4CDD">
      <w:pPr>
        <w:pStyle w:val="3Bodytext"/>
        <w:numPr>
          <w:ilvl w:val="1"/>
          <w:numId w:val="2"/>
        </w:numPr>
        <w:jc w:val="both"/>
        <w:rPr>
          <w:szCs w:val="24"/>
        </w:rPr>
      </w:pPr>
      <w:r w:rsidRPr="00E22C6F">
        <w:t xml:space="preserve">The submission estimated a save to </w:t>
      </w:r>
      <w:r w:rsidR="001E1FC8" w:rsidRPr="00E22C6F">
        <w:t xml:space="preserve">the </w:t>
      </w:r>
      <w:r w:rsidRPr="00E22C6F">
        <w:t>PBS</w:t>
      </w:r>
      <w:r w:rsidR="00714B91" w:rsidRPr="00E22C6F">
        <w:t xml:space="preserve"> of </w:t>
      </w:r>
      <w:r w:rsidR="00D77704" w:rsidRPr="00D77704">
        <w:t>&gt; $1 billion</w:t>
      </w:r>
      <w:r w:rsidR="00B51A9C">
        <w:t xml:space="preserve"> </w:t>
      </w:r>
      <w:r w:rsidR="00EE783C" w:rsidRPr="00E22C6F">
        <w:t>over six years</w:t>
      </w:r>
      <w:r w:rsidRPr="00E22C6F">
        <w:t xml:space="preserve">, </w:t>
      </w:r>
      <w:r w:rsidR="005D3E92">
        <w:t xml:space="preserve">claiming there would be savings from </w:t>
      </w:r>
      <w:r w:rsidRPr="00E22C6F">
        <w:t>price disclosure reduction</w:t>
      </w:r>
      <w:r w:rsidR="00C86615">
        <w:t>s</w:t>
      </w:r>
      <w:r w:rsidRPr="00E22C6F">
        <w:t xml:space="preserve"> of the </w:t>
      </w:r>
      <w:r w:rsidR="001E1FC8" w:rsidRPr="00E22C6F">
        <w:t xml:space="preserve">PBS listed </w:t>
      </w:r>
      <w:r w:rsidR="005103A9" w:rsidRPr="00E22C6F">
        <w:t>adalimumab</w:t>
      </w:r>
      <w:r w:rsidRPr="00E22C6F">
        <w:t xml:space="preserve"> LCF and the HCF</w:t>
      </w:r>
      <w:r w:rsidR="005103A9" w:rsidRPr="00E22C6F">
        <w:t xml:space="preserve"> brands</w:t>
      </w:r>
      <w:r w:rsidR="009B047F">
        <w:t>,</w:t>
      </w:r>
      <w:r w:rsidR="005D3E92">
        <w:t xml:space="preserve"> as well as </w:t>
      </w:r>
      <w:r w:rsidR="009B047F">
        <w:t xml:space="preserve">savings associated with patients </w:t>
      </w:r>
      <w:r w:rsidR="005D3E92">
        <w:t>switching from LCF to HCF (submission)</w:t>
      </w:r>
      <w:r w:rsidRPr="00E22C6F">
        <w:t>.</w:t>
      </w:r>
      <w:r w:rsidR="001E1FC8" w:rsidRPr="00E22C6F">
        <w:t xml:space="preserve"> </w:t>
      </w:r>
      <w:r w:rsidR="000D1FB7">
        <w:t>However, in the</w:t>
      </w:r>
      <w:r w:rsidR="000D1FB7" w:rsidRPr="00C26B0E">
        <w:t xml:space="preserve"> </w:t>
      </w:r>
      <w:r w:rsidR="000D1FB7" w:rsidRPr="000D1FB7">
        <w:t xml:space="preserve">Pre-PBAC </w:t>
      </w:r>
      <w:r w:rsidR="00310FF8">
        <w:t>R</w:t>
      </w:r>
      <w:r w:rsidR="000D1FB7" w:rsidRPr="000D1FB7">
        <w:t>esponse</w:t>
      </w:r>
      <w:r w:rsidR="00310FF8">
        <w:t>, the</w:t>
      </w:r>
      <w:r w:rsidR="000D1FB7">
        <w:t xml:space="preserve"> </w:t>
      </w:r>
      <w:r w:rsidR="000D1FB7" w:rsidRPr="009B4CDD">
        <w:t xml:space="preserve">sponsor </w:t>
      </w:r>
      <w:r w:rsidR="00310FF8">
        <w:t>noted</w:t>
      </w:r>
      <w:r w:rsidR="00310FF8" w:rsidRPr="00310FF8">
        <w:t xml:space="preserve"> </w:t>
      </w:r>
      <w:r w:rsidR="00A9456B">
        <w:t>the estimated saving</w:t>
      </w:r>
      <w:r w:rsidR="00310FF8">
        <w:t xml:space="preserve"> </w:t>
      </w:r>
      <w:r w:rsidR="00A9456B">
        <w:t xml:space="preserve">was a </w:t>
      </w:r>
      <w:r w:rsidR="00310FF8">
        <w:t xml:space="preserve">transcript error and that </w:t>
      </w:r>
      <w:r w:rsidR="00A9456B">
        <w:t xml:space="preserve">it </w:t>
      </w:r>
      <w:r w:rsidR="00310FF8" w:rsidRPr="00310FF8">
        <w:t xml:space="preserve">should have been stated as </w:t>
      </w:r>
      <w:r w:rsidR="00B20929">
        <w:t xml:space="preserve">&lt; </w:t>
      </w:r>
      <w:r w:rsidR="00B20929" w:rsidRPr="00B20929">
        <w:t>$100 million to &lt; $200 million</w:t>
      </w:r>
      <w:r w:rsidR="00310FF8">
        <w:t xml:space="preserve"> over six years. Further, the sponsor </w:t>
      </w:r>
      <w:r w:rsidR="000D1FB7" w:rsidRPr="009B4CDD">
        <w:t>no longer deem</w:t>
      </w:r>
      <w:r w:rsidR="00310FF8">
        <w:t>ed</w:t>
      </w:r>
      <w:r w:rsidR="000D1FB7" w:rsidRPr="009B4CDD">
        <w:t xml:space="preserve"> the estimated savings to be realistic based on market changes that have occurred since the date of the submission</w:t>
      </w:r>
      <w:r w:rsidR="00C26B0E" w:rsidRPr="009B4CDD">
        <w:t xml:space="preserve">. The sponsor revised the claim of cost saving </w:t>
      </w:r>
      <w:r w:rsidR="00C26B0E" w:rsidRPr="009B4CDD">
        <w:rPr>
          <w:szCs w:val="24"/>
        </w:rPr>
        <w:t xml:space="preserve">to the PBS to </w:t>
      </w:r>
      <w:r w:rsidR="000D1FB7" w:rsidRPr="009B4CDD">
        <w:rPr>
          <w:szCs w:val="24"/>
        </w:rPr>
        <w:t xml:space="preserve">cost </w:t>
      </w:r>
      <w:r w:rsidR="00C26B0E" w:rsidRPr="009B4CDD">
        <w:rPr>
          <w:szCs w:val="24"/>
        </w:rPr>
        <w:t>neutral</w:t>
      </w:r>
      <w:r w:rsidR="00FF2BE2">
        <w:rPr>
          <w:szCs w:val="24"/>
        </w:rPr>
        <w:t xml:space="preserve"> </w:t>
      </w:r>
      <w:r w:rsidR="000C6610">
        <w:rPr>
          <w:szCs w:val="24"/>
        </w:rPr>
        <w:t>based on</w:t>
      </w:r>
      <w:r w:rsidR="00FF2BE2">
        <w:rPr>
          <w:szCs w:val="24"/>
        </w:rPr>
        <w:t xml:space="preserve"> the following assumptions</w:t>
      </w:r>
      <w:r w:rsidR="00C26B0E" w:rsidRPr="009B4CDD">
        <w:rPr>
          <w:szCs w:val="24"/>
        </w:rPr>
        <w:t>:</w:t>
      </w:r>
    </w:p>
    <w:p w14:paraId="6F7C28B3" w14:textId="189F5908" w:rsidR="000D1FB7" w:rsidRPr="009B4CDD" w:rsidRDefault="000D1FB7" w:rsidP="000D1FB7">
      <w:pPr>
        <w:numPr>
          <w:ilvl w:val="0"/>
          <w:numId w:val="62"/>
        </w:numPr>
        <w:jc w:val="left"/>
        <w:rPr>
          <w:rFonts w:cs="Calibri"/>
          <w:lang w:eastAsia="en-US"/>
          <w14:ligatures w14:val="standardContextual"/>
        </w:rPr>
      </w:pPr>
      <w:r w:rsidRPr="009B4CDD">
        <w:rPr>
          <w:rFonts w:cs="Calibri"/>
          <w:lang w:eastAsia="en-US"/>
          <w14:ligatures w14:val="standardContextual"/>
        </w:rPr>
        <w:t>Base case does not consider any further price reductions resulting from the PBS listing of H</w:t>
      </w:r>
      <w:r w:rsidR="00FF2BE2">
        <w:rPr>
          <w:rFonts w:cs="Calibri"/>
          <w:lang w:eastAsia="en-US"/>
          <w14:ligatures w14:val="standardContextual"/>
        </w:rPr>
        <w:t>yrimoz</w:t>
      </w:r>
      <w:r w:rsidRPr="009B4CDD">
        <w:rPr>
          <w:rFonts w:cs="Calibri"/>
          <w:lang w:eastAsia="en-US"/>
          <w14:ligatures w14:val="standardContextual"/>
        </w:rPr>
        <w:t xml:space="preserve"> HCF </w:t>
      </w:r>
    </w:p>
    <w:p w14:paraId="09325C6F" w14:textId="77777777" w:rsidR="000D1FB7" w:rsidRDefault="000D1FB7" w:rsidP="000D1FB7">
      <w:pPr>
        <w:numPr>
          <w:ilvl w:val="0"/>
          <w:numId w:val="62"/>
        </w:numPr>
        <w:jc w:val="left"/>
        <w:rPr>
          <w:rFonts w:cs="Calibri"/>
          <w:lang w:eastAsia="en-US"/>
          <w14:ligatures w14:val="standardContextual"/>
        </w:rPr>
      </w:pPr>
      <w:r w:rsidRPr="009B4CDD">
        <w:rPr>
          <w:rFonts w:cs="Calibri"/>
          <w:lang w:eastAsia="en-US"/>
          <w14:ligatures w14:val="standardContextual"/>
        </w:rPr>
        <w:t>Base case does not consider any savings associated with switching between LCF and HCF</w:t>
      </w:r>
    </w:p>
    <w:p w14:paraId="54618E4A" w14:textId="61063AFC" w:rsidR="00FF2BE2" w:rsidRPr="009B4CDD" w:rsidRDefault="00FF2BE2" w:rsidP="009B4CDD">
      <w:pPr>
        <w:numPr>
          <w:ilvl w:val="0"/>
          <w:numId w:val="62"/>
        </w:numPr>
        <w:spacing w:after="120"/>
        <w:ind w:left="1434" w:hanging="357"/>
        <w:jc w:val="left"/>
        <w:rPr>
          <w:rFonts w:cs="Calibri"/>
          <w:lang w:eastAsia="en-US"/>
          <w14:ligatures w14:val="standardContextual"/>
        </w:rPr>
      </w:pPr>
      <w:r w:rsidRPr="00FF2BE2">
        <w:rPr>
          <w:rFonts w:cs="Calibri"/>
          <w:lang w:eastAsia="en-US"/>
          <w14:ligatures w14:val="standardContextual"/>
        </w:rPr>
        <w:t xml:space="preserve">Calculations </w:t>
      </w:r>
      <w:r>
        <w:rPr>
          <w:rFonts w:cs="Calibri"/>
          <w:lang w:eastAsia="en-US"/>
          <w14:ligatures w14:val="standardContextual"/>
        </w:rPr>
        <w:t>did not include</w:t>
      </w:r>
      <w:r w:rsidRPr="00FF2BE2">
        <w:rPr>
          <w:rFonts w:cs="Calibri"/>
          <w:lang w:eastAsia="en-US"/>
          <w14:ligatures w14:val="standardContextual"/>
        </w:rPr>
        <w:t xml:space="preserve"> </w:t>
      </w:r>
      <w:r>
        <w:rPr>
          <w:rFonts w:cs="Calibri"/>
          <w:lang w:eastAsia="en-US"/>
          <w14:ligatures w14:val="standardContextual"/>
        </w:rPr>
        <w:t>i</w:t>
      </w:r>
      <w:r w:rsidRPr="00FF2BE2">
        <w:rPr>
          <w:rFonts w:cs="Calibri"/>
          <w:lang w:eastAsia="en-US"/>
          <w14:ligatures w14:val="standardContextual"/>
        </w:rPr>
        <w:t>njection 20 mg in 0.2 mL pre-filled syringe as it represents less than 0.5% of the spend</w:t>
      </w:r>
    </w:p>
    <w:p w14:paraId="350A7F13" w14:textId="2B7CE087" w:rsidR="00FF2BE2" w:rsidRPr="009B4CDD" w:rsidRDefault="00FF2BE2" w:rsidP="009B4CDD">
      <w:pPr>
        <w:pStyle w:val="3Bodytext"/>
        <w:numPr>
          <w:ilvl w:val="1"/>
          <w:numId w:val="2"/>
        </w:numPr>
        <w:jc w:val="both"/>
        <w:rPr>
          <w:rFonts w:cs="Calibri"/>
          <w:lang w:eastAsia="en-US"/>
          <w14:ligatures w14:val="standardContextual"/>
        </w:rPr>
      </w:pPr>
      <w:r>
        <w:rPr>
          <w:rFonts w:cs="Calibri"/>
          <w:lang w:eastAsia="en-US"/>
          <w14:ligatures w14:val="standardContextual"/>
        </w:rPr>
        <w:t>The Pre-PBAC Response presented a s</w:t>
      </w:r>
      <w:r w:rsidRPr="00FF2BE2">
        <w:rPr>
          <w:rFonts w:cs="Calibri"/>
          <w:lang w:eastAsia="en-US"/>
          <w14:ligatures w14:val="standardContextual"/>
        </w:rPr>
        <w:t xml:space="preserve">cenario analysis </w:t>
      </w:r>
      <w:r>
        <w:rPr>
          <w:rFonts w:cs="Calibri"/>
          <w:lang w:eastAsia="en-US"/>
          <w14:ligatures w14:val="standardContextual"/>
        </w:rPr>
        <w:t xml:space="preserve">to demonstrate </w:t>
      </w:r>
      <w:r w:rsidRPr="00FF2BE2">
        <w:rPr>
          <w:rFonts w:cs="Calibri"/>
          <w:lang w:eastAsia="en-US"/>
          <w14:ligatures w14:val="standardContextual"/>
        </w:rPr>
        <w:t>that the listing of H</w:t>
      </w:r>
      <w:r>
        <w:rPr>
          <w:rFonts w:cs="Calibri"/>
          <w:lang w:eastAsia="en-US"/>
          <w14:ligatures w14:val="standardContextual"/>
        </w:rPr>
        <w:t>yrimoz</w:t>
      </w:r>
      <w:r w:rsidRPr="00FF2BE2">
        <w:rPr>
          <w:rFonts w:cs="Calibri"/>
          <w:lang w:eastAsia="en-US"/>
          <w14:ligatures w14:val="standardContextual"/>
        </w:rPr>
        <w:t xml:space="preserve"> HCF could result in an incremental 5% reduction each year for all adalimumab brands due to the continued effect of </w:t>
      </w:r>
      <w:r>
        <w:rPr>
          <w:rFonts w:cs="Calibri"/>
          <w:lang w:eastAsia="en-US"/>
          <w14:ligatures w14:val="standardContextual"/>
        </w:rPr>
        <w:t>statutory price disclosure</w:t>
      </w:r>
      <w:r w:rsidRPr="00FF2BE2">
        <w:rPr>
          <w:rFonts w:cs="Calibri"/>
          <w:lang w:eastAsia="en-US"/>
          <w14:ligatures w14:val="standardContextual"/>
        </w:rPr>
        <w:t xml:space="preserve">. </w:t>
      </w:r>
      <w:r>
        <w:rPr>
          <w:rFonts w:cs="Calibri"/>
          <w:lang w:eastAsia="en-US"/>
          <w14:ligatures w14:val="standardContextual"/>
        </w:rPr>
        <w:t xml:space="preserve">The </w:t>
      </w:r>
      <w:r>
        <w:rPr>
          <w:rFonts w:cs="Calibri"/>
          <w:lang w:eastAsia="en-US"/>
          <w14:ligatures w14:val="standardContextual"/>
        </w:rPr>
        <w:lastRenderedPageBreak/>
        <w:t>sponsor es</w:t>
      </w:r>
      <w:r w:rsidRPr="00FF2BE2">
        <w:rPr>
          <w:rFonts w:cs="Calibri"/>
          <w:lang w:eastAsia="en-US"/>
          <w14:ligatures w14:val="standardContextual"/>
        </w:rPr>
        <w:t xml:space="preserve">timated potential savings of up to </w:t>
      </w:r>
      <w:r>
        <w:rPr>
          <w:rFonts w:cs="Calibri"/>
          <w:lang w:eastAsia="en-US"/>
          <w14:ligatures w14:val="standardContextual"/>
        </w:rPr>
        <w:t>$</w:t>
      </w:r>
      <w:r w:rsidR="00F7135D" w:rsidRPr="00F7135D">
        <w:rPr>
          <w:rFonts w:cs="Calibri"/>
          <w:lang w:eastAsia="en-US"/>
          <w14:ligatures w14:val="standardContextual"/>
        </w:rPr>
        <w:t>200 million to &lt; $300 million</w:t>
      </w:r>
      <w:r w:rsidR="00F7135D" w:rsidRPr="00F7135D" w:rsidDel="00F7135D">
        <w:rPr>
          <w:rFonts w:cs="Calibri"/>
          <w:lang w:eastAsia="en-US"/>
          <w14:ligatures w14:val="standardContextual"/>
        </w:rPr>
        <w:t xml:space="preserve"> </w:t>
      </w:r>
      <w:r w:rsidRPr="00FF2BE2">
        <w:rPr>
          <w:rFonts w:cs="Calibri"/>
          <w:lang w:eastAsia="en-US"/>
          <w14:ligatures w14:val="standardContextual"/>
        </w:rPr>
        <w:t>over a 6-year period.</w:t>
      </w:r>
    </w:p>
    <w:p w14:paraId="112BA9A6" w14:textId="56F96497" w:rsidR="00CB6450" w:rsidRPr="00D1006D" w:rsidRDefault="001E1FC8" w:rsidP="00CF184F">
      <w:pPr>
        <w:pStyle w:val="3Bodytext"/>
        <w:numPr>
          <w:ilvl w:val="1"/>
          <w:numId w:val="2"/>
        </w:numPr>
        <w:jc w:val="both"/>
      </w:pPr>
      <w:r w:rsidRPr="00D1006D">
        <w:t>The evaluation noted that if Hyrimoz HCF were recommended to be listed on the PBS, it is expected that Hyrimoz HCF would substitute for the other brands of PBS listed adalimumab</w:t>
      </w:r>
      <w:r w:rsidR="00B10794" w:rsidRPr="00D1006D">
        <w:t xml:space="preserve"> and provide more adalimumab options for patients.</w:t>
      </w:r>
      <w:r w:rsidRPr="00D1006D">
        <w:t xml:space="preserve"> However, the </w:t>
      </w:r>
      <w:r w:rsidR="00C86615" w:rsidRPr="00D1006D">
        <w:t xml:space="preserve">evaluation </w:t>
      </w:r>
      <w:r w:rsidR="00213DA9" w:rsidRPr="00D1006D">
        <w:t xml:space="preserve">estimated </w:t>
      </w:r>
      <w:r w:rsidR="00C86615" w:rsidRPr="00D1006D">
        <w:t xml:space="preserve">the </w:t>
      </w:r>
      <w:r w:rsidR="00213DA9" w:rsidRPr="00D1006D">
        <w:t xml:space="preserve">likely </w:t>
      </w:r>
      <w:r w:rsidRPr="00D1006D">
        <w:t>net financial impact to Government would be nil as the additional biosimilar would not result in additional savings to Government</w:t>
      </w:r>
      <w:r w:rsidR="00B10794" w:rsidRPr="00D1006D">
        <w:t>.</w:t>
      </w:r>
      <w:r w:rsidR="0053692A" w:rsidRPr="00D1006D">
        <w:t xml:space="preserve"> </w:t>
      </w:r>
    </w:p>
    <w:p w14:paraId="2002F1FB" w14:textId="77777777" w:rsidR="006950BC" w:rsidRPr="0090150D" w:rsidRDefault="006950BC" w:rsidP="006950BC">
      <w:pPr>
        <w:pStyle w:val="2-SectionHeading"/>
        <w:numPr>
          <w:ilvl w:val="0"/>
          <w:numId w:val="2"/>
        </w:numPr>
      </w:pPr>
      <w:r w:rsidRPr="0090150D">
        <w:t>PBAC Outcome</w:t>
      </w:r>
    </w:p>
    <w:p w14:paraId="028D4A69" w14:textId="33ADF4D2" w:rsidR="00CA2A6F" w:rsidRPr="003B42FB" w:rsidRDefault="00CA2A6F" w:rsidP="00CA2A6F">
      <w:pPr>
        <w:pStyle w:val="3-BodyText"/>
        <w:numPr>
          <w:ilvl w:val="1"/>
          <w:numId w:val="2"/>
        </w:numPr>
      </w:pPr>
      <w:bookmarkStart w:id="11" w:name="_Hlk111543188"/>
      <w:r w:rsidRPr="003B42FB">
        <w:t>The PBAC recommended the Authority Required listing of adalimumab (</w:t>
      </w:r>
      <w:bookmarkStart w:id="12" w:name="_Hlk171667336"/>
      <w:r w:rsidRPr="00CA2A6F">
        <w:t>Hyrimoz</w:t>
      </w:r>
      <w:bookmarkEnd w:id="12"/>
      <w:r w:rsidRPr="003B42FB">
        <w:t xml:space="preserve">) </w:t>
      </w:r>
      <w:r w:rsidRPr="00CA2A6F">
        <w:t>in the forms and strengths of 40 mg in 0.4 mL, 80 mg in 0.8 mL PFP and 20 mg in 0.2 mL, 40 mg in 0.4 mL, 80 mg in 0.8 mL PFS under the same circumstances as the currently PBS-listed reference biologic, Humira®</w:t>
      </w:r>
      <w:r>
        <w:t xml:space="preserve"> </w:t>
      </w:r>
      <w:r w:rsidR="00E1533D" w:rsidRPr="00133796">
        <w:t>and other brands of adalimumab</w:t>
      </w:r>
      <w:r w:rsidR="0042490F" w:rsidRPr="0042490F">
        <w:t xml:space="preserve"> </w:t>
      </w:r>
      <w:r w:rsidRPr="003B42FB">
        <w:t>for the following indications:</w:t>
      </w:r>
    </w:p>
    <w:p w14:paraId="12AFC8B4" w14:textId="77777777" w:rsidR="00CA2A6F" w:rsidRPr="00E22C6F" w:rsidRDefault="00CA2A6F" w:rsidP="00CA2A6F">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Severe Crohn disease </w:t>
      </w:r>
    </w:p>
    <w:p w14:paraId="7CB35DC8" w14:textId="77777777" w:rsidR="00CA2A6F" w:rsidRPr="00E22C6F" w:rsidRDefault="00CA2A6F" w:rsidP="00CA2A6F">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Moderate to severe ulcerative colitis </w:t>
      </w:r>
    </w:p>
    <w:p w14:paraId="0821AAEF" w14:textId="77777777" w:rsidR="00CA2A6F" w:rsidRPr="00E22C6F" w:rsidRDefault="00CA2A6F" w:rsidP="00CA2A6F">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Severe active juvenile idiopathic arthritis </w:t>
      </w:r>
    </w:p>
    <w:p w14:paraId="0EA74E3F" w14:textId="77777777" w:rsidR="00CA2A6F" w:rsidRPr="00E22C6F" w:rsidRDefault="00CA2A6F" w:rsidP="00CA2A6F">
      <w:pPr>
        <w:pStyle w:val="ListParagraph"/>
        <w:widowControl w:val="0"/>
        <w:numPr>
          <w:ilvl w:val="1"/>
          <w:numId w:val="43"/>
        </w:numPr>
        <w:ind w:hanging="447"/>
        <w:contextualSpacing/>
        <w:jc w:val="both"/>
        <w:rPr>
          <w:rFonts w:cstheme="minorBidi"/>
          <w:szCs w:val="22"/>
        </w:rPr>
      </w:pPr>
      <w:r w:rsidRPr="00E22C6F">
        <w:rPr>
          <w:rFonts w:cstheme="minorBidi"/>
          <w:szCs w:val="22"/>
        </w:rPr>
        <w:t>Complex refractory Fistulising Crohn disease</w:t>
      </w:r>
    </w:p>
    <w:p w14:paraId="43717BF0" w14:textId="77777777" w:rsidR="00CA2A6F" w:rsidRPr="00E22C6F" w:rsidRDefault="00CA2A6F" w:rsidP="00CA2A6F">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Severe active rheumatoid arthritis </w:t>
      </w:r>
    </w:p>
    <w:p w14:paraId="73AC70BD" w14:textId="77777777" w:rsidR="00CA2A6F" w:rsidRPr="00E22C6F" w:rsidRDefault="00CA2A6F" w:rsidP="00CA2A6F">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Severe psoriatic arthritis </w:t>
      </w:r>
    </w:p>
    <w:p w14:paraId="396DF899" w14:textId="77777777" w:rsidR="00CA2A6F" w:rsidRPr="00E22C6F" w:rsidRDefault="00CA2A6F" w:rsidP="00CA2A6F">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Ankylosing spondylitis </w:t>
      </w:r>
    </w:p>
    <w:p w14:paraId="4AE6DBD3" w14:textId="77777777" w:rsidR="00CA2A6F" w:rsidRPr="00E22C6F" w:rsidRDefault="00CA2A6F" w:rsidP="00CA2A6F">
      <w:pPr>
        <w:pStyle w:val="ListParagraph"/>
        <w:widowControl w:val="0"/>
        <w:numPr>
          <w:ilvl w:val="1"/>
          <w:numId w:val="43"/>
        </w:numPr>
        <w:ind w:hanging="447"/>
        <w:contextualSpacing/>
        <w:jc w:val="both"/>
        <w:rPr>
          <w:rFonts w:cstheme="minorBidi"/>
          <w:szCs w:val="22"/>
        </w:rPr>
      </w:pPr>
      <w:r w:rsidRPr="00E22C6F">
        <w:rPr>
          <w:rFonts w:cstheme="minorBidi"/>
          <w:szCs w:val="22"/>
        </w:rPr>
        <w:t xml:space="preserve">Severe chronic plaque psoriasis </w:t>
      </w:r>
    </w:p>
    <w:p w14:paraId="158C0A1E" w14:textId="77777777" w:rsidR="00CA2A6F" w:rsidRDefault="00CA2A6F" w:rsidP="00CA2A6F">
      <w:pPr>
        <w:pStyle w:val="ListParagraph"/>
        <w:widowControl w:val="0"/>
        <w:numPr>
          <w:ilvl w:val="1"/>
          <w:numId w:val="43"/>
        </w:numPr>
        <w:ind w:hanging="447"/>
        <w:contextualSpacing/>
        <w:jc w:val="both"/>
        <w:rPr>
          <w:rFonts w:cstheme="minorBidi"/>
          <w:szCs w:val="22"/>
        </w:rPr>
      </w:pPr>
      <w:r w:rsidRPr="00E22C6F">
        <w:rPr>
          <w:rFonts w:cstheme="minorBidi"/>
          <w:szCs w:val="22"/>
        </w:rPr>
        <w:t>Moderate to severe hidradenitis suppurativa</w:t>
      </w:r>
    </w:p>
    <w:p w14:paraId="653E0715" w14:textId="036C04F5" w:rsidR="00A96918" w:rsidRPr="00A96918" w:rsidRDefault="00A96918" w:rsidP="00A96918">
      <w:pPr>
        <w:pStyle w:val="ListParagraph"/>
        <w:widowControl w:val="0"/>
        <w:numPr>
          <w:ilvl w:val="1"/>
          <w:numId w:val="43"/>
        </w:numPr>
        <w:ind w:hanging="447"/>
        <w:contextualSpacing/>
        <w:jc w:val="both"/>
      </w:pPr>
      <w:bookmarkStart w:id="13" w:name="_Hlk172018887"/>
      <w:r>
        <w:t>V</w:t>
      </w:r>
      <w:r w:rsidRPr="00A96918">
        <w:t>ision-threatening non-infectious uveitis</w:t>
      </w:r>
    </w:p>
    <w:bookmarkEnd w:id="13"/>
    <w:p w14:paraId="27240ACE" w14:textId="77777777" w:rsidR="0095047A" w:rsidRPr="003B42FB" w:rsidRDefault="0095047A" w:rsidP="0095047A">
      <w:pPr>
        <w:pStyle w:val="3-BodyText"/>
        <w:numPr>
          <w:ilvl w:val="1"/>
          <w:numId w:val="2"/>
        </w:numPr>
      </w:pPr>
      <w:r w:rsidRPr="003B42FB">
        <w:t>The PBAC’s recommendation for listing was based on, among other matters, its assessment that the cost-effectiveness of</w:t>
      </w:r>
      <w:r w:rsidRPr="008625BD">
        <w:rPr>
          <w:rFonts w:ascii="Calibri" w:eastAsia="Times New Roman" w:hAnsi="Calibri" w:cs="Times New Roman"/>
          <w:szCs w:val="24"/>
        </w:rPr>
        <w:t xml:space="preserve"> </w:t>
      </w:r>
      <w:r w:rsidRPr="008625BD">
        <w:t>Hyrimoz</w:t>
      </w:r>
      <w:r w:rsidRPr="003B42FB">
        <w:t xml:space="preserve"> </w:t>
      </w:r>
      <w:r w:rsidRPr="008625BD">
        <w:t>40 mg in 0.4 mL, 80 mg in 0.8 mL PFP and 20 mg in 0.2 mL, 40 mg in 0.4 mL, 80 mg in 0.8 mL PFS</w:t>
      </w:r>
      <w:r>
        <w:t xml:space="preserve"> </w:t>
      </w:r>
      <w:r w:rsidRPr="003B42FB">
        <w:t>would be acceptable if it were cost-minimised to Humira</w:t>
      </w:r>
      <w:r>
        <w:t xml:space="preserve"> and </w:t>
      </w:r>
      <w:r w:rsidRPr="00852EC0">
        <w:t>all other biosimilar brands and formulations of adalimumab</w:t>
      </w:r>
      <w:r w:rsidRPr="003B42FB">
        <w:t>.</w:t>
      </w:r>
    </w:p>
    <w:p w14:paraId="31F7095A" w14:textId="3452E37B" w:rsidR="00134653" w:rsidRPr="003E0E75" w:rsidRDefault="00134653" w:rsidP="008625BD">
      <w:pPr>
        <w:pStyle w:val="3-BodyText"/>
        <w:numPr>
          <w:ilvl w:val="1"/>
          <w:numId w:val="2"/>
        </w:numPr>
      </w:pPr>
      <w:r w:rsidRPr="003E0E75">
        <w:t xml:space="preserve">The PBAC </w:t>
      </w:r>
      <w:r w:rsidR="000C30FE" w:rsidRPr="003E0E75">
        <w:t xml:space="preserve">noted the submission did not request Hyrimoz </w:t>
      </w:r>
      <w:r w:rsidR="00B73603">
        <w:t xml:space="preserve">be listed </w:t>
      </w:r>
      <w:r w:rsidR="000C30FE" w:rsidRPr="003E0E75">
        <w:t xml:space="preserve">for </w:t>
      </w:r>
      <w:bookmarkStart w:id="14" w:name="_Hlk171937172"/>
      <w:r w:rsidR="00E1533D" w:rsidRPr="00487ECB">
        <w:t>vision-threatening non-infectious</w:t>
      </w:r>
      <w:r w:rsidR="000C30FE" w:rsidRPr="00487ECB">
        <w:rPr>
          <w:rFonts w:ascii="Arial" w:eastAsia="+mn-ea" w:hAnsi="Arial" w:cs="Arial"/>
          <w:color w:val="000000"/>
          <w:kern w:val="24"/>
          <w:sz w:val="28"/>
          <w:szCs w:val="28"/>
        </w:rPr>
        <w:t xml:space="preserve"> </w:t>
      </w:r>
      <w:r w:rsidR="00E1533D" w:rsidRPr="00487ECB">
        <w:t>uveitis</w:t>
      </w:r>
      <w:r w:rsidR="00B73603">
        <w:t xml:space="preserve">, </w:t>
      </w:r>
      <w:bookmarkEnd w:id="14"/>
      <w:r w:rsidR="003E0E75" w:rsidRPr="003E0E75">
        <w:t xml:space="preserve">which was recommended </w:t>
      </w:r>
      <w:r w:rsidR="00B73603">
        <w:t xml:space="preserve">for Humira </w:t>
      </w:r>
      <w:r w:rsidR="003E0E75" w:rsidRPr="003E0E75">
        <w:t xml:space="preserve">at </w:t>
      </w:r>
      <w:r w:rsidR="00B73603">
        <w:t>the</w:t>
      </w:r>
      <w:r w:rsidR="003E0E75" w:rsidRPr="003E0E75">
        <w:t xml:space="preserve"> </w:t>
      </w:r>
      <w:r w:rsidR="00E1533D" w:rsidRPr="00487ECB">
        <w:t xml:space="preserve">March 2024 </w:t>
      </w:r>
      <w:r w:rsidR="00B73603">
        <w:t xml:space="preserve">PBAC </w:t>
      </w:r>
      <w:r w:rsidR="00E1533D" w:rsidRPr="00487ECB">
        <w:t>meeting</w:t>
      </w:r>
      <w:r w:rsidR="00DE01CF" w:rsidRPr="00487ECB">
        <w:t xml:space="preserve">. </w:t>
      </w:r>
      <w:r w:rsidR="00F83BD7">
        <w:t xml:space="preserve">The PBAC noted </w:t>
      </w:r>
      <w:r w:rsidR="00F83BD7" w:rsidRPr="0051643A">
        <w:t>Hyrimoz is TGA approved for this indication.</w:t>
      </w:r>
      <w:r w:rsidR="00B73603">
        <w:t xml:space="preserve"> </w:t>
      </w:r>
      <w:r w:rsidR="00DE01CF" w:rsidRPr="00487ECB">
        <w:t>The</w:t>
      </w:r>
      <w:r w:rsidR="003C09C9">
        <w:t>refore, the</w:t>
      </w:r>
      <w:r w:rsidR="00DE01CF" w:rsidRPr="00487ECB">
        <w:t xml:space="preserve"> </w:t>
      </w:r>
      <w:r w:rsidR="00E1533D" w:rsidRPr="00487ECB">
        <w:t xml:space="preserve">PBAC </w:t>
      </w:r>
      <w:r w:rsidR="00F83BD7">
        <w:t xml:space="preserve">considered that </w:t>
      </w:r>
      <w:r w:rsidR="00DE01CF" w:rsidRPr="00487ECB">
        <w:t>Hyrimoz</w:t>
      </w:r>
      <w:r w:rsidR="00E1533D" w:rsidRPr="00487ECB">
        <w:t xml:space="preserve"> </w:t>
      </w:r>
      <w:r w:rsidR="00F83BD7">
        <w:t xml:space="preserve">would be </w:t>
      </w:r>
      <w:r w:rsidR="00F83BD7" w:rsidRPr="0051643A">
        <w:t xml:space="preserve">cost-effective under the same circumstances as Humira, including for those in which it recommended listing Humira for </w:t>
      </w:r>
      <w:r w:rsidR="00E1533D" w:rsidRPr="00487ECB">
        <w:t>vision-threatening non-infectious uveitis</w:t>
      </w:r>
      <w:r w:rsidR="00DE01CF" w:rsidRPr="00487ECB">
        <w:t>.</w:t>
      </w:r>
      <w:r w:rsidR="0051643A" w:rsidRPr="0051643A">
        <w:t xml:space="preserve"> </w:t>
      </w:r>
    </w:p>
    <w:p w14:paraId="0D919E0F" w14:textId="45EEBCB0" w:rsidR="008625BD" w:rsidRPr="003B42FB" w:rsidRDefault="008625BD" w:rsidP="008625BD">
      <w:pPr>
        <w:pStyle w:val="3-BodyText"/>
        <w:numPr>
          <w:ilvl w:val="1"/>
          <w:numId w:val="2"/>
        </w:numPr>
      </w:pPr>
      <w:r w:rsidRPr="003B42FB">
        <w:t xml:space="preserve">The PBAC advised the equi-effective doses to be 1 mg of </w:t>
      </w:r>
      <w:r w:rsidRPr="008625BD">
        <w:t>Hyrimoz</w:t>
      </w:r>
      <w:r w:rsidRPr="003B42FB">
        <w:t xml:space="preserve"> = 1 mg of Humira</w:t>
      </w:r>
      <w:r w:rsidR="0042490F">
        <w:t xml:space="preserve"> </w:t>
      </w:r>
      <w:r w:rsidR="00686263">
        <w:t xml:space="preserve">and </w:t>
      </w:r>
      <w:r w:rsidR="00E1533D" w:rsidRPr="00133796">
        <w:t>all other biosimilar brands and formulations of adalimumab</w:t>
      </w:r>
      <w:r w:rsidRPr="003B42FB">
        <w:t>.</w:t>
      </w:r>
    </w:p>
    <w:p w14:paraId="0CD5C63A" w14:textId="1C0B3D60" w:rsidR="008625BD" w:rsidRPr="003B42FB" w:rsidRDefault="008625BD" w:rsidP="008625BD">
      <w:pPr>
        <w:pStyle w:val="3-BodyText"/>
        <w:numPr>
          <w:ilvl w:val="1"/>
          <w:numId w:val="2"/>
        </w:numPr>
      </w:pPr>
      <w:r w:rsidRPr="003B42FB">
        <w:t xml:space="preserve">The PBAC accepted the claim of biosimilarity for </w:t>
      </w:r>
      <w:bookmarkStart w:id="15" w:name="_Hlk171433602"/>
      <w:bookmarkStart w:id="16" w:name="_Hlk171433505"/>
      <w:r w:rsidRPr="008625BD">
        <w:t>Hyrimoz</w:t>
      </w:r>
      <w:r w:rsidRPr="003B42FB">
        <w:t xml:space="preserve"> </w:t>
      </w:r>
      <w:r w:rsidRPr="008625BD">
        <w:t>40 mg in 0.4 mL, 80 mg in 0.8 mL PFP</w:t>
      </w:r>
      <w:bookmarkEnd w:id="15"/>
      <w:r w:rsidRPr="008625BD">
        <w:t xml:space="preserve"> and 20 mg in 0.2 mL, 40 mg in 0.4 mL, 80 mg in 0.8 mL PFS </w:t>
      </w:r>
      <w:bookmarkEnd w:id="16"/>
      <w:r w:rsidRPr="003B42FB">
        <w:t xml:space="preserve">compared to Humira. </w:t>
      </w:r>
      <w:r w:rsidR="00A9456B" w:rsidRPr="00A9456B">
        <w:t xml:space="preserve">The PBAC noted the TGA Delegate found that the results of the clinical and </w:t>
      </w:r>
      <w:r w:rsidR="00A9456B" w:rsidRPr="00A9456B">
        <w:lastRenderedPageBreak/>
        <w:t xml:space="preserve">pharmacokinetic trials showed that the two products were similar in terms of both efficacy and safety and were biosimilar to one other. </w:t>
      </w:r>
    </w:p>
    <w:p w14:paraId="4EBF0A88" w14:textId="524AE644" w:rsidR="008625BD" w:rsidRPr="003B42FB" w:rsidRDefault="008625BD" w:rsidP="008625BD">
      <w:pPr>
        <w:pStyle w:val="3-BodyText"/>
        <w:numPr>
          <w:ilvl w:val="1"/>
          <w:numId w:val="2"/>
        </w:numPr>
        <w:rPr>
          <w:rFonts w:eastAsiaTheme="minorEastAsia"/>
        </w:rPr>
      </w:pPr>
      <w:r w:rsidRPr="003B42FB">
        <w:rPr>
          <w:rFonts w:cstheme="minorHAnsi"/>
          <w:iCs/>
        </w:rPr>
        <w:t xml:space="preserve">The PBAC advised that biosimilar uptake drivers, including the differential authority requirements for subsequent continuing treatment between the reference and biosimilar brands </w:t>
      </w:r>
      <w:r w:rsidR="0095047A">
        <w:rPr>
          <w:rFonts w:cstheme="minorHAnsi"/>
          <w:iCs/>
        </w:rPr>
        <w:t xml:space="preserve">of adalimumab </w:t>
      </w:r>
      <w:r w:rsidRPr="003B42FB">
        <w:rPr>
          <w:rFonts w:cstheme="minorHAnsi"/>
          <w:iCs/>
        </w:rPr>
        <w:t xml:space="preserve">and inclusion of an administrative note encouraging the use of biosimilar brands for treatment naïve patients, should apply to </w:t>
      </w:r>
      <w:r w:rsidRPr="008625BD">
        <w:t>Hyrimoz</w:t>
      </w:r>
      <w:r w:rsidRPr="003B42FB">
        <w:t xml:space="preserve"> </w:t>
      </w:r>
      <w:r w:rsidRPr="008625BD">
        <w:t>40 mg in 0.4 mL, 80 mg in 0.8 mL PFP and 20 mg in 0.2 mL, 40 mg in 0.4 mL, 80 mg in 0.8 mL PFS</w:t>
      </w:r>
      <w:r w:rsidRPr="003B42FB">
        <w:rPr>
          <w:rFonts w:cstheme="minorHAnsi"/>
          <w:iCs/>
        </w:rPr>
        <w:t>.</w:t>
      </w:r>
    </w:p>
    <w:p w14:paraId="59EF003B" w14:textId="77777777" w:rsidR="008625BD" w:rsidRPr="003B42FB" w:rsidRDefault="008625BD" w:rsidP="008625BD">
      <w:pPr>
        <w:pStyle w:val="3-BodyText"/>
        <w:numPr>
          <w:ilvl w:val="1"/>
          <w:numId w:val="2"/>
        </w:numPr>
      </w:pPr>
      <w:r w:rsidRPr="003B42FB">
        <w:t xml:space="preserve">The PBAC advised that, under Section 101(4AACD) of the </w:t>
      </w:r>
      <w:r w:rsidRPr="00FB5724">
        <w:rPr>
          <w:i/>
          <w:iCs/>
        </w:rPr>
        <w:t>National Health Act 1953</w:t>
      </w:r>
      <w:r w:rsidRPr="003B42FB">
        <w:t xml:space="preserve"> (the Act), in the Schedule of Pharmaceutical Benefits:</w:t>
      </w:r>
    </w:p>
    <w:p w14:paraId="159248A4" w14:textId="32835855" w:rsidR="00BA4EC6" w:rsidRPr="003B42FB" w:rsidRDefault="00BA4EC6" w:rsidP="008625BD">
      <w:pPr>
        <w:pStyle w:val="3Bodytext"/>
        <w:numPr>
          <w:ilvl w:val="0"/>
          <w:numId w:val="30"/>
        </w:numPr>
        <w:jc w:val="both"/>
      </w:pPr>
      <w:r w:rsidRPr="00BA4EC6">
        <w:t xml:space="preserve">PFS of Hyrimoz HCF should be treated as equivalent to the different brands of adalimumab of the same strength for specific indications (see Table 2) for the purposes of substitution (i.e. ‘a’ flagged in the schedule); with the exception that the 40 mg in 0.4 mL PFS of the different brands of adalimumab should </w:t>
      </w:r>
      <w:r w:rsidR="00DD19DD">
        <w:t xml:space="preserve">also </w:t>
      </w:r>
      <w:r w:rsidRPr="00BA4EC6">
        <w:t>be treated as equivalent to the 40 mg in 0.8 mL PFS of the different brands of adalimumab.</w:t>
      </w:r>
    </w:p>
    <w:p w14:paraId="7612B15F" w14:textId="54D9EB48" w:rsidR="0095047A" w:rsidRDefault="00BA4EC6" w:rsidP="00BA4EC6">
      <w:pPr>
        <w:pStyle w:val="3Bodytext"/>
        <w:numPr>
          <w:ilvl w:val="0"/>
          <w:numId w:val="30"/>
        </w:numPr>
        <w:jc w:val="both"/>
      </w:pPr>
      <w:bookmarkStart w:id="17" w:name="_Hlk171434017"/>
      <w:r w:rsidRPr="00BA4EC6">
        <w:t xml:space="preserve">PFP of Hyrimoz HCF should be treated as equivalent to the different brands of adalimumab of the same strength for specific indications (see Table 2) for the purposes of substitution (i.e. ‘a’ flagged in the schedule), with the exception that the 40 mg in 0.4 mL PFP of the different brands of adalimumab should </w:t>
      </w:r>
      <w:r w:rsidR="00DD19DD">
        <w:t xml:space="preserve">also </w:t>
      </w:r>
      <w:r w:rsidRPr="00BA4EC6">
        <w:t>be treated as equivalent to the 40 mg in 0.8 mL PFP of the different brands of adalimumab.</w:t>
      </w:r>
      <w:bookmarkEnd w:id="17"/>
    </w:p>
    <w:p w14:paraId="1E51221F" w14:textId="347D6F76" w:rsidR="00BA4EC6" w:rsidRPr="003B42FB" w:rsidRDefault="00DD19DD" w:rsidP="00BA4EC6">
      <w:pPr>
        <w:pStyle w:val="3Bodytext"/>
        <w:numPr>
          <w:ilvl w:val="0"/>
          <w:numId w:val="30"/>
        </w:numPr>
        <w:jc w:val="both"/>
      </w:pPr>
      <w:r>
        <w:t xml:space="preserve">The PBAC reaffirmed its advice from November 2023 that adalimumab </w:t>
      </w:r>
      <w:r w:rsidR="0095047A" w:rsidRPr="0095047A">
        <w:t xml:space="preserve">PFP </w:t>
      </w:r>
      <w:r>
        <w:t xml:space="preserve">formulation </w:t>
      </w:r>
      <w:r w:rsidR="0095047A" w:rsidRPr="0095047A">
        <w:t>should not be considered equivalent for the purposes of substitution with any adalimumab PFS</w:t>
      </w:r>
      <w:r w:rsidR="00064D57">
        <w:t xml:space="preserve"> formulation</w:t>
      </w:r>
      <w:r w:rsidR="0095047A" w:rsidRPr="0095047A">
        <w:t>.</w:t>
      </w:r>
    </w:p>
    <w:p w14:paraId="640BAD4D" w14:textId="1190C91C" w:rsidR="00B40C07" w:rsidRPr="003B42FB" w:rsidRDefault="00B40C07" w:rsidP="00BA4EC6">
      <w:pPr>
        <w:pStyle w:val="3-BodyText"/>
        <w:numPr>
          <w:ilvl w:val="1"/>
          <w:numId w:val="2"/>
        </w:numPr>
      </w:pPr>
      <w:r w:rsidRPr="003B42FB">
        <w:t xml:space="preserve">The PBAC considered that the listing of </w:t>
      </w:r>
      <w:bookmarkStart w:id="18" w:name="_Hlk171434109"/>
      <w:r w:rsidRPr="00B40C07">
        <w:t>Hyrimoz</w:t>
      </w:r>
      <w:bookmarkEnd w:id="18"/>
      <w:r w:rsidRPr="00B40C07">
        <w:t xml:space="preserve"> 40 mg in 0.4 mL, 80 mg in 0.8 mL PF</w:t>
      </w:r>
      <w:r w:rsidR="00F80FAD">
        <w:t>P</w:t>
      </w:r>
      <w:r w:rsidRPr="00B40C07">
        <w:t xml:space="preserve"> and 20 mg in 0.2 mL, 40 mg in 0.4 mL, 80 mg in 0.8 mL PFS </w:t>
      </w:r>
      <w:r w:rsidRPr="003B42FB">
        <w:t xml:space="preserve">is expected to be cost-neutral to Government given that </w:t>
      </w:r>
      <w:r w:rsidRPr="00B40C07">
        <w:t>Hyrimoz</w:t>
      </w:r>
      <w:r w:rsidRPr="003B42FB">
        <w:t xml:space="preserve"> will likely substitute for </w:t>
      </w:r>
      <w:r w:rsidR="00DB5179" w:rsidRPr="00DB5179">
        <w:t>other brands of PBS listed adalimumab</w:t>
      </w:r>
      <w:r w:rsidRPr="003B42FB">
        <w:t xml:space="preserve"> and therefore not increase overall market utilisation</w:t>
      </w:r>
      <w:r w:rsidR="00D45F09">
        <w:t xml:space="preserve"> or result in additional savings to Government</w:t>
      </w:r>
      <w:r w:rsidRPr="003B42FB">
        <w:t xml:space="preserve">. </w:t>
      </w:r>
    </w:p>
    <w:p w14:paraId="4E3E43A5" w14:textId="43E0C5B1" w:rsidR="00B40C07" w:rsidRPr="003B42FB" w:rsidRDefault="00B40C07" w:rsidP="00B40C07">
      <w:pPr>
        <w:pStyle w:val="3-BodyText"/>
        <w:numPr>
          <w:ilvl w:val="1"/>
          <w:numId w:val="2"/>
        </w:numPr>
      </w:pPr>
      <w:r w:rsidRPr="003B42FB">
        <w:t xml:space="preserve">The PBAC noted that its recommendation was on a cost-minimisation basis and advised that, because </w:t>
      </w:r>
      <w:r w:rsidRPr="00B40C07">
        <w:t>Hyrimoz</w:t>
      </w:r>
      <w:r w:rsidRPr="003B42FB">
        <w:t xml:space="preserve"> is not expected to provide a substantial and clinically relevant improvement in efficacy, or reduction of toxicity, over Humira, or not expected to address a high and urgent unmet clinical need given the presence of an alternative therapy, the criteria prescribed by the </w:t>
      </w:r>
      <w:r w:rsidRPr="00FB5724">
        <w:rPr>
          <w:i/>
          <w:iCs/>
        </w:rPr>
        <w:t>National Health (Pharmaceuticals and Vaccines – Cost Recovery) Regulations 2022</w:t>
      </w:r>
      <w:r w:rsidRPr="003B42FB">
        <w:t xml:space="preserve"> for Pricing Pathway A were not met. </w:t>
      </w:r>
    </w:p>
    <w:p w14:paraId="45B602E8" w14:textId="77777777" w:rsidR="00B40C07" w:rsidRPr="003B42FB" w:rsidRDefault="00B40C07" w:rsidP="00B40C07">
      <w:pPr>
        <w:pStyle w:val="3-BodyText"/>
        <w:numPr>
          <w:ilvl w:val="1"/>
          <w:numId w:val="2"/>
        </w:numPr>
      </w:pPr>
      <w:r w:rsidRPr="003B42FB">
        <w:t>The PBAC noted that this submission is not eligible for an Independent Review as it received a positive recommendation.</w:t>
      </w:r>
    </w:p>
    <w:bookmarkEnd w:id="11"/>
    <w:p w14:paraId="5F3180F4" w14:textId="77777777" w:rsidR="00B51A9C" w:rsidRDefault="00B51A9C" w:rsidP="006950BC">
      <w:pPr>
        <w:spacing w:before="240"/>
        <w:rPr>
          <w:rFonts w:asciiTheme="minorHAnsi" w:hAnsiTheme="minorHAnsi" w:cs="Arial"/>
          <w:b/>
          <w:bCs/>
          <w:snapToGrid w:val="0"/>
          <w:lang w:val="en-GB"/>
        </w:rPr>
      </w:pPr>
      <w:r>
        <w:rPr>
          <w:rFonts w:asciiTheme="minorHAnsi" w:hAnsiTheme="minorHAnsi" w:cs="Arial"/>
          <w:b/>
          <w:bCs/>
          <w:snapToGrid w:val="0"/>
          <w:lang w:val="en-GB"/>
        </w:rPr>
        <w:br w:type="page"/>
      </w:r>
    </w:p>
    <w:p w14:paraId="224CE132" w14:textId="714AD746" w:rsidR="006950BC" w:rsidRPr="00525B39" w:rsidRDefault="006950BC" w:rsidP="006950BC">
      <w:pPr>
        <w:spacing w:before="240"/>
        <w:rPr>
          <w:rFonts w:asciiTheme="minorHAnsi" w:hAnsiTheme="minorHAnsi" w:cs="Arial"/>
          <w:b/>
          <w:bCs/>
          <w:snapToGrid w:val="0"/>
          <w:lang w:val="en-GB"/>
        </w:rPr>
      </w:pPr>
      <w:r w:rsidRPr="00525B39">
        <w:rPr>
          <w:rFonts w:asciiTheme="minorHAnsi" w:hAnsiTheme="minorHAnsi" w:cs="Arial"/>
          <w:b/>
          <w:bCs/>
          <w:snapToGrid w:val="0"/>
          <w:lang w:val="en-GB"/>
        </w:rPr>
        <w:lastRenderedPageBreak/>
        <w:t>Outcome:</w:t>
      </w:r>
    </w:p>
    <w:p w14:paraId="7A67FF6C" w14:textId="3AA62F45" w:rsidR="006950BC" w:rsidRPr="00525B39" w:rsidRDefault="006950BC" w:rsidP="006950BC">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2B71C95C" w14:textId="77777777" w:rsidR="006950BC" w:rsidRPr="006950BC" w:rsidRDefault="006950BC" w:rsidP="006950BC">
      <w:pPr>
        <w:keepNext/>
        <w:numPr>
          <w:ilvl w:val="0"/>
          <w:numId w:val="2"/>
        </w:numPr>
        <w:spacing w:before="240" w:after="120"/>
        <w:jc w:val="left"/>
        <w:outlineLvl w:val="0"/>
        <w:rPr>
          <w:rFonts w:asciiTheme="minorHAnsi" w:hAnsiTheme="minorHAnsi" w:cs="Arial"/>
          <w:b/>
          <w:snapToGrid w:val="0"/>
          <w:sz w:val="32"/>
          <w:szCs w:val="32"/>
        </w:rPr>
      </w:pPr>
      <w:r w:rsidRPr="006950BC">
        <w:rPr>
          <w:rFonts w:asciiTheme="minorHAnsi" w:hAnsiTheme="minorHAnsi" w:cs="Arial"/>
          <w:b/>
          <w:snapToGrid w:val="0"/>
          <w:sz w:val="32"/>
          <w:szCs w:val="32"/>
        </w:rPr>
        <w:t>Recommended listing</w:t>
      </w:r>
    </w:p>
    <w:p w14:paraId="2ECBE036" w14:textId="35325D45" w:rsidR="00A96918" w:rsidRDefault="00A96918" w:rsidP="00FB5724">
      <w:pPr>
        <w:pStyle w:val="3Bodytext"/>
        <w:numPr>
          <w:ilvl w:val="1"/>
          <w:numId w:val="2"/>
        </w:numPr>
      </w:pPr>
      <w:r>
        <w:t>Add new adalimumab brand (</w:t>
      </w:r>
      <w:r w:rsidRPr="00C60C18">
        <w:t>Hyrimoz</w:t>
      </w:r>
      <w:r>
        <w:t>) with schedule equivalence (‘a’ flag) for the same indications as Humira as noted in Section 3</w:t>
      </w:r>
      <w:r w:rsidR="004F113E">
        <w:t>,</w:t>
      </w:r>
      <w:r w:rsidR="00487ECB">
        <w:t xml:space="preserve"> including the treatment of v</w:t>
      </w:r>
      <w:r w:rsidR="00487ECB" w:rsidRPr="00487ECB">
        <w:t>ision-threatening non-infectious uveitis</w:t>
      </w:r>
      <w:r w:rsidR="00487ECB">
        <w:t xml:space="preserve"> for which Humira </w:t>
      </w:r>
      <w:r w:rsidR="004F113E">
        <w:t xml:space="preserve">and </w:t>
      </w:r>
      <w:r w:rsidR="004F113E" w:rsidRPr="00852EC0">
        <w:t>all other biosimilar brands and formulations of adalimumab</w:t>
      </w:r>
      <w:r w:rsidR="004F113E">
        <w:t xml:space="preserve"> was recommended to be</w:t>
      </w:r>
      <w:r w:rsidR="00487ECB">
        <w:t xml:space="preserve"> listed on the PBS.</w:t>
      </w:r>
    </w:p>
    <w:p w14:paraId="5F12F71F" w14:textId="77777777" w:rsidR="005242D8" w:rsidRPr="005242D8" w:rsidRDefault="005242D8" w:rsidP="00487ECB">
      <w:pPr>
        <w:pStyle w:val="3Bodytext"/>
        <w:numPr>
          <w:ilvl w:val="1"/>
          <w:numId w:val="2"/>
        </w:numPr>
        <w:jc w:val="both"/>
      </w:pPr>
      <w:r w:rsidRPr="005242D8">
        <w:t>Amend existing/recommended listing as follows:</w:t>
      </w:r>
    </w:p>
    <w:p w14:paraId="759F4AE2" w14:textId="249519BC" w:rsidR="005242D8" w:rsidRPr="005242D8" w:rsidRDefault="005242D8" w:rsidP="00DA56CD">
      <w:pPr>
        <w:numPr>
          <w:ilvl w:val="0"/>
          <w:numId w:val="32"/>
        </w:numPr>
        <w:spacing w:after="120"/>
        <w:ind w:left="1134"/>
        <w:rPr>
          <w:rFonts w:asciiTheme="minorHAnsi" w:eastAsiaTheme="minorHAnsi" w:hAnsiTheme="minorHAnsi" w:cstheme="minorBidi"/>
          <w:szCs w:val="22"/>
        </w:rPr>
      </w:pPr>
      <w:bookmarkStart w:id="19" w:name="_Hlk141081764"/>
      <w:r w:rsidRPr="005242D8">
        <w:rPr>
          <w:rFonts w:asciiTheme="minorHAnsi" w:eastAsiaTheme="minorHAnsi" w:hAnsiTheme="minorHAnsi" w:cstheme="minorBidi"/>
          <w:szCs w:val="22"/>
        </w:rPr>
        <w:t xml:space="preserve">Authority Required listing of </w:t>
      </w:r>
      <w:r w:rsidRPr="00C60C18">
        <w:t>Hyrimoz</w:t>
      </w:r>
      <w:r w:rsidRPr="005242D8">
        <w:rPr>
          <w:rFonts w:asciiTheme="minorHAnsi" w:eastAsiaTheme="minorHAnsi" w:hAnsiTheme="minorHAnsi" w:cstheme="minorBidi"/>
          <w:szCs w:val="22"/>
        </w:rPr>
        <w:t>, with the Authority type for each treatment phase and indication to be consistent with current listings for the other biosimilar brands of adalimumab.</w:t>
      </w:r>
      <w:r w:rsidRPr="005242D8" w:rsidDel="00AD56D6">
        <w:rPr>
          <w:rFonts w:asciiTheme="minorHAnsi" w:eastAsiaTheme="minorHAnsi" w:hAnsiTheme="minorHAnsi" w:cstheme="minorBidi"/>
          <w:szCs w:val="22"/>
        </w:rPr>
        <w:t xml:space="preserve"> </w:t>
      </w:r>
      <w:bookmarkEnd w:id="19"/>
    </w:p>
    <w:p w14:paraId="7B08AC25" w14:textId="71530411" w:rsidR="005242D8" w:rsidRPr="005242D8" w:rsidRDefault="005242D8" w:rsidP="00DA56CD">
      <w:pPr>
        <w:numPr>
          <w:ilvl w:val="0"/>
          <w:numId w:val="32"/>
        </w:numPr>
        <w:spacing w:after="120"/>
        <w:ind w:left="1134"/>
        <w:rPr>
          <w:rFonts w:asciiTheme="minorHAnsi" w:eastAsiaTheme="minorHAnsi" w:hAnsiTheme="minorHAnsi" w:cstheme="minorBidi"/>
          <w:szCs w:val="22"/>
        </w:rPr>
      </w:pPr>
      <w:r w:rsidRPr="005242D8">
        <w:rPr>
          <w:rFonts w:asciiTheme="minorHAnsi" w:eastAsiaTheme="minorHAnsi" w:hAnsiTheme="minorHAnsi" w:cstheme="minorBidi"/>
          <w:szCs w:val="22"/>
        </w:rPr>
        <w:t xml:space="preserve">The application of the ‘Biosimilar prescribing policy’ administrative note encouraging the use of biosimilar brands for treatment naïve patients (this note will need to be updated for the other biosimilar brands of adalimumab to include </w:t>
      </w:r>
      <w:r w:rsidRPr="00C60C18">
        <w:t>Hyrimoz</w:t>
      </w:r>
      <w:r w:rsidRPr="005242D8">
        <w:rPr>
          <w:rFonts w:asciiTheme="minorHAnsi" w:eastAsiaTheme="minorHAnsi" w:hAnsiTheme="minorHAnsi" w:cstheme="minorBidi"/>
          <w:szCs w:val="22"/>
        </w:rPr>
        <w:t xml:space="preserve"> in the list):</w:t>
      </w:r>
    </w:p>
    <w:p w14:paraId="16C104F3" w14:textId="77777777" w:rsidR="005242D8" w:rsidRPr="005242D8" w:rsidRDefault="005242D8" w:rsidP="00DA56CD">
      <w:pPr>
        <w:spacing w:after="120"/>
        <w:ind w:left="1134"/>
        <w:rPr>
          <w:rFonts w:asciiTheme="minorHAnsi" w:eastAsiaTheme="minorHAnsi" w:hAnsiTheme="minorHAnsi" w:cstheme="minorBidi"/>
          <w:i/>
          <w:szCs w:val="22"/>
        </w:rPr>
      </w:pPr>
      <w:r w:rsidRPr="005242D8">
        <w:rPr>
          <w:rFonts w:asciiTheme="minorHAnsi" w:eastAsiaTheme="minorHAnsi" w:hAnsiTheme="minorHAnsi" w:cstheme="minorBidi"/>
          <w:i/>
          <w:szCs w:val="22"/>
        </w:rPr>
        <w:t xml:space="preserve">Prescribing of the biosimilar brand Amgevita, Ardalicip, Hadlima, Hyrimoz, Idacio or Yuflyma is encouraged for treatment naïve patients. </w:t>
      </w:r>
    </w:p>
    <w:p w14:paraId="05E79B59" w14:textId="77777777" w:rsidR="005242D8" w:rsidRPr="005242D8" w:rsidRDefault="005242D8" w:rsidP="00DA56CD">
      <w:pPr>
        <w:spacing w:after="240"/>
        <w:ind w:left="1134"/>
        <w:rPr>
          <w:rFonts w:asciiTheme="minorHAnsi" w:eastAsiaTheme="minorHAnsi" w:hAnsiTheme="minorHAnsi" w:cstheme="minorBidi"/>
          <w:szCs w:val="22"/>
        </w:rPr>
      </w:pPr>
      <w:r w:rsidRPr="005242D8">
        <w:rPr>
          <w:rFonts w:asciiTheme="minorHAnsi" w:eastAsiaTheme="minorHAnsi" w:hAnsiTheme="minorHAnsi" w:cstheme="minorBidi"/>
          <w:i/>
          <w:snapToGrid w:val="0"/>
          <w:szCs w:val="22"/>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B Medicines </w:t>
      </w:r>
      <w:r w:rsidRPr="005242D8">
        <w:rPr>
          <w:rFonts w:asciiTheme="minorHAnsi" w:eastAsiaTheme="minorHAnsi" w:hAnsiTheme="minorHAnsi" w:cstheme="minorBidi"/>
          <w:szCs w:val="22"/>
        </w:rPr>
        <w:t xml:space="preserve">webpage </w:t>
      </w:r>
      <w:r w:rsidRPr="005242D8">
        <w:rPr>
          <w:rFonts w:asciiTheme="minorHAnsi" w:eastAsiaTheme="minorHAnsi" w:hAnsiTheme="minorHAnsi" w:cstheme="minorBidi"/>
          <w:i/>
          <w:iCs/>
          <w:szCs w:val="22"/>
        </w:rPr>
        <w:t>(</w:t>
      </w:r>
      <w:hyperlink r:id="rId8" w:history="1">
        <w:r w:rsidRPr="005242D8">
          <w:rPr>
            <w:rFonts w:asciiTheme="minorHAnsi" w:eastAsiaTheme="minorHAnsi" w:hAnsiTheme="minorHAnsi" w:cstheme="minorBidi"/>
            <w:i/>
            <w:iCs/>
            <w:color w:val="0000FF"/>
            <w:szCs w:val="22"/>
            <w:u w:val="single"/>
          </w:rPr>
          <w:t>www.health.gov.au/health-topics/medicines</w:t>
        </w:r>
      </w:hyperlink>
      <w:r w:rsidRPr="005242D8">
        <w:rPr>
          <w:rFonts w:asciiTheme="minorHAnsi" w:eastAsiaTheme="minorHAnsi" w:hAnsiTheme="minorHAnsi" w:cstheme="minorBidi"/>
          <w:i/>
          <w:iCs/>
          <w:szCs w:val="22"/>
        </w:rPr>
        <w:t>)</w:t>
      </w:r>
      <w:r w:rsidRPr="005242D8">
        <w:rPr>
          <w:rFonts w:asciiTheme="minorHAnsi" w:eastAsiaTheme="minorHAnsi" w:hAnsiTheme="minorHAnsi" w:cstheme="minorBidi"/>
          <w:szCs w:val="22"/>
        </w:rPr>
        <w:t xml:space="preserve"> </w:t>
      </w:r>
      <w:hyperlink w:history="1"/>
    </w:p>
    <w:p w14:paraId="581C8CC5" w14:textId="12167A3B" w:rsidR="006950BC" w:rsidRDefault="00A96918" w:rsidP="00AB1C4B">
      <w:pPr>
        <w:widowControl w:val="0"/>
        <w:spacing w:after="120"/>
        <w:contextualSpacing/>
        <w:rPr>
          <w:rFonts w:asciiTheme="minorHAnsi" w:hAnsiTheme="minorHAnsi" w:cs="Arial"/>
          <w:b/>
          <w:bCs/>
          <w:i/>
          <w:snapToGrid w:val="0"/>
        </w:rPr>
      </w:pPr>
      <w:r w:rsidRPr="00A96918">
        <w:rPr>
          <w:rFonts w:asciiTheme="minorHAnsi" w:hAnsiTheme="minorHAnsi" w:cs="Arial"/>
          <w:b/>
          <w:bCs/>
          <w:i/>
          <w:snapToGrid w:val="0"/>
        </w:rPr>
        <w:t>This restriction may be subject to further review. Should there be any changes made to the restriction the Sponsor will be informed.</w:t>
      </w:r>
    </w:p>
    <w:p w14:paraId="22C39BE4" w14:textId="77777777" w:rsidR="00874DDA" w:rsidRPr="00874DDA" w:rsidRDefault="00874DDA" w:rsidP="00874DDA">
      <w:pPr>
        <w:keepNext/>
        <w:numPr>
          <w:ilvl w:val="0"/>
          <w:numId w:val="2"/>
        </w:numPr>
        <w:spacing w:before="240" w:after="120"/>
        <w:jc w:val="left"/>
        <w:outlineLvl w:val="1"/>
        <w:rPr>
          <w:rFonts w:asciiTheme="minorHAnsi" w:hAnsiTheme="minorHAnsi" w:cs="Arial"/>
          <w:b/>
          <w:snapToGrid w:val="0"/>
          <w:sz w:val="32"/>
          <w:szCs w:val="32"/>
        </w:rPr>
      </w:pPr>
      <w:r w:rsidRPr="00874DDA">
        <w:rPr>
          <w:rFonts w:asciiTheme="minorHAnsi" w:hAnsiTheme="minorHAnsi" w:cs="Arial"/>
          <w:b/>
          <w:snapToGrid w:val="0"/>
          <w:sz w:val="32"/>
          <w:szCs w:val="32"/>
        </w:rPr>
        <w:t>Context for Decision</w:t>
      </w:r>
    </w:p>
    <w:p w14:paraId="45403938" w14:textId="77777777" w:rsidR="00874DDA" w:rsidRPr="00874DDA" w:rsidRDefault="00874DDA" w:rsidP="00874DDA">
      <w:pPr>
        <w:spacing w:after="120"/>
        <w:ind w:left="720"/>
        <w:rPr>
          <w:rFonts w:asciiTheme="minorHAnsi" w:hAnsiTheme="minorHAnsi" w:cs="Arial"/>
          <w:bCs/>
          <w:lang w:val="en-GB"/>
        </w:rPr>
      </w:pPr>
      <w:r w:rsidRPr="00874DDA">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BDFE672" w14:textId="77777777" w:rsidR="00874DDA" w:rsidRPr="00874DDA" w:rsidRDefault="00874DDA" w:rsidP="00874DDA">
      <w:pPr>
        <w:keepNext/>
        <w:numPr>
          <w:ilvl w:val="0"/>
          <w:numId w:val="2"/>
        </w:numPr>
        <w:spacing w:before="240" w:after="120"/>
        <w:jc w:val="left"/>
        <w:outlineLvl w:val="0"/>
        <w:rPr>
          <w:rFonts w:asciiTheme="minorHAnsi" w:hAnsiTheme="minorHAnsi" w:cs="Arial"/>
          <w:b/>
          <w:snapToGrid w:val="0"/>
          <w:sz w:val="32"/>
          <w:szCs w:val="32"/>
        </w:rPr>
      </w:pPr>
      <w:r w:rsidRPr="00874DDA">
        <w:rPr>
          <w:rFonts w:asciiTheme="minorHAnsi" w:hAnsiTheme="minorHAnsi" w:cs="Arial"/>
          <w:b/>
          <w:snapToGrid w:val="0"/>
          <w:sz w:val="32"/>
          <w:szCs w:val="32"/>
        </w:rPr>
        <w:t>Sponsor’s Comment</w:t>
      </w:r>
    </w:p>
    <w:p w14:paraId="2B2D2EDA" w14:textId="32FD3095" w:rsidR="00874DDA" w:rsidRPr="00AB1C4B" w:rsidRDefault="00874DDA" w:rsidP="00B51A9C">
      <w:pPr>
        <w:spacing w:after="120" w:line="276" w:lineRule="auto"/>
        <w:ind w:left="720"/>
        <w:rPr>
          <w:rFonts w:asciiTheme="minorHAnsi" w:hAnsiTheme="minorHAnsi" w:cs="Arial"/>
          <w:b/>
          <w:bCs/>
          <w:i/>
          <w:snapToGrid w:val="0"/>
        </w:rPr>
      </w:pPr>
      <w:r w:rsidRPr="00874DDA">
        <w:rPr>
          <w:rFonts w:asciiTheme="minorHAnsi" w:eastAsiaTheme="minorHAnsi" w:hAnsiTheme="minorHAnsi" w:cs="Arial"/>
          <w:bCs/>
          <w:szCs w:val="22"/>
          <w:lang w:eastAsia="en-US"/>
        </w:rPr>
        <w:t>The sponsor had no comment.</w:t>
      </w:r>
    </w:p>
    <w:sectPr w:rsidR="00874DDA" w:rsidRPr="00AB1C4B" w:rsidSect="00C27B58">
      <w:headerReference w:type="even" r:id="rId9"/>
      <w:headerReference w:type="default" r:id="rId10"/>
      <w:footerReference w:type="even" r:id="rId11"/>
      <w:footerReference w:type="default" r:id="rId12"/>
      <w:head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CA5E" w14:textId="77777777" w:rsidR="00542EB6" w:rsidRDefault="00542EB6">
      <w:r>
        <w:separator/>
      </w:r>
    </w:p>
    <w:p w14:paraId="1C5456A3" w14:textId="77777777" w:rsidR="00542EB6" w:rsidRDefault="00542EB6"/>
  </w:endnote>
  <w:endnote w:type="continuationSeparator" w:id="0">
    <w:p w14:paraId="26615ABE" w14:textId="77777777" w:rsidR="00542EB6" w:rsidRDefault="00542EB6">
      <w:r>
        <w:continuationSeparator/>
      </w:r>
    </w:p>
    <w:p w14:paraId="7FE2EA1C" w14:textId="77777777" w:rsidR="00542EB6" w:rsidRDefault="00542EB6"/>
  </w:endnote>
  <w:endnote w:type="continuationNotice" w:id="1">
    <w:p w14:paraId="035BDC81" w14:textId="77777777" w:rsidR="00542EB6" w:rsidRDefault="00542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Sabon">
    <w:altName w:val="Times New Roman"/>
    <w:charset w:val="00"/>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p w14:paraId="0FB8D9D2" w14:textId="77777777" w:rsidR="005F4114" w:rsidRDefault="005F4114"/>
  <w:p w14:paraId="1210E607" w14:textId="77777777" w:rsidR="005F4114" w:rsidRDefault="005F4114"/>
  <w:p w14:paraId="7644B0A1" w14:textId="77777777" w:rsidR="005F4114" w:rsidRDefault="005F4114"/>
  <w:p w14:paraId="7B6567ED" w14:textId="77777777" w:rsidR="005F4114" w:rsidRDefault="005F41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04F4D2FC" w:rsidR="009C26AA" w:rsidRPr="002C3110" w:rsidRDefault="00401640" w:rsidP="00C56D78">
    <w:pPr>
      <w:pStyle w:val="MinorOVRHeader"/>
      <w:jc w:val="center"/>
      <w:rPr>
        <w:b/>
        <w:bCs/>
      </w:rPr>
    </w:pPr>
    <w:r w:rsidRPr="002C3110">
      <w:rPr>
        <w:b/>
        <w:bCs/>
      </w:rPr>
      <w:fldChar w:fldCharType="begin"/>
    </w:r>
    <w:r w:rsidRPr="002C3110">
      <w:rPr>
        <w:b/>
        <w:bCs/>
      </w:rPr>
      <w:instrText xml:space="preserve"> PAGE   \* MERGEFORMAT </w:instrText>
    </w:r>
    <w:r w:rsidRPr="002C3110">
      <w:rPr>
        <w:b/>
        <w:bCs/>
      </w:rPr>
      <w:fldChar w:fldCharType="separate"/>
    </w:r>
    <w:r w:rsidRPr="002C3110">
      <w:rPr>
        <w:b/>
        <w:bCs/>
      </w:rPr>
      <w:t>1</w:t>
    </w:r>
    <w:r w:rsidRPr="002C3110">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870D" w14:textId="77777777" w:rsidR="00542EB6" w:rsidRDefault="00542EB6">
      <w:r>
        <w:separator/>
      </w:r>
    </w:p>
    <w:p w14:paraId="3A1ECAC0" w14:textId="77777777" w:rsidR="00542EB6" w:rsidRDefault="00542EB6"/>
  </w:footnote>
  <w:footnote w:type="continuationSeparator" w:id="0">
    <w:p w14:paraId="389861A2" w14:textId="77777777" w:rsidR="00542EB6" w:rsidRDefault="00542EB6">
      <w:r>
        <w:continuationSeparator/>
      </w:r>
    </w:p>
    <w:p w14:paraId="48E65EBD" w14:textId="77777777" w:rsidR="00542EB6" w:rsidRDefault="00542EB6"/>
  </w:footnote>
  <w:footnote w:type="continuationNotice" w:id="1">
    <w:p w14:paraId="09C89452" w14:textId="77777777" w:rsidR="00542EB6" w:rsidRDefault="00542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p w14:paraId="651DC49A" w14:textId="77777777" w:rsidR="005F4114" w:rsidRDefault="005F4114"/>
  <w:p w14:paraId="2230245D" w14:textId="77777777" w:rsidR="005F4114" w:rsidRDefault="005F4114"/>
  <w:p w14:paraId="58CC3151" w14:textId="77777777" w:rsidR="005F4114" w:rsidRDefault="005F4114"/>
  <w:p w14:paraId="331F0D41" w14:textId="77777777" w:rsidR="005F4114" w:rsidRDefault="005F41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35FA5208" w:rsidR="00C56D78" w:rsidRDefault="00033A71" w:rsidP="00C56D78">
    <w:pPr>
      <w:keepNext/>
      <w:tabs>
        <w:tab w:val="center" w:pos="4513"/>
        <w:tab w:val="right" w:pos="9026"/>
      </w:tabs>
      <w:jc w:val="center"/>
      <w:rPr>
        <w:rFonts w:asciiTheme="minorHAnsi" w:eastAsiaTheme="minorEastAsia" w:hAnsiTheme="minorHAnsi" w:cstheme="minorHAnsi"/>
        <w:i/>
        <w:color w:val="808080"/>
      </w:rPr>
    </w:pPr>
    <w:bookmarkStart w:id="20" w:name="_Hlk175754326"/>
    <w:r w:rsidRPr="00033A71">
      <w:rPr>
        <w:rFonts w:asciiTheme="minorHAnsi" w:eastAsiaTheme="minorEastAsia" w:hAnsiTheme="minorHAnsi" w:cstheme="minorHAnsi"/>
        <w:i/>
        <w:color w:val="808080"/>
      </w:rPr>
      <w:t>Public Summary Document</w:t>
    </w:r>
    <w:bookmarkEnd w:id="20"/>
    <w:r w:rsidRPr="00033A71">
      <w:rPr>
        <w:rFonts w:asciiTheme="minorHAnsi" w:eastAsiaTheme="minorEastAsia" w:hAnsiTheme="minorHAnsi" w:cstheme="minorHAnsi"/>
        <w:i/>
        <w:color w:val="808080"/>
      </w:rPr>
      <w:t xml:space="preserve"> </w:t>
    </w:r>
    <w:r w:rsidR="00CC2224">
      <w:rPr>
        <w:rFonts w:asciiTheme="minorHAnsi" w:eastAsiaTheme="minorEastAsia" w:hAnsiTheme="minorHAnsi" w:cstheme="minorHAnsi"/>
        <w:i/>
        <w:color w:val="808080"/>
      </w:rPr>
      <w:t xml:space="preserve">– </w:t>
    </w:r>
    <w:r w:rsidR="00D80C29">
      <w:rPr>
        <w:rFonts w:asciiTheme="minorHAnsi" w:eastAsiaTheme="minorEastAsia" w:hAnsiTheme="minorHAnsi" w:cstheme="minorHAnsi"/>
        <w:i/>
        <w:color w:val="808080"/>
      </w:rPr>
      <w:t>July</w:t>
    </w:r>
    <w:r w:rsidR="007221ED">
      <w:rPr>
        <w:rFonts w:asciiTheme="minorHAnsi" w:eastAsiaTheme="minorEastAsia" w:hAnsiTheme="minorHAnsi" w:cstheme="minorHAnsi"/>
        <w:i/>
        <w:color w:val="808080"/>
      </w:rPr>
      <w:t xml:space="preserve"> 2024</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6950BC">
    <w:pPr>
      <w:pStyle w:val="No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79A9" w14:textId="77777777" w:rsidR="00E6489A" w:rsidRDefault="00E6489A">
    <w:pPr>
      <w:pStyle w:val="Header"/>
    </w:pPr>
  </w:p>
  <w:p w14:paraId="3149A379" w14:textId="77777777" w:rsidR="005F4114" w:rsidRDefault="005F4114"/>
  <w:p w14:paraId="7CF39530" w14:textId="77777777" w:rsidR="005F4114" w:rsidRDefault="005F4114"/>
  <w:p w14:paraId="028B7EEB" w14:textId="77777777" w:rsidR="005F4114" w:rsidRDefault="005F4114"/>
  <w:p w14:paraId="4C3921B9" w14:textId="77777777" w:rsidR="005F4114" w:rsidRDefault="005F4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353"/>
        </w:tabs>
        <w:ind w:left="1353"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269257C"/>
    <w:multiLevelType w:val="hybridMultilevel"/>
    <w:tmpl w:val="9DFA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B0D1326"/>
    <w:multiLevelType w:val="hybridMultilevel"/>
    <w:tmpl w:val="8E9219A4"/>
    <w:lvl w:ilvl="0" w:tplc="EDBC0D40">
      <w:start w:val="1"/>
      <w:numFmt w:val="bullet"/>
      <w:lvlText w:val=""/>
      <w:lvlJc w:val="left"/>
      <w:pPr>
        <w:ind w:left="1420" w:hanging="360"/>
      </w:pPr>
      <w:rPr>
        <w:rFonts w:ascii="Symbol" w:hAnsi="Symbol"/>
      </w:rPr>
    </w:lvl>
    <w:lvl w:ilvl="1" w:tplc="96C2F77A">
      <w:start w:val="1"/>
      <w:numFmt w:val="bullet"/>
      <w:lvlText w:val=""/>
      <w:lvlJc w:val="left"/>
      <w:pPr>
        <w:ind w:left="1420" w:hanging="360"/>
      </w:pPr>
      <w:rPr>
        <w:rFonts w:ascii="Symbol" w:hAnsi="Symbol"/>
      </w:rPr>
    </w:lvl>
    <w:lvl w:ilvl="2" w:tplc="A68E2DBE">
      <w:start w:val="1"/>
      <w:numFmt w:val="bullet"/>
      <w:lvlText w:val=""/>
      <w:lvlJc w:val="left"/>
      <w:pPr>
        <w:ind w:left="1420" w:hanging="360"/>
      </w:pPr>
      <w:rPr>
        <w:rFonts w:ascii="Symbol" w:hAnsi="Symbol"/>
      </w:rPr>
    </w:lvl>
    <w:lvl w:ilvl="3" w:tplc="19AC5E5E">
      <w:start w:val="1"/>
      <w:numFmt w:val="bullet"/>
      <w:lvlText w:val=""/>
      <w:lvlJc w:val="left"/>
      <w:pPr>
        <w:ind w:left="1420" w:hanging="360"/>
      </w:pPr>
      <w:rPr>
        <w:rFonts w:ascii="Symbol" w:hAnsi="Symbol"/>
      </w:rPr>
    </w:lvl>
    <w:lvl w:ilvl="4" w:tplc="A60A4628">
      <w:start w:val="1"/>
      <w:numFmt w:val="bullet"/>
      <w:lvlText w:val=""/>
      <w:lvlJc w:val="left"/>
      <w:pPr>
        <w:ind w:left="1420" w:hanging="360"/>
      </w:pPr>
      <w:rPr>
        <w:rFonts w:ascii="Symbol" w:hAnsi="Symbol"/>
      </w:rPr>
    </w:lvl>
    <w:lvl w:ilvl="5" w:tplc="D23E3476">
      <w:start w:val="1"/>
      <w:numFmt w:val="bullet"/>
      <w:lvlText w:val=""/>
      <w:lvlJc w:val="left"/>
      <w:pPr>
        <w:ind w:left="1420" w:hanging="360"/>
      </w:pPr>
      <w:rPr>
        <w:rFonts w:ascii="Symbol" w:hAnsi="Symbol"/>
      </w:rPr>
    </w:lvl>
    <w:lvl w:ilvl="6" w:tplc="0D5C0674">
      <w:start w:val="1"/>
      <w:numFmt w:val="bullet"/>
      <w:lvlText w:val=""/>
      <w:lvlJc w:val="left"/>
      <w:pPr>
        <w:ind w:left="1420" w:hanging="360"/>
      </w:pPr>
      <w:rPr>
        <w:rFonts w:ascii="Symbol" w:hAnsi="Symbol"/>
      </w:rPr>
    </w:lvl>
    <w:lvl w:ilvl="7" w:tplc="CF94FE64">
      <w:start w:val="1"/>
      <w:numFmt w:val="bullet"/>
      <w:lvlText w:val=""/>
      <w:lvlJc w:val="left"/>
      <w:pPr>
        <w:ind w:left="1420" w:hanging="360"/>
      </w:pPr>
      <w:rPr>
        <w:rFonts w:ascii="Symbol" w:hAnsi="Symbol"/>
      </w:rPr>
    </w:lvl>
    <w:lvl w:ilvl="8" w:tplc="CC66F35C">
      <w:start w:val="1"/>
      <w:numFmt w:val="bullet"/>
      <w:lvlText w:val=""/>
      <w:lvlJc w:val="left"/>
      <w:pPr>
        <w:ind w:left="1420" w:hanging="360"/>
      </w:pPr>
      <w:rPr>
        <w:rFonts w:ascii="Symbol" w:hAnsi="Symbol"/>
      </w:rPr>
    </w:lvl>
  </w:abstractNum>
  <w:abstractNum w:abstractNumId="6"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o"/>
      <w:lvlJc w:val="left"/>
      <w:pPr>
        <w:ind w:left="1440" w:hanging="720"/>
      </w:pPr>
      <w:rPr>
        <w:rFonts w:ascii="Courier New" w:hAnsi="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C7908"/>
    <w:multiLevelType w:val="hybridMultilevel"/>
    <w:tmpl w:val="0FC096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933493"/>
    <w:multiLevelType w:val="multilevel"/>
    <w:tmpl w:val="81DA063E"/>
    <w:lvl w:ilvl="0">
      <w:start w:val="1"/>
      <w:numFmt w:val="decimal"/>
      <w:lvlText w:val="%1"/>
      <w:lvlJc w:val="left"/>
      <w:pPr>
        <w:ind w:left="720" w:hanging="720"/>
      </w:pPr>
      <w:rPr>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51A9D"/>
    <w:multiLevelType w:val="hybridMultilevel"/>
    <w:tmpl w:val="9744A232"/>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FC51F9"/>
    <w:multiLevelType w:val="hybridMultilevel"/>
    <w:tmpl w:val="F1A87E1C"/>
    <w:lvl w:ilvl="0" w:tplc="60CE5208">
      <w:start w:val="1"/>
      <w:numFmt w:val="bullet"/>
      <w:lvlText w:val=""/>
      <w:lvlJc w:val="left"/>
      <w:pPr>
        <w:ind w:left="1820" w:hanging="360"/>
      </w:pPr>
      <w:rPr>
        <w:rFonts w:ascii="Symbol" w:hAnsi="Symbol"/>
      </w:rPr>
    </w:lvl>
    <w:lvl w:ilvl="1" w:tplc="5BBCC6A8">
      <w:start w:val="1"/>
      <w:numFmt w:val="bullet"/>
      <w:lvlText w:val=""/>
      <w:lvlJc w:val="left"/>
      <w:pPr>
        <w:ind w:left="1820" w:hanging="360"/>
      </w:pPr>
      <w:rPr>
        <w:rFonts w:ascii="Symbol" w:hAnsi="Symbol"/>
      </w:rPr>
    </w:lvl>
    <w:lvl w:ilvl="2" w:tplc="CA70BE8A">
      <w:start w:val="1"/>
      <w:numFmt w:val="bullet"/>
      <w:lvlText w:val=""/>
      <w:lvlJc w:val="left"/>
      <w:pPr>
        <w:ind w:left="1820" w:hanging="360"/>
      </w:pPr>
      <w:rPr>
        <w:rFonts w:ascii="Symbol" w:hAnsi="Symbol"/>
      </w:rPr>
    </w:lvl>
    <w:lvl w:ilvl="3" w:tplc="482E63DA">
      <w:start w:val="1"/>
      <w:numFmt w:val="bullet"/>
      <w:lvlText w:val=""/>
      <w:lvlJc w:val="left"/>
      <w:pPr>
        <w:ind w:left="1820" w:hanging="360"/>
      </w:pPr>
      <w:rPr>
        <w:rFonts w:ascii="Symbol" w:hAnsi="Symbol"/>
      </w:rPr>
    </w:lvl>
    <w:lvl w:ilvl="4" w:tplc="13D2C860">
      <w:start w:val="1"/>
      <w:numFmt w:val="bullet"/>
      <w:lvlText w:val=""/>
      <w:lvlJc w:val="left"/>
      <w:pPr>
        <w:ind w:left="1820" w:hanging="360"/>
      </w:pPr>
      <w:rPr>
        <w:rFonts w:ascii="Symbol" w:hAnsi="Symbol"/>
      </w:rPr>
    </w:lvl>
    <w:lvl w:ilvl="5" w:tplc="82C40220">
      <w:start w:val="1"/>
      <w:numFmt w:val="bullet"/>
      <w:lvlText w:val=""/>
      <w:lvlJc w:val="left"/>
      <w:pPr>
        <w:ind w:left="1820" w:hanging="360"/>
      </w:pPr>
      <w:rPr>
        <w:rFonts w:ascii="Symbol" w:hAnsi="Symbol"/>
      </w:rPr>
    </w:lvl>
    <w:lvl w:ilvl="6" w:tplc="D792A620">
      <w:start w:val="1"/>
      <w:numFmt w:val="bullet"/>
      <w:lvlText w:val=""/>
      <w:lvlJc w:val="left"/>
      <w:pPr>
        <w:ind w:left="1820" w:hanging="360"/>
      </w:pPr>
      <w:rPr>
        <w:rFonts w:ascii="Symbol" w:hAnsi="Symbol"/>
      </w:rPr>
    </w:lvl>
    <w:lvl w:ilvl="7" w:tplc="8D963772">
      <w:start w:val="1"/>
      <w:numFmt w:val="bullet"/>
      <w:lvlText w:val=""/>
      <w:lvlJc w:val="left"/>
      <w:pPr>
        <w:ind w:left="1820" w:hanging="360"/>
      </w:pPr>
      <w:rPr>
        <w:rFonts w:ascii="Symbol" w:hAnsi="Symbol"/>
      </w:rPr>
    </w:lvl>
    <w:lvl w:ilvl="8" w:tplc="A1141E52">
      <w:start w:val="1"/>
      <w:numFmt w:val="bullet"/>
      <w:lvlText w:val=""/>
      <w:lvlJc w:val="left"/>
      <w:pPr>
        <w:ind w:left="1820" w:hanging="360"/>
      </w:pPr>
      <w:rPr>
        <w:rFonts w:ascii="Symbol" w:hAnsi="Symbol"/>
      </w:rPr>
    </w:lvl>
  </w:abstractNum>
  <w:abstractNum w:abstractNumId="16" w15:restartNumberingAfterBreak="0">
    <w:nsid w:val="2121263B"/>
    <w:multiLevelType w:val="hybridMultilevel"/>
    <w:tmpl w:val="BD32C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586C8E"/>
    <w:multiLevelType w:val="hybridMultilevel"/>
    <w:tmpl w:val="98E28AF0"/>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20504"/>
    <w:multiLevelType w:val="hybridMultilevel"/>
    <w:tmpl w:val="134CAC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0BB2338"/>
    <w:multiLevelType w:val="hybridMultilevel"/>
    <w:tmpl w:val="902EAD98"/>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2"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5257C0"/>
    <w:multiLevelType w:val="hybridMultilevel"/>
    <w:tmpl w:val="73A4BB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6" w15:restartNumberingAfterBreak="0">
    <w:nsid w:val="42527455"/>
    <w:multiLevelType w:val="hybridMultilevel"/>
    <w:tmpl w:val="AF92FA2C"/>
    <w:lvl w:ilvl="0" w:tplc="0C090001">
      <w:start w:val="1"/>
      <w:numFmt w:val="bullet"/>
      <w:lvlText w:val=""/>
      <w:lvlJc w:val="left"/>
      <w:pPr>
        <w:ind w:left="121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33620CD"/>
    <w:multiLevelType w:val="multilevel"/>
    <w:tmpl w:val="E2F6ABAC"/>
    <w:lvl w:ilvl="0">
      <w:start w:val="1"/>
      <w:numFmt w:val="decimal"/>
      <w:lvlText w:val="%1"/>
      <w:lvlJc w:val="left"/>
      <w:pPr>
        <w:ind w:left="720" w:hanging="720"/>
      </w:pPr>
      <w:rPr>
        <w:b/>
        <w:color w:val="auto"/>
      </w:rPr>
    </w:lvl>
    <w:lvl w:ilvl="1">
      <w:start w:val="1"/>
      <w:numFmt w:val="decimal"/>
      <w:lvlText w:val="%1.%2"/>
      <w:lvlJc w:val="left"/>
      <w:pPr>
        <w:ind w:left="720" w:hanging="720"/>
      </w:pPr>
      <w:rPr>
        <w:b w:val="0"/>
        <w:i w:val="0"/>
        <w:color w:val="auto"/>
      </w:rPr>
    </w:lvl>
    <w:lvl w:ilvl="2">
      <w:start w:val="1"/>
      <w:numFmt w:val="lowerLetter"/>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64E72B0"/>
    <w:multiLevelType w:val="hybridMultilevel"/>
    <w:tmpl w:val="439ADAB2"/>
    <w:lvl w:ilvl="0" w:tplc="442A8F9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30" w15:restartNumberingAfterBreak="0">
    <w:nsid w:val="486E5A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D1B1744"/>
    <w:multiLevelType w:val="hybridMultilevel"/>
    <w:tmpl w:val="7A103C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4"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DBA6726"/>
    <w:multiLevelType w:val="hybridMultilevel"/>
    <w:tmpl w:val="B3CE6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6D0C8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945511A"/>
    <w:multiLevelType w:val="hybridMultilevel"/>
    <w:tmpl w:val="35882C38"/>
    <w:lvl w:ilvl="0" w:tplc="C4BE3242">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D9E0A36"/>
    <w:multiLevelType w:val="hybridMultilevel"/>
    <w:tmpl w:val="337A15FE"/>
    <w:lvl w:ilvl="0" w:tplc="285E092A">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2" w15:restartNumberingAfterBreak="0">
    <w:nsid w:val="6FEC02A8"/>
    <w:multiLevelType w:val="hybridMultilevel"/>
    <w:tmpl w:val="6A2A3CB4"/>
    <w:lvl w:ilvl="0" w:tplc="3E8027F6">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4" w15:restartNumberingAfterBreak="0">
    <w:nsid w:val="754D57CD"/>
    <w:multiLevelType w:val="hybridMultilevel"/>
    <w:tmpl w:val="52864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5800E23"/>
    <w:multiLevelType w:val="hybridMultilevel"/>
    <w:tmpl w:val="00EE1590"/>
    <w:lvl w:ilvl="0" w:tplc="442A8F9A">
      <w:start w:val="1"/>
      <w:numFmt w:val="lowerLetter"/>
      <w:lvlText w:val="%1."/>
      <w:lvlJc w:val="left"/>
      <w:pPr>
        <w:ind w:left="1497" w:hanging="360"/>
      </w:p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46" w15:restartNumberingAfterBreak="0">
    <w:nsid w:val="769458D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84D033C"/>
    <w:multiLevelType w:val="multilevel"/>
    <w:tmpl w:val="213AF02C"/>
    <w:lvl w:ilvl="0">
      <w:start w:val="1"/>
      <w:numFmt w:val="decimal"/>
      <w:lvlText w:val="%1"/>
      <w:lvlJc w:val="left"/>
      <w:pPr>
        <w:ind w:left="720" w:hanging="720"/>
      </w:pPr>
      <w:rPr>
        <w:b/>
        <w:color w:val="auto"/>
      </w:rPr>
    </w:lvl>
    <w:lvl w:ilvl="1">
      <w:start w:val="1"/>
      <w:numFmt w:val="decimal"/>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15:restartNumberingAfterBreak="0">
    <w:nsid w:val="786D3B54"/>
    <w:multiLevelType w:val="hybridMultilevel"/>
    <w:tmpl w:val="8BF24E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BBB7FF1"/>
    <w:multiLevelType w:val="hybridMultilevel"/>
    <w:tmpl w:val="550AFAFA"/>
    <w:lvl w:ilvl="0" w:tplc="DFB60A6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21"/>
  </w:num>
  <w:num w:numId="2" w16cid:durableId="957570559">
    <w:abstractNumId w:val="47"/>
  </w:num>
  <w:num w:numId="3" w16cid:durableId="536628895">
    <w:abstractNumId w:val="0"/>
  </w:num>
  <w:num w:numId="4" w16cid:durableId="1159004663">
    <w:abstractNumId w:val="35"/>
  </w:num>
  <w:num w:numId="5" w16cid:durableId="418600173">
    <w:abstractNumId w:val="50"/>
  </w:num>
  <w:num w:numId="6" w16cid:durableId="34236669">
    <w:abstractNumId w:val="42"/>
  </w:num>
  <w:num w:numId="7" w16cid:durableId="1279799443">
    <w:abstractNumId w:val="31"/>
  </w:num>
  <w:num w:numId="8" w16cid:durableId="495537779">
    <w:abstractNumId w:val="25"/>
  </w:num>
  <w:num w:numId="9" w16cid:durableId="1468400811">
    <w:abstractNumId w:val="1"/>
  </w:num>
  <w:num w:numId="10" w16cid:durableId="132985464">
    <w:abstractNumId w:val="47"/>
  </w:num>
  <w:num w:numId="11" w16cid:durableId="1915313393">
    <w:abstractNumId w:val="40"/>
  </w:num>
  <w:num w:numId="12" w16cid:durableId="473567604">
    <w:abstractNumId w:val="43"/>
  </w:num>
  <w:num w:numId="13" w16cid:durableId="315574325">
    <w:abstractNumId w:val="19"/>
  </w:num>
  <w:num w:numId="14" w16cid:durableId="1841651190">
    <w:abstractNumId w:val="14"/>
  </w:num>
  <w:num w:numId="15" w16cid:durableId="1743868723">
    <w:abstractNumId w:val="38"/>
  </w:num>
  <w:num w:numId="16" w16cid:durableId="1751541441">
    <w:abstractNumId w:val="2"/>
  </w:num>
  <w:num w:numId="17" w16cid:durableId="9394593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701227">
    <w:abstractNumId w:val="49"/>
  </w:num>
  <w:num w:numId="19" w16cid:durableId="957954296">
    <w:abstractNumId w:val="34"/>
  </w:num>
  <w:num w:numId="20" w16cid:durableId="1630238752">
    <w:abstractNumId w:val="11"/>
  </w:num>
  <w:num w:numId="21" w16cid:durableId="432090342">
    <w:abstractNumId w:val="10"/>
  </w:num>
  <w:num w:numId="22" w16cid:durableId="1662348298">
    <w:abstractNumId w:val="29"/>
  </w:num>
  <w:num w:numId="23" w16cid:durableId="2082019313">
    <w:abstractNumId w:val="13"/>
  </w:num>
  <w:num w:numId="24" w16cid:durableId="1752043239">
    <w:abstractNumId w:val="7"/>
  </w:num>
  <w:num w:numId="25" w16cid:durableId="18237940">
    <w:abstractNumId w:val="22"/>
  </w:num>
  <w:num w:numId="26" w16cid:durableId="888148472">
    <w:abstractNumId w:val="32"/>
  </w:num>
  <w:num w:numId="27" w16cid:durableId="216868142">
    <w:abstractNumId w:val="24"/>
  </w:num>
  <w:num w:numId="28" w16cid:durableId="962153145">
    <w:abstractNumId w:val="41"/>
  </w:num>
  <w:num w:numId="29" w16cid:durableId="949505891">
    <w:abstractNumId w:val="47"/>
  </w:num>
  <w:num w:numId="30" w16cid:durableId="636104124">
    <w:abstractNumId w:val="26"/>
  </w:num>
  <w:num w:numId="31" w16cid:durableId="2097049071">
    <w:abstractNumId w:val="47"/>
  </w:num>
  <w:num w:numId="32" w16cid:durableId="352419">
    <w:abstractNumId w:val="4"/>
  </w:num>
  <w:num w:numId="33" w16cid:durableId="1202784601">
    <w:abstractNumId w:val="47"/>
  </w:num>
  <w:num w:numId="34" w16cid:durableId="2141654295">
    <w:abstractNumId w:val="47"/>
  </w:num>
  <w:num w:numId="35" w16cid:durableId="398597059">
    <w:abstractNumId w:val="47"/>
  </w:num>
  <w:num w:numId="36" w16cid:durableId="2017267604">
    <w:abstractNumId w:val="47"/>
  </w:num>
  <w:num w:numId="37" w16cid:durableId="1003627898">
    <w:abstractNumId w:val="47"/>
  </w:num>
  <w:num w:numId="38" w16cid:durableId="1361591615">
    <w:abstractNumId w:val="47"/>
  </w:num>
  <w:num w:numId="39" w16cid:durableId="390154630">
    <w:abstractNumId w:val="0"/>
  </w:num>
  <w:num w:numId="40" w16cid:durableId="1042092910">
    <w:abstractNumId w:val="0"/>
  </w:num>
  <w:num w:numId="41" w16cid:durableId="927730313">
    <w:abstractNumId w:val="12"/>
  </w:num>
  <w:num w:numId="42" w16cid:durableId="1744182884">
    <w:abstractNumId w:val="17"/>
  </w:num>
  <w:num w:numId="43" w16cid:durableId="1695886410">
    <w:abstractNumId w:val="6"/>
  </w:num>
  <w:num w:numId="44" w16cid:durableId="1016272047">
    <w:abstractNumId w:val="16"/>
  </w:num>
  <w:num w:numId="45" w16cid:durableId="1480459169">
    <w:abstractNumId w:val="5"/>
  </w:num>
  <w:num w:numId="46" w16cid:durableId="1463887249">
    <w:abstractNumId w:val="15"/>
  </w:num>
  <w:num w:numId="47" w16cid:durableId="1731033587">
    <w:abstractNumId w:val="0"/>
  </w:num>
  <w:num w:numId="48" w16cid:durableId="662204614">
    <w:abstractNumId w:val="18"/>
  </w:num>
  <w:num w:numId="49" w16cid:durableId="777064099">
    <w:abstractNumId w:val="9"/>
  </w:num>
  <w:num w:numId="50" w16cid:durableId="899943705">
    <w:abstractNumId w:val="36"/>
  </w:num>
  <w:num w:numId="51" w16cid:durableId="1073509213">
    <w:abstractNumId w:val="48"/>
  </w:num>
  <w:num w:numId="52" w16cid:durableId="435753056">
    <w:abstractNumId w:val="27"/>
  </w:num>
  <w:num w:numId="53" w16cid:durableId="1957524095">
    <w:abstractNumId w:val="20"/>
  </w:num>
  <w:num w:numId="54" w16cid:durableId="1102143080">
    <w:abstractNumId w:val="8"/>
  </w:num>
  <w:num w:numId="55" w16cid:durableId="255098287">
    <w:abstractNumId w:val="45"/>
  </w:num>
  <w:num w:numId="56" w16cid:durableId="1479371904">
    <w:abstractNumId w:val="28"/>
  </w:num>
  <w:num w:numId="57" w16cid:durableId="1914200841">
    <w:abstractNumId w:val="44"/>
  </w:num>
  <w:num w:numId="58" w16cid:durableId="1364672377">
    <w:abstractNumId w:val="30"/>
  </w:num>
  <w:num w:numId="59" w16cid:durableId="1516730308">
    <w:abstractNumId w:val="37"/>
  </w:num>
  <w:num w:numId="60" w16cid:durableId="930698388">
    <w:abstractNumId w:val="46"/>
  </w:num>
  <w:num w:numId="61" w16cid:durableId="19700410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25939102">
    <w:abstractNumId w:val="33"/>
  </w:num>
  <w:num w:numId="63" w16cid:durableId="1823308289">
    <w:abstractNumId w:val="0"/>
  </w:num>
  <w:num w:numId="64" w16cid:durableId="1486430306">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49FD"/>
    <w:rsid w:val="00006782"/>
    <w:rsid w:val="00006B0F"/>
    <w:rsid w:val="000078DB"/>
    <w:rsid w:val="0001179A"/>
    <w:rsid w:val="00011A59"/>
    <w:rsid w:val="00014D69"/>
    <w:rsid w:val="00016A41"/>
    <w:rsid w:val="000214D1"/>
    <w:rsid w:val="00021F20"/>
    <w:rsid w:val="00023A63"/>
    <w:rsid w:val="0002464A"/>
    <w:rsid w:val="00024757"/>
    <w:rsid w:val="000248DF"/>
    <w:rsid w:val="00025A04"/>
    <w:rsid w:val="0002693D"/>
    <w:rsid w:val="0003050E"/>
    <w:rsid w:val="0003106B"/>
    <w:rsid w:val="00031DCE"/>
    <w:rsid w:val="000335B9"/>
    <w:rsid w:val="00033A71"/>
    <w:rsid w:val="00034905"/>
    <w:rsid w:val="0003626D"/>
    <w:rsid w:val="000377D4"/>
    <w:rsid w:val="00037906"/>
    <w:rsid w:val="0004059C"/>
    <w:rsid w:val="00040A30"/>
    <w:rsid w:val="00041D2E"/>
    <w:rsid w:val="000421A1"/>
    <w:rsid w:val="0004240E"/>
    <w:rsid w:val="000425A2"/>
    <w:rsid w:val="00044E52"/>
    <w:rsid w:val="00044EC4"/>
    <w:rsid w:val="00045E26"/>
    <w:rsid w:val="00046903"/>
    <w:rsid w:val="00046AAF"/>
    <w:rsid w:val="00046C87"/>
    <w:rsid w:val="00047427"/>
    <w:rsid w:val="000514B5"/>
    <w:rsid w:val="000521ED"/>
    <w:rsid w:val="0005322E"/>
    <w:rsid w:val="00054E2B"/>
    <w:rsid w:val="00060E64"/>
    <w:rsid w:val="00061CDA"/>
    <w:rsid w:val="000621AB"/>
    <w:rsid w:val="00062C03"/>
    <w:rsid w:val="00062E88"/>
    <w:rsid w:val="00064D57"/>
    <w:rsid w:val="00066193"/>
    <w:rsid w:val="00066755"/>
    <w:rsid w:val="0007192B"/>
    <w:rsid w:val="00071A5B"/>
    <w:rsid w:val="00072730"/>
    <w:rsid w:val="00072C48"/>
    <w:rsid w:val="0007337F"/>
    <w:rsid w:val="0007404D"/>
    <w:rsid w:val="00074320"/>
    <w:rsid w:val="00074B6E"/>
    <w:rsid w:val="000763D5"/>
    <w:rsid w:val="00076C38"/>
    <w:rsid w:val="00077143"/>
    <w:rsid w:val="00077DF7"/>
    <w:rsid w:val="0008050C"/>
    <w:rsid w:val="000818B8"/>
    <w:rsid w:val="00082169"/>
    <w:rsid w:val="000834BE"/>
    <w:rsid w:val="00083F01"/>
    <w:rsid w:val="00087C4C"/>
    <w:rsid w:val="000918CB"/>
    <w:rsid w:val="00091B06"/>
    <w:rsid w:val="000937D2"/>
    <w:rsid w:val="0009498F"/>
    <w:rsid w:val="00094DEC"/>
    <w:rsid w:val="000951C4"/>
    <w:rsid w:val="00095ADA"/>
    <w:rsid w:val="00095F3A"/>
    <w:rsid w:val="000969AD"/>
    <w:rsid w:val="000975FB"/>
    <w:rsid w:val="000A02F8"/>
    <w:rsid w:val="000A3AA2"/>
    <w:rsid w:val="000A42EF"/>
    <w:rsid w:val="000A44B2"/>
    <w:rsid w:val="000A52F6"/>
    <w:rsid w:val="000A58B8"/>
    <w:rsid w:val="000B44C3"/>
    <w:rsid w:val="000B501D"/>
    <w:rsid w:val="000B558D"/>
    <w:rsid w:val="000B5A89"/>
    <w:rsid w:val="000B65F6"/>
    <w:rsid w:val="000B6C3F"/>
    <w:rsid w:val="000B6E5D"/>
    <w:rsid w:val="000B7767"/>
    <w:rsid w:val="000C1833"/>
    <w:rsid w:val="000C1AFF"/>
    <w:rsid w:val="000C30FE"/>
    <w:rsid w:val="000C3C1D"/>
    <w:rsid w:val="000C495F"/>
    <w:rsid w:val="000C5740"/>
    <w:rsid w:val="000C5F95"/>
    <w:rsid w:val="000C6610"/>
    <w:rsid w:val="000C6996"/>
    <w:rsid w:val="000C7C46"/>
    <w:rsid w:val="000D09E9"/>
    <w:rsid w:val="000D113F"/>
    <w:rsid w:val="000D1FB7"/>
    <w:rsid w:val="000D23BA"/>
    <w:rsid w:val="000D2D26"/>
    <w:rsid w:val="000D39FA"/>
    <w:rsid w:val="000E013C"/>
    <w:rsid w:val="000E1286"/>
    <w:rsid w:val="000E19B7"/>
    <w:rsid w:val="000E20FC"/>
    <w:rsid w:val="000E3168"/>
    <w:rsid w:val="000E31CF"/>
    <w:rsid w:val="000E3C1D"/>
    <w:rsid w:val="000E3DFB"/>
    <w:rsid w:val="000E5538"/>
    <w:rsid w:val="000E5EA1"/>
    <w:rsid w:val="000E681E"/>
    <w:rsid w:val="000E696B"/>
    <w:rsid w:val="000E6C55"/>
    <w:rsid w:val="000E7E52"/>
    <w:rsid w:val="000E7E90"/>
    <w:rsid w:val="000EE1C7"/>
    <w:rsid w:val="000F0003"/>
    <w:rsid w:val="000F3384"/>
    <w:rsid w:val="000F4E6A"/>
    <w:rsid w:val="000F5823"/>
    <w:rsid w:val="000F6ABB"/>
    <w:rsid w:val="000F70B6"/>
    <w:rsid w:val="000F7354"/>
    <w:rsid w:val="000F7C27"/>
    <w:rsid w:val="00101ABE"/>
    <w:rsid w:val="00102202"/>
    <w:rsid w:val="00102700"/>
    <w:rsid w:val="00102A78"/>
    <w:rsid w:val="00103118"/>
    <w:rsid w:val="00103F1B"/>
    <w:rsid w:val="00104227"/>
    <w:rsid w:val="001053D5"/>
    <w:rsid w:val="00106E88"/>
    <w:rsid w:val="00106FE4"/>
    <w:rsid w:val="00107409"/>
    <w:rsid w:val="001107BF"/>
    <w:rsid w:val="00110C31"/>
    <w:rsid w:val="001129E0"/>
    <w:rsid w:val="00113649"/>
    <w:rsid w:val="00113D5C"/>
    <w:rsid w:val="0011622F"/>
    <w:rsid w:val="00116B03"/>
    <w:rsid w:val="00120AA6"/>
    <w:rsid w:val="00121731"/>
    <w:rsid w:val="001234AC"/>
    <w:rsid w:val="001239DB"/>
    <w:rsid w:val="0012417C"/>
    <w:rsid w:val="00124BF2"/>
    <w:rsid w:val="00125837"/>
    <w:rsid w:val="0012597F"/>
    <w:rsid w:val="00126B19"/>
    <w:rsid w:val="00126D3A"/>
    <w:rsid w:val="0012749D"/>
    <w:rsid w:val="00127A23"/>
    <w:rsid w:val="001306A5"/>
    <w:rsid w:val="00130918"/>
    <w:rsid w:val="001311AE"/>
    <w:rsid w:val="00132F5E"/>
    <w:rsid w:val="00134653"/>
    <w:rsid w:val="00134994"/>
    <w:rsid w:val="001366C2"/>
    <w:rsid w:val="00136C17"/>
    <w:rsid w:val="0013779F"/>
    <w:rsid w:val="001379AF"/>
    <w:rsid w:val="00140B74"/>
    <w:rsid w:val="00140D94"/>
    <w:rsid w:val="00142395"/>
    <w:rsid w:val="0014250D"/>
    <w:rsid w:val="00142714"/>
    <w:rsid w:val="00144D09"/>
    <w:rsid w:val="00144E06"/>
    <w:rsid w:val="001452ED"/>
    <w:rsid w:val="00147405"/>
    <w:rsid w:val="00147D84"/>
    <w:rsid w:val="00151CBD"/>
    <w:rsid w:val="001533C3"/>
    <w:rsid w:val="001549C1"/>
    <w:rsid w:val="00156C8D"/>
    <w:rsid w:val="00160F4D"/>
    <w:rsid w:val="00162BDD"/>
    <w:rsid w:val="00162D4E"/>
    <w:rsid w:val="00163329"/>
    <w:rsid w:val="00164623"/>
    <w:rsid w:val="00164FD4"/>
    <w:rsid w:val="001652DE"/>
    <w:rsid w:val="001653EC"/>
    <w:rsid w:val="00165B64"/>
    <w:rsid w:val="001672F6"/>
    <w:rsid w:val="00167C39"/>
    <w:rsid w:val="001703A5"/>
    <w:rsid w:val="00172D73"/>
    <w:rsid w:val="00172FA0"/>
    <w:rsid w:val="00175BC5"/>
    <w:rsid w:val="00176B9D"/>
    <w:rsid w:val="00180713"/>
    <w:rsid w:val="00180720"/>
    <w:rsid w:val="00181BCF"/>
    <w:rsid w:val="001830CE"/>
    <w:rsid w:val="001836E3"/>
    <w:rsid w:val="00184659"/>
    <w:rsid w:val="00185D19"/>
    <w:rsid w:val="00185D95"/>
    <w:rsid w:val="001860E5"/>
    <w:rsid w:val="0018643B"/>
    <w:rsid w:val="00186739"/>
    <w:rsid w:val="00192362"/>
    <w:rsid w:val="00194772"/>
    <w:rsid w:val="00196307"/>
    <w:rsid w:val="00197C70"/>
    <w:rsid w:val="00197D26"/>
    <w:rsid w:val="00197F03"/>
    <w:rsid w:val="001A06B1"/>
    <w:rsid w:val="001A0878"/>
    <w:rsid w:val="001A0D10"/>
    <w:rsid w:val="001A141D"/>
    <w:rsid w:val="001A33EA"/>
    <w:rsid w:val="001A3615"/>
    <w:rsid w:val="001A4413"/>
    <w:rsid w:val="001A4C4F"/>
    <w:rsid w:val="001A595A"/>
    <w:rsid w:val="001A5A2B"/>
    <w:rsid w:val="001A6A0D"/>
    <w:rsid w:val="001A76FB"/>
    <w:rsid w:val="001B017F"/>
    <w:rsid w:val="001B0B79"/>
    <w:rsid w:val="001B19EA"/>
    <w:rsid w:val="001B2BBC"/>
    <w:rsid w:val="001B2BCD"/>
    <w:rsid w:val="001B3A40"/>
    <w:rsid w:val="001B3FFE"/>
    <w:rsid w:val="001B5129"/>
    <w:rsid w:val="001B70CE"/>
    <w:rsid w:val="001B7932"/>
    <w:rsid w:val="001C0B4C"/>
    <w:rsid w:val="001C0EC4"/>
    <w:rsid w:val="001C1195"/>
    <w:rsid w:val="001C12AE"/>
    <w:rsid w:val="001C1E84"/>
    <w:rsid w:val="001C20E1"/>
    <w:rsid w:val="001C2A0F"/>
    <w:rsid w:val="001C2E42"/>
    <w:rsid w:val="001C2EBB"/>
    <w:rsid w:val="001C5632"/>
    <w:rsid w:val="001C692F"/>
    <w:rsid w:val="001D016B"/>
    <w:rsid w:val="001D1AD9"/>
    <w:rsid w:val="001D1F5F"/>
    <w:rsid w:val="001D25C4"/>
    <w:rsid w:val="001D48EA"/>
    <w:rsid w:val="001D4E9C"/>
    <w:rsid w:val="001D599D"/>
    <w:rsid w:val="001E06D2"/>
    <w:rsid w:val="001E17C4"/>
    <w:rsid w:val="001E1FC8"/>
    <w:rsid w:val="001E2A47"/>
    <w:rsid w:val="001E2D65"/>
    <w:rsid w:val="001E47DD"/>
    <w:rsid w:val="001E6BDC"/>
    <w:rsid w:val="001F005B"/>
    <w:rsid w:val="001F1850"/>
    <w:rsid w:val="001F1FBF"/>
    <w:rsid w:val="001F2311"/>
    <w:rsid w:val="001F2B80"/>
    <w:rsid w:val="001F2F1C"/>
    <w:rsid w:val="001F3189"/>
    <w:rsid w:val="001F4017"/>
    <w:rsid w:val="00200BEA"/>
    <w:rsid w:val="00201FB8"/>
    <w:rsid w:val="00203FAC"/>
    <w:rsid w:val="002122EE"/>
    <w:rsid w:val="002133FB"/>
    <w:rsid w:val="002137ED"/>
    <w:rsid w:val="00213CFB"/>
    <w:rsid w:val="00213DA9"/>
    <w:rsid w:val="00214F56"/>
    <w:rsid w:val="0021553C"/>
    <w:rsid w:val="0021557B"/>
    <w:rsid w:val="002158FB"/>
    <w:rsid w:val="00216B87"/>
    <w:rsid w:val="002174FD"/>
    <w:rsid w:val="00217BE1"/>
    <w:rsid w:val="002206D5"/>
    <w:rsid w:val="00221361"/>
    <w:rsid w:val="002214B9"/>
    <w:rsid w:val="00222680"/>
    <w:rsid w:val="00222986"/>
    <w:rsid w:val="00223370"/>
    <w:rsid w:val="00224D1E"/>
    <w:rsid w:val="00224D36"/>
    <w:rsid w:val="00224E82"/>
    <w:rsid w:val="002261B0"/>
    <w:rsid w:val="00226611"/>
    <w:rsid w:val="0022767C"/>
    <w:rsid w:val="00227BC5"/>
    <w:rsid w:val="00230F63"/>
    <w:rsid w:val="00234252"/>
    <w:rsid w:val="0023466E"/>
    <w:rsid w:val="00237A07"/>
    <w:rsid w:val="00237AC6"/>
    <w:rsid w:val="00242B64"/>
    <w:rsid w:val="00242BFD"/>
    <w:rsid w:val="00242FE4"/>
    <w:rsid w:val="00244139"/>
    <w:rsid w:val="00244490"/>
    <w:rsid w:val="00244BEC"/>
    <w:rsid w:val="00245B9C"/>
    <w:rsid w:val="00252587"/>
    <w:rsid w:val="00253499"/>
    <w:rsid w:val="002551A4"/>
    <w:rsid w:val="00255E8A"/>
    <w:rsid w:val="00257262"/>
    <w:rsid w:val="00257664"/>
    <w:rsid w:val="00260165"/>
    <w:rsid w:val="00262691"/>
    <w:rsid w:val="00265151"/>
    <w:rsid w:val="00265C2C"/>
    <w:rsid w:val="00266509"/>
    <w:rsid w:val="00267313"/>
    <w:rsid w:val="00267B82"/>
    <w:rsid w:val="00267C10"/>
    <w:rsid w:val="00271BA1"/>
    <w:rsid w:val="00272BEA"/>
    <w:rsid w:val="00273AC5"/>
    <w:rsid w:val="00275F2E"/>
    <w:rsid w:val="002762FA"/>
    <w:rsid w:val="00276BE3"/>
    <w:rsid w:val="00277505"/>
    <w:rsid w:val="00277873"/>
    <w:rsid w:val="0028158C"/>
    <w:rsid w:val="002823B6"/>
    <w:rsid w:val="002871F0"/>
    <w:rsid w:val="00290AF0"/>
    <w:rsid w:val="00290C03"/>
    <w:rsid w:val="00292392"/>
    <w:rsid w:val="00292E3B"/>
    <w:rsid w:val="002933A8"/>
    <w:rsid w:val="0029371D"/>
    <w:rsid w:val="00294274"/>
    <w:rsid w:val="0029458F"/>
    <w:rsid w:val="00296F84"/>
    <w:rsid w:val="00297A63"/>
    <w:rsid w:val="002A018F"/>
    <w:rsid w:val="002A0E04"/>
    <w:rsid w:val="002A104C"/>
    <w:rsid w:val="002A1EF7"/>
    <w:rsid w:val="002A2B7B"/>
    <w:rsid w:val="002A2D34"/>
    <w:rsid w:val="002A494D"/>
    <w:rsid w:val="002A4960"/>
    <w:rsid w:val="002A6158"/>
    <w:rsid w:val="002A636A"/>
    <w:rsid w:val="002A6947"/>
    <w:rsid w:val="002A755F"/>
    <w:rsid w:val="002B0AE0"/>
    <w:rsid w:val="002B1AE6"/>
    <w:rsid w:val="002B1C79"/>
    <w:rsid w:val="002B1D51"/>
    <w:rsid w:val="002B2DE8"/>
    <w:rsid w:val="002B30F8"/>
    <w:rsid w:val="002B388A"/>
    <w:rsid w:val="002B3BFE"/>
    <w:rsid w:val="002B3C1A"/>
    <w:rsid w:val="002B427B"/>
    <w:rsid w:val="002B4C2A"/>
    <w:rsid w:val="002B5596"/>
    <w:rsid w:val="002B6D79"/>
    <w:rsid w:val="002B77D7"/>
    <w:rsid w:val="002C0763"/>
    <w:rsid w:val="002C1F76"/>
    <w:rsid w:val="002C212F"/>
    <w:rsid w:val="002C2F35"/>
    <w:rsid w:val="002C3110"/>
    <w:rsid w:val="002C493F"/>
    <w:rsid w:val="002C6AA9"/>
    <w:rsid w:val="002C7485"/>
    <w:rsid w:val="002D2641"/>
    <w:rsid w:val="002D27D7"/>
    <w:rsid w:val="002D283A"/>
    <w:rsid w:val="002D2865"/>
    <w:rsid w:val="002D4543"/>
    <w:rsid w:val="002D591C"/>
    <w:rsid w:val="002D6B6F"/>
    <w:rsid w:val="002D715F"/>
    <w:rsid w:val="002E022A"/>
    <w:rsid w:val="002E0AC4"/>
    <w:rsid w:val="002E3153"/>
    <w:rsid w:val="002E4A02"/>
    <w:rsid w:val="002E4B70"/>
    <w:rsid w:val="002E5292"/>
    <w:rsid w:val="002E603F"/>
    <w:rsid w:val="002E6986"/>
    <w:rsid w:val="002E72CA"/>
    <w:rsid w:val="002E75DD"/>
    <w:rsid w:val="002F1D07"/>
    <w:rsid w:val="002F2517"/>
    <w:rsid w:val="002F5C5B"/>
    <w:rsid w:val="002F600D"/>
    <w:rsid w:val="002F6CF3"/>
    <w:rsid w:val="002F6F0F"/>
    <w:rsid w:val="002F7E47"/>
    <w:rsid w:val="00300AD6"/>
    <w:rsid w:val="00300B1B"/>
    <w:rsid w:val="003019D0"/>
    <w:rsid w:val="003019DE"/>
    <w:rsid w:val="003024AF"/>
    <w:rsid w:val="0030311E"/>
    <w:rsid w:val="003064AF"/>
    <w:rsid w:val="00307DC6"/>
    <w:rsid w:val="00310A8B"/>
    <w:rsid w:val="00310B68"/>
    <w:rsid w:val="00310FF8"/>
    <w:rsid w:val="003147D6"/>
    <w:rsid w:val="003160D2"/>
    <w:rsid w:val="0031650F"/>
    <w:rsid w:val="003170EE"/>
    <w:rsid w:val="003173FC"/>
    <w:rsid w:val="00317C6C"/>
    <w:rsid w:val="00320B80"/>
    <w:rsid w:val="00320CD3"/>
    <w:rsid w:val="003215FF"/>
    <w:rsid w:val="00321CEF"/>
    <w:rsid w:val="003221B4"/>
    <w:rsid w:val="00322667"/>
    <w:rsid w:val="0032607C"/>
    <w:rsid w:val="00326E79"/>
    <w:rsid w:val="0032748A"/>
    <w:rsid w:val="00327CDA"/>
    <w:rsid w:val="003301B1"/>
    <w:rsid w:val="00330E7E"/>
    <w:rsid w:val="00331189"/>
    <w:rsid w:val="0033263D"/>
    <w:rsid w:val="00334E69"/>
    <w:rsid w:val="0033518A"/>
    <w:rsid w:val="00335535"/>
    <w:rsid w:val="003367EF"/>
    <w:rsid w:val="00341AE4"/>
    <w:rsid w:val="003425CA"/>
    <w:rsid w:val="00343FB7"/>
    <w:rsid w:val="00346C19"/>
    <w:rsid w:val="003476EE"/>
    <w:rsid w:val="00350089"/>
    <w:rsid w:val="00353AD3"/>
    <w:rsid w:val="003541DD"/>
    <w:rsid w:val="00354977"/>
    <w:rsid w:val="00356E5B"/>
    <w:rsid w:val="0036035D"/>
    <w:rsid w:val="00360887"/>
    <w:rsid w:val="0036249F"/>
    <w:rsid w:val="0036266F"/>
    <w:rsid w:val="00362A1C"/>
    <w:rsid w:val="00371246"/>
    <w:rsid w:val="00371D66"/>
    <w:rsid w:val="0037303A"/>
    <w:rsid w:val="003736C9"/>
    <w:rsid w:val="00373873"/>
    <w:rsid w:val="00382600"/>
    <w:rsid w:val="003833A7"/>
    <w:rsid w:val="00383B77"/>
    <w:rsid w:val="00384988"/>
    <w:rsid w:val="003872CF"/>
    <w:rsid w:val="003874CB"/>
    <w:rsid w:val="00390973"/>
    <w:rsid w:val="00392585"/>
    <w:rsid w:val="00392F79"/>
    <w:rsid w:val="00396E08"/>
    <w:rsid w:val="003970DD"/>
    <w:rsid w:val="0039782C"/>
    <w:rsid w:val="003A0211"/>
    <w:rsid w:val="003A13A6"/>
    <w:rsid w:val="003A2165"/>
    <w:rsid w:val="003A3AF3"/>
    <w:rsid w:val="003A3FD4"/>
    <w:rsid w:val="003A5B4A"/>
    <w:rsid w:val="003A5D95"/>
    <w:rsid w:val="003A6510"/>
    <w:rsid w:val="003A74E2"/>
    <w:rsid w:val="003B0D3A"/>
    <w:rsid w:val="003B2302"/>
    <w:rsid w:val="003B23C5"/>
    <w:rsid w:val="003B27D8"/>
    <w:rsid w:val="003B2A75"/>
    <w:rsid w:val="003B2CCC"/>
    <w:rsid w:val="003B40EE"/>
    <w:rsid w:val="003B49B2"/>
    <w:rsid w:val="003B6124"/>
    <w:rsid w:val="003B7960"/>
    <w:rsid w:val="003B7CAC"/>
    <w:rsid w:val="003C0908"/>
    <w:rsid w:val="003C093A"/>
    <w:rsid w:val="003C09C9"/>
    <w:rsid w:val="003C1636"/>
    <w:rsid w:val="003C1ECF"/>
    <w:rsid w:val="003C2E02"/>
    <w:rsid w:val="003C2FB5"/>
    <w:rsid w:val="003C389B"/>
    <w:rsid w:val="003C59D3"/>
    <w:rsid w:val="003C5B59"/>
    <w:rsid w:val="003C5E81"/>
    <w:rsid w:val="003D24C5"/>
    <w:rsid w:val="003D3526"/>
    <w:rsid w:val="003D3F9E"/>
    <w:rsid w:val="003D44BE"/>
    <w:rsid w:val="003D4594"/>
    <w:rsid w:val="003D4AC4"/>
    <w:rsid w:val="003D4EDD"/>
    <w:rsid w:val="003D5433"/>
    <w:rsid w:val="003D63B7"/>
    <w:rsid w:val="003D74C5"/>
    <w:rsid w:val="003E0E75"/>
    <w:rsid w:val="003E4374"/>
    <w:rsid w:val="003E4592"/>
    <w:rsid w:val="003E468B"/>
    <w:rsid w:val="003E62BD"/>
    <w:rsid w:val="003E658D"/>
    <w:rsid w:val="003F044F"/>
    <w:rsid w:val="003F0C3A"/>
    <w:rsid w:val="003F15F0"/>
    <w:rsid w:val="003F2036"/>
    <w:rsid w:val="003F2AD9"/>
    <w:rsid w:val="003F3228"/>
    <w:rsid w:val="003F5C8C"/>
    <w:rsid w:val="003F63CE"/>
    <w:rsid w:val="003F775A"/>
    <w:rsid w:val="003F7A2E"/>
    <w:rsid w:val="00400E55"/>
    <w:rsid w:val="0040128E"/>
    <w:rsid w:val="00401640"/>
    <w:rsid w:val="0040216B"/>
    <w:rsid w:val="0040358A"/>
    <w:rsid w:val="00403F4C"/>
    <w:rsid w:val="00404640"/>
    <w:rsid w:val="00404852"/>
    <w:rsid w:val="0040590E"/>
    <w:rsid w:val="00405C3A"/>
    <w:rsid w:val="004073A8"/>
    <w:rsid w:val="004075B6"/>
    <w:rsid w:val="00407CC8"/>
    <w:rsid w:val="00411A56"/>
    <w:rsid w:val="00414F0C"/>
    <w:rsid w:val="00417DB9"/>
    <w:rsid w:val="00420400"/>
    <w:rsid w:val="00423E78"/>
    <w:rsid w:val="0042490F"/>
    <w:rsid w:val="00424E09"/>
    <w:rsid w:val="004252EC"/>
    <w:rsid w:val="00430D39"/>
    <w:rsid w:val="004360DE"/>
    <w:rsid w:val="00441DEB"/>
    <w:rsid w:val="00441E23"/>
    <w:rsid w:val="00441F16"/>
    <w:rsid w:val="00442C91"/>
    <w:rsid w:val="00444E9D"/>
    <w:rsid w:val="004465BD"/>
    <w:rsid w:val="00446938"/>
    <w:rsid w:val="00452010"/>
    <w:rsid w:val="004528FA"/>
    <w:rsid w:val="00452A6C"/>
    <w:rsid w:val="00461A44"/>
    <w:rsid w:val="00462D26"/>
    <w:rsid w:val="00463382"/>
    <w:rsid w:val="0046368B"/>
    <w:rsid w:val="0046373F"/>
    <w:rsid w:val="0046385A"/>
    <w:rsid w:val="00464039"/>
    <w:rsid w:val="004660CC"/>
    <w:rsid w:val="00466ADA"/>
    <w:rsid w:val="004702BB"/>
    <w:rsid w:val="00472821"/>
    <w:rsid w:val="00472EEF"/>
    <w:rsid w:val="00474028"/>
    <w:rsid w:val="0047494B"/>
    <w:rsid w:val="00476245"/>
    <w:rsid w:val="00477A9B"/>
    <w:rsid w:val="00482AE4"/>
    <w:rsid w:val="00482AF6"/>
    <w:rsid w:val="00483035"/>
    <w:rsid w:val="004845C8"/>
    <w:rsid w:val="00485940"/>
    <w:rsid w:val="00486C95"/>
    <w:rsid w:val="004877C2"/>
    <w:rsid w:val="00487ECB"/>
    <w:rsid w:val="004904B9"/>
    <w:rsid w:val="00491EDC"/>
    <w:rsid w:val="004928E1"/>
    <w:rsid w:val="00492D8D"/>
    <w:rsid w:val="00493E47"/>
    <w:rsid w:val="00495E5C"/>
    <w:rsid w:val="00496662"/>
    <w:rsid w:val="00496B90"/>
    <w:rsid w:val="004A1302"/>
    <w:rsid w:val="004A1431"/>
    <w:rsid w:val="004A20B5"/>
    <w:rsid w:val="004A2484"/>
    <w:rsid w:val="004A48B3"/>
    <w:rsid w:val="004A4E0C"/>
    <w:rsid w:val="004A5A85"/>
    <w:rsid w:val="004A71D1"/>
    <w:rsid w:val="004A7C5B"/>
    <w:rsid w:val="004B1845"/>
    <w:rsid w:val="004B2348"/>
    <w:rsid w:val="004B2E01"/>
    <w:rsid w:val="004B2E98"/>
    <w:rsid w:val="004B3DC0"/>
    <w:rsid w:val="004B5640"/>
    <w:rsid w:val="004B6084"/>
    <w:rsid w:val="004B68B7"/>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138E"/>
    <w:rsid w:val="004D1CCC"/>
    <w:rsid w:val="004D2C74"/>
    <w:rsid w:val="004D2CD1"/>
    <w:rsid w:val="004D365C"/>
    <w:rsid w:val="004D4FF6"/>
    <w:rsid w:val="004D5ADD"/>
    <w:rsid w:val="004E0609"/>
    <w:rsid w:val="004E0937"/>
    <w:rsid w:val="004E0CC3"/>
    <w:rsid w:val="004E635B"/>
    <w:rsid w:val="004E692D"/>
    <w:rsid w:val="004E7230"/>
    <w:rsid w:val="004E727E"/>
    <w:rsid w:val="004E7330"/>
    <w:rsid w:val="004E7D87"/>
    <w:rsid w:val="004F0BFC"/>
    <w:rsid w:val="004F113E"/>
    <w:rsid w:val="004F1E3C"/>
    <w:rsid w:val="004F2553"/>
    <w:rsid w:val="004F306A"/>
    <w:rsid w:val="004F7E16"/>
    <w:rsid w:val="00501554"/>
    <w:rsid w:val="00502AFE"/>
    <w:rsid w:val="00502E64"/>
    <w:rsid w:val="00503AD7"/>
    <w:rsid w:val="00503E89"/>
    <w:rsid w:val="00504A09"/>
    <w:rsid w:val="00504E0C"/>
    <w:rsid w:val="00504E13"/>
    <w:rsid w:val="005103A9"/>
    <w:rsid w:val="005109D4"/>
    <w:rsid w:val="00511F84"/>
    <w:rsid w:val="0051230A"/>
    <w:rsid w:val="0051251B"/>
    <w:rsid w:val="0051344F"/>
    <w:rsid w:val="00513971"/>
    <w:rsid w:val="00514CD7"/>
    <w:rsid w:val="0051643A"/>
    <w:rsid w:val="005167EC"/>
    <w:rsid w:val="005170DA"/>
    <w:rsid w:val="00520D6A"/>
    <w:rsid w:val="00522DB6"/>
    <w:rsid w:val="005242D8"/>
    <w:rsid w:val="005264A7"/>
    <w:rsid w:val="0052792D"/>
    <w:rsid w:val="005319B2"/>
    <w:rsid w:val="00532402"/>
    <w:rsid w:val="005327D5"/>
    <w:rsid w:val="00532C74"/>
    <w:rsid w:val="00533239"/>
    <w:rsid w:val="00534E2E"/>
    <w:rsid w:val="00535133"/>
    <w:rsid w:val="005359C5"/>
    <w:rsid w:val="00536309"/>
    <w:rsid w:val="0053692A"/>
    <w:rsid w:val="00540229"/>
    <w:rsid w:val="0054064C"/>
    <w:rsid w:val="00542EB6"/>
    <w:rsid w:val="00544552"/>
    <w:rsid w:val="00545130"/>
    <w:rsid w:val="00546B36"/>
    <w:rsid w:val="0055286A"/>
    <w:rsid w:val="00553458"/>
    <w:rsid w:val="005549C8"/>
    <w:rsid w:val="00555745"/>
    <w:rsid w:val="00557D4F"/>
    <w:rsid w:val="0056086A"/>
    <w:rsid w:val="0056122E"/>
    <w:rsid w:val="00561690"/>
    <w:rsid w:val="0056484E"/>
    <w:rsid w:val="00565999"/>
    <w:rsid w:val="00567D8A"/>
    <w:rsid w:val="00570231"/>
    <w:rsid w:val="00571345"/>
    <w:rsid w:val="005714B7"/>
    <w:rsid w:val="005764CD"/>
    <w:rsid w:val="00577A29"/>
    <w:rsid w:val="00577C4D"/>
    <w:rsid w:val="00580532"/>
    <w:rsid w:val="00581932"/>
    <w:rsid w:val="00583002"/>
    <w:rsid w:val="005903BB"/>
    <w:rsid w:val="005907EB"/>
    <w:rsid w:val="00590B14"/>
    <w:rsid w:val="0059345F"/>
    <w:rsid w:val="00593893"/>
    <w:rsid w:val="005939CC"/>
    <w:rsid w:val="00595162"/>
    <w:rsid w:val="005963BB"/>
    <w:rsid w:val="0059645C"/>
    <w:rsid w:val="00596D37"/>
    <w:rsid w:val="005A0E55"/>
    <w:rsid w:val="005A15D2"/>
    <w:rsid w:val="005A3173"/>
    <w:rsid w:val="005A3223"/>
    <w:rsid w:val="005A3DA3"/>
    <w:rsid w:val="005A52C4"/>
    <w:rsid w:val="005A63A1"/>
    <w:rsid w:val="005A7828"/>
    <w:rsid w:val="005B0486"/>
    <w:rsid w:val="005B1032"/>
    <w:rsid w:val="005B1473"/>
    <w:rsid w:val="005B2A59"/>
    <w:rsid w:val="005B36FA"/>
    <w:rsid w:val="005B7665"/>
    <w:rsid w:val="005C4F73"/>
    <w:rsid w:val="005D03AB"/>
    <w:rsid w:val="005D15F3"/>
    <w:rsid w:val="005D3E92"/>
    <w:rsid w:val="005D401D"/>
    <w:rsid w:val="005D5017"/>
    <w:rsid w:val="005D5708"/>
    <w:rsid w:val="005D63FA"/>
    <w:rsid w:val="005D643D"/>
    <w:rsid w:val="005D73C7"/>
    <w:rsid w:val="005E0C2D"/>
    <w:rsid w:val="005E0D82"/>
    <w:rsid w:val="005E0F59"/>
    <w:rsid w:val="005E1333"/>
    <w:rsid w:val="005E3136"/>
    <w:rsid w:val="005E507D"/>
    <w:rsid w:val="005E5461"/>
    <w:rsid w:val="005F059C"/>
    <w:rsid w:val="005F0AD0"/>
    <w:rsid w:val="005F0C3F"/>
    <w:rsid w:val="005F2563"/>
    <w:rsid w:val="005F3159"/>
    <w:rsid w:val="005F4114"/>
    <w:rsid w:val="005F4894"/>
    <w:rsid w:val="005F597B"/>
    <w:rsid w:val="005F7F38"/>
    <w:rsid w:val="00601A91"/>
    <w:rsid w:val="00602BA3"/>
    <w:rsid w:val="006053C5"/>
    <w:rsid w:val="00605B63"/>
    <w:rsid w:val="00605BD6"/>
    <w:rsid w:val="00605F9A"/>
    <w:rsid w:val="00606442"/>
    <w:rsid w:val="00606EED"/>
    <w:rsid w:val="006079A4"/>
    <w:rsid w:val="00607DDB"/>
    <w:rsid w:val="00612848"/>
    <w:rsid w:val="00612A95"/>
    <w:rsid w:val="00612E34"/>
    <w:rsid w:val="006136BD"/>
    <w:rsid w:val="00614159"/>
    <w:rsid w:val="006158A3"/>
    <w:rsid w:val="00616C5F"/>
    <w:rsid w:val="00616DAC"/>
    <w:rsid w:val="00617725"/>
    <w:rsid w:val="00617C00"/>
    <w:rsid w:val="00617C11"/>
    <w:rsid w:val="006206EB"/>
    <w:rsid w:val="00624172"/>
    <w:rsid w:val="006263BF"/>
    <w:rsid w:val="006268D4"/>
    <w:rsid w:val="00627291"/>
    <w:rsid w:val="0062748A"/>
    <w:rsid w:val="00630546"/>
    <w:rsid w:val="00630A2C"/>
    <w:rsid w:val="00631A16"/>
    <w:rsid w:val="00634A75"/>
    <w:rsid w:val="00634D11"/>
    <w:rsid w:val="00634D70"/>
    <w:rsid w:val="0063682E"/>
    <w:rsid w:val="00637DF1"/>
    <w:rsid w:val="00640088"/>
    <w:rsid w:val="00642672"/>
    <w:rsid w:val="00642DA8"/>
    <w:rsid w:val="006436CD"/>
    <w:rsid w:val="00646768"/>
    <w:rsid w:val="00646CB6"/>
    <w:rsid w:val="00650976"/>
    <w:rsid w:val="00651169"/>
    <w:rsid w:val="00653D69"/>
    <w:rsid w:val="006552E6"/>
    <w:rsid w:val="00655794"/>
    <w:rsid w:val="00656F2F"/>
    <w:rsid w:val="00657C63"/>
    <w:rsid w:val="00660FD6"/>
    <w:rsid w:val="00661C44"/>
    <w:rsid w:val="00661CBC"/>
    <w:rsid w:val="00662B85"/>
    <w:rsid w:val="006670B3"/>
    <w:rsid w:val="006670BE"/>
    <w:rsid w:val="006700C9"/>
    <w:rsid w:val="0067044F"/>
    <w:rsid w:val="00670A76"/>
    <w:rsid w:val="00670DDB"/>
    <w:rsid w:val="006711AA"/>
    <w:rsid w:val="00671601"/>
    <w:rsid w:val="00672B57"/>
    <w:rsid w:val="00673F1F"/>
    <w:rsid w:val="006740DE"/>
    <w:rsid w:val="00675622"/>
    <w:rsid w:val="00675DEB"/>
    <w:rsid w:val="00676302"/>
    <w:rsid w:val="0067747D"/>
    <w:rsid w:val="00677FC2"/>
    <w:rsid w:val="00680E06"/>
    <w:rsid w:val="006818D5"/>
    <w:rsid w:val="00681CA4"/>
    <w:rsid w:val="006828A2"/>
    <w:rsid w:val="00682F1D"/>
    <w:rsid w:val="006838D2"/>
    <w:rsid w:val="00686263"/>
    <w:rsid w:val="00686559"/>
    <w:rsid w:val="0069039D"/>
    <w:rsid w:val="006906DB"/>
    <w:rsid w:val="00691900"/>
    <w:rsid w:val="00691E6C"/>
    <w:rsid w:val="00693425"/>
    <w:rsid w:val="0069342D"/>
    <w:rsid w:val="00693DFB"/>
    <w:rsid w:val="00694EB0"/>
    <w:rsid w:val="00694FD5"/>
    <w:rsid w:val="0069501D"/>
    <w:rsid w:val="006950BC"/>
    <w:rsid w:val="00695AAD"/>
    <w:rsid w:val="00695C97"/>
    <w:rsid w:val="00696129"/>
    <w:rsid w:val="006967D0"/>
    <w:rsid w:val="0069749D"/>
    <w:rsid w:val="00697CF2"/>
    <w:rsid w:val="006A12A5"/>
    <w:rsid w:val="006A2515"/>
    <w:rsid w:val="006A3130"/>
    <w:rsid w:val="006A3DDC"/>
    <w:rsid w:val="006A416A"/>
    <w:rsid w:val="006A572D"/>
    <w:rsid w:val="006A5E20"/>
    <w:rsid w:val="006B0D94"/>
    <w:rsid w:val="006B16B6"/>
    <w:rsid w:val="006B4785"/>
    <w:rsid w:val="006B485D"/>
    <w:rsid w:val="006B7DDA"/>
    <w:rsid w:val="006C0C45"/>
    <w:rsid w:val="006C2806"/>
    <w:rsid w:val="006C334C"/>
    <w:rsid w:val="006C47BF"/>
    <w:rsid w:val="006C6C10"/>
    <w:rsid w:val="006C708E"/>
    <w:rsid w:val="006D14E7"/>
    <w:rsid w:val="006D43C5"/>
    <w:rsid w:val="006D4444"/>
    <w:rsid w:val="006D6493"/>
    <w:rsid w:val="006D6EC7"/>
    <w:rsid w:val="006D777E"/>
    <w:rsid w:val="006D7B05"/>
    <w:rsid w:val="006D7E45"/>
    <w:rsid w:val="006E1143"/>
    <w:rsid w:val="006E1BCD"/>
    <w:rsid w:val="006E2732"/>
    <w:rsid w:val="006E2E68"/>
    <w:rsid w:val="006E59CD"/>
    <w:rsid w:val="006E6ED5"/>
    <w:rsid w:val="006F00ED"/>
    <w:rsid w:val="006F026F"/>
    <w:rsid w:val="006F0A71"/>
    <w:rsid w:val="006F1C6B"/>
    <w:rsid w:val="006F40C2"/>
    <w:rsid w:val="006F47F9"/>
    <w:rsid w:val="006F5091"/>
    <w:rsid w:val="006F5125"/>
    <w:rsid w:val="006F5C72"/>
    <w:rsid w:val="006F733D"/>
    <w:rsid w:val="00700765"/>
    <w:rsid w:val="00700941"/>
    <w:rsid w:val="00701092"/>
    <w:rsid w:val="00702959"/>
    <w:rsid w:val="00702B6F"/>
    <w:rsid w:val="007030B4"/>
    <w:rsid w:val="00703B86"/>
    <w:rsid w:val="00704069"/>
    <w:rsid w:val="00705175"/>
    <w:rsid w:val="00706A2F"/>
    <w:rsid w:val="0070718E"/>
    <w:rsid w:val="00707E52"/>
    <w:rsid w:val="00707FED"/>
    <w:rsid w:val="00710259"/>
    <w:rsid w:val="0071031F"/>
    <w:rsid w:val="00710737"/>
    <w:rsid w:val="0071340B"/>
    <w:rsid w:val="007135BB"/>
    <w:rsid w:val="00713C50"/>
    <w:rsid w:val="0071436D"/>
    <w:rsid w:val="00714B91"/>
    <w:rsid w:val="00714E51"/>
    <w:rsid w:val="00715BBB"/>
    <w:rsid w:val="007174BB"/>
    <w:rsid w:val="0072025D"/>
    <w:rsid w:val="007221ED"/>
    <w:rsid w:val="007223FF"/>
    <w:rsid w:val="00723328"/>
    <w:rsid w:val="007237DE"/>
    <w:rsid w:val="00724DA2"/>
    <w:rsid w:val="0072502E"/>
    <w:rsid w:val="00726109"/>
    <w:rsid w:val="00726CA5"/>
    <w:rsid w:val="0073137C"/>
    <w:rsid w:val="00731450"/>
    <w:rsid w:val="007340B9"/>
    <w:rsid w:val="007353D3"/>
    <w:rsid w:val="0073736F"/>
    <w:rsid w:val="0074010E"/>
    <w:rsid w:val="0074156B"/>
    <w:rsid w:val="00741619"/>
    <w:rsid w:val="00742885"/>
    <w:rsid w:val="00742EFB"/>
    <w:rsid w:val="007457AC"/>
    <w:rsid w:val="007466C8"/>
    <w:rsid w:val="00747092"/>
    <w:rsid w:val="00747348"/>
    <w:rsid w:val="007477FF"/>
    <w:rsid w:val="007526E6"/>
    <w:rsid w:val="00754DF9"/>
    <w:rsid w:val="007555E8"/>
    <w:rsid w:val="00755CC5"/>
    <w:rsid w:val="00762862"/>
    <w:rsid w:val="0076412A"/>
    <w:rsid w:val="0076420C"/>
    <w:rsid w:val="0076701C"/>
    <w:rsid w:val="00771CA7"/>
    <w:rsid w:val="00771D07"/>
    <w:rsid w:val="00772649"/>
    <w:rsid w:val="00772EFC"/>
    <w:rsid w:val="00773BE3"/>
    <w:rsid w:val="007743DD"/>
    <w:rsid w:val="00774E2C"/>
    <w:rsid w:val="0077503C"/>
    <w:rsid w:val="0077518D"/>
    <w:rsid w:val="007753C2"/>
    <w:rsid w:val="00776068"/>
    <w:rsid w:val="007760AB"/>
    <w:rsid w:val="007838B8"/>
    <w:rsid w:val="00785779"/>
    <w:rsid w:val="0078757B"/>
    <w:rsid w:val="00787609"/>
    <w:rsid w:val="007877E4"/>
    <w:rsid w:val="00787808"/>
    <w:rsid w:val="00787FD8"/>
    <w:rsid w:val="00790A14"/>
    <w:rsid w:val="00790C72"/>
    <w:rsid w:val="007915BA"/>
    <w:rsid w:val="00791844"/>
    <w:rsid w:val="00791E90"/>
    <w:rsid w:val="00793CE9"/>
    <w:rsid w:val="00795524"/>
    <w:rsid w:val="00796667"/>
    <w:rsid w:val="00797068"/>
    <w:rsid w:val="007979BD"/>
    <w:rsid w:val="007A2534"/>
    <w:rsid w:val="007A356D"/>
    <w:rsid w:val="007A3D8E"/>
    <w:rsid w:val="007A5C88"/>
    <w:rsid w:val="007A6A2F"/>
    <w:rsid w:val="007B024E"/>
    <w:rsid w:val="007B3B18"/>
    <w:rsid w:val="007B3BAF"/>
    <w:rsid w:val="007B3DDC"/>
    <w:rsid w:val="007B72A6"/>
    <w:rsid w:val="007C06D2"/>
    <w:rsid w:val="007C08E0"/>
    <w:rsid w:val="007C0F57"/>
    <w:rsid w:val="007C1379"/>
    <w:rsid w:val="007C2F4B"/>
    <w:rsid w:val="007C40B6"/>
    <w:rsid w:val="007C5975"/>
    <w:rsid w:val="007C729F"/>
    <w:rsid w:val="007C72AD"/>
    <w:rsid w:val="007C7EF2"/>
    <w:rsid w:val="007D503D"/>
    <w:rsid w:val="007D59E7"/>
    <w:rsid w:val="007D5F2A"/>
    <w:rsid w:val="007E07AC"/>
    <w:rsid w:val="007E1014"/>
    <w:rsid w:val="007E12F8"/>
    <w:rsid w:val="007E1D28"/>
    <w:rsid w:val="007E24DB"/>
    <w:rsid w:val="007E429D"/>
    <w:rsid w:val="007E4564"/>
    <w:rsid w:val="007E490F"/>
    <w:rsid w:val="007E6533"/>
    <w:rsid w:val="007F0021"/>
    <w:rsid w:val="007F2536"/>
    <w:rsid w:val="007F2641"/>
    <w:rsid w:val="007F75E8"/>
    <w:rsid w:val="007F7900"/>
    <w:rsid w:val="007F7A5E"/>
    <w:rsid w:val="007F7C36"/>
    <w:rsid w:val="007F7F45"/>
    <w:rsid w:val="0080001F"/>
    <w:rsid w:val="00801958"/>
    <w:rsid w:val="0080217B"/>
    <w:rsid w:val="00803AF1"/>
    <w:rsid w:val="008055AF"/>
    <w:rsid w:val="008057CD"/>
    <w:rsid w:val="008066B8"/>
    <w:rsid w:val="00806796"/>
    <w:rsid w:val="00810167"/>
    <w:rsid w:val="008102AE"/>
    <w:rsid w:val="008104D0"/>
    <w:rsid w:val="00810AAD"/>
    <w:rsid w:val="0081100B"/>
    <w:rsid w:val="008117B5"/>
    <w:rsid w:val="008118DE"/>
    <w:rsid w:val="00811CC0"/>
    <w:rsid w:val="00814276"/>
    <w:rsid w:val="008151D6"/>
    <w:rsid w:val="00820803"/>
    <w:rsid w:val="00821527"/>
    <w:rsid w:val="008225CE"/>
    <w:rsid w:val="00822696"/>
    <w:rsid w:val="00823AC9"/>
    <w:rsid w:val="008251DB"/>
    <w:rsid w:val="00825A6C"/>
    <w:rsid w:val="0082614B"/>
    <w:rsid w:val="0082617E"/>
    <w:rsid w:val="008268BB"/>
    <w:rsid w:val="00826F6D"/>
    <w:rsid w:val="008306F3"/>
    <w:rsid w:val="00830E40"/>
    <w:rsid w:val="00832D9A"/>
    <w:rsid w:val="00835C62"/>
    <w:rsid w:val="008368A1"/>
    <w:rsid w:val="00837DE2"/>
    <w:rsid w:val="00840EF7"/>
    <w:rsid w:val="00844C0A"/>
    <w:rsid w:val="00846056"/>
    <w:rsid w:val="0084681F"/>
    <w:rsid w:val="008474A0"/>
    <w:rsid w:val="00847D08"/>
    <w:rsid w:val="00847EC0"/>
    <w:rsid w:val="008524A9"/>
    <w:rsid w:val="00852EC0"/>
    <w:rsid w:val="00854506"/>
    <w:rsid w:val="00855FD6"/>
    <w:rsid w:val="00856DDD"/>
    <w:rsid w:val="00860233"/>
    <w:rsid w:val="008625BD"/>
    <w:rsid w:val="00863E68"/>
    <w:rsid w:val="008647B0"/>
    <w:rsid w:val="008647B5"/>
    <w:rsid w:val="00867D64"/>
    <w:rsid w:val="00870124"/>
    <w:rsid w:val="00872E8F"/>
    <w:rsid w:val="00874DDA"/>
    <w:rsid w:val="00875DCB"/>
    <w:rsid w:val="00876FBF"/>
    <w:rsid w:val="0087755A"/>
    <w:rsid w:val="00880820"/>
    <w:rsid w:val="00882085"/>
    <w:rsid w:val="00882153"/>
    <w:rsid w:val="00883188"/>
    <w:rsid w:val="00884A0C"/>
    <w:rsid w:val="00886ACA"/>
    <w:rsid w:val="00886B01"/>
    <w:rsid w:val="0089031E"/>
    <w:rsid w:val="0089109A"/>
    <w:rsid w:val="00893D5C"/>
    <w:rsid w:val="0089460B"/>
    <w:rsid w:val="008953BB"/>
    <w:rsid w:val="00897D58"/>
    <w:rsid w:val="00897F22"/>
    <w:rsid w:val="008A0B39"/>
    <w:rsid w:val="008A17A3"/>
    <w:rsid w:val="008A1956"/>
    <w:rsid w:val="008A1E85"/>
    <w:rsid w:val="008A2419"/>
    <w:rsid w:val="008A3040"/>
    <w:rsid w:val="008A4421"/>
    <w:rsid w:val="008A4937"/>
    <w:rsid w:val="008A50F1"/>
    <w:rsid w:val="008A59D9"/>
    <w:rsid w:val="008A643E"/>
    <w:rsid w:val="008A6819"/>
    <w:rsid w:val="008B007A"/>
    <w:rsid w:val="008B2EC0"/>
    <w:rsid w:val="008B3F76"/>
    <w:rsid w:val="008B6DCF"/>
    <w:rsid w:val="008C1254"/>
    <w:rsid w:val="008C3B5C"/>
    <w:rsid w:val="008C3FCD"/>
    <w:rsid w:val="008C4D49"/>
    <w:rsid w:val="008D0945"/>
    <w:rsid w:val="008D1409"/>
    <w:rsid w:val="008D15CC"/>
    <w:rsid w:val="008D1729"/>
    <w:rsid w:val="008D1B5C"/>
    <w:rsid w:val="008D3C82"/>
    <w:rsid w:val="008D447E"/>
    <w:rsid w:val="008D4A54"/>
    <w:rsid w:val="008D6ACF"/>
    <w:rsid w:val="008D7A41"/>
    <w:rsid w:val="008E2C72"/>
    <w:rsid w:val="008E3680"/>
    <w:rsid w:val="008E4F87"/>
    <w:rsid w:val="008E5870"/>
    <w:rsid w:val="008E77E4"/>
    <w:rsid w:val="008F0213"/>
    <w:rsid w:val="008F07ED"/>
    <w:rsid w:val="008F11F8"/>
    <w:rsid w:val="008F1434"/>
    <w:rsid w:val="008F2BB9"/>
    <w:rsid w:val="008F2C7B"/>
    <w:rsid w:val="008F34BB"/>
    <w:rsid w:val="008F3D6A"/>
    <w:rsid w:val="008F50CE"/>
    <w:rsid w:val="008F54C3"/>
    <w:rsid w:val="008F7355"/>
    <w:rsid w:val="009023DC"/>
    <w:rsid w:val="009027C5"/>
    <w:rsid w:val="00904413"/>
    <w:rsid w:val="009051A6"/>
    <w:rsid w:val="009067B7"/>
    <w:rsid w:val="00906E7A"/>
    <w:rsid w:val="00906E7F"/>
    <w:rsid w:val="00907186"/>
    <w:rsid w:val="0090775A"/>
    <w:rsid w:val="00907DFD"/>
    <w:rsid w:val="00913C99"/>
    <w:rsid w:val="00917D69"/>
    <w:rsid w:val="00920B6D"/>
    <w:rsid w:val="00926560"/>
    <w:rsid w:val="00926B15"/>
    <w:rsid w:val="00930291"/>
    <w:rsid w:val="00930937"/>
    <w:rsid w:val="0093115B"/>
    <w:rsid w:val="009324A6"/>
    <w:rsid w:val="00933B7D"/>
    <w:rsid w:val="00933E6C"/>
    <w:rsid w:val="0093440E"/>
    <w:rsid w:val="00935A6E"/>
    <w:rsid w:val="00937958"/>
    <w:rsid w:val="009406E5"/>
    <w:rsid w:val="00940963"/>
    <w:rsid w:val="00941602"/>
    <w:rsid w:val="00942160"/>
    <w:rsid w:val="00946921"/>
    <w:rsid w:val="00947343"/>
    <w:rsid w:val="0095047A"/>
    <w:rsid w:val="0095146F"/>
    <w:rsid w:val="00951F2D"/>
    <w:rsid w:val="00952222"/>
    <w:rsid w:val="00952839"/>
    <w:rsid w:val="0095344C"/>
    <w:rsid w:val="009534C7"/>
    <w:rsid w:val="00957944"/>
    <w:rsid w:val="009602C5"/>
    <w:rsid w:val="0096103A"/>
    <w:rsid w:val="00962223"/>
    <w:rsid w:val="0096252B"/>
    <w:rsid w:val="00963297"/>
    <w:rsid w:val="009644D9"/>
    <w:rsid w:val="00964A9F"/>
    <w:rsid w:val="00966D0D"/>
    <w:rsid w:val="00967732"/>
    <w:rsid w:val="0096783C"/>
    <w:rsid w:val="00970023"/>
    <w:rsid w:val="00970D99"/>
    <w:rsid w:val="00970E8D"/>
    <w:rsid w:val="009722B3"/>
    <w:rsid w:val="00973E24"/>
    <w:rsid w:val="009749BE"/>
    <w:rsid w:val="00974C21"/>
    <w:rsid w:val="00974D5F"/>
    <w:rsid w:val="00975948"/>
    <w:rsid w:val="00976425"/>
    <w:rsid w:val="009772EE"/>
    <w:rsid w:val="009772FD"/>
    <w:rsid w:val="00977BF3"/>
    <w:rsid w:val="009803E4"/>
    <w:rsid w:val="00980B0E"/>
    <w:rsid w:val="00982B39"/>
    <w:rsid w:val="00982B53"/>
    <w:rsid w:val="009836A3"/>
    <w:rsid w:val="00983BB2"/>
    <w:rsid w:val="00984C58"/>
    <w:rsid w:val="009855A8"/>
    <w:rsid w:val="00985CBE"/>
    <w:rsid w:val="00985D1A"/>
    <w:rsid w:val="00990CF8"/>
    <w:rsid w:val="009913F4"/>
    <w:rsid w:val="00991782"/>
    <w:rsid w:val="009937F7"/>
    <w:rsid w:val="0099465B"/>
    <w:rsid w:val="009951A1"/>
    <w:rsid w:val="00996741"/>
    <w:rsid w:val="00997A44"/>
    <w:rsid w:val="009A0CDD"/>
    <w:rsid w:val="009A1533"/>
    <w:rsid w:val="009A3168"/>
    <w:rsid w:val="009A4621"/>
    <w:rsid w:val="009A4BDF"/>
    <w:rsid w:val="009A525B"/>
    <w:rsid w:val="009A5D04"/>
    <w:rsid w:val="009A61CA"/>
    <w:rsid w:val="009A777B"/>
    <w:rsid w:val="009B0062"/>
    <w:rsid w:val="009B047F"/>
    <w:rsid w:val="009B0C64"/>
    <w:rsid w:val="009B0F67"/>
    <w:rsid w:val="009B1D89"/>
    <w:rsid w:val="009B208A"/>
    <w:rsid w:val="009B2756"/>
    <w:rsid w:val="009B3D56"/>
    <w:rsid w:val="009B3F8C"/>
    <w:rsid w:val="009B4CDD"/>
    <w:rsid w:val="009B533B"/>
    <w:rsid w:val="009B546B"/>
    <w:rsid w:val="009B7CA2"/>
    <w:rsid w:val="009C1815"/>
    <w:rsid w:val="009C20C3"/>
    <w:rsid w:val="009C26AA"/>
    <w:rsid w:val="009C3C9B"/>
    <w:rsid w:val="009C703C"/>
    <w:rsid w:val="009C7A0A"/>
    <w:rsid w:val="009D0C29"/>
    <w:rsid w:val="009D206E"/>
    <w:rsid w:val="009D3CAA"/>
    <w:rsid w:val="009D3CB4"/>
    <w:rsid w:val="009D507A"/>
    <w:rsid w:val="009D6532"/>
    <w:rsid w:val="009D71FD"/>
    <w:rsid w:val="009E05B0"/>
    <w:rsid w:val="009E06F0"/>
    <w:rsid w:val="009E0755"/>
    <w:rsid w:val="009E10AD"/>
    <w:rsid w:val="009E2588"/>
    <w:rsid w:val="009E2E8E"/>
    <w:rsid w:val="009E40E1"/>
    <w:rsid w:val="009F0EFA"/>
    <w:rsid w:val="009F31FD"/>
    <w:rsid w:val="009F4E46"/>
    <w:rsid w:val="009F5B65"/>
    <w:rsid w:val="009F5F2E"/>
    <w:rsid w:val="00A01432"/>
    <w:rsid w:val="00A019D8"/>
    <w:rsid w:val="00A03638"/>
    <w:rsid w:val="00A04A03"/>
    <w:rsid w:val="00A06225"/>
    <w:rsid w:val="00A066E6"/>
    <w:rsid w:val="00A07240"/>
    <w:rsid w:val="00A076A4"/>
    <w:rsid w:val="00A110D1"/>
    <w:rsid w:val="00A12587"/>
    <w:rsid w:val="00A128E6"/>
    <w:rsid w:val="00A144D3"/>
    <w:rsid w:val="00A17EA7"/>
    <w:rsid w:val="00A21D7D"/>
    <w:rsid w:val="00A22849"/>
    <w:rsid w:val="00A22AC3"/>
    <w:rsid w:val="00A2351E"/>
    <w:rsid w:val="00A23F3F"/>
    <w:rsid w:val="00A24067"/>
    <w:rsid w:val="00A24A4B"/>
    <w:rsid w:val="00A2744D"/>
    <w:rsid w:val="00A30D16"/>
    <w:rsid w:val="00A33EB7"/>
    <w:rsid w:val="00A34E6C"/>
    <w:rsid w:val="00A34FD0"/>
    <w:rsid w:val="00A36398"/>
    <w:rsid w:val="00A37499"/>
    <w:rsid w:val="00A37C8D"/>
    <w:rsid w:val="00A4020E"/>
    <w:rsid w:val="00A40493"/>
    <w:rsid w:val="00A408E8"/>
    <w:rsid w:val="00A40FB5"/>
    <w:rsid w:val="00A42826"/>
    <w:rsid w:val="00A429B3"/>
    <w:rsid w:val="00A42BE9"/>
    <w:rsid w:val="00A44EC1"/>
    <w:rsid w:val="00A510E4"/>
    <w:rsid w:val="00A51F8C"/>
    <w:rsid w:val="00A526F7"/>
    <w:rsid w:val="00A5273B"/>
    <w:rsid w:val="00A5286E"/>
    <w:rsid w:val="00A53A9D"/>
    <w:rsid w:val="00A55FEE"/>
    <w:rsid w:val="00A57422"/>
    <w:rsid w:val="00A62C1A"/>
    <w:rsid w:val="00A63CA2"/>
    <w:rsid w:val="00A6426D"/>
    <w:rsid w:val="00A64D64"/>
    <w:rsid w:val="00A665C1"/>
    <w:rsid w:val="00A673A4"/>
    <w:rsid w:val="00A67727"/>
    <w:rsid w:val="00A7001A"/>
    <w:rsid w:val="00A70622"/>
    <w:rsid w:val="00A70977"/>
    <w:rsid w:val="00A70D58"/>
    <w:rsid w:val="00A71394"/>
    <w:rsid w:val="00A744F9"/>
    <w:rsid w:val="00A74B81"/>
    <w:rsid w:val="00A753A1"/>
    <w:rsid w:val="00A77613"/>
    <w:rsid w:val="00A77B87"/>
    <w:rsid w:val="00A77E01"/>
    <w:rsid w:val="00A801AD"/>
    <w:rsid w:val="00A813EC"/>
    <w:rsid w:val="00A81656"/>
    <w:rsid w:val="00A81851"/>
    <w:rsid w:val="00A83687"/>
    <w:rsid w:val="00A8390C"/>
    <w:rsid w:val="00A83F63"/>
    <w:rsid w:val="00A86AE0"/>
    <w:rsid w:val="00A90F6C"/>
    <w:rsid w:val="00A912B0"/>
    <w:rsid w:val="00A91362"/>
    <w:rsid w:val="00A9151C"/>
    <w:rsid w:val="00A919C6"/>
    <w:rsid w:val="00A928BD"/>
    <w:rsid w:val="00A92D61"/>
    <w:rsid w:val="00A934EB"/>
    <w:rsid w:val="00A9456B"/>
    <w:rsid w:val="00A96918"/>
    <w:rsid w:val="00A97DE9"/>
    <w:rsid w:val="00AA12CD"/>
    <w:rsid w:val="00AA4D1C"/>
    <w:rsid w:val="00AA52FD"/>
    <w:rsid w:val="00AA7006"/>
    <w:rsid w:val="00AB1C4B"/>
    <w:rsid w:val="00AB3138"/>
    <w:rsid w:val="00AB3E1C"/>
    <w:rsid w:val="00AB4684"/>
    <w:rsid w:val="00AB568D"/>
    <w:rsid w:val="00AB5856"/>
    <w:rsid w:val="00AB69CC"/>
    <w:rsid w:val="00AC081D"/>
    <w:rsid w:val="00AC0C6F"/>
    <w:rsid w:val="00AC1266"/>
    <w:rsid w:val="00AC193C"/>
    <w:rsid w:val="00AC30C1"/>
    <w:rsid w:val="00AC44AB"/>
    <w:rsid w:val="00AC4DE5"/>
    <w:rsid w:val="00AC5206"/>
    <w:rsid w:val="00AD095B"/>
    <w:rsid w:val="00AD1377"/>
    <w:rsid w:val="00AD3106"/>
    <w:rsid w:val="00AD4322"/>
    <w:rsid w:val="00AD4467"/>
    <w:rsid w:val="00AE11A5"/>
    <w:rsid w:val="00AE13E2"/>
    <w:rsid w:val="00AE22D3"/>
    <w:rsid w:val="00AE4FB0"/>
    <w:rsid w:val="00AE5365"/>
    <w:rsid w:val="00AE5A49"/>
    <w:rsid w:val="00AE5DED"/>
    <w:rsid w:val="00AE63D7"/>
    <w:rsid w:val="00AE7BB9"/>
    <w:rsid w:val="00AF03E6"/>
    <w:rsid w:val="00AF11D8"/>
    <w:rsid w:val="00AF1E80"/>
    <w:rsid w:val="00AF3346"/>
    <w:rsid w:val="00AF3D8D"/>
    <w:rsid w:val="00AF5867"/>
    <w:rsid w:val="00AF62DF"/>
    <w:rsid w:val="00AF68CC"/>
    <w:rsid w:val="00AF6B91"/>
    <w:rsid w:val="00AF70D7"/>
    <w:rsid w:val="00B00086"/>
    <w:rsid w:val="00B00CD0"/>
    <w:rsid w:val="00B00E7F"/>
    <w:rsid w:val="00B01A42"/>
    <w:rsid w:val="00B01FF4"/>
    <w:rsid w:val="00B0326D"/>
    <w:rsid w:val="00B06037"/>
    <w:rsid w:val="00B06478"/>
    <w:rsid w:val="00B06C01"/>
    <w:rsid w:val="00B07533"/>
    <w:rsid w:val="00B07CFB"/>
    <w:rsid w:val="00B1059E"/>
    <w:rsid w:val="00B10794"/>
    <w:rsid w:val="00B134C5"/>
    <w:rsid w:val="00B14A36"/>
    <w:rsid w:val="00B16273"/>
    <w:rsid w:val="00B170A5"/>
    <w:rsid w:val="00B1725F"/>
    <w:rsid w:val="00B176C8"/>
    <w:rsid w:val="00B17EE5"/>
    <w:rsid w:val="00B205AA"/>
    <w:rsid w:val="00B20929"/>
    <w:rsid w:val="00B2100A"/>
    <w:rsid w:val="00B21A91"/>
    <w:rsid w:val="00B22E84"/>
    <w:rsid w:val="00B233AD"/>
    <w:rsid w:val="00B23E25"/>
    <w:rsid w:val="00B249AD"/>
    <w:rsid w:val="00B25F75"/>
    <w:rsid w:val="00B26B3F"/>
    <w:rsid w:val="00B2778F"/>
    <w:rsid w:val="00B27CD7"/>
    <w:rsid w:val="00B327E2"/>
    <w:rsid w:val="00B32FAF"/>
    <w:rsid w:val="00B33635"/>
    <w:rsid w:val="00B34515"/>
    <w:rsid w:val="00B37A23"/>
    <w:rsid w:val="00B37CF8"/>
    <w:rsid w:val="00B40A3A"/>
    <w:rsid w:val="00B40C07"/>
    <w:rsid w:val="00B41F86"/>
    <w:rsid w:val="00B420F3"/>
    <w:rsid w:val="00B42AF4"/>
    <w:rsid w:val="00B43E90"/>
    <w:rsid w:val="00B44308"/>
    <w:rsid w:val="00B45722"/>
    <w:rsid w:val="00B460F4"/>
    <w:rsid w:val="00B467DC"/>
    <w:rsid w:val="00B47A88"/>
    <w:rsid w:val="00B51A9C"/>
    <w:rsid w:val="00B52303"/>
    <w:rsid w:val="00B5392A"/>
    <w:rsid w:val="00B5395A"/>
    <w:rsid w:val="00B539EF"/>
    <w:rsid w:val="00B5560E"/>
    <w:rsid w:val="00B56118"/>
    <w:rsid w:val="00B566E1"/>
    <w:rsid w:val="00B56916"/>
    <w:rsid w:val="00B56AFB"/>
    <w:rsid w:val="00B602F6"/>
    <w:rsid w:val="00B62EC1"/>
    <w:rsid w:val="00B64A96"/>
    <w:rsid w:val="00B6533B"/>
    <w:rsid w:val="00B6773F"/>
    <w:rsid w:val="00B70EB3"/>
    <w:rsid w:val="00B72906"/>
    <w:rsid w:val="00B73603"/>
    <w:rsid w:val="00B74F48"/>
    <w:rsid w:val="00B7525E"/>
    <w:rsid w:val="00B75433"/>
    <w:rsid w:val="00B75F70"/>
    <w:rsid w:val="00B760FB"/>
    <w:rsid w:val="00B76765"/>
    <w:rsid w:val="00B767AB"/>
    <w:rsid w:val="00B7779D"/>
    <w:rsid w:val="00B801BA"/>
    <w:rsid w:val="00B812D6"/>
    <w:rsid w:val="00B81867"/>
    <w:rsid w:val="00B81E7E"/>
    <w:rsid w:val="00B846E6"/>
    <w:rsid w:val="00B84D5C"/>
    <w:rsid w:val="00B85AF6"/>
    <w:rsid w:val="00B92B24"/>
    <w:rsid w:val="00B92E46"/>
    <w:rsid w:val="00B941ED"/>
    <w:rsid w:val="00B956ED"/>
    <w:rsid w:val="00B958CB"/>
    <w:rsid w:val="00B9619A"/>
    <w:rsid w:val="00B96D05"/>
    <w:rsid w:val="00B97F38"/>
    <w:rsid w:val="00BA2DA8"/>
    <w:rsid w:val="00BA347C"/>
    <w:rsid w:val="00BA4422"/>
    <w:rsid w:val="00BA4C79"/>
    <w:rsid w:val="00BA4D3B"/>
    <w:rsid w:val="00BA4EC6"/>
    <w:rsid w:val="00BB298A"/>
    <w:rsid w:val="00BB3469"/>
    <w:rsid w:val="00BB3BD3"/>
    <w:rsid w:val="00BB5C49"/>
    <w:rsid w:val="00BB6240"/>
    <w:rsid w:val="00BB6285"/>
    <w:rsid w:val="00BB6536"/>
    <w:rsid w:val="00BB69F5"/>
    <w:rsid w:val="00BB6E48"/>
    <w:rsid w:val="00BB7EC3"/>
    <w:rsid w:val="00BC04B1"/>
    <w:rsid w:val="00BC470E"/>
    <w:rsid w:val="00BC4B9A"/>
    <w:rsid w:val="00BC6B0B"/>
    <w:rsid w:val="00BD02C3"/>
    <w:rsid w:val="00BD0F4B"/>
    <w:rsid w:val="00BD1735"/>
    <w:rsid w:val="00BD2E44"/>
    <w:rsid w:val="00BD3DC1"/>
    <w:rsid w:val="00BD7483"/>
    <w:rsid w:val="00BD784C"/>
    <w:rsid w:val="00BD7982"/>
    <w:rsid w:val="00BE020A"/>
    <w:rsid w:val="00BE13DF"/>
    <w:rsid w:val="00BE1654"/>
    <w:rsid w:val="00BE1AD1"/>
    <w:rsid w:val="00BE1EF0"/>
    <w:rsid w:val="00BE25D7"/>
    <w:rsid w:val="00BE4EA2"/>
    <w:rsid w:val="00BE7B81"/>
    <w:rsid w:val="00BF092C"/>
    <w:rsid w:val="00BF27A0"/>
    <w:rsid w:val="00BF398C"/>
    <w:rsid w:val="00BF450A"/>
    <w:rsid w:val="00BF4CB6"/>
    <w:rsid w:val="00BF51E1"/>
    <w:rsid w:val="00BF5D23"/>
    <w:rsid w:val="00BF6CBD"/>
    <w:rsid w:val="00C00DA7"/>
    <w:rsid w:val="00C034FB"/>
    <w:rsid w:val="00C0397D"/>
    <w:rsid w:val="00C04CDE"/>
    <w:rsid w:val="00C059D5"/>
    <w:rsid w:val="00C068A6"/>
    <w:rsid w:val="00C12768"/>
    <w:rsid w:val="00C12D70"/>
    <w:rsid w:val="00C143D3"/>
    <w:rsid w:val="00C16724"/>
    <w:rsid w:val="00C21B09"/>
    <w:rsid w:val="00C24EF8"/>
    <w:rsid w:val="00C25EFF"/>
    <w:rsid w:val="00C2673A"/>
    <w:rsid w:val="00C26B0E"/>
    <w:rsid w:val="00C278CD"/>
    <w:rsid w:val="00C279B4"/>
    <w:rsid w:val="00C27B58"/>
    <w:rsid w:val="00C27C1C"/>
    <w:rsid w:val="00C3166C"/>
    <w:rsid w:val="00C33186"/>
    <w:rsid w:val="00C33212"/>
    <w:rsid w:val="00C35996"/>
    <w:rsid w:val="00C40B5D"/>
    <w:rsid w:val="00C40C9D"/>
    <w:rsid w:val="00C42BCD"/>
    <w:rsid w:val="00C43580"/>
    <w:rsid w:val="00C43ABD"/>
    <w:rsid w:val="00C4485F"/>
    <w:rsid w:val="00C44C90"/>
    <w:rsid w:val="00C46C13"/>
    <w:rsid w:val="00C4747E"/>
    <w:rsid w:val="00C51146"/>
    <w:rsid w:val="00C5151E"/>
    <w:rsid w:val="00C52256"/>
    <w:rsid w:val="00C53418"/>
    <w:rsid w:val="00C5342C"/>
    <w:rsid w:val="00C53B2B"/>
    <w:rsid w:val="00C56D78"/>
    <w:rsid w:val="00C57465"/>
    <w:rsid w:val="00C60272"/>
    <w:rsid w:val="00C603D4"/>
    <w:rsid w:val="00C60C18"/>
    <w:rsid w:val="00C6256A"/>
    <w:rsid w:val="00C63FDA"/>
    <w:rsid w:val="00C64EBC"/>
    <w:rsid w:val="00C664D2"/>
    <w:rsid w:val="00C677E1"/>
    <w:rsid w:val="00C67EDE"/>
    <w:rsid w:val="00C70E6E"/>
    <w:rsid w:val="00C710E2"/>
    <w:rsid w:val="00C71C3F"/>
    <w:rsid w:val="00C7409E"/>
    <w:rsid w:val="00C74D6D"/>
    <w:rsid w:val="00C76E76"/>
    <w:rsid w:val="00C77891"/>
    <w:rsid w:val="00C77B74"/>
    <w:rsid w:val="00C80550"/>
    <w:rsid w:val="00C806EB"/>
    <w:rsid w:val="00C82062"/>
    <w:rsid w:val="00C829A9"/>
    <w:rsid w:val="00C85BB7"/>
    <w:rsid w:val="00C864A4"/>
    <w:rsid w:val="00C86615"/>
    <w:rsid w:val="00C87B80"/>
    <w:rsid w:val="00C87F15"/>
    <w:rsid w:val="00C90330"/>
    <w:rsid w:val="00C91449"/>
    <w:rsid w:val="00C92D10"/>
    <w:rsid w:val="00C92F79"/>
    <w:rsid w:val="00C95200"/>
    <w:rsid w:val="00C96EC0"/>
    <w:rsid w:val="00C97F90"/>
    <w:rsid w:val="00CA06F9"/>
    <w:rsid w:val="00CA0B27"/>
    <w:rsid w:val="00CA14BB"/>
    <w:rsid w:val="00CA19AE"/>
    <w:rsid w:val="00CA230C"/>
    <w:rsid w:val="00CA2A6F"/>
    <w:rsid w:val="00CA48D9"/>
    <w:rsid w:val="00CA6750"/>
    <w:rsid w:val="00CA7289"/>
    <w:rsid w:val="00CB07BE"/>
    <w:rsid w:val="00CB1193"/>
    <w:rsid w:val="00CB19CE"/>
    <w:rsid w:val="00CB38D8"/>
    <w:rsid w:val="00CB4767"/>
    <w:rsid w:val="00CB493D"/>
    <w:rsid w:val="00CB6450"/>
    <w:rsid w:val="00CC2224"/>
    <w:rsid w:val="00CC3B97"/>
    <w:rsid w:val="00CC7B4D"/>
    <w:rsid w:val="00CD143A"/>
    <w:rsid w:val="00CD6257"/>
    <w:rsid w:val="00CD7C0B"/>
    <w:rsid w:val="00CE10C4"/>
    <w:rsid w:val="00CE2343"/>
    <w:rsid w:val="00CE27B5"/>
    <w:rsid w:val="00CE2BDF"/>
    <w:rsid w:val="00CE3573"/>
    <w:rsid w:val="00CE5976"/>
    <w:rsid w:val="00CE63E2"/>
    <w:rsid w:val="00CE6D24"/>
    <w:rsid w:val="00CE6DAF"/>
    <w:rsid w:val="00CE7748"/>
    <w:rsid w:val="00CF184F"/>
    <w:rsid w:val="00CF3AF6"/>
    <w:rsid w:val="00CF410A"/>
    <w:rsid w:val="00CF6EA0"/>
    <w:rsid w:val="00CF7528"/>
    <w:rsid w:val="00CF7FDE"/>
    <w:rsid w:val="00D012AF"/>
    <w:rsid w:val="00D02AB4"/>
    <w:rsid w:val="00D0321E"/>
    <w:rsid w:val="00D05457"/>
    <w:rsid w:val="00D069EB"/>
    <w:rsid w:val="00D07A8A"/>
    <w:rsid w:val="00D1006D"/>
    <w:rsid w:val="00D10E31"/>
    <w:rsid w:val="00D11199"/>
    <w:rsid w:val="00D1455A"/>
    <w:rsid w:val="00D14573"/>
    <w:rsid w:val="00D14A70"/>
    <w:rsid w:val="00D17150"/>
    <w:rsid w:val="00D207EA"/>
    <w:rsid w:val="00D20A02"/>
    <w:rsid w:val="00D211FB"/>
    <w:rsid w:val="00D22093"/>
    <w:rsid w:val="00D25A82"/>
    <w:rsid w:val="00D26A6D"/>
    <w:rsid w:val="00D31150"/>
    <w:rsid w:val="00D3138B"/>
    <w:rsid w:val="00D31FCE"/>
    <w:rsid w:val="00D3280C"/>
    <w:rsid w:val="00D33D14"/>
    <w:rsid w:val="00D3406A"/>
    <w:rsid w:val="00D34D24"/>
    <w:rsid w:val="00D40A8B"/>
    <w:rsid w:val="00D40B11"/>
    <w:rsid w:val="00D42864"/>
    <w:rsid w:val="00D429EC"/>
    <w:rsid w:val="00D42FC7"/>
    <w:rsid w:val="00D43B6C"/>
    <w:rsid w:val="00D441F1"/>
    <w:rsid w:val="00D4572C"/>
    <w:rsid w:val="00D45F09"/>
    <w:rsid w:val="00D469B2"/>
    <w:rsid w:val="00D47789"/>
    <w:rsid w:val="00D52B24"/>
    <w:rsid w:val="00D52EAA"/>
    <w:rsid w:val="00D52ECF"/>
    <w:rsid w:val="00D533AE"/>
    <w:rsid w:val="00D54B09"/>
    <w:rsid w:val="00D56C27"/>
    <w:rsid w:val="00D57861"/>
    <w:rsid w:val="00D602C2"/>
    <w:rsid w:val="00D622F6"/>
    <w:rsid w:val="00D6243E"/>
    <w:rsid w:val="00D65658"/>
    <w:rsid w:val="00D66908"/>
    <w:rsid w:val="00D67EB2"/>
    <w:rsid w:val="00D70349"/>
    <w:rsid w:val="00D72B6F"/>
    <w:rsid w:val="00D741EB"/>
    <w:rsid w:val="00D74CEA"/>
    <w:rsid w:val="00D75594"/>
    <w:rsid w:val="00D76790"/>
    <w:rsid w:val="00D7679C"/>
    <w:rsid w:val="00D77704"/>
    <w:rsid w:val="00D80C29"/>
    <w:rsid w:val="00D817A9"/>
    <w:rsid w:val="00D820F3"/>
    <w:rsid w:val="00D83605"/>
    <w:rsid w:val="00D84934"/>
    <w:rsid w:val="00D8597C"/>
    <w:rsid w:val="00D866EB"/>
    <w:rsid w:val="00D87D1A"/>
    <w:rsid w:val="00D906DA"/>
    <w:rsid w:val="00D91271"/>
    <w:rsid w:val="00D919F5"/>
    <w:rsid w:val="00D945F6"/>
    <w:rsid w:val="00D94869"/>
    <w:rsid w:val="00D94F03"/>
    <w:rsid w:val="00D95161"/>
    <w:rsid w:val="00D95C23"/>
    <w:rsid w:val="00DA0A2E"/>
    <w:rsid w:val="00DA0A82"/>
    <w:rsid w:val="00DA0D14"/>
    <w:rsid w:val="00DA1FC9"/>
    <w:rsid w:val="00DA2CB5"/>
    <w:rsid w:val="00DA358F"/>
    <w:rsid w:val="00DA383E"/>
    <w:rsid w:val="00DA3A38"/>
    <w:rsid w:val="00DA4BAC"/>
    <w:rsid w:val="00DA56CD"/>
    <w:rsid w:val="00DA722E"/>
    <w:rsid w:val="00DA792A"/>
    <w:rsid w:val="00DB0151"/>
    <w:rsid w:val="00DB0160"/>
    <w:rsid w:val="00DB04D7"/>
    <w:rsid w:val="00DB50E1"/>
    <w:rsid w:val="00DB5179"/>
    <w:rsid w:val="00DB6CD5"/>
    <w:rsid w:val="00DC0566"/>
    <w:rsid w:val="00DC05E1"/>
    <w:rsid w:val="00DC0E27"/>
    <w:rsid w:val="00DC1499"/>
    <w:rsid w:val="00DC16CF"/>
    <w:rsid w:val="00DC2C3E"/>
    <w:rsid w:val="00DC3137"/>
    <w:rsid w:val="00DC3A71"/>
    <w:rsid w:val="00DC3DE2"/>
    <w:rsid w:val="00DC3E48"/>
    <w:rsid w:val="00DC4880"/>
    <w:rsid w:val="00DC5E90"/>
    <w:rsid w:val="00DC78A6"/>
    <w:rsid w:val="00DD0BE9"/>
    <w:rsid w:val="00DD0D60"/>
    <w:rsid w:val="00DD19DD"/>
    <w:rsid w:val="00DD26F9"/>
    <w:rsid w:val="00DD350E"/>
    <w:rsid w:val="00DD42AB"/>
    <w:rsid w:val="00DD4C9E"/>
    <w:rsid w:val="00DD710A"/>
    <w:rsid w:val="00DD7381"/>
    <w:rsid w:val="00DE01CF"/>
    <w:rsid w:val="00DE06AF"/>
    <w:rsid w:val="00DE2079"/>
    <w:rsid w:val="00DE40D9"/>
    <w:rsid w:val="00DE63E2"/>
    <w:rsid w:val="00DE6D27"/>
    <w:rsid w:val="00DE76EA"/>
    <w:rsid w:val="00DF01F8"/>
    <w:rsid w:val="00DF021D"/>
    <w:rsid w:val="00DF14EE"/>
    <w:rsid w:val="00DF217D"/>
    <w:rsid w:val="00DF26A7"/>
    <w:rsid w:val="00DF2805"/>
    <w:rsid w:val="00DF3277"/>
    <w:rsid w:val="00DF630A"/>
    <w:rsid w:val="00DF6A31"/>
    <w:rsid w:val="00DF6A6B"/>
    <w:rsid w:val="00DF77A1"/>
    <w:rsid w:val="00DF7919"/>
    <w:rsid w:val="00DF7A57"/>
    <w:rsid w:val="00E00D94"/>
    <w:rsid w:val="00E0207E"/>
    <w:rsid w:val="00E02AE6"/>
    <w:rsid w:val="00E03912"/>
    <w:rsid w:val="00E04748"/>
    <w:rsid w:val="00E04942"/>
    <w:rsid w:val="00E049CA"/>
    <w:rsid w:val="00E04E4B"/>
    <w:rsid w:val="00E060AF"/>
    <w:rsid w:val="00E078D9"/>
    <w:rsid w:val="00E10293"/>
    <w:rsid w:val="00E103A0"/>
    <w:rsid w:val="00E1043F"/>
    <w:rsid w:val="00E114A5"/>
    <w:rsid w:val="00E1157E"/>
    <w:rsid w:val="00E11F44"/>
    <w:rsid w:val="00E13E60"/>
    <w:rsid w:val="00E13FF6"/>
    <w:rsid w:val="00E1533D"/>
    <w:rsid w:val="00E15627"/>
    <w:rsid w:val="00E15CFD"/>
    <w:rsid w:val="00E164B3"/>
    <w:rsid w:val="00E16910"/>
    <w:rsid w:val="00E173F3"/>
    <w:rsid w:val="00E21164"/>
    <w:rsid w:val="00E22C6F"/>
    <w:rsid w:val="00E239E2"/>
    <w:rsid w:val="00E24E09"/>
    <w:rsid w:val="00E27234"/>
    <w:rsid w:val="00E27C77"/>
    <w:rsid w:val="00E309FE"/>
    <w:rsid w:val="00E3495C"/>
    <w:rsid w:val="00E36423"/>
    <w:rsid w:val="00E42BDB"/>
    <w:rsid w:val="00E4554B"/>
    <w:rsid w:val="00E524A9"/>
    <w:rsid w:val="00E53F1A"/>
    <w:rsid w:val="00E5726D"/>
    <w:rsid w:val="00E57EEB"/>
    <w:rsid w:val="00E61281"/>
    <w:rsid w:val="00E62D94"/>
    <w:rsid w:val="00E62ECC"/>
    <w:rsid w:val="00E64419"/>
    <w:rsid w:val="00E6489A"/>
    <w:rsid w:val="00E64F37"/>
    <w:rsid w:val="00E65091"/>
    <w:rsid w:val="00E65393"/>
    <w:rsid w:val="00E65E54"/>
    <w:rsid w:val="00E661C7"/>
    <w:rsid w:val="00E66679"/>
    <w:rsid w:val="00E707F2"/>
    <w:rsid w:val="00E71A48"/>
    <w:rsid w:val="00E732C4"/>
    <w:rsid w:val="00E73F20"/>
    <w:rsid w:val="00E74E41"/>
    <w:rsid w:val="00E80155"/>
    <w:rsid w:val="00E80190"/>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1F92"/>
    <w:rsid w:val="00EA252F"/>
    <w:rsid w:val="00EA2825"/>
    <w:rsid w:val="00EA3DAF"/>
    <w:rsid w:val="00EA5027"/>
    <w:rsid w:val="00EA64C2"/>
    <w:rsid w:val="00EA6518"/>
    <w:rsid w:val="00EA71A2"/>
    <w:rsid w:val="00EA7466"/>
    <w:rsid w:val="00EA7EDE"/>
    <w:rsid w:val="00EB0B63"/>
    <w:rsid w:val="00EB11ED"/>
    <w:rsid w:val="00EB1936"/>
    <w:rsid w:val="00EB1973"/>
    <w:rsid w:val="00EB26D9"/>
    <w:rsid w:val="00EB3545"/>
    <w:rsid w:val="00EB37BE"/>
    <w:rsid w:val="00EB3BF5"/>
    <w:rsid w:val="00EB4BAE"/>
    <w:rsid w:val="00EB5088"/>
    <w:rsid w:val="00EB7210"/>
    <w:rsid w:val="00EC00C0"/>
    <w:rsid w:val="00EC2726"/>
    <w:rsid w:val="00EC575E"/>
    <w:rsid w:val="00EC5EBF"/>
    <w:rsid w:val="00EC681C"/>
    <w:rsid w:val="00EC792B"/>
    <w:rsid w:val="00EC7B87"/>
    <w:rsid w:val="00ED1644"/>
    <w:rsid w:val="00ED2593"/>
    <w:rsid w:val="00ED34DD"/>
    <w:rsid w:val="00ED3709"/>
    <w:rsid w:val="00ED4C60"/>
    <w:rsid w:val="00ED77BF"/>
    <w:rsid w:val="00ED7D55"/>
    <w:rsid w:val="00ED7D9C"/>
    <w:rsid w:val="00EE00A7"/>
    <w:rsid w:val="00EE2F77"/>
    <w:rsid w:val="00EE3158"/>
    <w:rsid w:val="00EE31A2"/>
    <w:rsid w:val="00EE4329"/>
    <w:rsid w:val="00EE6203"/>
    <w:rsid w:val="00EE783C"/>
    <w:rsid w:val="00EF0069"/>
    <w:rsid w:val="00EF2F87"/>
    <w:rsid w:val="00EF3C52"/>
    <w:rsid w:val="00EF44A0"/>
    <w:rsid w:val="00EF4580"/>
    <w:rsid w:val="00EF4FED"/>
    <w:rsid w:val="00EF5F45"/>
    <w:rsid w:val="00EF6843"/>
    <w:rsid w:val="00EF6941"/>
    <w:rsid w:val="00EF6FB3"/>
    <w:rsid w:val="00F0068B"/>
    <w:rsid w:val="00F007C6"/>
    <w:rsid w:val="00F0172E"/>
    <w:rsid w:val="00F03018"/>
    <w:rsid w:val="00F050BD"/>
    <w:rsid w:val="00F05657"/>
    <w:rsid w:val="00F05AB0"/>
    <w:rsid w:val="00F12C74"/>
    <w:rsid w:val="00F13214"/>
    <w:rsid w:val="00F148D8"/>
    <w:rsid w:val="00F1559A"/>
    <w:rsid w:val="00F17ED6"/>
    <w:rsid w:val="00F2016C"/>
    <w:rsid w:val="00F20676"/>
    <w:rsid w:val="00F209E2"/>
    <w:rsid w:val="00F217E6"/>
    <w:rsid w:val="00F2398F"/>
    <w:rsid w:val="00F24378"/>
    <w:rsid w:val="00F25578"/>
    <w:rsid w:val="00F258E5"/>
    <w:rsid w:val="00F25B9C"/>
    <w:rsid w:val="00F2675A"/>
    <w:rsid w:val="00F26CC6"/>
    <w:rsid w:val="00F276F2"/>
    <w:rsid w:val="00F27984"/>
    <w:rsid w:val="00F300BC"/>
    <w:rsid w:val="00F305FA"/>
    <w:rsid w:val="00F320B7"/>
    <w:rsid w:val="00F322E2"/>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4CD6"/>
    <w:rsid w:val="00F550CF"/>
    <w:rsid w:val="00F553D2"/>
    <w:rsid w:val="00F56860"/>
    <w:rsid w:val="00F56A2D"/>
    <w:rsid w:val="00F57A6D"/>
    <w:rsid w:val="00F57AC9"/>
    <w:rsid w:val="00F6044B"/>
    <w:rsid w:val="00F617AD"/>
    <w:rsid w:val="00F62F19"/>
    <w:rsid w:val="00F636A1"/>
    <w:rsid w:val="00F638CC"/>
    <w:rsid w:val="00F64C9E"/>
    <w:rsid w:val="00F64CC1"/>
    <w:rsid w:val="00F708B1"/>
    <w:rsid w:val="00F7135D"/>
    <w:rsid w:val="00F72317"/>
    <w:rsid w:val="00F73DC1"/>
    <w:rsid w:val="00F75BB8"/>
    <w:rsid w:val="00F76A8B"/>
    <w:rsid w:val="00F7770C"/>
    <w:rsid w:val="00F77714"/>
    <w:rsid w:val="00F80475"/>
    <w:rsid w:val="00F806F1"/>
    <w:rsid w:val="00F80E6E"/>
    <w:rsid w:val="00F80FAD"/>
    <w:rsid w:val="00F81390"/>
    <w:rsid w:val="00F81F7A"/>
    <w:rsid w:val="00F8247A"/>
    <w:rsid w:val="00F82E5C"/>
    <w:rsid w:val="00F83BD7"/>
    <w:rsid w:val="00F83E86"/>
    <w:rsid w:val="00F83F58"/>
    <w:rsid w:val="00F841BA"/>
    <w:rsid w:val="00F85206"/>
    <w:rsid w:val="00F87C7A"/>
    <w:rsid w:val="00F87CEA"/>
    <w:rsid w:val="00F9265D"/>
    <w:rsid w:val="00F9629A"/>
    <w:rsid w:val="00F97EFC"/>
    <w:rsid w:val="00FA0B04"/>
    <w:rsid w:val="00FA0C7C"/>
    <w:rsid w:val="00FA10FF"/>
    <w:rsid w:val="00FA1BDD"/>
    <w:rsid w:val="00FA289C"/>
    <w:rsid w:val="00FA305C"/>
    <w:rsid w:val="00FA44BD"/>
    <w:rsid w:val="00FA462E"/>
    <w:rsid w:val="00FA4DD5"/>
    <w:rsid w:val="00FA5883"/>
    <w:rsid w:val="00FA6055"/>
    <w:rsid w:val="00FA63C2"/>
    <w:rsid w:val="00FB01D2"/>
    <w:rsid w:val="00FB0B39"/>
    <w:rsid w:val="00FB322F"/>
    <w:rsid w:val="00FB395E"/>
    <w:rsid w:val="00FB442F"/>
    <w:rsid w:val="00FB5724"/>
    <w:rsid w:val="00FB7EF2"/>
    <w:rsid w:val="00FC118C"/>
    <w:rsid w:val="00FC1929"/>
    <w:rsid w:val="00FC3AF5"/>
    <w:rsid w:val="00FC5B46"/>
    <w:rsid w:val="00FC767C"/>
    <w:rsid w:val="00FD1D4F"/>
    <w:rsid w:val="00FD24BF"/>
    <w:rsid w:val="00FD3B6E"/>
    <w:rsid w:val="00FD4140"/>
    <w:rsid w:val="00FD57EB"/>
    <w:rsid w:val="00FD6C22"/>
    <w:rsid w:val="00FD6D8E"/>
    <w:rsid w:val="00FD75DF"/>
    <w:rsid w:val="00FE0001"/>
    <w:rsid w:val="00FE0663"/>
    <w:rsid w:val="00FE0E94"/>
    <w:rsid w:val="00FE275B"/>
    <w:rsid w:val="00FE369C"/>
    <w:rsid w:val="00FE3CD9"/>
    <w:rsid w:val="00FE5061"/>
    <w:rsid w:val="00FF00BD"/>
    <w:rsid w:val="00FF01BA"/>
    <w:rsid w:val="00FF067C"/>
    <w:rsid w:val="00FF0B13"/>
    <w:rsid w:val="00FF1672"/>
    <w:rsid w:val="00FF1921"/>
    <w:rsid w:val="00FF1A24"/>
    <w:rsid w:val="00FF1AB7"/>
    <w:rsid w:val="00FF1ED4"/>
    <w:rsid w:val="00FF2801"/>
    <w:rsid w:val="00FF2BE2"/>
    <w:rsid w:val="00FF3F1D"/>
    <w:rsid w:val="00FF6C0A"/>
    <w:rsid w:val="00FF799B"/>
    <w:rsid w:val="00FF7A13"/>
    <w:rsid w:val="00FF7E58"/>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E7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ind w:left="0" w:firstLine="0"/>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table" w:customStyle="1" w:styleId="Submissionstandard4">
    <w:name w:val="Submission standard4"/>
    <w:basedOn w:val="TableNormal"/>
    <w:uiPriority w:val="99"/>
    <w:qFormat/>
    <w:rsid w:val="00B01A42"/>
    <w:rPr>
      <w:rFonts w:ascii="Arial Narrow" w:hAnsi="Arial Narrow"/>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abon" w:hAnsi="Sabon" w:hint="default"/>
        <w:b/>
        <w:sz w:val="20"/>
        <w:szCs w:val="20"/>
      </w:rPr>
      <w:tblPr/>
      <w:tcPr>
        <w:shd w:val="clear" w:color="auto" w:fill="BFBFBF" w:themeFill="background1" w:themeFillShade="BF"/>
      </w:tcPr>
    </w:tblStylePr>
  </w:style>
  <w:style w:type="paragraph" w:customStyle="1" w:styleId="KMC16-Tablecontent">
    <w:name w:val="KMC16 - Table content"/>
    <w:basedOn w:val="Normal"/>
    <w:link w:val="KMC16-TablecontentChar"/>
    <w:qFormat/>
    <w:rsid w:val="00B01A42"/>
    <w:pPr>
      <w:spacing w:before="40" w:after="40"/>
      <w:jc w:val="left"/>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B01A42"/>
    <w:rPr>
      <w:rFonts w:ascii="Arial Narrow" w:hAnsi="Arial Narrow" w:cs="Arial"/>
      <w:color w:val="000000"/>
      <w:szCs w:val="22"/>
      <w:lang w:val="en-GB" w:eastAsia="en-US"/>
    </w:rPr>
  </w:style>
  <w:style w:type="table" w:customStyle="1" w:styleId="Submissionstandard9">
    <w:name w:val="Submission standard9"/>
    <w:basedOn w:val="TableNormal"/>
    <w:uiPriority w:val="99"/>
    <w:qFormat/>
    <w:rsid w:val="009C20C3"/>
    <w:rPr>
      <w:rFonts w:ascii="Arial Narrow" w:eastAsiaTheme="majorEastAsia" w:hAnsi="Arial Narrow" w:cstheme="majorBidi"/>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abon" w:hAnsi="Sabon" w:hint="default"/>
        <w:b/>
        <w:sz w:val="20"/>
        <w:szCs w:val="20"/>
      </w:rPr>
      <w:tblPr/>
      <w:tcPr>
        <w:shd w:val="clear" w:color="auto" w:fill="BFBFBF" w:themeFill="background1" w:themeFillShade="BF"/>
      </w:tcPr>
    </w:tblStylePr>
  </w:style>
  <w:style w:type="paragraph" w:customStyle="1" w:styleId="KMC16-Caption">
    <w:name w:val="KMC16 - Caption"/>
    <w:basedOn w:val="Normal"/>
    <w:qFormat/>
    <w:rsid w:val="009C20C3"/>
    <w:pPr>
      <w:keepNext/>
      <w:tabs>
        <w:tab w:val="left" w:pos="567"/>
      </w:tabs>
      <w:spacing w:before="240" w:after="40"/>
      <w:ind w:left="964" w:hanging="964"/>
      <w:contextualSpacing/>
      <w:jc w:val="left"/>
    </w:pPr>
    <w:rPr>
      <w:rFonts w:ascii="Arial" w:hAnsi="Arial"/>
      <w:b/>
      <w:color w:val="000000"/>
      <w:sz w:val="20"/>
      <w:szCs w:val="20"/>
    </w:rPr>
  </w:style>
  <w:style w:type="paragraph" w:customStyle="1" w:styleId="KMC16-TableHeading">
    <w:name w:val="KMC16 - Table Heading"/>
    <w:basedOn w:val="Normal"/>
    <w:qFormat/>
    <w:rsid w:val="009C20C3"/>
    <w:pPr>
      <w:spacing w:before="40" w:after="40"/>
      <w:jc w:val="center"/>
    </w:pPr>
    <w:rPr>
      <w:rFonts w:ascii="Arial Narrow" w:hAnsi="Arial Narrow" w:cs="Arial"/>
      <w:b/>
      <w:color w:val="000000"/>
      <w:sz w:val="20"/>
      <w:szCs w:val="22"/>
      <w:lang w:eastAsia="en-US"/>
    </w:rPr>
  </w:style>
  <w:style w:type="character" w:customStyle="1" w:styleId="cf01">
    <w:name w:val="cf01"/>
    <w:basedOn w:val="DefaultParagraphFont"/>
    <w:rsid w:val="00472EEF"/>
    <w:rPr>
      <w:rFonts w:ascii="Segoe UI" w:hAnsi="Segoe UI" w:cs="Segoe UI" w:hint="default"/>
      <w:sz w:val="18"/>
      <w:szCs w:val="18"/>
    </w:rPr>
  </w:style>
  <w:style w:type="character" w:customStyle="1" w:styleId="normaltextrun">
    <w:name w:val="normaltextrun"/>
    <w:basedOn w:val="DefaultParagraphFont"/>
    <w:rsid w:val="00CB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689">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24461772">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84915782">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064927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383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health-topics/medicin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3563</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2024-10-23T08:43:00Z</dcterms:created>
  <dcterms:modified xsi:type="dcterms:W3CDTF">2024-10-23T08:44:00Z</dcterms:modified>
</cp:coreProperties>
</file>