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DB2D" w14:textId="1D9FCB7D" w:rsidR="00B60939" w:rsidRPr="004A6040" w:rsidRDefault="00C06964" w:rsidP="00921871">
      <w:pPr>
        <w:pStyle w:val="1-MainHeading"/>
      </w:pPr>
      <w:bookmarkStart w:id="0" w:name="_Toc135071992"/>
      <w:r>
        <w:t>5.0</w:t>
      </w:r>
      <w:r w:rsidR="00024BAB">
        <w:t>3</w:t>
      </w:r>
      <w:r w:rsidR="00163F66">
        <w:tab/>
      </w:r>
      <w:r w:rsidR="006B63BF">
        <w:t>FOSLEVODOPA with FOSCARBIDOPA</w:t>
      </w:r>
      <w:r w:rsidR="00D50CE6">
        <w:t>,</w:t>
      </w:r>
      <w:r w:rsidR="00D50CE6">
        <w:br/>
      </w:r>
      <w:r w:rsidR="00047C17">
        <w:t>Solution for</w:t>
      </w:r>
      <w:r w:rsidR="00D50CE6">
        <w:t xml:space="preserve"> subcutaneous infusion</w:t>
      </w:r>
      <w:r w:rsidR="00164250">
        <w:t xml:space="preserve"> </w:t>
      </w:r>
      <w:r w:rsidR="00047C17">
        <w:t>foslevodopa 2400</w:t>
      </w:r>
      <w:r w:rsidR="00A35F16">
        <w:t> </w:t>
      </w:r>
      <w:r w:rsidR="00047C17">
        <w:t>mg with foscarbidopa 120</w:t>
      </w:r>
      <w:r w:rsidR="006E3783">
        <w:t xml:space="preserve"> </w:t>
      </w:r>
      <w:r w:rsidR="00047C17">
        <w:t>mg in 10</w:t>
      </w:r>
      <w:r w:rsidR="00070BF3">
        <w:t> </w:t>
      </w:r>
      <w:r w:rsidR="00047C17">
        <w:t>m</w:t>
      </w:r>
      <w:r w:rsidR="00164250">
        <w:t>L</w:t>
      </w:r>
      <w:r w:rsidR="00354C3F">
        <w:t>,</w:t>
      </w:r>
      <w:r w:rsidR="00D50CE6">
        <w:br/>
        <w:t>Vyalev</w:t>
      </w:r>
      <w:r w:rsidR="00D50CE6" w:rsidRPr="004A6040">
        <w:rPr>
          <w:vertAlign w:val="superscript"/>
        </w:rPr>
        <w:t>®</w:t>
      </w:r>
      <w:r w:rsidR="00D50CE6" w:rsidRPr="004A6040">
        <w:t>,</w:t>
      </w:r>
      <w:r w:rsidR="00D50CE6" w:rsidRPr="004A6040">
        <w:br/>
      </w:r>
      <w:r w:rsidR="00D50CE6">
        <w:t>ABBVIE PTY LTD</w:t>
      </w:r>
      <w:bookmarkEnd w:id="0"/>
    </w:p>
    <w:p w14:paraId="3C0B9CFF" w14:textId="1F6AB92E" w:rsidR="00C440A2" w:rsidRPr="00407F2D" w:rsidRDefault="00C440A2" w:rsidP="00C440A2">
      <w:pPr>
        <w:pStyle w:val="2-SectionHeading"/>
      </w:pPr>
      <w:bookmarkStart w:id="1" w:name="_Toc135071995"/>
      <w:bookmarkStart w:id="2" w:name="_Toc22897645"/>
      <w:r w:rsidRPr="00407F2D">
        <w:t xml:space="preserve">Purpose of </w:t>
      </w:r>
      <w:r>
        <w:t>submission</w:t>
      </w:r>
      <w:bookmarkEnd w:id="1"/>
    </w:p>
    <w:p w14:paraId="2492C58B" w14:textId="089A1909" w:rsidR="00C440A2" w:rsidRPr="008B1757" w:rsidRDefault="00C440A2" w:rsidP="003945B8">
      <w:pPr>
        <w:pStyle w:val="3-BodyText"/>
      </w:pPr>
      <w:r>
        <w:t xml:space="preserve">The </w:t>
      </w:r>
      <w:r w:rsidR="00C946B4">
        <w:t xml:space="preserve">Category 2 </w:t>
      </w:r>
      <w:r>
        <w:t xml:space="preserve">submission </w:t>
      </w:r>
      <w:r w:rsidRPr="004E18E9">
        <w:t xml:space="preserve">requested </w:t>
      </w:r>
      <w:r>
        <w:t>General Schedule and Section 100 (Highly Specialised Drugs Program) Authority Required (ST</w:t>
      </w:r>
      <w:r w:rsidR="00B5414B">
        <w:t>R</w:t>
      </w:r>
      <w:r>
        <w:t>EAMLINED) listing</w:t>
      </w:r>
      <w:r w:rsidR="00CA03FB">
        <w:t>s</w:t>
      </w:r>
      <w:r>
        <w:t xml:space="preserve"> for the treatment of advanced Parkinson’s disease </w:t>
      </w:r>
      <w:r w:rsidR="001643C2">
        <w:t xml:space="preserve">(PD) </w:t>
      </w:r>
      <w:r>
        <w:t>with severe disabling motor fluctuations not adequately controlled by oral therapy.</w:t>
      </w:r>
    </w:p>
    <w:p w14:paraId="2DB13658" w14:textId="1CABCEB3" w:rsidR="00C440A2" w:rsidRDefault="00C440A2" w:rsidP="003945B8">
      <w:pPr>
        <w:pStyle w:val="3-BodyText"/>
      </w:pPr>
      <w:r w:rsidRPr="005750C5">
        <w:t xml:space="preserve">Listing was requested on the basis of </w:t>
      </w:r>
      <w:r w:rsidR="00107DC9">
        <w:t xml:space="preserve">a </w:t>
      </w:r>
      <w:r w:rsidRPr="005750C5">
        <w:t>cost-minimisation</w:t>
      </w:r>
      <w:r>
        <w:t xml:space="preserve"> </w:t>
      </w:r>
      <w:r w:rsidR="00107DC9">
        <w:t xml:space="preserve">approach (CMA) </w:t>
      </w:r>
      <w:r w:rsidRPr="005750C5">
        <w:t>versus</w:t>
      </w:r>
      <w:r>
        <w:t xml:space="preserve"> levodopa/carbidopa intestinal gel (LCIG).</w:t>
      </w:r>
    </w:p>
    <w:p w14:paraId="027EA770" w14:textId="38EEBB31" w:rsidR="00C440A2" w:rsidRPr="004A6040" w:rsidRDefault="00C440A2" w:rsidP="00C440A2">
      <w:pPr>
        <w:pStyle w:val="TableFigureHeading"/>
        <w:rPr>
          <w:rStyle w:val="CommentReference"/>
          <w:b/>
          <w:szCs w:val="24"/>
        </w:rPr>
      </w:pPr>
      <w:r>
        <w:t xml:space="preserve">Table </w:t>
      </w:r>
      <w:r w:rsidR="000A217C">
        <w:fldChar w:fldCharType="begin"/>
      </w:r>
      <w:r w:rsidR="000A217C">
        <w:instrText xml:space="preserve"> SEQ Table \* ARABIC </w:instrText>
      </w:r>
      <w:r w:rsidR="000A217C">
        <w:fldChar w:fldCharType="separate"/>
      </w:r>
      <w:r w:rsidR="0043339D">
        <w:rPr>
          <w:noProof/>
        </w:rPr>
        <w:t>1</w:t>
      </w:r>
      <w:r w:rsidR="000A217C">
        <w:rPr>
          <w:noProof/>
        </w:rPr>
        <w:fldChar w:fldCharType="end"/>
      </w:r>
      <w:r>
        <w:t>:</w:t>
      </w:r>
      <w:r w:rsidRPr="004A6040">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3"/>
      </w:tblGrid>
      <w:tr w:rsidR="00C440A2" w:rsidRPr="00A518F3" w14:paraId="48DFC0A2" w14:textId="77777777" w:rsidTr="00C061F0">
        <w:tc>
          <w:tcPr>
            <w:tcW w:w="911" w:type="pct"/>
            <w:vAlign w:val="center"/>
          </w:tcPr>
          <w:p w14:paraId="4FEA2284" w14:textId="77777777" w:rsidR="00C440A2" w:rsidRPr="00A518F3" w:rsidRDefault="00C440A2" w:rsidP="00902B2C">
            <w:pPr>
              <w:pStyle w:val="In-tableHeading"/>
            </w:pPr>
            <w:r w:rsidRPr="00A518F3">
              <w:t>Component</w:t>
            </w:r>
          </w:p>
        </w:tc>
        <w:tc>
          <w:tcPr>
            <w:tcW w:w="4089" w:type="pct"/>
            <w:vAlign w:val="center"/>
          </w:tcPr>
          <w:p w14:paraId="643B0FF3" w14:textId="77777777" w:rsidR="00C440A2" w:rsidRPr="00A518F3" w:rsidRDefault="00C440A2" w:rsidP="00902B2C">
            <w:pPr>
              <w:pStyle w:val="In-tableHeading"/>
            </w:pPr>
            <w:r w:rsidRPr="00A518F3">
              <w:t>Description</w:t>
            </w:r>
          </w:p>
        </w:tc>
      </w:tr>
      <w:tr w:rsidR="00C440A2" w14:paraId="023108F1" w14:textId="77777777" w:rsidTr="00C061F0">
        <w:tc>
          <w:tcPr>
            <w:tcW w:w="911" w:type="pct"/>
            <w:vAlign w:val="center"/>
          </w:tcPr>
          <w:p w14:paraId="4AEDDB25" w14:textId="77777777" w:rsidR="00C440A2" w:rsidRDefault="00C440A2" w:rsidP="00902B2C">
            <w:pPr>
              <w:pStyle w:val="TableText0"/>
            </w:pPr>
            <w:r>
              <w:t>Population</w:t>
            </w:r>
          </w:p>
        </w:tc>
        <w:tc>
          <w:tcPr>
            <w:tcW w:w="4089" w:type="pct"/>
            <w:vAlign w:val="center"/>
          </w:tcPr>
          <w:p w14:paraId="21FD018B" w14:textId="7D448387" w:rsidR="00C440A2" w:rsidRDefault="00C440A2" w:rsidP="00902B2C">
            <w:pPr>
              <w:pStyle w:val="TableText0"/>
            </w:pPr>
            <w:r w:rsidRPr="00AE1BE9">
              <w:t>Patients with advanced Parkinson’s disease with severe disabling motor fluctuations not adequately controlled by oral therapy</w:t>
            </w:r>
            <w:r w:rsidR="00D216C3">
              <w:t>.</w:t>
            </w:r>
          </w:p>
        </w:tc>
      </w:tr>
      <w:tr w:rsidR="00C440A2" w14:paraId="7B05B665" w14:textId="77777777" w:rsidTr="00C061F0">
        <w:tc>
          <w:tcPr>
            <w:tcW w:w="911" w:type="pct"/>
            <w:vAlign w:val="center"/>
          </w:tcPr>
          <w:p w14:paraId="2E30B80E" w14:textId="77777777" w:rsidR="00C440A2" w:rsidRDefault="00C440A2" w:rsidP="00902B2C">
            <w:pPr>
              <w:pStyle w:val="TableText0"/>
            </w:pPr>
            <w:r>
              <w:t>Intervention</w:t>
            </w:r>
          </w:p>
        </w:tc>
        <w:tc>
          <w:tcPr>
            <w:tcW w:w="4089" w:type="pct"/>
            <w:vAlign w:val="center"/>
          </w:tcPr>
          <w:p w14:paraId="1E11B4E7" w14:textId="543264CD" w:rsidR="00C440A2" w:rsidRDefault="00C440A2" w:rsidP="00902B2C">
            <w:pPr>
              <w:pStyle w:val="TableText0"/>
            </w:pPr>
            <w:r>
              <w:t>24-hour continuous subcutaneous infusion of foslevodopa-foscarbidopa</w:t>
            </w:r>
            <w:r w:rsidR="005C158F">
              <w:t xml:space="preserve"> (FosLD/FosCD)</w:t>
            </w:r>
          </w:p>
          <w:p w14:paraId="2855B4CC" w14:textId="6BBE4406" w:rsidR="00C440A2" w:rsidRDefault="00C440A2" w:rsidP="00902B2C">
            <w:pPr>
              <w:pStyle w:val="TableText0"/>
            </w:pPr>
            <w:r>
              <w:t>(2400 mg levodopa-4-monophosphate and 120 mg carbidopa-4-monophosphate in 10</w:t>
            </w:r>
            <w:r w:rsidR="00164250">
              <w:t> </w:t>
            </w:r>
            <w:r>
              <w:t>mL vials)</w:t>
            </w:r>
            <w:r w:rsidR="00D216C3">
              <w:t>.</w:t>
            </w:r>
          </w:p>
        </w:tc>
      </w:tr>
      <w:tr w:rsidR="00C440A2" w14:paraId="40A56226" w14:textId="77777777" w:rsidTr="00C061F0">
        <w:tc>
          <w:tcPr>
            <w:tcW w:w="911" w:type="pct"/>
            <w:vAlign w:val="center"/>
          </w:tcPr>
          <w:p w14:paraId="25333B0D" w14:textId="77777777" w:rsidR="00C440A2" w:rsidRDefault="00C440A2" w:rsidP="00902B2C">
            <w:pPr>
              <w:pStyle w:val="TableText0"/>
            </w:pPr>
            <w:r>
              <w:t>Comparator</w:t>
            </w:r>
          </w:p>
        </w:tc>
        <w:tc>
          <w:tcPr>
            <w:tcW w:w="4089" w:type="pct"/>
            <w:vAlign w:val="center"/>
          </w:tcPr>
          <w:p w14:paraId="396D2D07" w14:textId="6D04F92D" w:rsidR="00C440A2" w:rsidRPr="00AE1BE9" w:rsidRDefault="00C440A2" w:rsidP="00902B2C">
            <w:pPr>
              <w:pStyle w:val="TableText0"/>
              <w:keepNext w:val="0"/>
              <w:rPr>
                <w:rFonts w:cstheme="minorHAnsi"/>
              </w:rPr>
            </w:pPr>
            <w:r w:rsidRPr="00AE1BE9">
              <w:rPr>
                <w:rFonts w:cstheme="minorHAnsi"/>
              </w:rPr>
              <w:t xml:space="preserve">16-hour continuous infusion of levodopa-carbidopa intestinal gel </w:t>
            </w:r>
            <w:r w:rsidR="005C158F">
              <w:rPr>
                <w:rFonts w:cstheme="minorHAnsi"/>
              </w:rPr>
              <w:t>(LCIG)</w:t>
            </w:r>
          </w:p>
          <w:p w14:paraId="2C652E13" w14:textId="5A8998F8" w:rsidR="00C440A2" w:rsidRPr="00AE1BE9" w:rsidRDefault="00C440A2" w:rsidP="00902B2C">
            <w:pPr>
              <w:pStyle w:val="TableText0"/>
              <w:keepNext w:val="0"/>
              <w:rPr>
                <w:rFonts w:cstheme="minorHAnsi"/>
              </w:rPr>
            </w:pPr>
            <w:r w:rsidRPr="00AE1BE9">
              <w:rPr>
                <w:rFonts w:cstheme="minorHAnsi"/>
              </w:rPr>
              <w:t>(2000</w:t>
            </w:r>
            <w:r w:rsidR="00164250">
              <w:rPr>
                <w:rFonts w:cstheme="minorHAnsi"/>
              </w:rPr>
              <w:t> </w:t>
            </w:r>
            <w:r w:rsidRPr="00AE1BE9">
              <w:rPr>
                <w:rFonts w:cstheme="minorHAnsi"/>
              </w:rPr>
              <w:t>mg levodopa and 500</w:t>
            </w:r>
            <w:r w:rsidR="00164250">
              <w:rPr>
                <w:rFonts w:cstheme="minorHAnsi"/>
              </w:rPr>
              <w:t> </w:t>
            </w:r>
            <w:r w:rsidRPr="00AE1BE9">
              <w:rPr>
                <w:rFonts w:cstheme="minorHAnsi"/>
              </w:rPr>
              <w:t>mg carbidopa monohydrate solution in 100</w:t>
            </w:r>
            <w:r w:rsidR="00164250">
              <w:rPr>
                <w:rFonts w:cstheme="minorHAnsi"/>
              </w:rPr>
              <w:t> </w:t>
            </w:r>
            <w:r w:rsidR="00440D89">
              <w:rPr>
                <w:rFonts w:cstheme="minorHAnsi"/>
              </w:rPr>
              <w:t>mL</w:t>
            </w:r>
            <w:r w:rsidRPr="00AE1BE9">
              <w:rPr>
                <w:rFonts w:cstheme="minorHAnsi"/>
              </w:rPr>
              <w:t xml:space="preserve"> cassettes)</w:t>
            </w:r>
            <w:r w:rsidR="00D216C3">
              <w:rPr>
                <w:rFonts w:cstheme="minorHAnsi"/>
              </w:rPr>
              <w:t>.</w:t>
            </w:r>
          </w:p>
        </w:tc>
      </w:tr>
      <w:tr w:rsidR="00C440A2" w14:paraId="73F93B57" w14:textId="77777777" w:rsidTr="00C061F0">
        <w:tc>
          <w:tcPr>
            <w:tcW w:w="911" w:type="pct"/>
            <w:vAlign w:val="center"/>
          </w:tcPr>
          <w:p w14:paraId="23B31E14" w14:textId="77777777" w:rsidR="00C440A2" w:rsidRDefault="00C440A2" w:rsidP="00902B2C">
            <w:pPr>
              <w:pStyle w:val="TableText0"/>
            </w:pPr>
            <w:r>
              <w:t>Outcomes</w:t>
            </w:r>
          </w:p>
        </w:tc>
        <w:tc>
          <w:tcPr>
            <w:tcW w:w="4089" w:type="pct"/>
            <w:shd w:val="clear" w:color="auto" w:fill="auto"/>
            <w:vAlign w:val="center"/>
          </w:tcPr>
          <w:p w14:paraId="2995A9AD" w14:textId="116F2BD1" w:rsidR="00C440A2" w:rsidRPr="009905F8" w:rsidRDefault="00C440A2" w:rsidP="00902B2C">
            <w:pPr>
              <w:pStyle w:val="TableText0"/>
            </w:pPr>
            <w:r w:rsidRPr="009905F8">
              <w:t xml:space="preserve">Disease activity endpoints: </w:t>
            </w:r>
            <w:r w:rsidR="00EB4EF1">
              <w:t>c</w:t>
            </w:r>
            <w:r w:rsidRPr="009905F8">
              <w:t>hange in mean number of “On” hours without troublesome dyskinesia, change in mean number of “Off” hours per day, change in MDS-UPDRS Part II score</w:t>
            </w:r>
            <w:r w:rsidR="00D216C3">
              <w:t>.</w:t>
            </w:r>
          </w:p>
          <w:p w14:paraId="6D9B2577" w14:textId="70F0A227" w:rsidR="00C440A2" w:rsidRPr="009905F8" w:rsidRDefault="00C440A2" w:rsidP="00902B2C">
            <w:pPr>
              <w:pStyle w:val="TableText0"/>
            </w:pPr>
            <w:r w:rsidRPr="009905F8">
              <w:t>Patient reported outcome: Change in PDQ-39 score</w:t>
            </w:r>
            <w:r w:rsidR="00D216C3">
              <w:t>.</w:t>
            </w:r>
          </w:p>
        </w:tc>
      </w:tr>
      <w:tr w:rsidR="00C440A2" w14:paraId="20BA3F86" w14:textId="77777777" w:rsidTr="00C061F0">
        <w:tc>
          <w:tcPr>
            <w:tcW w:w="911" w:type="pct"/>
            <w:vAlign w:val="center"/>
          </w:tcPr>
          <w:p w14:paraId="3B667536" w14:textId="77777777" w:rsidR="00C440A2" w:rsidRDefault="00C440A2" w:rsidP="00902B2C">
            <w:pPr>
              <w:pStyle w:val="TableText0"/>
            </w:pPr>
            <w:r>
              <w:t>Clinical claim</w:t>
            </w:r>
          </w:p>
        </w:tc>
        <w:tc>
          <w:tcPr>
            <w:tcW w:w="4089" w:type="pct"/>
            <w:shd w:val="clear" w:color="auto" w:fill="auto"/>
            <w:vAlign w:val="center"/>
          </w:tcPr>
          <w:p w14:paraId="64AB7527" w14:textId="2E787754" w:rsidR="00C440A2" w:rsidRPr="009905F8" w:rsidRDefault="00C440A2" w:rsidP="00902B2C">
            <w:pPr>
              <w:pStyle w:val="TableText0"/>
            </w:pPr>
            <w:r w:rsidRPr="009905F8">
              <w:t xml:space="preserve">In patients with advanced PD with severe disabling motor fluctuations not adequately controlled by oral therapy, </w:t>
            </w:r>
            <w:r w:rsidR="003C4EF9" w:rsidRPr="009905F8">
              <w:t>F</w:t>
            </w:r>
            <w:r w:rsidRPr="009905F8">
              <w:t>osLD/</w:t>
            </w:r>
            <w:r w:rsidR="003C4EF9" w:rsidRPr="009905F8">
              <w:t>F</w:t>
            </w:r>
            <w:r w:rsidRPr="009905F8">
              <w:t xml:space="preserve">osCD </w:t>
            </w:r>
            <w:r w:rsidR="005C158F" w:rsidRPr="009905F8">
              <w:t>CSCI</w:t>
            </w:r>
            <w:r w:rsidRPr="009905F8">
              <w:t xml:space="preserve"> is non-inferior to LCIG in terms of efficacy and safety.</w:t>
            </w:r>
          </w:p>
        </w:tc>
      </w:tr>
    </w:tbl>
    <w:p w14:paraId="2423AFCE" w14:textId="282226FB" w:rsidR="00C440A2" w:rsidRDefault="00C440A2" w:rsidP="00C440A2">
      <w:pPr>
        <w:pStyle w:val="FooterTableFigure"/>
      </w:pPr>
      <w:r>
        <w:t>Source: Table 1-1, p30 of the submission.</w:t>
      </w:r>
    </w:p>
    <w:p w14:paraId="413E3FC7" w14:textId="60F03DE4" w:rsidR="00047C17" w:rsidRPr="00B80DCC" w:rsidRDefault="008C08BD" w:rsidP="00C440A2">
      <w:pPr>
        <w:pStyle w:val="FooterTableFigure"/>
        <w:rPr>
          <w:szCs w:val="18"/>
        </w:rPr>
      </w:pPr>
      <w:r>
        <w:rPr>
          <w:szCs w:val="18"/>
        </w:rPr>
        <w:t xml:space="preserve">Abbreviations: </w:t>
      </w:r>
      <w:r w:rsidR="005C158F" w:rsidRPr="00B80DCC">
        <w:rPr>
          <w:szCs w:val="18"/>
        </w:rPr>
        <w:t xml:space="preserve">CSCI = continuous subcutaneous infusion; </w:t>
      </w:r>
      <w:r w:rsidR="00047C17" w:rsidRPr="00B80DCC">
        <w:rPr>
          <w:szCs w:val="18"/>
        </w:rPr>
        <w:t xml:space="preserve">FosLD/FosCD = foslevodopa/foscarbidopa; LCIG = levodopa carbidopa intestinal gel; </w:t>
      </w:r>
      <w:r w:rsidR="0058327B" w:rsidRPr="00B80DCC">
        <w:rPr>
          <w:szCs w:val="18"/>
        </w:rPr>
        <w:t>MDS</w:t>
      </w:r>
      <w:r w:rsidR="00B37C4D" w:rsidRPr="00B80DCC">
        <w:rPr>
          <w:szCs w:val="18"/>
        </w:rPr>
        <w:t xml:space="preserve"> = Movement Disorder Society</w:t>
      </w:r>
      <w:r w:rsidR="0058327B" w:rsidRPr="00B80DCC">
        <w:rPr>
          <w:szCs w:val="18"/>
        </w:rPr>
        <w:t>; PD = Parkinson’s disease; PDQ = Parkinson’s disease questionnaire</w:t>
      </w:r>
      <w:r w:rsidR="00556F4D" w:rsidRPr="00B80DCC">
        <w:rPr>
          <w:szCs w:val="18"/>
        </w:rPr>
        <w:t>; UPDRS = unified Parkinson’s disease rating scale</w:t>
      </w:r>
    </w:p>
    <w:p w14:paraId="081C2730" w14:textId="77777777" w:rsidR="00C440A2" w:rsidRPr="00407F2D" w:rsidRDefault="00C440A2" w:rsidP="00C440A2">
      <w:pPr>
        <w:pStyle w:val="2-SectionHeading"/>
      </w:pPr>
      <w:bookmarkStart w:id="3" w:name="_Toc135071996"/>
      <w:r w:rsidRPr="00407F2D">
        <w:t>Background</w:t>
      </w:r>
      <w:bookmarkEnd w:id="3"/>
    </w:p>
    <w:p w14:paraId="3B181C80" w14:textId="77777777" w:rsidR="00C440A2" w:rsidRPr="00AF30D8" w:rsidRDefault="00C440A2" w:rsidP="00C440A2">
      <w:pPr>
        <w:pStyle w:val="4-SubsectionHeading"/>
        <w:rPr>
          <w:iCs/>
        </w:rPr>
      </w:pPr>
      <w:bookmarkStart w:id="4" w:name="_Toc22897638"/>
      <w:bookmarkStart w:id="5" w:name="_Toc135071997"/>
      <w:r w:rsidRPr="00AF30D8">
        <w:rPr>
          <w:iCs/>
        </w:rPr>
        <w:t>Registration status</w:t>
      </w:r>
      <w:bookmarkEnd w:id="4"/>
      <w:bookmarkEnd w:id="5"/>
    </w:p>
    <w:p w14:paraId="119ADA42" w14:textId="0243A96F" w:rsidR="00E967E8" w:rsidRDefault="001643C2" w:rsidP="003945B8">
      <w:pPr>
        <w:pStyle w:val="3-BodyText"/>
      </w:pPr>
      <w:r w:rsidRPr="00C01FAE">
        <w:t>Foslevodopa/foscarbidopa (</w:t>
      </w:r>
      <w:r w:rsidR="00C440A2" w:rsidRPr="00C01FAE">
        <w:t>FosLD/FosCD</w:t>
      </w:r>
      <w:r w:rsidRPr="00C01FAE">
        <w:t>)</w:t>
      </w:r>
      <w:r w:rsidR="00C440A2" w:rsidRPr="00C01FAE">
        <w:t xml:space="preserve"> was </w:t>
      </w:r>
      <w:r w:rsidR="00211BA4" w:rsidRPr="00C01FAE">
        <w:t xml:space="preserve">submitted </w:t>
      </w:r>
      <w:r w:rsidR="004967F6" w:rsidRPr="00C01FAE">
        <w:t>under the</w:t>
      </w:r>
      <w:r w:rsidR="00E20A26">
        <w:t xml:space="preserve"> Therapeutic Goods Administration</w:t>
      </w:r>
      <w:r w:rsidR="004967F6" w:rsidRPr="00C01FAE">
        <w:t xml:space="preserve"> </w:t>
      </w:r>
      <w:r w:rsidR="00E20A26">
        <w:t>(</w:t>
      </w:r>
      <w:r w:rsidR="004967F6" w:rsidRPr="00C01FAE">
        <w:t>TGA</w:t>
      </w:r>
      <w:r w:rsidR="00E20A26">
        <w:t>)</w:t>
      </w:r>
      <w:r w:rsidR="004967F6" w:rsidRPr="00C01FAE">
        <w:t>/</w:t>
      </w:r>
      <w:r w:rsidR="00E20A26">
        <w:t>Pharmaceutical Benefits Advisory Committee (</w:t>
      </w:r>
      <w:r w:rsidR="004967F6" w:rsidRPr="00C01FAE">
        <w:t>PBAC</w:t>
      </w:r>
      <w:r w:rsidR="00E20A26">
        <w:t>)</w:t>
      </w:r>
      <w:r w:rsidR="004967F6" w:rsidRPr="00C01FAE">
        <w:t xml:space="preserve"> parallel process</w:t>
      </w:r>
      <w:r w:rsidR="003638A6" w:rsidRPr="00C01FAE">
        <w:t>.</w:t>
      </w:r>
    </w:p>
    <w:p w14:paraId="3FD2AD50" w14:textId="4F8DE519" w:rsidR="004B64FC" w:rsidRPr="005D5677" w:rsidRDefault="004B64FC" w:rsidP="003945B8">
      <w:pPr>
        <w:pStyle w:val="3-BodyText"/>
      </w:pPr>
      <w:r>
        <w:t>FosLD/FosCD</w:t>
      </w:r>
      <w:r w:rsidRPr="005D5677">
        <w:t xml:space="preserve"> is to be administered with the Vyafuser pump and ancillary devices:</w:t>
      </w:r>
    </w:p>
    <w:p w14:paraId="104F9C0C" w14:textId="77777777" w:rsidR="004B64FC" w:rsidRPr="005D5677" w:rsidRDefault="004B64FC" w:rsidP="004F7504">
      <w:pPr>
        <w:pStyle w:val="ListParagraph"/>
      </w:pPr>
      <w:r w:rsidRPr="005D5677">
        <w:t>Vyafuser pump (legal manufacturer: Phillips-Medisize, ARTG registration sponsored by Emergo)</w:t>
      </w:r>
    </w:p>
    <w:p w14:paraId="592244DC" w14:textId="77777777" w:rsidR="004B64FC" w:rsidRPr="005D5677" w:rsidRDefault="004B64FC" w:rsidP="004F7504">
      <w:pPr>
        <w:pStyle w:val="ListParagraph"/>
      </w:pPr>
      <w:r w:rsidRPr="005D5677">
        <w:t>Syringe (legal manufacturer and ARTG registration sponsored by: B Braun)</w:t>
      </w:r>
    </w:p>
    <w:p w14:paraId="12B89739" w14:textId="77777777" w:rsidR="004B64FC" w:rsidRPr="005D5677" w:rsidRDefault="004B64FC" w:rsidP="004F7504">
      <w:pPr>
        <w:pStyle w:val="ListParagraph"/>
      </w:pPr>
      <w:r w:rsidRPr="005D5677">
        <w:lastRenderedPageBreak/>
        <w:t>Neria Guard Infusion set (legal manufacturer and ARTG registration sponsored by: ConvaTec)</w:t>
      </w:r>
    </w:p>
    <w:p w14:paraId="4E8E1D61" w14:textId="77777777" w:rsidR="004B64FC" w:rsidRPr="003945B8" w:rsidRDefault="004B64FC" w:rsidP="004F7504">
      <w:pPr>
        <w:pStyle w:val="ListParagraph"/>
      </w:pPr>
      <w:r w:rsidRPr="003945B8">
        <w:t>Vial adapter (legal manufacturer: West Pharma; ARTG registration sponsored by: Emergo).</w:t>
      </w:r>
    </w:p>
    <w:p w14:paraId="1A7A7F57" w14:textId="77777777" w:rsidR="00E967E8" w:rsidRDefault="004B64FC" w:rsidP="003945B8">
      <w:pPr>
        <w:pStyle w:val="3-BodyText"/>
      </w:pPr>
      <w:r>
        <w:t xml:space="preserve">Consideration of FosLD/FosCD by the PBAC was initially requested for the July 2023 meeting. Consideration was deferred after receiving advice that a regulatory decision would be made once </w:t>
      </w:r>
      <w:r w:rsidR="004523CF">
        <w:t xml:space="preserve">the </w:t>
      </w:r>
      <w:r>
        <w:t>Vyafuser pump device had been assessed for registration.</w:t>
      </w:r>
    </w:p>
    <w:p w14:paraId="16B1E8C3" w14:textId="7CB3D836" w:rsidR="002F0B2F" w:rsidRDefault="004B64FC" w:rsidP="003945B8">
      <w:pPr>
        <w:pStyle w:val="3-BodyText"/>
      </w:pPr>
      <w:r>
        <w:t xml:space="preserve">The Vyafuser pump device was included in the ARTG on 22 February 2024, and </w:t>
      </w:r>
      <w:r w:rsidRPr="00C01FAE">
        <w:t>FosLD/FosCD was TGA registered on 1 March 2024.</w:t>
      </w:r>
      <w:bookmarkStart w:id="6" w:name="_Hlk133913678"/>
    </w:p>
    <w:p w14:paraId="7C7A70EB" w14:textId="77777777" w:rsidR="00C440A2" w:rsidRPr="00882085" w:rsidRDefault="00C440A2" w:rsidP="00C440A2">
      <w:pPr>
        <w:pStyle w:val="2-SectionHeading"/>
      </w:pPr>
      <w:bookmarkStart w:id="7" w:name="_Toc107902078"/>
      <w:bookmarkStart w:id="8" w:name="_Toc135071998"/>
      <w:bookmarkEnd w:id="6"/>
      <w:bookmarkEnd w:id="7"/>
      <w:r w:rsidRPr="00407F2D">
        <w:t>Requested listing</w:t>
      </w:r>
      <w:bookmarkEnd w:id="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2393"/>
        <w:gridCol w:w="815"/>
        <w:gridCol w:w="814"/>
        <w:gridCol w:w="815"/>
        <w:gridCol w:w="1829"/>
      </w:tblGrid>
      <w:tr w:rsidR="00C440A2" w:rsidRPr="001428E9" w14:paraId="3D8AB796" w14:textId="77777777" w:rsidTr="00A555E5">
        <w:trPr>
          <w:cantSplit/>
          <w:trHeight w:val="20"/>
        </w:trPr>
        <w:tc>
          <w:tcPr>
            <w:tcW w:w="2410" w:type="dxa"/>
            <w:vAlign w:val="center"/>
          </w:tcPr>
          <w:p w14:paraId="004AD00D" w14:textId="12E070C9" w:rsidR="00C440A2" w:rsidRPr="001428E9" w:rsidRDefault="00C440A2" w:rsidP="00902B2C">
            <w:pPr>
              <w:keepNext/>
              <w:keepLines/>
              <w:rPr>
                <w:rFonts w:ascii="Arial Narrow" w:hAnsi="Arial Narrow"/>
                <w:b/>
                <w:bCs/>
                <w:sz w:val="20"/>
                <w:szCs w:val="20"/>
              </w:rPr>
            </w:pPr>
            <w:bookmarkStart w:id="9" w:name="_Hlk104809082"/>
            <w:r w:rsidRPr="001428E9">
              <w:rPr>
                <w:rFonts w:ascii="Arial Narrow" w:hAnsi="Arial Narrow"/>
                <w:b/>
                <w:bCs/>
                <w:sz w:val="20"/>
                <w:szCs w:val="20"/>
              </w:rPr>
              <w:t>MEDICINAL PRODUCT</w:t>
            </w:r>
          </w:p>
          <w:p w14:paraId="511C2CC2" w14:textId="77777777" w:rsidR="00C440A2" w:rsidRPr="001428E9" w:rsidRDefault="00C440A2" w:rsidP="00902B2C">
            <w:pPr>
              <w:keepNext/>
              <w:keepLines/>
              <w:rPr>
                <w:rFonts w:ascii="Arial Narrow" w:hAnsi="Arial Narrow"/>
                <w:b/>
                <w:sz w:val="20"/>
                <w:szCs w:val="20"/>
              </w:rPr>
            </w:pPr>
            <w:r w:rsidRPr="001428E9">
              <w:rPr>
                <w:rFonts w:ascii="Arial Narrow" w:hAnsi="Arial Narrow"/>
                <w:b/>
                <w:bCs/>
                <w:sz w:val="20"/>
                <w:szCs w:val="20"/>
              </w:rPr>
              <w:t>medicinal product pack</w:t>
            </w:r>
          </w:p>
        </w:tc>
        <w:tc>
          <w:tcPr>
            <w:tcW w:w="2454" w:type="dxa"/>
            <w:vAlign w:val="center"/>
          </w:tcPr>
          <w:p w14:paraId="40EDE47F" w14:textId="77777777" w:rsidR="00C440A2" w:rsidRPr="00C61A59" w:rsidRDefault="00C440A2" w:rsidP="00902B2C">
            <w:pPr>
              <w:pStyle w:val="TableText0"/>
              <w:keepLines/>
              <w:rPr>
                <w:b/>
                <w:bCs w:val="0"/>
                <w:szCs w:val="20"/>
              </w:rPr>
            </w:pPr>
            <w:r w:rsidRPr="00C61A59">
              <w:rPr>
                <w:b/>
                <w:bCs w:val="0"/>
                <w:snapToGrid w:val="0"/>
              </w:rPr>
              <w:t xml:space="preserve">Dispensed Price for Max. Qty </w:t>
            </w:r>
          </w:p>
        </w:tc>
        <w:tc>
          <w:tcPr>
            <w:tcW w:w="832" w:type="dxa"/>
            <w:vAlign w:val="center"/>
          </w:tcPr>
          <w:p w14:paraId="0163B215" w14:textId="77777777" w:rsidR="00C440A2" w:rsidRPr="001428E9" w:rsidRDefault="00C440A2" w:rsidP="00902B2C">
            <w:pPr>
              <w:keepNext/>
              <w:keepLines/>
              <w:jc w:val="center"/>
              <w:rPr>
                <w:rFonts w:ascii="Arial Narrow" w:hAnsi="Arial Narrow"/>
                <w:b/>
                <w:sz w:val="20"/>
                <w:szCs w:val="20"/>
              </w:rPr>
            </w:pPr>
            <w:r w:rsidRPr="001428E9">
              <w:rPr>
                <w:rFonts w:ascii="Arial Narrow" w:hAnsi="Arial Narrow"/>
                <w:b/>
                <w:sz w:val="20"/>
                <w:szCs w:val="20"/>
              </w:rPr>
              <w:t>Max. qty packs</w:t>
            </w:r>
          </w:p>
        </w:tc>
        <w:tc>
          <w:tcPr>
            <w:tcW w:w="831" w:type="dxa"/>
            <w:vAlign w:val="center"/>
          </w:tcPr>
          <w:p w14:paraId="68B39037" w14:textId="77777777" w:rsidR="00C440A2" w:rsidRPr="001428E9" w:rsidRDefault="00C440A2" w:rsidP="00902B2C">
            <w:pPr>
              <w:keepNext/>
              <w:keepLines/>
              <w:jc w:val="center"/>
              <w:rPr>
                <w:rFonts w:ascii="Arial Narrow" w:hAnsi="Arial Narrow"/>
                <w:b/>
                <w:sz w:val="20"/>
                <w:szCs w:val="20"/>
              </w:rPr>
            </w:pPr>
            <w:r w:rsidRPr="001428E9">
              <w:rPr>
                <w:rFonts w:ascii="Arial Narrow" w:hAnsi="Arial Narrow"/>
                <w:b/>
                <w:sz w:val="20"/>
                <w:szCs w:val="20"/>
              </w:rPr>
              <w:t>Max. qty units</w:t>
            </w:r>
          </w:p>
        </w:tc>
        <w:tc>
          <w:tcPr>
            <w:tcW w:w="832" w:type="dxa"/>
            <w:vAlign w:val="center"/>
          </w:tcPr>
          <w:p w14:paraId="4BB07DD9" w14:textId="77777777" w:rsidR="00C440A2" w:rsidRPr="001428E9" w:rsidRDefault="00C440A2" w:rsidP="00902B2C">
            <w:pPr>
              <w:keepNext/>
              <w:keepLines/>
              <w:jc w:val="center"/>
              <w:rPr>
                <w:rFonts w:ascii="Arial Narrow" w:hAnsi="Arial Narrow"/>
                <w:b/>
                <w:sz w:val="20"/>
                <w:szCs w:val="20"/>
              </w:rPr>
            </w:pPr>
            <w:r w:rsidRPr="001428E9">
              <w:rPr>
                <w:rFonts w:ascii="Arial Narrow" w:hAnsi="Arial Narrow"/>
                <w:b/>
                <w:sz w:val="20"/>
                <w:szCs w:val="20"/>
              </w:rPr>
              <w:t>№.of</w:t>
            </w:r>
          </w:p>
          <w:p w14:paraId="4CD8DA67" w14:textId="77777777" w:rsidR="00C440A2" w:rsidRPr="001428E9" w:rsidRDefault="00C440A2" w:rsidP="00902B2C">
            <w:pPr>
              <w:keepNext/>
              <w:keepLines/>
              <w:jc w:val="center"/>
              <w:rPr>
                <w:rFonts w:ascii="Arial Narrow" w:hAnsi="Arial Narrow"/>
                <w:b/>
                <w:sz w:val="20"/>
                <w:szCs w:val="20"/>
              </w:rPr>
            </w:pPr>
            <w:r w:rsidRPr="001428E9">
              <w:rPr>
                <w:rFonts w:ascii="Arial Narrow" w:hAnsi="Arial Narrow"/>
                <w:b/>
                <w:sz w:val="20"/>
                <w:szCs w:val="20"/>
              </w:rPr>
              <w:t>Rpts</w:t>
            </w:r>
          </w:p>
        </w:tc>
        <w:tc>
          <w:tcPr>
            <w:tcW w:w="1875" w:type="dxa"/>
            <w:vAlign w:val="center"/>
          </w:tcPr>
          <w:p w14:paraId="363F82D3" w14:textId="77777777" w:rsidR="00C440A2" w:rsidRPr="001428E9" w:rsidRDefault="00C440A2" w:rsidP="00902B2C">
            <w:pPr>
              <w:keepNext/>
              <w:keepLines/>
              <w:rPr>
                <w:rFonts w:ascii="Arial Narrow" w:hAnsi="Arial Narrow"/>
                <w:b/>
                <w:sz w:val="20"/>
                <w:szCs w:val="20"/>
                <w:lang w:val="fr-FR"/>
              </w:rPr>
            </w:pPr>
            <w:r w:rsidRPr="001428E9">
              <w:rPr>
                <w:rFonts w:ascii="Arial Narrow" w:hAnsi="Arial Narrow"/>
                <w:b/>
                <w:sz w:val="20"/>
                <w:szCs w:val="20"/>
              </w:rPr>
              <w:t>Available brands</w:t>
            </w:r>
          </w:p>
        </w:tc>
      </w:tr>
      <w:tr w:rsidR="00C440A2" w:rsidRPr="001428E9" w14:paraId="7A37D85E" w14:textId="77777777" w:rsidTr="00A555E5">
        <w:trPr>
          <w:cantSplit/>
          <w:trHeight w:val="20"/>
        </w:trPr>
        <w:tc>
          <w:tcPr>
            <w:tcW w:w="9234" w:type="dxa"/>
            <w:gridSpan w:val="6"/>
            <w:vAlign w:val="center"/>
          </w:tcPr>
          <w:p w14:paraId="0DB1D4A8" w14:textId="77777777" w:rsidR="00C440A2" w:rsidRPr="001428E9" w:rsidRDefault="00C440A2" w:rsidP="00902B2C">
            <w:pPr>
              <w:pStyle w:val="TableText0"/>
              <w:keepLines/>
              <w:rPr>
                <w:rFonts w:cs="Arial"/>
                <w:szCs w:val="20"/>
              </w:rPr>
            </w:pPr>
            <w:r>
              <w:t>FOSLEVODOPA/FOSCARBIDOPA</w:t>
            </w:r>
          </w:p>
        </w:tc>
      </w:tr>
      <w:tr w:rsidR="00C440A2" w:rsidRPr="003A4C14" w14:paraId="2DB7424F" w14:textId="77777777" w:rsidTr="00A555E5">
        <w:trPr>
          <w:cantSplit/>
          <w:trHeight w:val="20"/>
        </w:trPr>
        <w:tc>
          <w:tcPr>
            <w:tcW w:w="2410" w:type="dxa"/>
            <w:vAlign w:val="center"/>
          </w:tcPr>
          <w:p w14:paraId="4B7475D9" w14:textId="52C11130" w:rsidR="00C440A2" w:rsidRPr="00210254" w:rsidRDefault="00C440A2" w:rsidP="00902B2C">
            <w:pPr>
              <w:keepNext/>
              <w:jc w:val="left"/>
              <w:rPr>
                <w:rFonts w:ascii="Arial Narrow" w:eastAsia="Calibri" w:hAnsi="Arial Narrow" w:cs="Times New Roman"/>
                <w:sz w:val="20"/>
                <w:szCs w:val="20"/>
                <w:lang w:bidi="he-IL"/>
              </w:rPr>
            </w:pPr>
            <w:bookmarkStart w:id="10" w:name="_Hlk134468797"/>
            <w:r w:rsidRPr="00210254">
              <w:rPr>
                <w:rFonts w:ascii="Arial Narrow" w:eastAsia="Calibri" w:hAnsi="Arial Narrow" w:cs="Times New Roman"/>
                <w:sz w:val="20"/>
                <w:szCs w:val="20"/>
                <w:lang w:bidi="he-IL"/>
              </w:rPr>
              <w:t>Foslevodopa foscarbidopa; 2400 mg/10 mL and 120</w:t>
            </w:r>
            <w:r w:rsidR="00EB4EF1">
              <w:rPr>
                <w:rFonts w:ascii="Arial Narrow" w:eastAsia="Calibri" w:hAnsi="Arial Narrow" w:cs="Times New Roman"/>
                <w:sz w:val="20"/>
                <w:szCs w:val="20"/>
                <w:lang w:bidi="he-IL"/>
              </w:rPr>
              <w:t> </w:t>
            </w:r>
            <w:r w:rsidRPr="00210254">
              <w:rPr>
                <w:rFonts w:ascii="Arial Narrow" w:eastAsia="Calibri" w:hAnsi="Arial Narrow" w:cs="Times New Roman"/>
                <w:sz w:val="20"/>
                <w:szCs w:val="20"/>
                <w:lang w:bidi="he-IL"/>
              </w:rPr>
              <w:t>mg/10</w:t>
            </w:r>
            <w:r w:rsidR="00EB4EF1">
              <w:rPr>
                <w:rFonts w:ascii="Arial Narrow" w:eastAsia="Calibri" w:hAnsi="Arial Narrow" w:cs="Times New Roman"/>
                <w:sz w:val="20"/>
                <w:szCs w:val="20"/>
                <w:lang w:bidi="he-IL"/>
              </w:rPr>
              <w:t> </w:t>
            </w:r>
            <w:r w:rsidRPr="00210254">
              <w:rPr>
                <w:rFonts w:ascii="Arial Narrow" w:eastAsia="Calibri" w:hAnsi="Arial Narrow" w:cs="Times New Roman"/>
                <w:sz w:val="20"/>
                <w:szCs w:val="20"/>
                <w:lang w:bidi="he-IL"/>
              </w:rPr>
              <w:t xml:space="preserve">mL </w:t>
            </w:r>
            <w:bookmarkEnd w:id="10"/>
            <w:r w:rsidRPr="00210254">
              <w:rPr>
                <w:rFonts w:ascii="Arial Narrow" w:eastAsia="Calibri" w:hAnsi="Arial Narrow" w:cs="Times New Roman"/>
                <w:sz w:val="20"/>
                <w:szCs w:val="20"/>
                <w:lang w:bidi="he-IL"/>
              </w:rPr>
              <w:t>continuous subcutaneous infusion;</w:t>
            </w:r>
          </w:p>
          <w:p w14:paraId="4DD9EEA8" w14:textId="578FF3D2" w:rsidR="00C440A2" w:rsidRPr="00210254" w:rsidRDefault="001B38A6" w:rsidP="00902B2C">
            <w:pPr>
              <w:keepNext/>
              <w:keepLines/>
              <w:rPr>
                <w:rFonts w:ascii="Arial Narrow" w:hAnsi="Arial Narrow"/>
                <w:color w:val="0066FF"/>
                <w:sz w:val="20"/>
                <w:szCs w:val="20"/>
              </w:rPr>
            </w:pPr>
            <w:r w:rsidRPr="00C95A87">
              <w:rPr>
                <w:rFonts w:ascii="Arial Narrow" w:eastAsia="Calibri" w:hAnsi="Arial Narrow" w:cs="Times New Roman"/>
                <w:iCs/>
                <w:sz w:val="20"/>
                <w:szCs w:val="20"/>
                <w:lang w:bidi="he-IL"/>
              </w:rPr>
              <w:t xml:space="preserve">7 </w:t>
            </w:r>
            <w:r w:rsidR="00C440A2" w:rsidRPr="00C95A87">
              <w:rPr>
                <w:rFonts w:ascii="Arial Narrow" w:eastAsia="Calibri" w:hAnsi="Arial Narrow" w:cs="Times New Roman"/>
                <w:iCs/>
                <w:sz w:val="20"/>
                <w:szCs w:val="20"/>
                <w:lang w:bidi="he-IL"/>
              </w:rPr>
              <w:t>vial</w:t>
            </w:r>
            <w:r w:rsidRPr="00C95A87">
              <w:rPr>
                <w:rFonts w:ascii="Arial Narrow" w:eastAsia="Calibri" w:hAnsi="Arial Narrow" w:cs="Times New Roman"/>
                <w:iCs/>
                <w:sz w:val="20"/>
                <w:szCs w:val="20"/>
                <w:lang w:bidi="he-IL"/>
              </w:rPr>
              <w:t>s</w:t>
            </w:r>
          </w:p>
        </w:tc>
        <w:tc>
          <w:tcPr>
            <w:tcW w:w="2454" w:type="dxa"/>
          </w:tcPr>
          <w:p w14:paraId="3CA5814B" w14:textId="7E52ABC2" w:rsidR="00C440A2" w:rsidRPr="00070BF3" w:rsidRDefault="00C440A2" w:rsidP="00902B2C">
            <w:pPr>
              <w:pStyle w:val="TableText0"/>
              <w:keepLines/>
              <w:jc w:val="center"/>
            </w:pPr>
            <w:r w:rsidRPr="00070BF3">
              <w:t xml:space="preserve">S100 </w:t>
            </w:r>
            <w:r w:rsidR="00EB4EF1">
              <w:t xml:space="preserve">HSD </w:t>
            </w:r>
            <w:r w:rsidRPr="00070BF3">
              <w:t>Public</w:t>
            </w:r>
          </w:p>
          <w:p w14:paraId="345DE10E" w14:textId="77777777" w:rsidR="00C440A2" w:rsidRPr="00070BF3" w:rsidRDefault="00C440A2" w:rsidP="00902B2C">
            <w:pPr>
              <w:pStyle w:val="TableText0"/>
              <w:keepLines/>
              <w:jc w:val="center"/>
            </w:pPr>
            <w:r w:rsidRPr="00070BF3">
              <w:t>$5,768.00 published price</w:t>
            </w:r>
          </w:p>
          <w:p w14:paraId="108FA284" w14:textId="453DA048" w:rsidR="00C440A2" w:rsidRPr="00070BF3" w:rsidRDefault="00C440A2" w:rsidP="00902B2C">
            <w:pPr>
              <w:pStyle w:val="TableText0"/>
              <w:keepLines/>
              <w:jc w:val="center"/>
            </w:pPr>
            <w:r w:rsidRPr="00B42BBE">
              <w:rPr>
                <w:iCs/>
              </w:rPr>
              <w:t>$</w:t>
            </w:r>
            <w:r w:rsidR="004B6FE2" w:rsidRPr="00A0676B">
              <w:rPr>
                <w:rFonts w:hint="eastAsia"/>
                <w:iCs/>
                <w:color w:val="000000"/>
                <w:spacing w:val="-190"/>
                <w:shd w:val="solid" w:color="000000" w:fill="000000"/>
                <w:fitText w:val="10" w:id="-930964992"/>
                <w14:textFill>
                  <w14:solidFill>
                    <w14:srgbClr w14:val="000000">
                      <w14:alpha w14:val="100000"/>
                    </w14:srgbClr>
                  </w14:solidFill>
                </w14:textFill>
              </w:rPr>
              <w:t xml:space="preserve">　</w:t>
            </w:r>
            <w:r w:rsidR="004B6FE2" w:rsidRPr="00136555">
              <w:rPr>
                <w:iCs/>
                <w:color w:val="000000"/>
                <w:w w:val="15"/>
                <w:shd w:val="solid" w:color="000000" w:fill="000000"/>
                <w14:textFill>
                  <w14:solidFill>
                    <w14:srgbClr w14:val="000000">
                      <w14:alpha w14:val="100000"/>
                    </w14:srgbClr>
                  </w14:solidFill>
                </w14:textFill>
              </w:rPr>
              <w:t>|</w:t>
            </w:r>
            <w:r w:rsidR="004B6FE2" w:rsidRPr="00E2623E">
              <w:rPr>
                <w:rFonts w:hint="eastAsia"/>
                <w:iCs/>
                <w:color w:val="000000"/>
                <w:w w:val="15"/>
                <w:shd w:val="solid" w:color="000000" w:fill="000000"/>
                <w14:textFill>
                  <w14:solidFill>
                    <w14:srgbClr w14:val="000000">
                      <w14:alpha w14:val="100000"/>
                    </w14:srgbClr>
                  </w14:solidFill>
                </w14:textFill>
              </w:rPr>
              <w:t xml:space="preserve">　</w:t>
            </w:r>
            <w:r w:rsidRPr="00070BF3">
              <w:t>effective price</w:t>
            </w:r>
          </w:p>
          <w:p w14:paraId="715A5FEB" w14:textId="77777777" w:rsidR="00C440A2" w:rsidRPr="00070BF3" w:rsidRDefault="00C440A2" w:rsidP="00902B2C">
            <w:pPr>
              <w:pStyle w:val="TableText0"/>
              <w:keepLines/>
              <w:jc w:val="center"/>
            </w:pPr>
          </w:p>
          <w:p w14:paraId="331E9C87" w14:textId="32C3399E" w:rsidR="00C440A2" w:rsidRPr="00070BF3" w:rsidRDefault="00C440A2" w:rsidP="00902B2C">
            <w:pPr>
              <w:pStyle w:val="TableText0"/>
              <w:keepLines/>
              <w:jc w:val="center"/>
            </w:pPr>
            <w:r w:rsidRPr="00070BF3">
              <w:t>S100</w:t>
            </w:r>
            <w:r w:rsidR="00EB4EF1">
              <w:t xml:space="preserve"> HSD</w:t>
            </w:r>
            <w:r w:rsidRPr="00070BF3">
              <w:t xml:space="preserve"> Private</w:t>
            </w:r>
          </w:p>
          <w:p w14:paraId="3867BF16" w14:textId="77777777" w:rsidR="00C440A2" w:rsidRPr="00070BF3" w:rsidRDefault="00C440A2" w:rsidP="00902B2C">
            <w:pPr>
              <w:pStyle w:val="TableText0"/>
              <w:keepLines/>
              <w:jc w:val="center"/>
            </w:pPr>
            <w:r w:rsidRPr="00070BF3">
              <w:t>$5,815.82 published price</w:t>
            </w:r>
          </w:p>
          <w:p w14:paraId="7F1A72E0" w14:textId="4CE21879" w:rsidR="00C440A2" w:rsidRPr="00070BF3" w:rsidRDefault="00C440A2" w:rsidP="00902B2C">
            <w:pPr>
              <w:pStyle w:val="TableText0"/>
              <w:keepLines/>
              <w:jc w:val="center"/>
            </w:pPr>
            <w:r w:rsidRPr="00B42BBE">
              <w:rPr>
                <w:iCs/>
              </w:rPr>
              <w:t>$</w:t>
            </w:r>
            <w:r w:rsidR="004B6FE2" w:rsidRPr="0043339D">
              <w:rPr>
                <w:rFonts w:hint="eastAsia"/>
                <w:iCs/>
                <w:color w:val="000000"/>
                <w:w w:val="15"/>
                <w:shd w:val="solid" w:color="000000" w:fill="000000"/>
                <w:fitText w:val="10" w:id="-930964991"/>
                <w14:textFill>
                  <w14:solidFill>
                    <w14:srgbClr w14:val="000000">
                      <w14:alpha w14:val="100000"/>
                    </w14:srgbClr>
                  </w14:solidFill>
                </w14:textFill>
              </w:rPr>
              <w:t xml:space="preserve">　</w:t>
            </w:r>
            <w:r w:rsidR="004B6FE2" w:rsidRPr="0043339D">
              <w:rPr>
                <w:iCs/>
                <w:color w:val="000000"/>
                <w:spacing w:val="-26"/>
                <w:w w:val="15"/>
                <w:shd w:val="solid" w:color="000000" w:fill="000000"/>
                <w:fitText w:val="10" w:id="-930964991"/>
                <w14:textFill>
                  <w14:solidFill>
                    <w14:srgbClr w14:val="000000">
                      <w14:alpha w14:val="100000"/>
                    </w14:srgbClr>
                  </w14:solidFill>
                </w14:textFill>
              </w:rPr>
              <w:t>|</w:t>
            </w:r>
            <w:r w:rsidR="004B6FE2" w:rsidRPr="00E2623E">
              <w:rPr>
                <w:rFonts w:hint="eastAsia"/>
                <w:iCs/>
                <w:color w:val="000000"/>
                <w:w w:val="15"/>
                <w:shd w:val="solid" w:color="000000" w:fill="000000"/>
                <w14:textFill>
                  <w14:solidFill>
                    <w14:srgbClr w14:val="000000">
                      <w14:alpha w14:val="100000"/>
                    </w14:srgbClr>
                  </w14:solidFill>
                </w14:textFill>
              </w:rPr>
              <w:t xml:space="preserve">　</w:t>
            </w:r>
            <w:r w:rsidRPr="00070BF3">
              <w:t>effective price</w:t>
            </w:r>
          </w:p>
          <w:p w14:paraId="34B5EAF2" w14:textId="77777777" w:rsidR="00C440A2" w:rsidRPr="00070BF3" w:rsidRDefault="00C440A2" w:rsidP="00902B2C">
            <w:pPr>
              <w:pStyle w:val="TableText0"/>
              <w:keepLines/>
              <w:jc w:val="center"/>
            </w:pPr>
          </w:p>
          <w:p w14:paraId="42030B39" w14:textId="3DAC16AB" w:rsidR="00C440A2" w:rsidRPr="00070BF3" w:rsidRDefault="00C440A2" w:rsidP="00902B2C">
            <w:pPr>
              <w:pStyle w:val="TableText0"/>
              <w:keepLines/>
              <w:jc w:val="center"/>
            </w:pPr>
            <w:r w:rsidRPr="00070BF3">
              <w:t xml:space="preserve">General </w:t>
            </w:r>
            <w:r w:rsidR="00EB4EF1">
              <w:t>S</w:t>
            </w:r>
            <w:r w:rsidRPr="00070BF3">
              <w:t>chedule</w:t>
            </w:r>
          </w:p>
          <w:p w14:paraId="09D26439" w14:textId="0DEE6D8C" w:rsidR="00C440A2" w:rsidRPr="00070BF3" w:rsidRDefault="00C440A2" w:rsidP="00902B2C">
            <w:pPr>
              <w:pStyle w:val="TableText0"/>
              <w:keepLines/>
              <w:jc w:val="center"/>
              <w:rPr>
                <w:vertAlign w:val="superscript"/>
              </w:rPr>
            </w:pPr>
            <w:r w:rsidRPr="00B42BBE">
              <w:rPr>
                <w:iCs/>
              </w:rPr>
              <w:t>$5,9</w:t>
            </w:r>
            <w:r w:rsidR="001D4E8A" w:rsidRPr="00B42BBE">
              <w:rPr>
                <w:iCs/>
              </w:rPr>
              <w:t>29.30</w:t>
            </w:r>
            <w:r w:rsidRPr="00070BF3">
              <w:t xml:space="preserve"> published price</w:t>
            </w:r>
          </w:p>
          <w:p w14:paraId="675BA25D" w14:textId="70592642" w:rsidR="00C440A2" w:rsidRPr="00070BF3" w:rsidRDefault="00C440A2" w:rsidP="00902B2C">
            <w:pPr>
              <w:pStyle w:val="TableText0"/>
              <w:keepLines/>
              <w:jc w:val="center"/>
              <w:rPr>
                <w:szCs w:val="20"/>
                <w:vertAlign w:val="superscript"/>
              </w:rPr>
            </w:pPr>
            <w:r w:rsidRPr="00B42BBE">
              <w:rPr>
                <w:iCs/>
              </w:rPr>
              <w:t>$</w:t>
            </w:r>
            <w:r w:rsidR="004B6FE2" w:rsidRPr="0043339D">
              <w:rPr>
                <w:rFonts w:hint="eastAsia"/>
                <w:iCs/>
                <w:color w:val="000000"/>
                <w:w w:val="15"/>
                <w:shd w:val="solid" w:color="000000" w:fill="000000"/>
                <w:fitText w:val="10" w:id="-930964990"/>
                <w14:textFill>
                  <w14:solidFill>
                    <w14:srgbClr w14:val="000000">
                      <w14:alpha w14:val="100000"/>
                    </w14:srgbClr>
                  </w14:solidFill>
                </w14:textFill>
              </w:rPr>
              <w:t xml:space="preserve">　</w:t>
            </w:r>
            <w:r w:rsidR="004B6FE2" w:rsidRPr="0043339D">
              <w:rPr>
                <w:iCs/>
                <w:color w:val="000000"/>
                <w:spacing w:val="-26"/>
                <w:w w:val="15"/>
                <w:shd w:val="solid" w:color="000000" w:fill="000000"/>
                <w:fitText w:val="10" w:id="-930964990"/>
                <w14:textFill>
                  <w14:solidFill>
                    <w14:srgbClr w14:val="000000">
                      <w14:alpha w14:val="100000"/>
                    </w14:srgbClr>
                  </w14:solidFill>
                </w14:textFill>
              </w:rPr>
              <w:t>|</w:t>
            </w:r>
            <w:r w:rsidR="004B6FE2" w:rsidRPr="00E2623E">
              <w:rPr>
                <w:rFonts w:hint="eastAsia"/>
                <w:iCs/>
                <w:color w:val="000000"/>
                <w:w w:val="15"/>
                <w:shd w:val="solid" w:color="000000" w:fill="000000"/>
                <w14:textFill>
                  <w14:solidFill>
                    <w14:srgbClr w14:val="000000">
                      <w14:alpha w14:val="100000"/>
                    </w14:srgbClr>
                  </w14:solidFill>
                </w14:textFill>
              </w:rPr>
              <w:t xml:space="preserve">　</w:t>
            </w:r>
            <w:r w:rsidRPr="00070BF3">
              <w:t>effective price</w:t>
            </w:r>
          </w:p>
        </w:tc>
        <w:tc>
          <w:tcPr>
            <w:tcW w:w="832" w:type="dxa"/>
            <w:vAlign w:val="center"/>
          </w:tcPr>
          <w:p w14:paraId="4170CAD0" w14:textId="77777777" w:rsidR="00C440A2" w:rsidRPr="001428E9" w:rsidRDefault="00C440A2" w:rsidP="00902B2C">
            <w:pPr>
              <w:keepNext/>
              <w:keepLines/>
              <w:jc w:val="center"/>
              <w:rPr>
                <w:rFonts w:ascii="Arial Narrow" w:hAnsi="Arial Narrow"/>
                <w:sz w:val="20"/>
                <w:szCs w:val="20"/>
              </w:rPr>
            </w:pPr>
            <w:r>
              <w:rPr>
                <w:rFonts w:ascii="Arial Narrow" w:hAnsi="Arial Narrow"/>
                <w:sz w:val="20"/>
              </w:rPr>
              <w:t>4</w:t>
            </w:r>
          </w:p>
        </w:tc>
        <w:tc>
          <w:tcPr>
            <w:tcW w:w="831" w:type="dxa"/>
            <w:vAlign w:val="center"/>
          </w:tcPr>
          <w:p w14:paraId="1F215F29" w14:textId="77777777" w:rsidR="00C440A2" w:rsidRPr="001428E9" w:rsidRDefault="00C440A2" w:rsidP="00902B2C">
            <w:pPr>
              <w:keepNext/>
              <w:keepLines/>
              <w:jc w:val="center"/>
              <w:rPr>
                <w:rFonts w:ascii="Arial Narrow" w:hAnsi="Arial Narrow"/>
                <w:sz w:val="20"/>
                <w:szCs w:val="20"/>
              </w:rPr>
            </w:pPr>
            <w:r>
              <w:rPr>
                <w:rFonts w:ascii="Arial Narrow" w:hAnsi="Arial Narrow"/>
                <w:sz w:val="20"/>
              </w:rPr>
              <w:t>28</w:t>
            </w:r>
          </w:p>
        </w:tc>
        <w:tc>
          <w:tcPr>
            <w:tcW w:w="832" w:type="dxa"/>
            <w:vAlign w:val="center"/>
          </w:tcPr>
          <w:p w14:paraId="5E4C7A50" w14:textId="77777777" w:rsidR="00C440A2" w:rsidRPr="001428E9" w:rsidRDefault="00C440A2" w:rsidP="00902B2C">
            <w:pPr>
              <w:keepNext/>
              <w:keepLines/>
              <w:jc w:val="center"/>
              <w:rPr>
                <w:rFonts w:ascii="Arial Narrow" w:hAnsi="Arial Narrow"/>
                <w:sz w:val="20"/>
                <w:szCs w:val="20"/>
              </w:rPr>
            </w:pPr>
            <w:r>
              <w:rPr>
                <w:rFonts w:ascii="Arial Narrow" w:hAnsi="Arial Narrow"/>
                <w:sz w:val="20"/>
              </w:rPr>
              <w:t>5</w:t>
            </w:r>
          </w:p>
        </w:tc>
        <w:tc>
          <w:tcPr>
            <w:tcW w:w="1875" w:type="dxa"/>
            <w:vAlign w:val="center"/>
          </w:tcPr>
          <w:p w14:paraId="36FD47C6" w14:textId="740382A0" w:rsidR="00C440A2" w:rsidRPr="003A4C14" w:rsidRDefault="00354C3F" w:rsidP="00902B2C">
            <w:pPr>
              <w:keepNext/>
              <w:keepLines/>
              <w:rPr>
                <w:rFonts w:ascii="Arial Narrow" w:hAnsi="Arial Narrow"/>
                <w:color w:val="0066FF"/>
                <w:sz w:val="20"/>
                <w:szCs w:val="20"/>
              </w:rPr>
            </w:pPr>
            <w:r>
              <w:rPr>
                <w:rFonts w:ascii="Arial Narrow" w:hAnsi="Arial Narrow"/>
                <w:sz w:val="20"/>
                <w:szCs w:val="20"/>
              </w:rPr>
              <w:t>V</w:t>
            </w:r>
            <w:r w:rsidR="00C440A2" w:rsidRPr="00210254">
              <w:rPr>
                <w:rFonts w:ascii="Arial Narrow" w:hAnsi="Arial Narrow"/>
                <w:sz w:val="20"/>
                <w:szCs w:val="20"/>
              </w:rPr>
              <w:t>yalev</w:t>
            </w:r>
            <w:r w:rsidR="00604068" w:rsidRPr="00604068">
              <w:rPr>
                <w:rFonts w:ascii="Arial Narrow" w:hAnsi="Arial Narrow"/>
                <w:sz w:val="20"/>
                <w:szCs w:val="20"/>
                <w:vertAlign w:val="superscript"/>
              </w:rPr>
              <w:t>®</w:t>
            </w:r>
          </w:p>
        </w:tc>
      </w:tr>
      <w:tr w:rsidR="00C440A2" w:rsidRPr="003A4C14" w14:paraId="03EE177C" w14:textId="77777777" w:rsidTr="00A555E5">
        <w:trPr>
          <w:cantSplit/>
          <w:trHeight w:val="20"/>
        </w:trPr>
        <w:tc>
          <w:tcPr>
            <w:tcW w:w="2410" w:type="dxa"/>
            <w:vAlign w:val="center"/>
          </w:tcPr>
          <w:p w14:paraId="6A77A032" w14:textId="1F83522E" w:rsidR="00C440A2" w:rsidRPr="00210254" w:rsidRDefault="00C440A2" w:rsidP="00902B2C">
            <w:pPr>
              <w:keepNext/>
              <w:jc w:val="left"/>
              <w:rPr>
                <w:rFonts w:ascii="Arial Narrow" w:eastAsia="Calibri" w:hAnsi="Arial Narrow" w:cs="Times New Roman"/>
                <w:sz w:val="20"/>
                <w:szCs w:val="20"/>
                <w:lang w:bidi="he-IL"/>
              </w:rPr>
            </w:pPr>
            <w:r w:rsidRPr="00210254">
              <w:rPr>
                <w:rFonts w:ascii="Arial Narrow" w:eastAsia="Calibri" w:hAnsi="Arial Narrow" w:cs="Times New Roman"/>
                <w:sz w:val="20"/>
                <w:szCs w:val="20"/>
                <w:lang w:bidi="he-IL"/>
              </w:rPr>
              <w:t>Foslevodopa foscarbidopa; 2400 mg/10 mL and 120</w:t>
            </w:r>
            <w:r w:rsidR="00EB4EF1">
              <w:rPr>
                <w:rFonts w:ascii="Arial Narrow" w:eastAsia="Calibri" w:hAnsi="Arial Narrow" w:cs="Times New Roman"/>
                <w:sz w:val="20"/>
                <w:szCs w:val="20"/>
                <w:lang w:bidi="he-IL"/>
              </w:rPr>
              <w:t> </w:t>
            </w:r>
            <w:r w:rsidRPr="00210254">
              <w:rPr>
                <w:rFonts w:ascii="Arial Narrow" w:eastAsia="Calibri" w:hAnsi="Arial Narrow" w:cs="Times New Roman"/>
                <w:sz w:val="20"/>
                <w:szCs w:val="20"/>
                <w:lang w:bidi="he-IL"/>
              </w:rPr>
              <w:t>mg/10</w:t>
            </w:r>
            <w:r w:rsidR="00EB4EF1">
              <w:rPr>
                <w:rFonts w:ascii="Arial Narrow" w:eastAsia="Calibri" w:hAnsi="Arial Narrow" w:cs="Times New Roman"/>
                <w:sz w:val="20"/>
                <w:szCs w:val="20"/>
                <w:lang w:bidi="he-IL"/>
              </w:rPr>
              <w:t> </w:t>
            </w:r>
            <w:r w:rsidRPr="00210254">
              <w:rPr>
                <w:rFonts w:ascii="Arial Narrow" w:eastAsia="Calibri" w:hAnsi="Arial Narrow" w:cs="Times New Roman"/>
                <w:sz w:val="20"/>
                <w:szCs w:val="20"/>
                <w:lang w:bidi="he-IL"/>
              </w:rPr>
              <w:t>mL continuous subcutaneous infusion;</w:t>
            </w:r>
          </w:p>
          <w:p w14:paraId="0A4993A8" w14:textId="7B2156BF" w:rsidR="00C440A2" w:rsidRPr="00210254" w:rsidRDefault="001B38A6" w:rsidP="00902B2C">
            <w:pPr>
              <w:keepNext/>
              <w:keepLines/>
              <w:rPr>
                <w:rFonts w:ascii="Arial Narrow" w:hAnsi="Arial Narrow"/>
                <w:color w:val="0066FF"/>
                <w:sz w:val="20"/>
                <w:szCs w:val="20"/>
              </w:rPr>
            </w:pPr>
            <w:r>
              <w:rPr>
                <w:rFonts w:ascii="Arial Narrow" w:eastAsia="Calibri" w:hAnsi="Arial Narrow" w:cs="Times New Roman"/>
                <w:sz w:val="20"/>
                <w:szCs w:val="20"/>
                <w:lang w:bidi="he-IL"/>
              </w:rPr>
              <w:t xml:space="preserve">7 </w:t>
            </w:r>
            <w:r w:rsidR="00C440A2" w:rsidRPr="00C95A87">
              <w:rPr>
                <w:rFonts w:ascii="Arial Narrow" w:eastAsia="Calibri" w:hAnsi="Arial Narrow" w:cs="Times New Roman"/>
                <w:iCs/>
                <w:sz w:val="20"/>
                <w:szCs w:val="20"/>
                <w:lang w:bidi="he-IL"/>
              </w:rPr>
              <w:t>vial</w:t>
            </w:r>
            <w:r w:rsidRPr="00C95A87">
              <w:rPr>
                <w:rFonts w:ascii="Arial Narrow" w:eastAsia="Calibri" w:hAnsi="Arial Narrow" w:cs="Times New Roman"/>
                <w:iCs/>
                <w:sz w:val="20"/>
                <w:szCs w:val="20"/>
                <w:lang w:bidi="he-IL"/>
              </w:rPr>
              <w:t>s</w:t>
            </w:r>
          </w:p>
        </w:tc>
        <w:tc>
          <w:tcPr>
            <w:tcW w:w="2454" w:type="dxa"/>
          </w:tcPr>
          <w:p w14:paraId="43B24050" w14:textId="636EE81C" w:rsidR="00C440A2" w:rsidRPr="00070BF3" w:rsidRDefault="00C440A2" w:rsidP="00902B2C">
            <w:pPr>
              <w:pStyle w:val="TableText0"/>
              <w:keepLines/>
              <w:jc w:val="center"/>
            </w:pPr>
            <w:r w:rsidRPr="00070BF3">
              <w:t>S100</w:t>
            </w:r>
            <w:r w:rsidR="00EB4EF1">
              <w:t xml:space="preserve"> HSD</w:t>
            </w:r>
            <w:r w:rsidRPr="00070BF3">
              <w:t xml:space="preserve"> Public</w:t>
            </w:r>
          </w:p>
          <w:p w14:paraId="285A2451" w14:textId="77777777" w:rsidR="00C440A2" w:rsidRPr="00070BF3" w:rsidRDefault="00C440A2" w:rsidP="00902B2C">
            <w:pPr>
              <w:pStyle w:val="TableText0"/>
              <w:keepLines/>
              <w:jc w:val="center"/>
            </w:pPr>
            <w:r w:rsidRPr="00070BF3">
              <w:t>$11,536.00 published price</w:t>
            </w:r>
          </w:p>
          <w:p w14:paraId="252FF671" w14:textId="2ED8DCDF" w:rsidR="00C440A2" w:rsidRPr="00070BF3" w:rsidRDefault="00C440A2" w:rsidP="00902B2C">
            <w:pPr>
              <w:pStyle w:val="TableText0"/>
              <w:keepLines/>
              <w:jc w:val="center"/>
            </w:pPr>
            <w:r w:rsidRPr="00B42BBE">
              <w:rPr>
                <w:iCs/>
              </w:rPr>
              <w:t>$</w:t>
            </w:r>
            <w:r w:rsidR="004B6FE2" w:rsidRPr="0043339D">
              <w:rPr>
                <w:rFonts w:hint="eastAsia"/>
                <w:iCs/>
                <w:color w:val="000000"/>
                <w:w w:val="15"/>
                <w:shd w:val="solid" w:color="000000" w:fill="000000"/>
                <w:fitText w:val="10" w:id="-930964989"/>
                <w14:textFill>
                  <w14:solidFill>
                    <w14:srgbClr w14:val="000000">
                      <w14:alpha w14:val="100000"/>
                    </w14:srgbClr>
                  </w14:solidFill>
                </w14:textFill>
              </w:rPr>
              <w:t xml:space="preserve">　</w:t>
            </w:r>
            <w:r w:rsidR="004B6FE2" w:rsidRPr="0043339D">
              <w:rPr>
                <w:iCs/>
                <w:color w:val="000000"/>
                <w:spacing w:val="-26"/>
                <w:w w:val="15"/>
                <w:shd w:val="solid" w:color="000000" w:fill="000000"/>
                <w:fitText w:val="10" w:id="-930964989"/>
                <w14:textFill>
                  <w14:solidFill>
                    <w14:srgbClr w14:val="000000">
                      <w14:alpha w14:val="100000"/>
                    </w14:srgbClr>
                  </w14:solidFill>
                </w14:textFill>
              </w:rPr>
              <w:t>|</w:t>
            </w:r>
            <w:r w:rsidR="004B6FE2" w:rsidRPr="00E2623E">
              <w:rPr>
                <w:rFonts w:hint="eastAsia"/>
                <w:iCs/>
                <w:color w:val="000000"/>
                <w:w w:val="15"/>
                <w:shd w:val="solid" w:color="000000" w:fill="000000"/>
                <w14:textFill>
                  <w14:solidFill>
                    <w14:srgbClr w14:val="000000">
                      <w14:alpha w14:val="100000"/>
                    </w14:srgbClr>
                  </w14:solidFill>
                </w14:textFill>
              </w:rPr>
              <w:t xml:space="preserve">　</w:t>
            </w:r>
            <w:r w:rsidRPr="00070BF3">
              <w:t>effective price</w:t>
            </w:r>
          </w:p>
          <w:p w14:paraId="3C0E1DAD" w14:textId="77777777" w:rsidR="00C440A2" w:rsidRPr="00070BF3" w:rsidRDefault="00C440A2" w:rsidP="00902B2C">
            <w:pPr>
              <w:pStyle w:val="TableText0"/>
              <w:keepLines/>
              <w:jc w:val="center"/>
            </w:pPr>
          </w:p>
          <w:p w14:paraId="04953A69" w14:textId="30CB7222" w:rsidR="00C440A2" w:rsidRPr="00070BF3" w:rsidRDefault="00C440A2" w:rsidP="00902B2C">
            <w:pPr>
              <w:pStyle w:val="TableText0"/>
              <w:keepLines/>
              <w:jc w:val="center"/>
            </w:pPr>
            <w:r w:rsidRPr="00070BF3">
              <w:t xml:space="preserve">S100 </w:t>
            </w:r>
            <w:r w:rsidR="00EB4EF1">
              <w:t xml:space="preserve">HSD </w:t>
            </w:r>
            <w:r w:rsidRPr="00070BF3">
              <w:t>Private</w:t>
            </w:r>
          </w:p>
          <w:p w14:paraId="6BEE8956" w14:textId="77777777" w:rsidR="00C440A2" w:rsidRPr="00070BF3" w:rsidRDefault="00C440A2" w:rsidP="00902B2C">
            <w:pPr>
              <w:pStyle w:val="TableText0"/>
              <w:keepLines/>
              <w:jc w:val="center"/>
            </w:pPr>
            <w:r w:rsidRPr="00070BF3">
              <w:t>$11,583.82 published price</w:t>
            </w:r>
          </w:p>
          <w:p w14:paraId="3917951D" w14:textId="1DA6FB3E" w:rsidR="00C440A2" w:rsidRPr="00070BF3" w:rsidRDefault="00C440A2" w:rsidP="00902B2C">
            <w:pPr>
              <w:pStyle w:val="TableText0"/>
              <w:keepLines/>
              <w:jc w:val="center"/>
            </w:pPr>
            <w:r w:rsidRPr="00B42BBE">
              <w:rPr>
                <w:iCs/>
              </w:rPr>
              <w:t>$</w:t>
            </w:r>
            <w:r w:rsidR="004B6FE2" w:rsidRPr="0043339D">
              <w:rPr>
                <w:rFonts w:hint="eastAsia"/>
                <w:iCs/>
                <w:color w:val="000000"/>
                <w:w w:val="15"/>
                <w:shd w:val="solid" w:color="000000" w:fill="000000"/>
                <w:fitText w:val="10" w:id="-930964988"/>
                <w14:textFill>
                  <w14:solidFill>
                    <w14:srgbClr w14:val="000000">
                      <w14:alpha w14:val="100000"/>
                    </w14:srgbClr>
                  </w14:solidFill>
                </w14:textFill>
              </w:rPr>
              <w:t xml:space="preserve">　</w:t>
            </w:r>
            <w:r w:rsidR="004B6FE2" w:rsidRPr="0043339D">
              <w:rPr>
                <w:iCs/>
                <w:color w:val="000000"/>
                <w:spacing w:val="-26"/>
                <w:w w:val="15"/>
                <w:shd w:val="solid" w:color="000000" w:fill="000000"/>
                <w:fitText w:val="10" w:id="-930964988"/>
                <w14:textFill>
                  <w14:solidFill>
                    <w14:srgbClr w14:val="000000">
                      <w14:alpha w14:val="100000"/>
                    </w14:srgbClr>
                  </w14:solidFill>
                </w14:textFill>
              </w:rPr>
              <w:t>|</w:t>
            </w:r>
            <w:r w:rsidR="004B6FE2" w:rsidRPr="00E2623E">
              <w:rPr>
                <w:rFonts w:hint="eastAsia"/>
                <w:iCs/>
                <w:color w:val="000000"/>
                <w:w w:val="15"/>
                <w:shd w:val="solid" w:color="000000" w:fill="000000"/>
                <w14:textFill>
                  <w14:solidFill>
                    <w14:srgbClr w14:val="000000">
                      <w14:alpha w14:val="100000"/>
                    </w14:srgbClr>
                  </w14:solidFill>
                </w14:textFill>
              </w:rPr>
              <w:t xml:space="preserve">　</w:t>
            </w:r>
            <w:r w:rsidRPr="00070BF3">
              <w:t>effective price</w:t>
            </w:r>
          </w:p>
          <w:p w14:paraId="58C05087" w14:textId="77777777" w:rsidR="00C440A2" w:rsidRPr="00070BF3" w:rsidRDefault="00C440A2" w:rsidP="00902B2C">
            <w:pPr>
              <w:pStyle w:val="TableText0"/>
              <w:keepLines/>
              <w:jc w:val="center"/>
            </w:pPr>
          </w:p>
          <w:p w14:paraId="64DE2076" w14:textId="1D918342" w:rsidR="00C440A2" w:rsidRPr="00070BF3" w:rsidRDefault="00C440A2" w:rsidP="00902B2C">
            <w:pPr>
              <w:pStyle w:val="TableText0"/>
              <w:keepLines/>
              <w:jc w:val="center"/>
            </w:pPr>
            <w:r w:rsidRPr="00070BF3">
              <w:t xml:space="preserve">General </w:t>
            </w:r>
            <w:r w:rsidR="00EB4EF1">
              <w:t>S</w:t>
            </w:r>
            <w:r w:rsidRPr="00070BF3">
              <w:t>chedule</w:t>
            </w:r>
          </w:p>
          <w:p w14:paraId="38902B68" w14:textId="501E49CC" w:rsidR="00C440A2" w:rsidRPr="00070BF3" w:rsidRDefault="00C440A2" w:rsidP="00902B2C">
            <w:pPr>
              <w:pStyle w:val="TableText0"/>
              <w:keepLines/>
              <w:jc w:val="center"/>
            </w:pPr>
            <w:r w:rsidRPr="00B42BBE">
              <w:rPr>
                <w:iCs/>
              </w:rPr>
              <w:t>$11</w:t>
            </w:r>
            <w:r w:rsidR="001D4E8A" w:rsidRPr="00B42BBE">
              <w:rPr>
                <w:iCs/>
              </w:rPr>
              <w:t>,</w:t>
            </w:r>
            <w:r w:rsidRPr="00B42BBE">
              <w:rPr>
                <w:iCs/>
              </w:rPr>
              <w:t>697.</w:t>
            </w:r>
            <w:r w:rsidR="001D4E8A" w:rsidRPr="00B42BBE">
              <w:rPr>
                <w:iCs/>
              </w:rPr>
              <w:t>30</w:t>
            </w:r>
            <w:r w:rsidR="001D4E8A" w:rsidRPr="00B769F9">
              <w:t xml:space="preserve"> </w:t>
            </w:r>
            <w:r w:rsidRPr="00070BF3">
              <w:t>published price</w:t>
            </w:r>
          </w:p>
          <w:p w14:paraId="0DDDF4C6" w14:textId="3A25F843" w:rsidR="00C440A2" w:rsidRPr="00070BF3" w:rsidRDefault="00C440A2" w:rsidP="00902B2C">
            <w:pPr>
              <w:pStyle w:val="TableText0"/>
              <w:keepLines/>
              <w:jc w:val="center"/>
              <w:rPr>
                <w:szCs w:val="20"/>
              </w:rPr>
            </w:pPr>
            <w:r w:rsidRPr="00B42BBE">
              <w:rPr>
                <w:iCs/>
              </w:rPr>
              <w:t>$</w:t>
            </w:r>
            <w:r w:rsidR="004B6FE2" w:rsidRPr="0043339D">
              <w:rPr>
                <w:rFonts w:hint="eastAsia"/>
                <w:iCs/>
                <w:color w:val="000000"/>
                <w:w w:val="15"/>
                <w:shd w:val="solid" w:color="000000" w:fill="000000"/>
                <w:fitText w:val="10" w:id="-930964987"/>
                <w14:textFill>
                  <w14:solidFill>
                    <w14:srgbClr w14:val="000000">
                      <w14:alpha w14:val="100000"/>
                    </w14:srgbClr>
                  </w14:solidFill>
                </w14:textFill>
              </w:rPr>
              <w:t xml:space="preserve">　</w:t>
            </w:r>
            <w:r w:rsidR="004B6FE2" w:rsidRPr="0043339D">
              <w:rPr>
                <w:iCs/>
                <w:color w:val="000000"/>
                <w:w w:val="15"/>
                <w:shd w:val="solid" w:color="000000" w:fill="000000"/>
                <w:fitText w:val="10" w:id="-930964987"/>
                <w14:textFill>
                  <w14:solidFill>
                    <w14:srgbClr w14:val="000000">
                      <w14:alpha w14:val="100000"/>
                    </w14:srgbClr>
                  </w14:solidFill>
                </w14:textFill>
              </w:rPr>
              <w:t>|</w:t>
            </w:r>
            <w:r w:rsidR="004B6FE2" w:rsidRPr="0043339D">
              <w:rPr>
                <w:rFonts w:hint="eastAsia"/>
                <w:iCs/>
                <w:color w:val="000000"/>
                <w:spacing w:val="-55"/>
                <w:w w:val="15"/>
                <w:shd w:val="solid" w:color="000000" w:fill="000000"/>
                <w:fitText w:val="10" w:id="-930964987"/>
                <w14:textFill>
                  <w14:solidFill>
                    <w14:srgbClr w14:val="000000">
                      <w14:alpha w14:val="100000"/>
                    </w14:srgbClr>
                  </w14:solidFill>
                </w14:textFill>
              </w:rPr>
              <w:t xml:space="preserve">　</w:t>
            </w:r>
            <w:r w:rsidRPr="00070BF3">
              <w:t>effective price</w:t>
            </w:r>
          </w:p>
        </w:tc>
        <w:tc>
          <w:tcPr>
            <w:tcW w:w="832" w:type="dxa"/>
            <w:vAlign w:val="center"/>
          </w:tcPr>
          <w:p w14:paraId="1704080E" w14:textId="77777777" w:rsidR="00C440A2" w:rsidRPr="001428E9" w:rsidRDefault="00C440A2" w:rsidP="00902B2C">
            <w:pPr>
              <w:keepNext/>
              <w:keepLines/>
              <w:jc w:val="center"/>
              <w:rPr>
                <w:rFonts w:ascii="Arial Narrow" w:hAnsi="Arial Narrow"/>
                <w:sz w:val="20"/>
                <w:szCs w:val="20"/>
              </w:rPr>
            </w:pPr>
            <w:r>
              <w:rPr>
                <w:rFonts w:ascii="Arial Narrow" w:hAnsi="Arial Narrow"/>
                <w:sz w:val="20"/>
              </w:rPr>
              <w:t>8</w:t>
            </w:r>
          </w:p>
        </w:tc>
        <w:tc>
          <w:tcPr>
            <w:tcW w:w="831" w:type="dxa"/>
            <w:vAlign w:val="center"/>
          </w:tcPr>
          <w:p w14:paraId="10B5B670" w14:textId="77777777" w:rsidR="00C440A2" w:rsidRPr="001428E9" w:rsidRDefault="00C440A2" w:rsidP="00902B2C">
            <w:pPr>
              <w:keepNext/>
              <w:keepLines/>
              <w:jc w:val="center"/>
              <w:rPr>
                <w:rFonts w:ascii="Arial Narrow" w:hAnsi="Arial Narrow"/>
                <w:sz w:val="20"/>
                <w:szCs w:val="20"/>
              </w:rPr>
            </w:pPr>
            <w:r>
              <w:rPr>
                <w:rFonts w:ascii="Arial Narrow" w:hAnsi="Arial Narrow"/>
                <w:sz w:val="20"/>
              </w:rPr>
              <w:t>56</w:t>
            </w:r>
          </w:p>
        </w:tc>
        <w:tc>
          <w:tcPr>
            <w:tcW w:w="832" w:type="dxa"/>
            <w:vAlign w:val="center"/>
          </w:tcPr>
          <w:p w14:paraId="2624A6C1" w14:textId="77777777" w:rsidR="00C440A2" w:rsidRPr="001428E9" w:rsidRDefault="00C440A2" w:rsidP="00902B2C">
            <w:pPr>
              <w:keepNext/>
              <w:keepLines/>
              <w:jc w:val="center"/>
              <w:rPr>
                <w:rFonts w:ascii="Arial Narrow" w:hAnsi="Arial Narrow"/>
                <w:sz w:val="20"/>
                <w:szCs w:val="20"/>
              </w:rPr>
            </w:pPr>
            <w:r>
              <w:rPr>
                <w:rFonts w:ascii="Arial Narrow" w:hAnsi="Arial Narrow"/>
                <w:sz w:val="20"/>
                <w:szCs w:val="20"/>
              </w:rPr>
              <w:t>5</w:t>
            </w:r>
          </w:p>
        </w:tc>
        <w:tc>
          <w:tcPr>
            <w:tcW w:w="1875" w:type="dxa"/>
            <w:vAlign w:val="center"/>
          </w:tcPr>
          <w:p w14:paraId="671DF933" w14:textId="528FE474" w:rsidR="00C440A2" w:rsidRPr="003A4C14" w:rsidRDefault="00354C3F" w:rsidP="00902B2C">
            <w:pPr>
              <w:keepNext/>
              <w:keepLines/>
              <w:rPr>
                <w:rFonts w:ascii="Arial Narrow" w:hAnsi="Arial Narrow"/>
                <w:color w:val="0066FF"/>
                <w:sz w:val="20"/>
                <w:szCs w:val="20"/>
              </w:rPr>
            </w:pPr>
            <w:r>
              <w:rPr>
                <w:rFonts w:ascii="Arial Narrow" w:hAnsi="Arial Narrow"/>
                <w:sz w:val="20"/>
                <w:szCs w:val="20"/>
              </w:rPr>
              <w:t>V</w:t>
            </w:r>
            <w:r w:rsidR="00C440A2" w:rsidRPr="00210254">
              <w:rPr>
                <w:rFonts w:ascii="Arial Narrow" w:hAnsi="Arial Narrow"/>
                <w:sz w:val="20"/>
                <w:szCs w:val="20"/>
              </w:rPr>
              <w:t>yalev</w:t>
            </w:r>
            <w:r w:rsidR="00604068" w:rsidRPr="00604068">
              <w:rPr>
                <w:rFonts w:ascii="Arial Narrow" w:hAnsi="Arial Narrow"/>
                <w:sz w:val="20"/>
                <w:szCs w:val="20"/>
                <w:vertAlign w:val="superscript"/>
              </w:rPr>
              <w:t>®</w:t>
            </w:r>
          </w:p>
        </w:tc>
      </w:tr>
    </w:tbl>
    <w:p w14:paraId="68637FCE" w14:textId="67759965" w:rsidR="00037D3E" w:rsidRPr="00C95A87" w:rsidRDefault="002D02F6" w:rsidP="004F7504">
      <w:pPr>
        <w:pStyle w:val="TableFooter"/>
        <w:spacing w:after="120"/>
      </w:pPr>
      <w:r w:rsidRPr="00B42BBE">
        <w:rPr>
          <w:iCs/>
        </w:rPr>
        <w:t>Note:</w:t>
      </w:r>
      <w:r w:rsidR="00070BF3" w:rsidRPr="00B42BBE">
        <w:rPr>
          <w:iCs/>
          <w:vertAlign w:val="superscript"/>
        </w:rPr>
        <w:t xml:space="preserve"> </w:t>
      </w:r>
      <w:r w:rsidR="00070BF3" w:rsidRPr="00B42BBE">
        <w:rPr>
          <w:iCs/>
        </w:rPr>
        <w:t xml:space="preserve">The dispensed prices </w:t>
      </w:r>
      <w:r w:rsidR="0074317C" w:rsidRPr="00B42BBE">
        <w:rPr>
          <w:iCs/>
        </w:rPr>
        <w:t xml:space="preserve">were corrected during the preparation of the ESC </w:t>
      </w:r>
      <w:r w:rsidR="008D0033" w:rsidRPr="00B42BBE">
        <w:rPr>
          <w:iCs/>
        </w:rPr>
        <w:t>A</w:t>
      </w:r>
      <w:r w:rsidR="0074317C" w:rsidRPr="00B42BBE">
        <w:rPr>
          <w:iCs/>
        </w:rPr>
        <w:t>dvice using</w:t>
      </w:r>
      <w:r w:rsidR="00C10CB8" w:rsidRPr="00B42BBE">
        <w:rPr>
          <w:iCs/>
        </w:rPr>
        <w:t xml:space="preserve"> the correct PBS mark-ups and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C440A2" w:rsidRPr="00046D64" w14:paraId="041D6E2C" w14:textId="77777777" w:rsidTr="00902B2C">
        <w:trPr>
          <w:cantSplit/>
          <w:trHeight w:val="20"/>
        </w:trPr>
        <w:tc>
          <w:tcPr>
            <w:tcW w:w="5000" w:type="pct"/>
          </w:tcPr>
          <w:bookmarkEnd w:id="9"/>
          <w:p w14:paraId="220A66FB" w14:textId="77777777" w:rsidR="00C440A2" w:rsidRPr="00046D64" w:rsidRDefault="00C440A2" w:rsidP="004F7504">
            <w:pPr>
              <w:pStyle w:val="TableText0"/>
              <w:keepNext w:val="0"/>
              <w:keepLines/>
            </w:pPr>
            <w:r w:rsidRPr="00046D64">
              <w:rPr>
                <w:b/>
              </w:rPr>
              <w:t xml:space="preserve">Category / Program: </w:t>
            </w:r>
            <w:r>
              <w:t>General Schedule/Section 100</w:t>
            </w:r>
          </w:p>
        </w:tc>
      </w:tr>
      <w:tr w:rsidR="00C440A2" w:rsidRPr="00046D64" w14:paraId="57CD43EE" w14:textId="77777777" w:rsidTr="00902B2C">
        <w:trPr>
          <w:cantSplit/>
          <w:trHeight w:val="20"/>
        </w:trPr>
        <w:tc>
          <w:tcPr>
            <w:tcW w:w="5000" w:type="pct"/>
          </w:tcPr>
          <w:p w14:paraId="7818504B" w14:textId="77777777" w:rsidR="00C440A2" w:rsidRPr="00046D64" w:rsidRDefault="00C440A2" w:rsidP="004F7504">
            <w:pPr>
              <w:pStyle w:val="TableText0"/>
              <w:keepNext w:val="0"/>
              <w:keepLines/>
              <w:rPr>
                <w:b/>
              </w:rPr>
            </w:pPr>
            <w:r w:rsidRPr="00046D64">
              <w:rPr>
                <w:b/>
              </w:rPr>
              <w:t xml:space="preserve">Prescriber type: </w:t>
            </w:r>
            <w:r>
              <w:fldChar w:fldCharType="begin">
                <w:ffData>
                  <w:name w:val=""/>
                  <w:enabled/>
                  <w:calcOnExit w:val="0"/>
                  <w:checkBox>
                    <w:sizeAuto/>
                    <w:default w:val="1"/>
                  </w:checkBox>
                </w:ffData>
              </w:fldChar>
            </w:r>
            <w:r>
              <w:instrText xml:space="preserve"> FORMCHECKBOX </w:instrText>
            </w:r>
            <w:r w:rsidR="0043339D">
              <w:fldChar w:fldCharType="separate"/>
            </w:r>
            <w:r>
              <w:fldChar w:fldCharType="end"/>
            </w:r>
            <w:r w:rsidRPr="00046D64">
              <w:t>Medical Practitioners</w:t>
            </w:r>
          </w:p>
        </w:tc>
      </w:tr>
      <w:tr w:rsidR="00C440A2" w:rsidRPr="00046D64" w14:paraId="2B12BB0E" w14:textId="77777777" w:rsidTr="00902B2C">
        <w:trPr>
          <w:cantSplit/>
          <w:trHeight w:val="20"/>
        </w:trPr>
        <w:tc>
          <w:tcPr>
            <w:tcW w:w="5000" w:type="pct"/>
          </w:tcPr>
          <w:p w14:paraId="78B3F6DF" w14:textId="77777777" w:rsidR="00C440A2" w:rsidRPr="00046D64" w:rsidRDefault="00C440A2" w:rsidP="004F7504">
            <w:pPr>
              <w:pStyle w:val="TableText0"/>
              <w:keepNext w:val="0"/>
              <w:keepLines/>
              <w:rPr>
                <w:rFonts w:eastAsia="Times New Roman"/>
              </w:rPr>
            </w:pPr>
            <w:r w:rsidRPr="00046D64">
              <w:rPr>
                <w:b/>
              </w:rPr>
              <w:t>Restriction type:</w:t>
            </w:r>
            <w:r>
              <w:rPr>
                <w:b/>
              </w:rPr>
              <w:t xml:space="preserve"> </w:t>
            </w: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43339D">
              <w:rPr>
                <w:rFonts w:eastAsia="Times New Roman"/>
              </w:rPr>
            </w:r>
            <w:r w:rsidR="0043339D">
              <w:rPr>
                <w:rFonts w:eastAsia="Times New Roman"/>
              </w:rPr>
              <w:fldChar w:fldCharType="separate"/>
            </w:r>
            <w:r>
              <w:rPr>
                <w:rFonts w:eastAsia="Times New Roman"/>
              </w:rPr>
              <w:fldChar w:fldCharType="end"/>
            </w:r>
            <w:r w:rsidRPr="00046D64">
              <w:rPr>
                <w:rFonts w:eastAsia="Times New Roman"/>
              </w:rPr>
              <w:t xml:space="preserve">Authority Required (STREAMLINED) </w:t>
            </w:r>
          </w:p>
        </w:tc>
      </w:tr>
      <w:tr w:rsidR="00C440A2" w:rsidRPr="00046D64" w14:paraId="4F34B676" w14:textId="77777777" w:rsidTr="00902B2C">
        <w:trPr>
          <w:cantSplit/>
          <w:trHeight w:val="20"/>
        </w:trPr>
        <w:tc>
          <w:tcPr>
            <w:tcW w:w="5000" w:type="pct"/>
            <w:vAlign w:val="center"/>
          </w:tcPr>
          <w:p w14:paraId="089ECD40" w14:textId="77777777" w:rsidR="00C440A2" w:rsidRPr="00A47A70" w:rsidRDefault="00C440A2" w:rsidP="004F7504">
            <w:pPr>
              <w:pStyle w:val="TableText0"/>
              <w:keepNext w:val="0"/>
              <w:keepLines/>
              <w:rPr>
                <w:b/>
              </w:rPr>
            </w:pPr>
            <w:r w:rsidRPr="00A47A70">
              <w:rPr>
                <w:b/>
              </w:rPr>
              <w:t xml:space="preserve">Severity: </w:t>
            </w:r>
            <w:r w:rsidRPr="00A47A70">
              <w:rPr>
                <w:bCs w:val="0"/>
              </w:rPr>
              <w:t>Advanced</w:t>
            </w:r>
          </w:p>
        </w:tc>
      </w:tr>
      <w:tr w:rsidR="00C440A2" w:rsidRPr="00046D64" w14:paraId="65D95543" w14:textId="77777777" w:rsidTr="00902B2C">
        <w:trPr>
          <w:cantSplit/>
          <w:trHeight w:val="20"/>
        </w:trPr>
        <w:tc>
          <w:tcPr>
            <w:tcW w:w="5000" w:type="pct"/>
            <w:vAlign w:val="center"/>
          </w:tcPr>
          <w:p w14:paraId="3448BF22" w14:textId="77777777" w:rsidR="00C440A2" w:rsidRPr="00A47A70" w:rsidRDefault="00C440A2" w:rsidP="004F7504">
            <w:pPr>
              <w:pStyle w:val="TableText0"/>
              <w:keepNext w:val="0"/>
              <w:keepLines/>
              <w:rPr>
                <w:b/>
              </w:rPr>
            </w:pPr>
            <w:r w:rsidRPr="00A47A70">
              <w:rPr>
                <w:b/>
              </w:rPr>
              <w:t xml:space="preserve">Condition: </w:t>
            </w:r>
            <w:r w:rsidRPr="00A47A70">
              <w:rPr>
                <w:bCs w:val="0"/>
              </w:rPr>
              <w:t>Parkinson’s disease</w:t>
            </w:r>
            <w:r w:rsidRPr="00A47A70">
              <w:t xml:space="preserve"> </w:t>
            </w:r>
          </w:p>
        </w:tc>
      </w:tr>
      <w:tr w:rsidR="00C440A2" w:rsidRPr="00046D64" w14:paraId="3433073D" w14:textId="77777777" w:rsidTr="00902B2C">
        <w:trPr>
          <w:cantSplit/>
          <w:trHeight w:val="20"/>
        </w:trPr>
        <w:tc>
          <w:tcPr>
            <w:tcW w:w="5000" w:type="pct"/>
            <w:vAlign w:val="center"/>
            <w:hideMark/>
          </w:tcPr>
          <w:p w14:paraId="5DA8EA58" w14:textId="77777777" w:rsidR="00C440A2" w:rsidRPr="00A47A70" w:rsidRDefault="00C440A2" w:rsidP="004F7504">
            <w:pPr>
              <w:pStyle w:val="TableText0"/>
              <w:keepNext w:val="0"/>
              <w:keepLines/>
            </w:pPr>
            <w:r w:rsidRPr="00A47A70">
              <w:rPr>
                <w:b/>
              </w:rPr>
              <w:t>Indication:</w:t>
            </w:r>
            <w:r w:rsidRPr="00A47A70">
              <w:t xml:space="preserve"> </w:t>
            </w:r>
            <w:r>
              <w:t>Advanced Parkinson’s disease not adequately controlled by oral therapy</w:t>
            </w:r>
          </w:p>
        </w:tc>
      </w:tr>
      <w:tr w:rsidR="00C440A2" w:rsidRPr="00046D64" w14:paraId="154A6A13" w14:textId="77777777" w:rsidTr="00902B2C">
        <w:trPr>
          <w:cantSplit/>
          <w:trHeight w:val="20"/>
        </w:trPr>
        <w:tc>
          <w:tcPr>
            <w:tcW w:w="5000" w:type="pct"/>
            <w:vAlign w:val="center"/>
            <w:hideMark/>
          </w:tcPr>
          <w:p w14:paraId="24A97DC3" w14:textId="77777777" w:rsidR="00C440A2" w:rsidRPr="00A47A70" w:rsidRDefault="00C440A2" w:rsidP="004F7504">
            <w:pPr>
              <w:pStyle w:val="TableText0"/>
              <w:keepNext w:val="0"/>
              <w:keepLines/>
            </w:pPr>
            <w:r w:rsidRPr="00A47A70">
              <w:rPr>
                <w:b/>
              </w:rPr>
              <w:t>Treatment Phase:</w:t>
            </w:r>
            <w:r w:rsidRPr="00A47A70">
              <w:t xml:space="preserve"> </w:t>
            </w:r>
            <w:r>
              <w:t>Initial and continuing</w:t>
            </w:r>
          </w:p>
        </w:tc>
      </w:tr>
      <w:tr w:rsidR="00C440A2" w:rsidRPr="00046D64" w14:paraId="7CCDEA2F" w14:textId="77777777" w:rsidTr="00902B2C">
        <w:trPr>
          <w:cantSplit/>
          <w:trHeight w:val="20"/>
        </w:trPr>
        <w:tc>
          <w:tcPr>
            <w:tcW w:w="5000" w:type="pct"/>
            <w:vAlign w:val="center"/>
            <w:hideMark/>
          </w:tcPr>
          <w:p w14:paraId="62D41246" w14:textId="77777777" w:rsidR="00C440A2" w:rsidRPr="00A47A70" w:rsidRDefault="00C440A2" w:rsidP="004F7504">
            <w:pPr>
              <w:pStyle w:val="TableText0"/>
              <w:keepNext w:val="0"/>
              <w:keepLines/>
            </w:pPr>
            <w:r w:rsidRPr="00A47A70">
              <w:rPr>
                <w:b/>
              </w:rPr>
              <w:t>Clinical criteria:</w:t>
            </w:r>
          </w:p>
        </w:tc>
      </w:tr>
      <w:tr w:rsidR="00C440A2" w:rsidRPr="00046D64" w14:paraId="0100961E" w14:textId="77777777" w:rsidTr="00902B2C">
        <w:trPr>
          <w:cantSplit/>
          <w:trHeight w:val="20"/>
        </w:trPr>
        <w:tc>
          <w:tcPr>
            <w:tcW w:w="5000" w:type="pct"/>
            <w:vAlign w:val="center"/>
            <w:hideMark/>
          </w:tcPr>
          <w:p w14:paraId="029DF65A" w14:textId="77777777" w:rsidR="00C440A2" w:rsidRPr="00A47A70" w:rsidRDefault="00C440A2" w:rsidP="004F7504">
            <w:pPr>
              <w:pStyle w:val="TableText0"/>
              <w:keepNext w:val="0"/>
              <w:keepLines/>
            </w:pPr>
            <w:r w:rsidRPr="00A47A70">
              <w:t>Patient must have severe disabling motor fluctuations not adequately controlled by oral therapy</w:t>
            </w:r>
          </w:p>
        </w:tc>
      </w:tr>
      <w:tr w:rsidR="00C440A2" w:rsidRPr="00046D64" w14:paraId="203698D5" w14:textId="77777777" w:rsidTr="00902B2C">
        <w:trPr>
          <w:cantSplit/>
          <w:trHeight w:val="20"/>
        </w:trPr>
        <w:tc>
          <w:tcPr>
            <w:tcW w:w="5000" w:type="pct"/>
            <w:vAlign w:val="center"/>
            <w:hideMark/>
          </w:tcPr>
          <w:p w14:paraId="0E8BB1F4" w14:textId="77777777" w:rsidR="00C440A2" w:rsidRPr="00A47A70" w:rsidRDefault="00C440A2" w:rsidP="004F7504">
            <w:pPr>
              <w:pStyle w:val="TableText0"/>
              <w:keepNext w:val="0"/>
              <w:keepLines/>
            </w:pPr>
            <w:r w:rsidRPr="00A47A70">
              <w:rPr>
                <w:b/>
              </w:rPr>
              <w:lastRenderedPageBreak/>
              <w:t>Treatment criteria:</w:t>
            </w:r>
          </w:p>
        </w:tc>
      </w:tr>
      <w:tr w:rsidR="00C440A2" w:rsidRPr="00046D64" w14:paraId="27D4BC19" w14:textId="77777777" w:rsidTr="00902B2C">
        <w:trPr>
          <w:cantSplit/>
          <w:trHeight w:val="20"/>
        </w:trPr>
        <w:tc>
          <w:tcPr>
            <w:tcW w:w="5000" w:type="pct"/>
            <w:vAlign w:val="center"/>
            <w:hideMark/>
          </w:tcPr>
          <w:p w14:paraId="7294722A" w14:textId="77777777" w:rsidR="00E967E8" w:rsidRDefault="00C440A2" w:rsidP="004F7504">
            <w:pPr>
              <w:pStyle w:val="TableText0"/>
              <w:keepNext w:val="0"/>
              <w:keepLines/>
            </w:pPr>
            <w:r>
              <w:t>Must be commenced by a specialist physician</w:t>
            </w:r>
          </w:p>
          <w:p w14:paraId="1AE8C96A" w14:textId="15B597FD" w:rsidR="00C440A2" w:rsidRDefault="00C440A2" w:rsidP="004F7504">
            <w:pPr>
              <w:pStyle w:val="TableText0"/>
              <w:keepNext w:val="0"/>
              <w:keepLines/>
            </w:pPr>
            <w:r>
              <w:t>OR</w:t>
            </w:r>
          </w:p>
          <w:p w14:paraId="6F83A16D" w14:textId="77777777" w:rsidR="00C440A2" w:rsidRPr="00B42BBE" w:rsidRDefault="00C440A2" w:rsidP="004F7504">
            <w:pPr>
              <w:pStyle w:val="TableText0"/>
              <w:keepNext w:val="0"/>
              <w:keepLines/>
              <w:rPr>
                <w:iCs/>
              </w:rPr>
            </w:pPr>
            <w:r>
              <w:t>Must be commenced by a physician who has consulted a specialist physician with expertise in the management of Parkinson's Disease</w:t>
            </w:r>
          </w:p>
        </w:tc>
      </w:tr>
      <w:tr w:rsidR="00C440A2" w:rsidRPr="00046D64" w14:paraId="2B815803" w14:textId="77777777" w:rsidTr="00902B2C">
        <w:trPr>
          <w:cantSplit/>
          <w:trHeight w:val="20"/>
        </w:trPr>
        <w:tc>
          <w:tcPr>
            <w:tcW w:w="5000" w:type="pct"/>
            <w:vAlign w:val="center"/>
            <w:hideMark/>
          </w:tcPr>
          <w:p w14:paraId="2740DB55" w14:textId="77777777" w:rsidR="00C440A2" w:rsidRPr="00A47A70" w:rsidRDefault="00C440A2" w:rsidP="004F7504">
            <w:pPr>
              <w:pStyle w:val="TableText0"/>
              <w:keepNext w:val="0"/>
              <w:keepLines/>
              <w:rPr>
                <w:bCs w:val="0"/>
              </w:rPr>
            </w:pPr>
            <w:r w:rsidRPr="00A47A70">
              <w:rPr>
                <w:b/>
              </w:rPr>
              <w:t xml:space="preserve">Prescribing Instructions: Note: </w:t>
            </w:r>
            <w:r w:rsidRPr="00A47A70">
              <w:rPr>
                <w:bCs w:val="0"/>
              </w:rPr>
              <w:t>Maintenance Therapy ONLY</w:t>
            </w:r>
          </w:p>
          <w:p w14:paraId="7E2B13F5" w14:textId="77777777" w:rsidR="00C440A2" w:rsidRPr="00A47A70" w:rsidRDefault="00C440A2" w:rsidP="004F7504">
            <w:pPr>
              <w:pStyle w:val="TableText0"/>
              <w:keepNext w:val="0"/>
              <w:keepLines/>
              <w:rPr>
                <w:bCs w:val="0"/>
              </w:rPr>
            </w:pPr>
            <w:r w:rsidRPr="00A47A70">
              <w:rPr>
                <w:bCs w:val="0"/>
              </w:rPr>
              <w:t>Shared Care Model:</w:t>
            </w:r>
          </w:p>
          <w:p w14:paraId="65A5FA54" w14:textId="77777777" w:rsidR="00C440A2" w:rsidRPr="00A47A70" w:rsidRDefault="00C440A2" w:rsidP="004F7504">
            <w:pPr>
              <w:pStyle w:val="TableText0"/>
              <w:keepNext w:val="0"/>
              <w:keepLines/>
            </w:pPr>
            <w:r w:rsidRPr="00A47A70">
              <w:rPr>
                <w:bCs w:val="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1C1A295C" w14:textId="77777777" w:rsidR="00C440A2" w:rsidRPr="00882085" w:rsidRDefault="00C440A2" w:rsidP="00C440A2"/>
    <w:p w14:paraId="6B25A103" w14:textId="7698C44A" w:rsidR="00BA6D48" w:rsidRPr="00BA6D48" w:rsidRDefault="00C440A2" w:rsidP="004F7504">
      <w:pPr>
        <w:pStyle w:val="3-BodyText"/>
      </w:pPr>
      <w:r w:rsidRPr="00F5715B">
        <w:t xml:space="preserve">The </w:t>
      </w:r>
      <w:r w:rsidR="00B16913">
        <w:t>S</w:t>
      </w:r>
      <w:r w:rsidRPr="00F5715B">
        <w:t xml:space="preserve">ponsor requested a special pricing arrangement. FosCD/FosLD is a continuous, 24-hour subcutaneous infusion. </w:t>
      </w:r>
      <w:r w:rsidR="00384A34">
        <w:t>T</w:t>
      </w:r>
      <w:r w:rsidRPr="00F5715B">
        <w:t>he request</w:t>
      </w:r>
      <w:r w:rsidR="004D52F4">
        <w:t>ed</w:t>
      </w:r>
      <w:r w:rsidRPr="00F5715B">
        <w:t xml:space="preserve"> listing provides either 4 </w:t>
      </w:r>
      <w:r w:rsidR="00986953" w:rsidRPr="00F5715B">
        <w:t>packs or</w:t>
      </w:r>
      <w:r w:rsidRPr="00F5715B">
        <w:t xml:space="preserve"> 8</w:t>
      </w:r>
      <w:r w:rsidR="008B0422">
        <w:t> </w:t>
      </w:r>
      <w:r w:rsidRPr="00F5715B">
        <w:t xml:space="preserve">packs, allowing for </w:t>
      </w:r>
      <w:r w:rsidR="00384A34">
        <w:t xml:space="preserve">1 or </w:t>
      </w:r>
      <w:r w:rsidRPr="00F5715B">
        <w:t>2 vials per day</w:t>
      </w:r>
      <w:r w:rsidR="00384A34">
        <w:t xml:space="preserve"> respectively over 28 days</w:t>
      </w:r>
      <w:r w:rsidRPr="00F5715B">
        <w:t xml:space="preserve">. </w:t>
      </w:r>
      <w:r w:rsidR="00384A34">
        <w:t>W</w:t>
      </w:r>
      <w:r w:rsidRPr="00F5715B">
        <w:t>ith 5 repeats</w:t>
      </w:r>
      <w:r w:rsidR="00384A34">
        <w:t>, the listings</w:t>
      </w:r>
      <w:r w:rsidRPr="00F5715B">
        <w:t xml:space="preserve"> would permit 6 months of therapy. This is in line with the LCIG PBS listing.</w:t>
      </w:r>
    </w:p>
    <w:p w14:paraId="6950D4C1" w14:textId="5DAF4B89" w:rsidR="00E967E8" w:rsidRDefault="00BA6D48" w:rsidP="003945B8">
      <w:pPr>
        <w:pStyle w:val="3-BodyText"/>
      </w:pPr>
      <w:r>
        <w:t>The Sponsor in their Pre-PBAC Response  stated that it was appropriate for the listing to provide an option for a maximum quantity of both 4 and 8 packs given that: i) a 4 pack was likely to be sufficient for the majority of patients and, (ii) as the product requires refrigeration, it may be difficult for some patients to store 8 packs appropriately. The PBAC considered this was reasonable</w:t>
      </w:r>
      <w:r w:rsidR="00453EAA">
        <w:t>.</w:t>
      </w:r>
    </w:p>
    <w:p w14:paraId="35FB02C9" w14:textId="28F19BF7" w:rsidR="00E967E8" w:rsidRDefault="00453EAA" w:rsidP="003945B8">
      <w:pPr>
        <w:pStyle w:val="3-BodyText"/>
      </w:pPr>
      <w:r>
        <w:t xml:space="preserve">The PBAC noted that the listing for a maximum quantity of 8 </w:t>
      </w:r>
      <w:r w:rsidR="00DD11B1">
        <w:t xml:space="preserve">packs </w:t>
      </w:r>
      <w:r>
        <w:t>for LCIG included clinical criteria that the “Patient must require continuous administration without an overnight break</w:t>
      </w:r>
      <w:r w:rsidR="00D338D7">
        <w:t>; OR Patient must require</w:t>
      </w:r>
      <w:r>
        <w:t xml:space="preserve"> a total </w:t>
      </w:r>
      <w:r w:rsidR="00D338D7">
        <w:t xml:space="preserve">daily </w:t>
      </w:r>
      <w:r>
        <w:t xml:space="preserve">dose of more than 2000 mg of levodopa” and </w:t>
      </w:r>
      <w:r w:rsidR="002B0AB0">
        <w:t xml:space="preserve">that </w:t>
      </w:r>
      <w:r w:rsidR="00D338D7">
        <w:t xml:space="preserve">a statement similar to this was not included in the proposed restriction. The PBAC noted that </w:t>
      </w:r>
      <w:r w:rsidR="002B0AB0">
        <w:t xml:space="preserve">the Sponsor stated </w:t>
      </w:r>
      <w:r w:rsidR="00D338D7">
        <w:t xml:space="preserve">in their Pre-PBAC Response that </w:t>
      </w:r>
      <w:r w:rsidR="002B0AB0">
        <w:t xml:space="preserve">they </w:t>
      </w:r>
      <w:r w:rsidR="00D338D7">
        <w:t>would consider adding</w:t>
      </w:r>
      <w:r w:rsidR="002B0AB0">
        <w:t xml:space="preserve"> a statement </w:t>
      </w:r>
      <w:r w:rsidR="00D338D7">
        <w:t>requiring the need for continuous administration without an overnight break to the clinical criteria for the 8 pack of FosLD/FosCD.</w:t>
      </w:r>
    </w:p>
    <w:p w14:paraId="175CBA70" w14:textId="61439F03" w:rsidR="0032248A" w:rsidRPr="00B42BBE" w:rsidRDefault="0032248A" w:rsidP="003945B8">
      <w:pPr>
        <w:pStyle w:val="3-BodyText"/>
      </w:pPr>
      <w:r w:rsidRPr="00B42BBE">
        <w:t xml:space="preserve">The requested effective AEMP changed </w:t>
      </w:r>
      <w:r w:rsidR="00AF59D8" w:rsidRPr="00B42BBE">
        <w:t>from that</w:t>
      </w:r>
      <w:r w:rsidRPr="00B42BBE">
        <w:t xml:space="preserve"> requested in the submission as the </w:t>
      </w:r>
      <w:r w:rsidR="00A367A3">
        <w:t>Pre-Sub-Committee Response (</w:t>
      </w:r>
      <w:r w:rsidRPr="00B42BBE">
        <w:t>PSCR</w:t>
      </w:r>
      <w:r w:rsidR="00A367A3">
        <w:t>)</w:t>
      </w:r>
      <w:r w:rsidR="00AF59D8" w:rsidRPr="00B42BBE">
        <w:t xml:space="preserve"> </w:t>
      </w:r>
      <w:r w:rsidRPr="00B42BBE">
        <w:t xml:space="preserve">corrected the LCIG price used in </w:t>
      </w:r>
      <w:r w:rsidR="00F115B6" w:rsidRPr="00B42BBE">
        <w:t xml:space="preserve">the </w:t>
      </w:r>
      <w:r w:rsidR="00DC09B4" w:rsidRPr="00B42BBE">
        <w:t>CMA</w:t>
      </w:r>
      <w:r w:rsidR="009454C5" w:rsidRPr="00B42BBE">
        <w:t xml:space="preserve"> and</w:t>
      </w:r>
      <w:r w:rsidR="001F0EEF" w:rsidRPr="00B42BBE">
        <w:t xml:space="preserve"> </w:t>
      </w:r>
      <w:r w:rsidRPr="00B42BBE">
        <w:t>updated the LCIG initiation costs</w:t>
      </w:r>
      <w:r w:rsidR="009454C5" w:rsidRPr="00B42BBE">
        <w:t xml:space="preserve"> (see </w:t>
      </w:r>
      <w:r w:rsidR="009454C5" w:rsidRPr="004010A3">
        <w:t>para</w:t>
      </w:r>
      <w:r w:rsidR="00672BF9" w:rsidRPr="004010A3">
        <w:t>graph</w:t>
      </w:r>
      <w:r w:rsidR="009454C5" w:rsidRPr="004010A3">
        <w:t xml:space="preserve"> 6.</w:t>
      </w:r>
      <w:r w:rsidR="004010A3" w:rsidRPr="004010A3">
        <w:t>4</w:t>
      </w:r>
      <w:r w:rsidR="0029353A">
        <w:t>0</w:t>
      </w:r>
      <w:r w:rsidR="009454C5" w:rsidRPr="00B42BBE">
        <w:t xml:space="preserve"> for detail).</w:t>
      </w:r>
      <w:r w:rsidR="001F0EEF" w:rsidRPr="00B42BBE">
        <w:t xml:space="preserve"> </w:t>
      </w:r>
      <w:r w:rsidR="009454C5" w:rsidRPr="00B42BBE">
        <w:t>In addition</w:t>
      </w:r>
      <w:r w:rsidR="00E20CF0" w:rsidRPr="00B42BBE">
        <w:t>,</w:t>
      </w:r>
      <w:r w:rsidR="009454C5" w:rsidRPr="00B42BBE">
        <w:t xml:space="preserve"> </w:t>
      </w:r>
      <w:r w:rsidR="001F0EEF" w:rsidRPr="00B42BBE">
        <w:t xml:space="preserve">the MBS cost used </w:t>
      </w:r>
      <w:r w:rsidR="00F115B6" w:rsidRPr="00B42BBE">
        <w:t xml:space="preserve">for the </w:t>
      </w:r>
      <w:r w:rsidR="001F0EEF" w:rsidRPr="00B42BBE">
        <w:t xml:space="preserve">FosLD/FosCD initiation </w:t>
      </w:r>
      <w:r w:rsidR="00A367A3">
        <w:t>was</w:t>
      </w:r>
      <w:r w:rsidR="001F0EEF" w:rsidRPr="00B42BBE">
        <w:t xml:space="preserve"> </w:t>
      </w:r>
      <w:r w:rsidR="00F115B6" w:rsidRPr="00B42BBE">
        <w:t>updated</w:t>
      </w:r>
      <w:r w:rsidR="001F0EEF" w:rsidRPr="00B42BBE">
        <w:t>.</w:t>
      </w:r>
      <w:r w:rsidR="00024BAB" w:rsidRPr="00024BAB">
        <w:t xml:space="preserve"> </w:t>
      </w:r>
      <w:r w:rsidR="00024BAB">
        <w:t>The requested effective AEMP was further revised in the Pre-PBAC Response</w:t>
      </w:r>
      <w:r w:rsidR="004523CF">
        <w:t xml:space="preserve"> (see paragraph 6.4</w:t>
      </w:r>
      <w:r w:rsidR="0029353A">
        <w:t>6</w:t>
      </w:r>
      <w:r w:rsidR="004523CF">
        <w:t xml:space="preserve"> for details)</w:t>
      </w:r>
      <w:r w:rsidR="00024BAB">
        <w:t>.</w:t>
      </w:r>
    </w:p>
    <w:p w14:paraId="0C78C477" w14:textId="77777777" w:rsidR="00E967E8" w:rsidRDefault="00C440A2" w:rsidP="003945B8">
      <w:pPr>
        <w:pStyle w:val="3-BodyText"/>
      </w:pPr>
      <w:r w:rsidRPr="00C95A87">
        <w:t xml:space="preserve">The requested PBS restriction </w:t>
      </w:r>
      <w:r w:rsidR="00F93572" w:rsidRPr="00C95A87">
        <w:t>align</w:t>
      </w:r>
      <w:r w:rsidR="00F93572">
        <w:t>ed</w:t>
      </w:r>
      <w:r w:rsidR="00491621">
        <w:t xml:space="preserve"> </w:t>
      </w:r>
      <w:r w:rsidRPr="00C95A87">
        <w:t xml:space="preserve">with the population in the key trial, M15-736. It also </w:t>
      </w:r>
      <w:r w:rsidR="00F93572" w:rsidRPr="00C95A87">
        <w:t>align</w:t>
      </w:r>
      <w:r w:rsidR="00F93572">
        <w:t>ed</w:t>
      </w:r>
      <w:r w:rsidR="00F93572" w:rsidRPr="00C95A87">
        <w:t xml:space="preserve"> </w:t>
      </w:r>
      <w:r w:rsidRPr="00C95A87">
        <w:t>with the population eligible for LCIG</w:t>
      </w:r>
      <w:r w:rsidR="00A367A3">
        <w:t xml:space="preserve"> on the PBS</w:t>
      </w:r>
      <w:r w:rsidR="004523CF">
        <w:t xml:space="preserve">. </w:t>
      </w:r>
      <w:r w:rsidR="00990D07" w:rsidRPr="00D01F45">
        <w:t>To be enrolled i</w:t>
      </w:r>
      <w:r w:rsidRPr="00D01F45">
        <w:t xml:space="preserve">n </w:t>
      </w:r>
      <w:r w:rsidR="00990D07" w:rsidRPr="00D01F45">
        <w:t xml:space="preserve">Study </w:t>
      </w:r>
      <w:r w:rsidRPr="00D01F45">
        <w:t>M15-736</w:t>
      </w:r>
      <w:r w:rsidR="00990D07" w:rsidRPr="00D01F45">
        <w:t xml:space="preserve">, </w:t>
      </w:r>
      <w:r w:rsidRPr="00D01F45">
        <w:t xml:space="preserve">patients must </w:t>
      </w:r>
      <w:r w:rsidR="004D52F4" w:rsidRPr="00D01F45">
        <w:t xml:space="preserve">have </w:t>
      </w:r>
      <w:r w:rsidRPr="00D01F45">
        <w:t>been taking a minimum of 400</w:t>
      </w:r>
      <w:r w:rsidR="00FB1BD2" w:rsidRPr="00D01F45">
        <w:t> </w:t>
      </w:r>
      <w:r w:rsidRPr="00D01F45">
        <w:t xml:space="preserve">mg/day of levodopa equivalents while still experiencing more than 2.5 hours of </w:t>
      </w:r>
      <w:r w:rsidR="00DD70F6" w:rsidRPr="00D01F45">
        <w:t>‘Off-time’</w:t>
      </w:r>
      <w:r w:rsidRPr="00D01F45">
        <w:t xml:space="preserve"> (time experiencing uncontrolled Parkinson’s symptoms).</w:t>
      </w:r>
    </w:p>
    <w:p w14:paraId="2F62217E" w14:textId="77777777" w:rsidR="00E967E8" w:rsidRDefault="001A3513" w:rsidP="003945B8">
      <w:pPr>
        <w:pStyle w:val="3-BodyText"/>
      </w:pPr>
      <w:r w:rsidRPr="00C95A87">
        <w:t>The LCIG listing includes an administrative note that: “Patients should have adequate cognitive function to manage administration with a portable continuous infusion pump.”</w:t>
      </w:r>
      <w:r w:rsidR="00636CA9" w:rsidRPr="00C95A87">
        <w:t xml:space="preserve"> </w:t>
      </w:r>
      <w:r w:rsidR="00B0271F" w:rsidRPr="00B42BBE">
        <w:t xml:space="preserve">The ESC considered the administrative note was </w:t>
      </w:r>
      <w:r w:rsidR="00B0271F">
        <w:t xml:space="preserve">also </w:t>
      </w:r>
      <w:r w:rsidR="00B0271F" w:rsidRPr="00B42BBE">
        <w:t>appropriate</w:t>
      </w:r>
      <w:r w:rsidR="00B0271F">
        <w:t xml:space="preserve"> for FosLD/FosCD</w:t>
      </w:r>
      <w:r w:rsidR="00B0271F" w:rsidRPr="00B42BBE">
        <w:t>.</w:t>
      </w:r>
    </w:p>
    <w:p w14:paraId="79581CFD" w14:textId="7A382521" w:rsidR="00D65B18" w:rsidRDefault="00D65B18" w:rsidP="003945B8">
      <w:pPr>
        <w:pStyle w:val="3-BodyText"/>
      </w:pPr>
      <w:r w:rsidRPr="00B42BBE">
        <w:lastRenderedPageBreak/>
        <w:t>The ESC considered that initiation is complex and should be performed in a hospital-based movement disord</w:t>
      </w:r>
      <w:r w:rsidR="00C16C34" w:rsidRPr="00B42BBE">
        <w:t>e</w:t>
      </w:r>
      <w:r w:rsidRPr="00B42BBE">
        <w:t xml:space="preserve">rs </w:t>
      </w:r>
      <w:r w:rsidR="00C01FAE" w:rsidRPr="00B42BBE">
        <w:t>clinic and</w:t>
      </w:r>
      <w:r w:rsidR="0032248A" w:rsidRPr="00B42BBE">
        <w:t xml:space="preserve"> is not appropriate for initiation with specialist physician advice</w:t>
      </w:r>
      <w:r w:rsidRPr="00B42BBE">
        <w:t>.</w:t>
      </w:r>
      <w:r w:rsidR="0032248A" w:rsidRPr="00B42BBE">
        <w:t xml:space="preserve"> </w:t>
      </w:r>
      <w:r w:rsidR="00CB437C">
        <w:t>The Pre-PBAC Response disagreed with the ESC and noted that neither the Product Information nor clinical studies for FosLD/FosCD required initiation in a specialist hospital setting and noted additional correspondence from health care professionals and specialists in hospital-based movement disorders clinics that strongly supported the availability of FosLD/FosCD in the hospital, outpatient</w:t>
      </w:r>
      <w:r w:rsidR="00E109AD">
        <w:t>,</w:t>
      </w:r>
      <w:r w:rsidR="00CB437C">
        <w:t xml:space="preserve"> and non-hospital settings. The PBAC agreed with the Sponsor and considered FosLD/FosCD was suitable for initiation beyond the hospital setting and this would be beneficial to some patients, especially those in regional and rural areas, by not needing to attend a specialist movement disorders clinic which would likely be based in a major centre.</w:t>
      </w:r>
    </w:p>
    <w:p w14:paraId="221B0659" w14:textId="2185AD66" w:rsidR="00EC40E8" w:rsidRPr="00EC40E8" w:rsidRDefault="00EC40E8" w:rsidP="004F7504">
      <w:pPr>
        <w:pStyle w:val="3-BodyText"/>
        <w:numPr>
          <w:ilvl w:val="0"/>
          <w:numId w:val="0"/>
        </w:numPr>
        <w:ind w:left="720"/>
      </w:pPr>
      <w:r w:rsidRPr="00EC40E8">
        <w:t>For more detail on PBAC’s view, see section 7 PBAC outcome.</w:t>
      </w:r>
    </w:p>
    <w:p w14:paraId="61105FC5" w14:textId="77777777" w:rsidR="00C440A2" w:rsidRPr="00407F2D" w:rsidDel="00195452" w:rsidRDefault="00C440A2" w:rsidP="00C440A2">
      <w:pPr>
        <w:pStyle w:val="2-SectionHeading"/>
      </w:pPr>
      <w:bookmarkStart w:id="11" w:name="_Toc135071999"/>
      <w:r w:rsidDel="00195452">
        <w:t>Population and disease</w:t>
      </w:r>
      <w:bookmarkEnd w:id="11"/>
    </w:p>
    <w:p w14:paraId="4C36EAA6" w14:textId="0456B055" w:rsidR="00C440A2" w:rsidRPr="00510711" w:rsidRDefault="00C440A2" w:rsidP="003945B8">
      <w:pPr>
        <w:pStyle w:val="3-BodyText"/>
        <w:rPr>
          <w:color w:val="0066FF"/>
        </w:rPr>
      </w:pPr>
      <w:bookmarkStart w:id="12" w:name="_Hlk134048898"/>
      <w:r>
        <w:t xml:space="preserve">Parkinson’s disease </w:t>
      </w:r>
      <w:r w:rsidR="001643C2">
        <w:t xml:space="preserve">(PD) </w:t>
      </w:r>
      <w:r>
        <w:t>is a neurodegenerative disorder that affects movements and is characteri</w:t>
      </w:r>
      <w:r w:rsidR="00B16913">
        <w:t>s</w:t>
      </w:r>
      <w:r>
        <w:t>ed by symptoms such a</w:t>
      </w:r>
      <w:r w:rsidR="004D52F4">
        <w:t>s</w:t>
      </w:r>
      <w:r>
        <w:t xml:space="preserve"> tremors, rigidity, bradykinesia, and postural instability. The underlying cause is a deficiency of dopamine from the loss of dopamine-producing cells in the substantia nigra</w:t>
      </w:r>
      <w:r w:rsidR="00DF1F66">
        <w:rPr>
          <w:rStyle w:val="FootnoteReference"/>
        </w:rPr>
        <w:footnoteReference w:id="1"/>
      </w:r>
      <w:r>
        <w:t>. In Australia, it is estimated that over 100,00</w:t>
      </w:r>
      <w:r w:rsidR="0035019A">
        <w:t>0</w:t>
      </w:r>
      <w:r>
        <w:t xml:space="preserve"> people are living with PD</w:t>
      </w:r>
      <w:r w:rsidR="00DF1F66">
        <w:rPr>
          <w:rStyle w:val="FootnoteReference"/>
        </w:rPr>
        <w:footnoteReference w:id="2"/>
      </w:r>
      <w:r>
        <w:t>. This number is expected to increase due to the ageing population.</w:t>
      </w:r>
    </w:p>
    <w:p w14:paraId="71D4BEB0" w14:textId="3816348C" w:rsidR="00C440A2" w:rsidRPr="00510711" w:rsidRDefault="00C440A2" w:rsidP="003945B8">
      <w:pPr>
        <w:pStyle w:val="3-BodyText"/>
        <w:rPr>
          <w:color w:val="0066FF"/>
        </w:rPr>
      </w:pPr>
      <w:r>
        <w:t>Advanced Parkinson’s disease develops in the later stages of PD when symptoms become more severe and m</w:t>
      </w:r>
      <w:r w:rsidR="001643C2">
        <w:t>a</w:t>
      </w:r>
      <w:r>
        <w:t>y significantly impact a person’s quality of life. These stages are typically characteri</w:t>
      </w:r>
      <w:r w:rsidR="005039F5">
        <w:t>s</w:t>
      </w:r>
      <w:r>
        <w:t xml:space="preserve">ed by motor and non-motor symptoms that may </w:t>
      </w:r>
      <w:r w:rsidR="001643C2">
        <w:t>require</w:t>
      </w:r>
      <w:r>
        <w:t xml:space="preserve"> more intensive management</w:t>
      </w:r>
      <w:r w:rsidR="00DF1F66">
        <w:rPr>
          <w:rStyle w:val="FootnoteReference"/>
        </w:rPr>
        <w:footnoteReference w:id="3"/>
      </w:r>
      <w:r>
        <w:t>. Using 10% PBS utili</w:t>
      </w:r>
      <w:r w:rsidR="006374CF">
        <w:t>s</w:t>
      </w:r>
      <w:r>
        <w:t>ation data, the submission estimated that almost 5</w:t>
      </w:r>
      <w:r w:rsidR="006374CF">
        <w:t>,</w:t>
      </w:r>
      <w:r>
        <w:t>000 Australians are considered to have a</w:t>
      </w:r>
      <w:r w:rsidR="004D52F4">
        <w:t xml:space="preserve">dvanced </w:t>
      </w:r>
      <w:r>
        <w:t>PD based on their high use of levodopa.</w:t>
      </w:r>
    </w:p>
    <w:p w14:paraId="09A464B8" w14:textId="5406DC59" w:rsidR="00C440A2" w:rsidRPr="00510711" w:rsidRDefault="00C440A2" w:rsidP="003945B8">
      <w:pPr>
        <w:pStyle w:val="3-BodyText"/>
      </w:pPr>
      <w:r w:rsidRPr="00510711">
        <w:t xml:space="preserve">The proposed intervention is </w:t>
      </w:r>
      <w:r w:rsidR="004D52F4">
        <w:t>FosLD</w:t>
      </w:r>
      <w:r w:rsidR="00345466">
        <w:t>/</w:t>
      </w:r>
      <w:r w:rsidR="004D52F4">
        <w:t>FosCD</w:t>
      </w:r>
      <w:r w:rsidRPr="00510711">
        <w:t>. Both compounds are prodrugs of levodopa and carbidopa, respectively. FosLD is water soluble and able to be delivered subcutaneously</w:t>
      </w:r>
      <w:r w:rsidR="00DF1F66">
        <w:rPr>
          <w:rStyle w:val="FootnoteReference"/>
        </w:rPr>
        <w:footnoteReference w:id="4"/>
      </w:r>
      <w:r w:rsidRPr="00510711">
        <w:t>. Once administered, FosLD is converted to levodopa</w:t>
      </w:r>
      <w:r w:rsidR="00B2506D">
        <w:t xml:space="preserve"> (LD)</w:t>
      </w:r>
      <w:r w:rsidRPr="00510711">
        <w:t>. Levodopa can cross the blood brain barrier. Once in the brain, levodopa is converted to the active neurotransmitter, dopamine. This acts to increase the concentration of dopamine in the brain and allows more dopamine to be taken up by presynaptic nerve terminals. The increased dopamine uptake by nerves replenishes neurotransmitter levels in the synapses, allowing for proper functioning</w:t>
      </w:r>
      <w:r w:rsidR="00DF1F66">
        <w:rPr>
          <w:rStyle w:val="FootnoteReference"/>
        </w:rPr>
        <w:footnoteReference w:id="5"/>
      </w:r>
      <w:r w:rsidRPr="00510711">
        <w:t>.</w:t>
      </w:r>
    </w:p>
    <w:p w14:paraId="02B8A736" w14:textId="0CB756D8" w:rsidR="00C440A2" w:rsidRDefault="00C440A2" w:rsidP="003945B8">
      <w:pPr>
        <w:pStyle w:val="3-BodyText"/>
      </w:pPr>
      <w:r w:rsidRPr="00510711">
        <w:lastRenderedPageBreak/>
        <w:t xml:space="preserve">Levodopa can be </w:t>
      </w:r>
      <w:r w:rsidR="00F93572" w:rsidRPr="00510711">
        <w:t>metaboli</w:t>
      </w:r>
      <w:r w:rsidR="00F93572">
        <w:t>s</w:t>
      </w:r>
      <w:r w:rsidR="00F93572" w:rsidRPr="00510711">
        <w:t xml:space="preserve">ed </w:t>
      </w:r>
      <w:r w:rsidRPr="00510711">
        <w:t xml:space="preserve">to dopamine peripherally. As dopamine cannot cross the </w:t>
      </w:r>
      <w:r w:rsidR="004D52F4">
        <w:t>blood brain barrier</w:t>
      </w:r>
      <w:r w:rsidRPr="00510711">
        <w:t>, this would result in a decreased efficacy of the drug. To address this</w:t>
      </w:r>
      <w:r w:rsidR="001643C2">
        <w:t>,</w:t>
      </w:r>
      <w:r w:rsidRPr="00510711">
        <w:t xml:space="preserve"> FosLD is combined with FosCD. FosCD, when converted into carbidopa</w:t>
      </w:r>
      <w:r w:rsidR="00B2506D">
        <w:t xml:space="preserve"> (CD)</w:t>
      </w:r>
      <w:r w:rsidRPr="00510711">
        <w:t xml:space="preserve">, acts to inhibit levodopa metabolism until levodopa crosses the </w:t>
      </w:r>
      <w:r w:rsidR="004D52F4">
        <w:t>blood brain barrier</w:t>
      </w:r>
      <w:r w:rsidRPr="00510711">
        <w:t>.</w:t>
      </w:r>
    </w:p>
    <w:p w14:paraId="00F37739" w14:textId="7870E627" w:rsidR="00C440A2" w:rsidRDefault="00C440A2" w:rsidP="003945B8">
      <w:pPr>
        <w:pStyle w:val="3-BodyText"/>
      </w:pPr>
      <w:r>
        <w:t>In most patients with PD, motor fluctuations and dyskinesia can be adequately managed though an oral LD based therapy. For patients whose symptoms are not adequately controlled with oral medication, device aided therapy (DAT) is an option. In Australia there are currently 3 DATs available</w:t>
      </w:r>
      <w:r w:rsidR="001B52B0">
        <w:t>:</w:t>
      </w:r>
      <w:r>
        <w:t xml:space="preserve"> LCIG</w:t>
      </w:r>
      <w:r w:rsidR="005D642F">
        <w:t xml:space="preserve"> and</w:t>
      </w:r>
      <w:r>
        <w:t xml:space="preserve"> continuous subcutaneous infusion of apomorphine</w:t>
      </w:r>
      <w:r w:rsidR="005D642F">
        <w:t xml:space="preserve"> available via the PBS</w:t>
      </w:r>
      <w:r>
        <w:t>, and deep brain stimulation</w:t>
      </w:r>
      <w:r w:rsidR="005D642F">
        <w:t xml:space="preserve"> available via the MBS</w:t>
      </w:r>
      <w:r>
        <w:t>. LCIG is currently the only dopaminergic based DAT for a</w:t>
      </w:r>
      <w:r w:rsidR="004D52F4">
        <w:t xml:space="preserve">dvanced </w:t>
      </w:r>
      <w:r>
        <w:t>PD.</w:t>
      </w:r>
    </w:p>
    <w:p w14:paraId="17316675" w14:textId="2059EF9C" w:rsidR="00C440A2" w:rsidRPr="00EC40E8" w:rsidRDefault="00C440A2" w:rsidP="003945B8">
      <w:pPr>
        <w:pStyle w:val="3-BodyText"/>
      </w:pPr>
      <w:r>
        <w:t xml:space="preserve">The </w:t>
      </w:r>
      <w:r w:rsidR="005D642F">
        <w:t xml:space="preserve">submission’s </w:t>
      </w:r>
      <w:r>
        <w:t xml:space="preserve">clinical management algorithm </w:t>
      </w:r>
      <w:r w:rsidR="005D642F">
        <w:t>positioned</w:t>
      </w:r>
      <w:r>
        <w:t xml:space="preserve"> FosLD/FosCD </w:t>
      </w:r>
      <w:r w:rsidR="004D52F4">
        <w:t>as an alternative to</w:t>
      </w:r>
      <w:r>
        <w:t xml:space="preserve"> LCIG, as a DAT that can be used in patients whose PD symptoms are not adequately controlled with oral LD. </w:t>
      </w:r>
      <w:r w:rsidRPr="00C95A87">
        <w:rPr>
          <w:iCs/>
        </w:rPr>
        <w:t>The proposed algorithm is consistent with the current restriction for LCIG.</w:t>
      </w:r>
    </w:p>
    <w:p w14:paraId="3549E713" w14:textId="074A0B7F" w:rsidR="00EC40E8" w:rsidRPr="00EC40E8" w:rsidDel="00195452" w:rsidRDefault="00EC40E8" w:rsidP="004F7504">
      <w:pPr>
        <w:pStyle w:val="3-BodyText"/>
        <w:numPr>
          <w:ilvl w:val="0"/>
          <w:numId w:val="0"/>
        </w:numPr>
        <w:ind w:left="720"/>
      </w:pPr>
      <w:r w:rsidRPr="00EC40E8">
        <w:t>For more detail on PBAC’s view, see section 7 PBAC outcome.</w:t>
      </w:r>
    </w:p>
    <w:p w14:paraId="5D344913" w14:textId="77777777" w:rsidR="00C440A2" w:rsidRPr="00510711" w:rsidRDefault="00C440A2" w:rsidP="00C440A2">
      <w:pPr>
        <w:pStyle w:val="2-SectionHeading"/>
      </w:pPr>
      <w:bookmarkStart w:id="13" w:name="_Toc135072000"/>
      <w:bookmarkEnd w:id="12"/>
      <w:r w:rsidRPr="00407F2D">
        <w:t>Comparator</w:t>
      </w:r>
      <w:bookmarkEnd w:id="13"/>
    </w:p>
    <w:p w14:paraId="39E43BEB" w14:textId="708B4527" w:rsidR="00C440A2" w:rsidRPr="00C012EC" w:rsidRDefault="00C440A2" w:rsidP="003945B8">
      <w:pPr>
        <w:pStyle w:val="3-BodyText"/>
        <w:rPr>
          <w:snapToGrid/>
          <w:color w:val="0066FF"/>
          <w:lang w:val="en-US"/>
        </w:rPr>
      </w:pPr>
      <w:r w:rsidRPr="00ED5BD4">
        <w:rPr>
          <w:lang w:val="en-US"/>
        </w:rPr>
        <w:t xml:space="preserve">The submission nominated </w:t>
      </w:r>
      <w:r>
        <w:rPr>
          <w:lang w:val="en-US"/>
        </w:rPr>
        <w:t>LCIG</w:t>
      </w:r>
      <w:r w:rsidRPr="00ED5BD4">
        <w:rPr>
          <w:lang w:val="en-US"/>
        </w:rPr>
        <w:t xml:space="preserve"> as the comparator. </w:t>
      </w:r>
      <w:r>
        <w:rPr>
          <w:lang w:val="en-US"/>
        </w:rPr>
        <w:t xml:space="preserve">LCIG is a </w:t>
      </w:r>
      <w:r w:rsidR="00A267A3">
        <w:rPr>
          <w:lang w:val="en-US"/>
        </w:rPr>
        <w:t>DAT</w:t>
      </w:r>
      <w:r>
        <w:rPr>
          <w:lang w:val="en-US"/>
        </w:rPr>
        <w:t xml:space="preserve"> that allows for continuous administration of levodopa/carbidopa</w:t>
      </w:r>
      <w:r w:rsidR="00B2506D">
        <w:rPr>
          <w:lang w:val="en-US"/>
        </w:rPr>
        <w:t xml:space="preserve"> (LD/CD)</w:t>
      </w:r>
      <w:r>
        <w:rPr>
          <w:lang w:val="en-US"/>
        </w:rPr>
        <w:t>. The initiation of LCIG requires surgery to place a gastrojejunostomy tube</w:t>
      </w:r>
      <w:r w:rsidR="00B2506D">
        <w:rPr>
          <w:lang w:val="en-US"/>
        </w:rPr>
        <w:t xml:space="preserve"> (j-tube)</w:t>
      </w:r>
      <w:r>
        <w:rPr>
          <w:lang w:val="en-US"/>
        </w:rPr>
        <w:t xml:space="preserve"> through which the intestinal gel is delivered. The pharmacologically active component</w:t>
      </w:r>
      <w:r w:rsidR="0022322D">
        <w:rPr>
          <w:lang w:val="en-US"/>
        </w:rPr>
        <w:t>s</w:t>
      </w:r>
      <w:r>
        <w:rPr>
          <w:lang w:val="en-US"/>
        </w:rPr>
        <w:t xml:space="preserve"> of LCI</w:t>
      </w:r>
      <w:r w:rsidR="00A267A3">
        <w:rPr>
          <w:lang w:val="en-US"/>
        </w:rPr>
        <w:t>G</w:t>
      </w:r>
      <w:r>
        <w:rPr>
          <w:lang w:val="en-US"/>
        </w:rPr>
        <w:t xml:space="preserve">, levodopa/carbidopa, </w:t>
      </w:r>
      <w:r w:rsidR="0022322D">
        <w:rPr>
          <w:lang w:val="en-US"/>
        </w:rPr>
        <w:t xml:space="preserve">are </w:t>
      </w:r>
      <w:r>
        <w:rPr>
          <w:lang w:val="en-US"/>
        </w:rPr>
        <w:t>the same two compounds found in the oral LD/CD used to treat PD.</w:t>
      </w:r>
    </w:p>
    <w:p w14:paraId="03DB8682" w14:textId="29E8DB36" w:rsidR="00C440A2" w:rsidRPr="00D41772" w:rsidRDefault="00C440A2" w:rsidP="003945B8">
      <w:pPr>
        <w:pStyle w:val="3-BodyText"/>
        <w:rPr>
          <w:snapToGrid/>
          <w:color w:val="0066FF"/>
          <w:lang w:val="en-US"/>
        </w:rPr>
      </w:pPr>
      <w:r w:rsidRPr="00510711">
        <w:t xml:space="preserve">The main argument provided in support of this nomination </w:t>
      </w:r>
      <w:r w:rsidR="005D642F">
        <w:t>was</w:t>
      </w:r>
      <w:r w:rsidR="005D642F" w:rsidRPr="00510711">
        <w:t xml:space="preserve"> </w:t>
      </w:r>
      <w:r w:rsidRPr="00510711">
        <w:t>that LCIG is the only levodopa</w:t>
      </w:r>
      <w:r w:rsidR="00577503">
        <w:t>/</w:t>
      </w:r>
      <w:r w:rsidRPr="00510711">
        <w:t xml:space="preserve">carbidopa </w:t>
      </w:r>
      <w:r>
        <w:t>DAT</w:t>
      </w:r>
      <w:r w:rsidRPr="00510711">
        <w:t xml:space="preserve"> listed on the PBS for patients with a</w:t>
      </w:r>
      <w:r w:rsidR="00A267A3">
        <w:t xml:space="preserve">dvanced </w:t>
      </w:r>
      <w:r w:rsidRPr="00510711">
        <w:t>PD who have severe motor fluctuations not adequately controlled by oral therapy.</w:t>
      </w:r>
    </w:p>
    <w:p w14:paraId="0F7FC8E0" w14:textId="40E97DDF" w:rsidR="00DE551C" w:rsidRPr="00E20CF0" w:rsidRDefault="00C440A2" w:rsidP="003945B8">
      <w:pPr>
        <w:pStyle w:val="3-BodyText"/>
        <w:rPr>
          <w:snapToGrid/>
          <w:color w:val="0066FF"/>
          <w:lang w:val="en-US"/>
        </w:rPr>
      </w:pPr>
      <w:r w:rsidRPr="00B42BBE">
        <w:rPr>
          <w:lang w:val="en-US"/>
        </w:rPr>
        <w:t xml:space="preserve">The </w:t>
      </w:r>
      <w:r w:rsidR="002910A4" w:rsidRPr="00B42BBE">
        <w:rPr>
          <w:lang w:val="en-US"/>
        </w:rPr>
        <w:t xml:space="preserve">ESC considered the </w:t>
      </w:r>
      <w:r w:rsidRPr="00B42BBE">
        <w:rPr>
          <w:lang w:val="en-US"/>
        </w:rPr>
        <w:t xml:space="preserve">nominated comparator </w:t>
      </w:r>
      <w:r w:rsidR="00805F9E" w:rsidRPr="00B42BBE">
        <w:rPr>
          <w:lang w:val="en-US"/>
        </w:rPr>
        <w:t xml:space="preserve">was </w:t>
      </w:r>
      <w:r w:rsidRPr="00B42BBE">
        <w:rPr>
          <w:lang w:val="en-US"/>
        </w:rPr>
        <w:t>appropriate</w:t>
      </w:r>
      <w:r w:rsidR="00805F9E" w:rsidRPr="00B42BBE">
        <w:rPr>
          <w:lang w:val="en-US"/>
        </w:rPr>
        <w:t>,</w:t>
      </w:r>
      <w:r w:rsidR="00805F9E">
        <w:rPr>
          <w:lang w:val="en-US"/>
        </w:rPr>
        <w:t xml:space="preserve"> </w:t>
      </w:r>
      <w:r w:rsidR="00F800A0" w:rsidRPr="00B42BBE">
        <w:rPr>
          <w:lang w:val="en-US"/>
        </w:rPr>
        <w:t>alt</w:t>
      </w:r>
      <w:r w:rsidR="00805F9E" w:rsidRPr="00B42BBE">
        <w:rPr>
          <w:lang w:val="en-US"/>
        </w:rPr>
        <w:t xml:space="preserve">hough it has relatively poor uptake. </w:t>
      </w:r>
      <w:r w:rsidR="001B52B0" w:rsidRPr="0088462F">
        <w:rPr>
          <w:lang w:val="en-US"/>
        </w:rPr>
        <w:t>The submission state</w:t>
      </w:r>
      <w:r w:rsidR="001B52B0">
        <w:rPr>
          <w:lang w:val="en-US"/>
        </w:rPr>
        <w:t>d</w:t>
      </w:r>
      <w:r w:rsidR="001B52B0" w:rsidRPr="0088462F">
        <w:rPr>
          <w:lang w:val="en-US"/>
        </w:rPr>
        <w:t xml:space="preserve"> that there is a modest </w:t>
      </w:r>
      <w:r w:rsidR="001B52B0">
        <w:rPr>
          <w:lang w:val="en-US"/>
        </w:rPr>
        <w:t>use</w:t>
      </w:r>
      <w:r w:rsidR="001B52B0" w:rsidRPr="0088462F">
        <w:rPr>
          <w:lang w:val="en-US"/>
        </w:rPr>
        <w:t xml:space="preserve"> due to capacity constraints within the health care </w:t>
      </w:r>
      <w:r w:rsidR="001B52B0">
        <w:rPr>
          <w:lang w:val="en-US"/>
        </w:rPr>
        <w:t xml:space="preserve">system </w:t>
      </w:r>
      <w:r w:rsidR="001B52B0" w:rsidRPr="5F55F154">
        <w:t>to initiate</w:t>
      </w:r>
      <w:r w:rsidR="001B52B0">
        <w:t xml:space="preserve"> LCIG in hospital-based movement disorder clinics</w:t>
      </w:r>
      <w:r w:rsidR="001B52B0" w:rsidRPr="5F55F154">
        <w:t xml:space="preserve">, as well as patient </w:t>
      </w:r>
      <w:r w:rsidR="001B52B0">
        <w:t>and carer lack of acceptance of,</w:t>
      </w:r>
      <w:r w:rsidR="001B52B0" w:rsidRPr="5F55F154">
        <w:t xml:space="preserve"> or </w:t>
      </w:r>
      <w:r w:rsidR="001B52B0">
        <w:t xml:space="preserve">a </w:t>
      </w:r>
      <w:r w:rsidR="001B52B0" w:rsidRPr="5F55F154">
        <w:t xml:space="preserve">contraindication </w:t>
      </w:r>
      <w:r w:rsidR="001B52B0">
        <w:t>with,</w:t>
      </w:r>
      <w:r w:rsidR="001B52B0" w:rsidRPr="5F55F154">
        <w:t xml:space="preserve"> surgery</w:t>
      </w:r>
      <w:r w:rsidR="001B52B0">
        <w:t>.</w:t>
      </w:r>
    </w:p>
    <w:p w14:paraId="0F532213" w14:textId="588E9FEA" w:rsidR="00755AB4" w:rsidRPr="00E20CF0" w:rsidRDefault="00755AB4" w:rsidP="003945B8">
      <w:pPr>
        <w:pStyle w:val="3-BodyText"/>
        <w:rPr>
          <w:snapToGrid/>
          <w:color w:val="0066FF"/>
          <w:lang w:val="en-US"/>
        </w:rPr>
      </w:pPr>
      <w:r>
        <w:rPr>
          <w:lang w:val="en-US"/>
        </w:rPr>
        <w:t>The evaluation noted o</w:t>
      </w:r>
      <w:r w:rsidRPr="00E20CF0">
        <w:rPr>
          <w:lang w:val="en-US"/>
        </w:rPr>
        <w:t>ral LD/CD may represent a potential comparator as patients may remain on oral LD/CD even when their motor fluctuations are not adequately controlled.</w:t>
      </w:r>
      <w:r w:rsidRPr="00B42BBE">
        <w:rPr>
          <w:lang w:val="en-US"/>
        </w:rPr>
        <w:t xml:space="preserve"> </w:t>
      </w:r>
      <w:r w:rsidR="00805F9E" w:rsidRPr="00B42BBE">
        <w:rPr>
          <w:lang w:val="en-US"/>
        </w:rPr>
        <w:t>The ESC indicated that even though patients might remain on oral agents, those agents are usually markedly reduced or ceased.</w:t>
      </w:r>
    </w:p>
    <w:p w14:paraId="0B14ECA0" w14:textId="2211E181" w:rsidR="00EC40E8" w:rsidRPr="00EC40E8" w:rsidRDefault="00EC40E8" w:rsidP="004F7504">
      <w:pPr>
        <w:pStyle w:val="3-BodyText"/>
        <w:numPr>
          <w:ilvl w:val="0"/>
          <w:numId w:val="0"/>
        </w:numPr>
        <w:ind w:left="720"/>
        <w:rPr>
          <w:snapToGrid/>
          <w:lang w:val="en-US"/>
        </w:rPr>
      </w:pPr>
      <w:r w:rsidRPr="00EC40E8">
        <w:rPr>
          <w:snapToGrid/>
          <w:lang w:val="en-US"/>
        </w:rPr>
        <w:t>For more detail on PBAC’s view, see section 7 PBAC outcome.</w:t>
      </w:r>
    </w:p>
    <w:p w14:paraId="5038D416" w14:textId="77777777" w:rsidR="00C440A2" w:rsidRPr="00AF30D8" w:rsidRDefault="00C440A2" w:rsidP="00C440A2">
      <w:pPr>
        <w:pStyle w:val="2-SectionHeading"/>
      </w:pPr>
      <w:bookmarkStart w:id="14" w:name="_Toc135072001"/>
      <w:bookmarkStart w:id="15" w:name="_Toc22897640"/>
      <w:r w:rsidRPr="00AF30D8">
        <w:lastRenderedPageBreak/>
        <w:t>Consideration of the evidence</w:t>
      </w:r>
      <w:bookmarkEnd w:id="14"/>
    </w:p>
    <w:p w14:paraId="73F89295" w14:textId="77777777" w:rsidR="001244D0" w:rsidRPr="006E1229" w:rsidRDefault="001244D0" w:rsidP="00240322">
      <w:pPr>
        <w:pStyle w:val="3-SubsectionHeading"/>
        <w:outlineLvl w:val="1"/>
        <w:rPr>
          <w:lang w:eastAsia="en-AU"/>
        </w:rPr>
      </w:pPr>
      <w:bookmarkStart w:id="16" w:name="_Hlk76375935"/>
      <w:bookmarkStart w:id="17" w:name="_Toc135072002"/>
      <w:r w:rsidRPr="006E1229">
        <w:rPr>
          <w:lang w:eastAsia="en-AU"/>
        </w:rPr>
        <w:t>Sponsor hearing</w:t>
      </w:r>
    </w:p>
    <w:p w14:paraId="6F99FEEE" w14:textId="77777777" w:rsidR="00E967E8" w:rsidRDefault="00117587" w:rsidP="003945B8">
      <w:pPr>
        <w:pStyle w:val="3-BodyText"/>
      </w:pPr>
      <w:bookmarkStart w:id="18" w:name="_Hlk76382586"/>
      <w:r w:rsidRPr="00117587">
        <w:t>The Sponsor requested a hearing for this item. The clinician discussed the current treatment options for patients no longer achieving adequate disease control on oral therapies, including LCIG and apomorphine subcutaneous infusion</w:t>
      </w:r>
      <w:r w:rsidR="004010A3">
        <w:t xml:space="preserve">. The clinician </w:t>
      </w:r>
      <w:r w:rsidRPr="00117587">
        <w:t>stated LCIG is an invasive therapy and is logistically challenging to live with, whilst apomorphine has prohibitive side effects for many patients and 24</w:t>
      </w:r>
      <w:r w:rsidR="00C01FAE">
        <w:t>-</w:t>
      </w:r>
      <w:r w:rsidRPr="00117587">
        <w:t xml:space="preserve">hour treatment is often not possible. The clinician stated </w:t>
      </w:r>
      <w:r w:rsidR="004010A3">
        <w:t xml:space="preserve">that </w:t>
      </w:r>
      <w:r w:rsidRPr="00117587">
        <w:t xml:space="preserve">FosLD/FosCD </w:t>
      </w:r>
      <w:r w:rsidR="00D07FC8">
        <w:t>w</w:t>
      </w:r>
      <w:r w:rsidRPr="00117587">
        <w:t xml:space="preserve">as important in the armamentarium of </w:t>
      </w:r>
      <w:r w:rsidR="00B16913">
        <w:t>DATs</w:t>
      </w:r>
      <w:r w:rsidRPr="00117587">
        <w:t xml:space="preserve"> and described it as an important new and minimally invasive treatment option that can provide better accessibility and access to patients</w:t>
      </w:r>
      <w:r w:rsidR="00B16913">
        <w:t>. The clinician stated it</w:t>
      </w:r>
      <w:r w:rsidRPr="00117587">
        <w:t xml:space="preserve"> can be delivered in the outpatient setting, offering the opportunity for regional and rural patients who would otherwise not be able to access current options without travelling to hospital clinics in major centres</w:t>
      </w:r>
      <w:r w:rsidR="00B16913">
        <w:t xml:space="preserve"> to receive continuous levodopa</w:t>
      </w:r>
      <w:r w:rsidR="004010A3">
        <w:t>. The clinician</w:t>
      </w:r>
      <w:r w:rsidRPr="00117587">
        <w:t xml:space="preserve"> </w:t>
      </w:r>
      <w:r w:rsidR="00171ACA">
        <w:t>emphasi</w:t>
      </w:r>
      <w:r w:rsidR="009431B6">
        <w:t>s</w:t>
      </w:r>
      <w:r w:rsidR="00171ACA">
        <w:t xml:space="preserve">ed </w:t>
      </w:r>
      <w:r w:rsidR="004010A3">
        <w:t xml:space="preserve">however, that </w:t>
      </w:r>
      <w:r w:rsidRPr="00117587">
        <w:t xml:space="preserve">there are a range of considerations for individual patients that would determine the most appropriate setting </w:t>
      </w:r>
      <w:r w:rsidR="004010A3">
        <w:t>for commencement of</w:t>
      </w:r>
      <w:r w:rsidRPr="00117587">
        <w:t xml:space="preserve"> FosCD/FosLD.</w:t>
      </w:r>
    </w:p>
    <w:p w14:paraId="221C65D4" w14:textId="62ABB05E" w:rsidR="001244D0" w:rsidRPr="005D5677" w:rsidRDefault="00117587" w:rsidP="003945B8">
      <w:pPr>
        <w:pStyle w:val="3-BodyText"/>
      </w:pPr>
      <w:r w:rsidRPr="00117587">
        <w:t xml:space="preserve">The </w:t>
      </w:r>
      <w:r w:rsidR="004010A3">
        <w:t>c</w:t>
      </w:r>
      <w:r w:rsidRPr="00117587">
        <w:t xml:space="preserve">linician also stated the limitations of </w:t>
      </w:r>
      <w:r w:rsidR="004010A3">
        <w:t xml:space="preserve">using </w:t>
      </w:r>
      <w:r w:rsidRPr="00117587">
        <w:t xml:space="preserve">LCIG and apomorphine </w:t>
      </w:r>
      <w:r w:rsidR="004010A3">
        <w:t>ha</w:t>
      </w:r>
      <w:r w:rsidR="00B16913">
        <w:t>ve</w:t>
      </w:r>
      <w:r w:rsidR="004010A3">
        <w:t xml:space="preserve"> resulted in</w:t>
      </w:r>
      <w:r w:rsidRPr="00117587">
        <w:t xml:space="preserve"> relatively low</w:t>
      </w:r>
      <w:r w:rsidR="004010A3">
        <w:t xml:space="preserve"> uptake</w:t>
      </w:r>
      <w:r w:rsidRPr="00117587">
        <w:t xml:space="preserve">, but FosLD/FosCD </w:t>
      </w:r>
      <w:r w:rsidR="004010A3">
        <w:t>i</w:t>
      </w:r>
      <w:r w:rsidRPr="00117587">
        <w:t>s more easily deliverable, able to be used 24 hours a day and d</w:t>
      </w:r>
      <w:r w:rsidR="004010A3">
        <w:t xml:space="preserve">oes </w:t>
      </w:r>
      <w:r w:rsidRPr="00117587">
        <w:t>not require life-changing surgery to commence treatment, and therefore would be considered</w:t>
      </w:r>
      <w:r w:rsidR="004010A3">
        <w:t xml:space="preserve"> as a treatment option</w:t>
      </w:r>
      <w:r w:rsidRPr="00117587">
        <w:t xml:space="preserve"> in double or even triple the number of patients </w:t>
      </w:r>
      <w:r w:rsidR="004010A3">
        <w:t xml:space="preserve">currently being </w:t>
      </w:r>
      <w:r w:rsidRPr="00117587">
        <w:t xml:space="preserve">considered </w:t>
      </w:r>
      <w:r w:rsidR="00C24A84">
        <w:t xml:space="preserve">for </w:t>
      </w:r>
      <w:r w:rsidRPr="00117587">
        <w:t xml:space="preserve">or taking up </w:t>
      </w:r>
      <w:r w:rsidR="004010A3">
        <w:t>LCIG or apomorphine</w:t>
      </w:r>
      <w:r w:rsidRPr="00117587">
        <w:t>.</w:t>
      </w:r>
    </w:p>
    <w:bookmarkEnd w:id="18"/>
    <w:p w14:paraId="1E92396E" w14:textId="77777777" w:rsidR="001244D0" w:rsidRPr="006E1229" w:rsidRDefault="001244D0" w:rsidP="00240322">
      <w:pPr>
        <w:pStyle w:val="3-SubsectionHeading"/>
        <w:outlineLvl w:val="1"/>
        <w:rPr>
          <w:lang w:eastAsia="en-AU"/>
        </w:rPr>
      </w:pPr>
      <w:r w:rsidRPr="006E1229">
        <w:rPr>
          <w:lang w:eastAsia="en-AU"/>
        </w:rPr>
        <w:t>Consumer comments</w:t>
      </w:r>
    </w:p>
    <w:p w14:paraId="5B2574EE" w14:textId="0AB158B0" w:rsidR="00277FD7" w:rsidRPr="00277FD7" w:rsidRDefault="00277FD7" w:rsidP="001244D0">
      <w:pPr>
        <w:widowControl w:val="0"/>
        <w:numPr>
          <w:ilvl w:val="1"/>
          <w:numId w:val="1"/>
        </w:numPr>
        <w:spacing w:after="120"/>
        <w:rPr>
          <w:rFonts w:asciiTheme="minorHAnsi" w:hAnsiTheme="minorHAnsi"/>
          <w:bCs/>
          <w:snapToGrid w:val="0"/>
        </w:rPr>
      </w:pPr>
      <w:bookmarkStart w:id="19" w:name="_Hlk76382618"/>
      <w:r w:rsidRPr="00277FD7">
        <w:rPr>
          <w:rFonts w:asciiTheme="minorHAnsi" w:hAnsiTheme="minorHAnsi"/>
          <w:bCs/>
          <w:snapToGrid w:val="0"/>
        </w:rPr>
        <w:t xml:space="preserve">The PBAC noted and welcomed the input from health care professionals (1) and organisations (1) via the Consumer Comments facility on the PBS website. The comments from the health care professional described FosLD/FosCD as being safe and relatively easy to </w:t>
      </w:r>
      <w:r w:rsidR="004010A3" w:rsidRPr="00277FD7">
        <w:rPr>
          <w:rFonts w:asciiTheme="minorHAnsi" w:hAnsiTheme="minorHAnsi"/>
          <w:bCs/>
          <w:snapToGrid w:val="0"/>
        </w:rPr>
        <w:t>administer and</w:t>
      </w:r>
      <w:r w:rsidRPr="00277FD7">
        <w:rPr>
          <w:rFonts w:asciiTheme="minorHAnsi" w:hAnsiTheme="minorHAnsi"/>
          <w:bCs/>
          <w:snapToGrid w:val="0"/>
        </w:rPr>
        <w:t xml:space="preserve"> given that current treatment options are difficult to use and not accessible in the outpatient setting, the listing will be a 'game changer' for (in particular) </w:t>
      </w:r>
      <w:r w:rsidR="004010A3">
        <w:rPr>
          <w:rFonts w:asciiTheme="minorHAnsi" w:hAnsiTheme="minorHAnsi"/>
          <w:bCs/>
          <w:snapToGrid w:val="0"/>
        </w:rPr>
        <w:t xml:space="preserve">patients in </w:t>
      </w:r>
      <w:r w:rsidRPr="00277FD7">
        <w:rPr>
          <w:rFonts w:asciiTheme="minorHAnsi" w:hAnsiTheme="minorHAnsi"/>
          <w:bCs/>
          <w:snapToGrid w:val="0"/>
        </w:rPr>
        <w:t xml:space="preserve">rural and remote </w:t>
      </w:r>
      <w:r w:rsidR="004010A3">
        <w:rPr>
          <w:rFonts w:asciiTheme="minorHAnsi" w:hAnsiTheme="minorHAnsi"/>
          <w:bCs/>
          <w:snapToGrid w:val="0"/>
        </w:rPr>
        <w:t>locations</w:t>
      </w:r>
      <w:r w:rsidRPr="00277FD7">
        <w:rPr>
          <w:rFonts w:asciiTheme="minorHAnsi" w:hAnsiTheme="minorHAnsi"/>
          <w:bCs/>
          <w:snapToGrid w:val="0"/>
        </w:rPr>
        <w:t xml:space="preserve"> where </w:t>
      </w:r>
      <w:r w:rsidR="004010A3">
        <w:rPr>
          <w:rFonts w:asciiTheme="minorHAnsi" w:hAnsiTheme="minorHAnsi"/>
          <w:bCs/>
          <w:snapToGrid w:val="0"/>
        </w:rPr>
        <w:t>gaining a</w:t>
      </w:r>
      <w:r w:rsidRPr="00277FD7">
        <w:rPr>
          <w:rFonts w:asciiTheme="minorHAnsi" w:hAnsiTheme="minorHAnsi"/>
          <w:bCs/>
          <w:snapToGrid w:val="0"/>
        </w:rPr>
        <w:t>ccess</w:t>
      </w:r>
      <w:r w:rsidR="004010A3">
        <w:rPr>
          <w:rFonts w:asciiTheme="minorHAnsi" w:hAnsiTheme="minorHAnsi"/>
          <w:bCs/>
          <w:snapToGrid w:val="0"/>
        </w:rPr>
        <w:t xml:space="preserve"> to</w:t>
      </w:r>
      <w:r w:rsidRPr="00277FD7">
        <w:rPr>
          <w:rFonts w:asciiTheme="minorHAnsi" w:hAnsiTheme="minorHAnsi"/>
          <w:bCs/>
          <w:snapToGrid w:val="0"/>
        </w:rPr>
        <w:t xml:space="preserve"> specialist centres</w:t>
      </w:r>
      <w:r w:rsidR="004010A3">
        <w:rPr>
          <w:rFonts w:asciiTheme="minorHAnsi" w:hAnsiTheme="minorHAnsi"/>
          <w:bCs/>
          <w:snapToGrid w:val="0"/>
        </w:rPr>
        <w:t xml:space="preserve"> is difficult</w:t>
      </w:r>
      <w:r w:rsidRPr="00277FD7">
        <w:rPr>
          <w:rFonts w:asciiTheme="minorHAnsi" w:hAnsiTheme="minorHAnsi"/>
          <w:bCs/>
          <w:snapToGrid w:val="0"/>
        </w:rPr>
        <w:t xml:space="preserve">. The PBAC also noted the input from </w:t>
      </w:r>
      <w:r w:rsidR="00B16913">
        <w:rPr>
          <w:rFonts w:asciiTheme="minorHAnsi" w:hAnsiTheme="minorHAnsi"/>
          <w:bCs/>
          <w:snapToGrid w:val="0"/>
        </w:rPr>
        <w:t xml:space="preserve">the </w:t>
      </w:r>
      <w:r w:rsidRPr="00277FD7">
        <w:rPr>
          <w:rFonts w:asciiTheme="minorHAnsi" w:hAnsiTheme="minorHAnsi"/>
          <w:bCs/>
          <w:snapToGrid w:val="0"/>
        </w:rPr>
        <w:t xml:space="preserve">consumer organisation </w:t>
      </w:r>
      <w:r w:rsidR="00B16913">
        <w:rPr>
          <w:rFonts w:asciiTheme="minorHAnsi" w:hAnsiTheme="minorHAnsi"/>
          <w:bCs/>
          <w:snapToGrid w:val="0"/>
        </w:rPr>
        <w:t>‘</w:t>
      </w:r>
      <w:r w:rsidRPr="00277FD7">
        <w:rPr>
          <w:rFonts w:asciiTheme="minorHAnsi" w:hAnsiTheme="minorHAnsi"/>
          <w:bCs/>
          <w:snapToGrid w:val="0"/>
        </w:rPr>
        <w:t>The Hospital Research Foundation Group (HRFG)</w:t>
      </w:r>
      <w:r w:rsidR="00B16913">
        <w:rPr>
          <w:rFonts w:asciiTheme="minorHAnsi" w:hAnsiTheme="minorHAnsi"/>
          <w:bCs/>
          <w:snapToGrid w:val="0"/>
        </w:rPr>
        <w:t>’</w:t>
      </w:r>
      <w:r w:rsidRPr="00277FD7">
        <w:rPr>
          <w:rFonts w:asciiTheme="minorHAnsi" w:hAnsiTheme="minorHAnsi"/>
          <w:bCs/>
          <w:snapToGrid w:val="0"/>
        </w:rPr>
        <w:t xml:space="preserve"> that discussed unique issues with the gastrostomy required for LCIG administration in the hot and humid Australian climate and described FosLD/FosCD as a less invasive treatment option that does not require invasive surgery to commence treatment.</w:t>
      </w:r>
    </w:p>
    <w:bookmarkEnd w:id="16"/>
    <w:bookmarkEnd w:id="19"/>
    <w:p w14:paraId="2F2D3DB0" w14:textId="77777777" w:rsidR="00C440A2" w:rsidRPr="001244D0" w:rsidRDefault="00C440A2" w:rsidP="00C440A2">
      <w:pPr>
        <w:pStyle w:val="4-SubsectionHeading"/>
        <w:rPr>
          <w:iCs/>
        </w:rPr>
      </w:pPr>
      <w:r w:rsidRPr="001244D0">
        <w:rPr>
          <w:iCs/>
        </w:rPr>
        <w:t xml:space="preserve">Clinical </w:t>
      </w:r>
      <w:bookmarkEnd w:id="15"/>
      <w:r w:rsidRPr="001244D0">
        <w:rPr>
          <w:iCs/>
        </w:rPr>
        <w:t>trials</w:t>
      </w:r>
      <w:bookmarkEnd w:id="17"/>
    </w:p>
    <w:p w14:paraId="75A45FC7" w14:textId="525B9D05" w:rsidR="00C440A2" w:rsidRPr="00DF1F66" w:rsidRDefault="00C440A2" w:rsidP="003945B8">
      <w:pPr>
        <w:pStyle w:val="3-BodyText"/>
      </w:pPr>
      <w:r w:rsidRPr="00DF1F66">
        <w:t xml:space="preserve">The submission was based on an </w:t>
      </w:r>
      <w:r w:rsidR="00C21903">
        <w:t xml:space="preserve">anchored </w:t>
      </w:r>
      <w:r w:rsidRPr="00DF1F66">
        <w:t>indirect comparison</w:t>
      </w:r>
      <w:r w:rsidR="00C21903">
        <w:t xml:space="preserve"> (Bucher approach)</w:t>
      </w:r>
      <w:r w:rsidRPr="00DF1F66">
        <w:t xml:space="preserve"> of FosLD/FosCD </w:t>
      </w:r>
      <w:r w:rsidR="00C21903">
        <w:t>and</w:t>
      </w:r>
      <w:r w:rsidRPr="00DF1F66">
        <w:t xml:space="preserve"> LCIG </w:t>
      </w:r>
      <w:r w:rsidR="00C21903">
        <w:t>using 2 randomi</w:t>
      </w:r>
      <w:r w:rsidR="00B8328B">
        <w:t>s</w:t>
      </w:r>
      <w:r w:rsidR="00C21903">
        <w:t>ed controlled trials with</w:t>
      </w:r>
      <w:r w:rsidRPr="00DF1F66">
        <w:t xml:space="preserve"> oral LD/CD as the common reference</w:t>
      </w:r>
      <w:r w:rsidR="00C21903">
        <w:t xml:space="preserve"> arm</w:t>
      </w:r>
      <w:r w:rsidRPr="00DF1F66">
        <w:t>.</w:t>
      </w:r>
    </w:p>
    <w:p w14:paraId="065F0871" w14:textId="77777777" w:rsidR="00E967E8" w:rsidRPr="003945B8" w:rsidRDefault="00C440A2" w:rsidP="004F7504">
      <w:pPr>
        <w:pStyle w:val="ListParagraph"/>
      </w:pPr>
      <w:r w:rsidRPr="003945B8">
        <w:t>M15-736: A phase III, double-blind, double-dummy, active-controlled, multi-centre study comparing Fos</w:t>
      </w:r>
      <w:r w:rsidR="00600ACE" w:rsidRPr="003945B8">
        <w:t>LD</w:t>
      </w:r>
      <w:r w:rsidRPr="003945B8">
        <w:t>/</w:t>
      </w:r>
      <w:r w:rsidR="00600ACE" w:rsidRPr="003945B8">
        <w:t>F</w:t>
      </w:r>
      <w:r w:rsidRPr="003945B8">
        <w:t>os</w:t>
      </w:r>
      <w:r w:rsidR="00600ACE" w:rsidRPr="003945B8">
        <w:t>CD</w:t>
      </w:r>
      <w:r w:rsidR="00B336DD" w:rsidRPr="003945B8">
        <w:t xml:space="preserve"> </w:t>
      </w:r>
      <w:r w:rsidR="00C21903" w:rsidRPr="003945B8">
        <w:t>with</w:t>
      </w:r>
      <w:r w:rsidR="00B336DD" w:rsidRPr="003945B8">
        <w:t xml:space="preserve"> oral </w:t>
      </w:r>
      <w:r w:rsidR="00600ACE" w:rsidRPr="003945B8">
        <w:t>LD</w:t>
      </w:r>
      <w:r w:rsidR="00B336DD" w:rsidRPr="003945B8">
        <w:t>/</w:t>
      </w:r>
      <w:r w:rsidR="00600ACE" w:rsidRPr="003945B8">
        <w:t>CD</w:t>
      </w:r>
      <w:r w:rsidRPr="003945B8">
        <w:t xml:space="preserve"> in patients with advanced </w:t>
      </w:r>
      <w:r w:rsidRPr="003945B8">
        <w:lastRenderedPageBreak/>
        <w:t xml:space="preserve">Parkinson’s disease that </w:t>
      </w:r>
      <w:r w:rsidR="00600ACE" w:rsidRPr="003945B8">
        <w:t>wa</w:t>
      </w:r>
      <w:r w:rsidRPr="003945B8">
        <w:t>s not adequately controlled by ora</w:t>
      </w:r>
      <w:r w:rsidR="00C21903" w:rsidRPr="003945B8">
        <w:t>l therapy</w:t>
      </w:r>
      <w:r w:rsidRPr="003945B8">
        <w:t xml:space="preserve"> (n = 141).</w:t>
      </w:r>
      <w:r w:rsidR="00C21903" w:rsidRPr="003945B8">
        <w:t xml:space="preserve"> This was presented as the key trial providing efficacy data for FosLD/FosCD.</w:t>
      </w:r>
    </w:p>
    <w:p w14:paraId="7BF4EB86" w14:textId="432CE7EE" w:rsidR="00E967E8" w:rsidRPr="003945B8" w:rsidRDefault="00C440A2" w:rsidP="004F7504">
      <w:pPr>
        <w:pStyle w:val="ListParagraph"/>
      </w:pPr>
      <w:r w:rsidRPr="003945B8">
        <w:t xml:space="preserve">Olanow 2014: A phase III, double-blind, double-dummy, active control, multi-centre study comparing </w:t>
      </w:r>
      <w:r w:rsidR="00600ACE" w:rsidRPr="003945B8">
        <w:t>L</w:t>
      </w:r>
      <w:r w:rsidR="00C21903" w:rsidRPr="003945B8">
        <w:t>C</w:t>
      </w:r>
      <w:r w:rsidR="00600ACE" w:rsidRPr="003945B8">
        <w:t>IG</w:t>
      </w:r>
      <w:r w:rsidR="00B8328B" w:rsidRPr="003945B8">
        <w:t xml:space="preserve"> with </w:t>
      </w:r>
      <w:r w:rsidR="00B336DD" w:rsidRPr="003945B8">
        <w:t xml:space="preserve">oral </w:t>
      </w:r>
      <w:r w:rsidR="00600ACE" w:rsidRPr="003945B8">
        <w:t>LD</w:t>
      </w:r>
      <w:r w:rsidR="00B336DD" w:rsidRPr="003945B8">
        <w:t>/</w:t>
      </w:r>
      <w:r w:rsidR="00600ACE" w:rsidRPr="003945B8">
        <w:t xml:space="preserve">CD </w:t>
      </w:r>
      <w:r w:rsidRPr="003945B8">
        <w:t xml:space="preserve">in patients with advanced Parkinson’s disease that </w:t>
      </w:r>
      <w:r w:rsidR="00600ACE" w:rsidRPr="003945B8">
        <w:t>wa</w:t>
      </w:r>
      <w:r w:rsidRPr="003945B8">
        <w:t>s not adequately controlled by oral</w:t>
      </w:r>
      <w:r w:rsidR="00B8328B" w:rsidRPr="003945B8">
        <w:t xml:space="preserve"> therapy</w:t>
      </w:r>
      <w:r w:rsidRPr="003945B8">
        <w:t xml:space="preserve"> (n = 71).</w:t>
      </w:r>
      <w:r w:rsidR="007E1DF9" w:rsidRPr="003945B8">
        <w:t xml:space="preserve"> </w:t>
      </w:r>
      <w:r w:rsidR="00F32FAF" w:rsidRPr="003945B8">
        <w:t xml:space="preserve">This trial has not </w:t>
      </w:r>
      <w:r w:rsidR="005D2B87" w:rsidRPr="003945B8">
        <w:t>previously been</w:t>
      </w:r>
      <w:r w:rsidR="00F32FAF" w:rsidRPr="003945B8">
        <w:t xml:space="preserve"> seen by </w:t>
      </w:r>
      <w:r w:rsidR="00B4660F" w:rsidRPr="003945B8">
        <w:t xml:space="preserve">the </w:t>
      </w:r>
      <w:r w:rsidR="00F32FAF" w:rsidRPr="003945B8">
        <w:t xml:space="preserve">PBAC. LCIG was recommended by </w:t>
      </w:r>
      <w:r w:rsidR="00B4660F" w:rsidRPr="003945B8">
        <w:t xml:space="preserve">the </w:t>
      </w:r>
      <w:r w:rsidR="00F32FAF" w:rsidRPr="003945B8">
        <w:t xml:space="preserve">PBAC </w:t>
      </w:r>
      <w:r w:rsidR="00B4660F" w:rsidRPr="003945B8">
        <w:t>at the November 2010 PBAC meeting</w:t>
      </w:r>
      <w:r w:rsidR="002D4A8A" w:rsidRPr="003945B8">
        <w:t xml:space="preserve">, based on two </w:t>
      </w:r>
      <w:r w:rsidR="00F32FAF" w:rsidRPr="003945B8">
        <w:t>randomi</w:t>
      </w:r>
      <w:r w:rsidR="00B4660F" w:rsidRPr="003945B8">
        <w:t>s</w:t>
      </w:r>
      <w:r w:rsidR="00F32FAF" w:rsidRPr="003945B8">
        <w:t xml:space="preserve">ed trials comparing LCIG </w:t>
      </w:r>
      <w:r w:rsidR="00B4660F" w:rsidRPr="003945B8">
        <w:t>with</w:t>
      </w:r>
      <w:r w:rsidR="00F32FAF" w:rsidRPr="003945B8">
        <w:t xml:space="preserve"> oral PD medications</w:t>
      </w:r>
      <w:r w:rsidR="004E1FF8" w:rsidRPr="003945B8">
        <w:t xml:space="preserve">, non-randomised LCIG studies, and trials comparing </w:t>
      </w:r>
      <w:r w:rsidR="002D4A8A" w:rsidRPr="003945B8">
        <w:t>deep brain stimulation (</w:t>
      </w:r>
      <w:r w:rsidR="004E1FF8" w:rsidRPr="003945B8">
        <w:t>DBS</w:t>
      </w:r>
      <w:r w:rsidR="002D4A8A" w:rsidRPr="003945B8">
        <w:t>)</w:t>
      </w:r>
      <w:r w:rsidR="004E1FF8" w:rsidRPr="003945B8">
        <w:t xml:space="preserve"> with standard of care</w:t>
      </w:r>
      <w:r w:rsidR="001E19BE" w:rsidRPr="003945B8">
        <w:t xml:space="preserve"> (Levodopa with Carbidopa monohydrate, intestinal gel, </w:t>
      </w:r>
      <w:r w:rsidR="00FA6819" w:rsidRPr="003945B8">
        <w:t>Public Summary Document (</w:t>
      </w:r>
      <w:r w:rsidR="001E19BE" w:rsidRPr="003945B8">
        <w:t>PSD</w:t>
      </w:r>
      <w:r w:rsidR="00FA6819" w:rsidRPr="003945B8">
        <w:t>)</w:t>
      </w:r>
      <w:r w:rsidR="001E19BE" w:rsidRPr="003945B8">
        <w:t>, March 2009 PBAC meeting)</w:t>
      </w:r>
      <w:r w:rsidR="00F32FAF" w:rsidRPr="003945B8">
        <w:t>.</w:t>
      </w:r>
    </w:p>
    <w:p w14:paraId="5A0B7E51" w14:textId="7ED78B11" w:rsidR="00E967E8" w:rsidRDefault="00C440A2" w:rsidP="003945B8">
      <w:pPr>
        <w:pStyle w:val="3-BodyText"/>
        <w:rPr>
          <w:snapToGrid/>
          <w:lang w:val="en-US"/>
        </w:rPr>
      </w:pPr>
      <w:r>
        <w:rPr>
          <w:snapToGrid/>
          <w:lang w:val="en-US"/>
        </w:rPr>
        <w:t xml:space="preserve">Details of the trials presented in the submission are provided in </w:t>
      </w:r>
      <w:r>
        <w:rPr>
          <w:snapToGrid/>
          <w:lang w:val="en-US"/>
        </w:rPr>
        <w:fldChar w:fldCharType="begin"/>
      </w:r>
      <w:r>
        <w:rPr>
          <w:snapToGrid/>
          <w:lang w:val="en-US"/>
        </w:rPr>
        <w:instrText xml:space="preserve"> REF _Ref104803956 \h </w:instrText>
      </w:r>
      <w:r>
        <w:rPr>
          <w:snapToGrid/>
          <w:lang w:val="en-US"/>
        </w:rPr>
      </w:r>
      <w:r>
        <w:rPr>
          <w:snapToGrid/>
          <w:lang w:val="en-US"/>
        </w:rPr>
        <w:fldChar w:fldCharType="separate"/>
      </w:r>
      <w:r w:rsidR="0043339D">
        <w:t xml:space="preserve">Table </w:t>
      </w:r>
      <w:r w:rsidR="0043339D">
        <w:rPr>
          <w:noProof/>
        </w:rPr>
        <w:t>2</w:t>
      </w:r>
      <w:r>
        <w:rPr>
          <w:snapToGrid/>
          <w:lang w:val="en-US"/>
        </w:rPr>
        <w:fldChar w:fldCharType="end"/>
      </w:r>
      <w:r>
        <w:rPr>
          <w:snapToGrid/>
          <w:lang w:val="en-US"/>
        </w:rPr>
        <w:t>.</w:t>
      </w:r>
    </w:p>
    <w:p w14:paraId="07123156" w14:textId="16EEC9A0" w:rsidR="00C440A2" w:rsidRPr="002E4F02" w:rsidRDefault="00C440A2" w:rsidP="00C440A2">
      <w:pPr>
        <w:pStyle w:val="TableFigureHeading"/>
        <w:rPr>
          <w:rStyle w:val="CommentReference"/>
          <w:b/>
          <w:szCs w:val="24"/>
        </w:rPr>
      </w:pPr>
      <w:bookmarkStart w:id="20" w:name="_Ref104803956"/>
      <w:r>
        <w:t xml:space="preserve">Table </w:t>
      </w:r>
      <w:r w:rsidR="000A217C">
        <w:fldChar w:fldCharType="begin"/>
      </w:r>
      <w:r w:rsidR="000A217C">
        <w:instrText xml:space="preserve"> SEQ Table \* ARABIC </w:instrText>
      </w:r>
      <w:r w:rsidR="000A217C">
        <w:fldChar w:fldCharType="separate"/>
      </w:r>
      <w:r w:rsidR="0043339D">
        <w:rPr>
          <w:noProof/>
        </w:rPr>
        <w:t>2</w:t>
      </w:r>
      <w:r w:rsidR="000A217C">
        <w:rPr>
          <w:noProof/>
        </w:rPr>
        <w:fldChar w:fldCharType="end"/>
      </w:r>
      <w:bookmarkEnd w:id="20"/>
      <w:r>
        <w:t>:</w:t>
      </w:r>
      <w:r w:rsidRPr="002E4F02">
        <w:rPr>
          <w:rStyle w:val="CommentReference"/>
          <w:b/>
          <w:szCs w:val="24"/>
        </w:rPr>
        <w:t xml:space="preserve"> </w:t>
      </w:r>
      <w:r>
        <w:rPr>
          <w:rStyle w:val="CommentReference"/>
          <w:b/>
          <w:szCs w:val="24"/>
        </w:rPr>
        <w:t>S</w:t>
      </w:r>
      <w:r w:rsidRPr="002E4F02">
        <w:rPr>
          <w:rStyle w:val="CommentReference"/>
          <w:b/>
          <w:szCs w:val="24"/>
        </w:rPr>
        <w:t>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C440A2" w:rsidRPr="00C012EC" w14:paraId="42DB12B6" w14:textId="77777777" w:rsidTr="00902B2C">
        <w:trPr>
          <w:cantSplit/>
          <w:tblHeader/>
        </w:trPr>
        <w:tc>
          <w:tcPr>
            <w:tcW w:w="795" w:type="pct"/>
            <w:vAlign w:val="center"/>
          </w:tcPr>
          <w:p w14:paraId="5FFB771F" w14:textId="77777777" w:rsidR="00C440A2" w:rsidRPr="00C012EC" w:rsidRDefault="00C440A2" w:rsidP="00902B2C">
            <w:pPr>
              <w:pStyle w:val="In-tableHeading"/>
              <w:jc w:val="center"/>
            </w:pPr>
            <w:r w:rsidRPr="00C012EC">
              <w:t>Trial ID</w:t>
            </w:r>
          </w:p>
        </w:tc>
        <w:tc>
          <w:tcPr>
            <w:tcW w:w="2803" w:type="pct"/>
            <w:vAlign w:val="center"/>
          </w:tcPr>
          <w:p w14:paraId="4D15DA05" w14:textId="77777777" w:rsidR="00C440A2" w:rsidRPr="00C012EC" w:rsidRDefault="00C440A2" w:rsidP="00902B2C">
            <w:pPr>
              <w:pStyle w:val="In-tableHeading"/>
            </w:pPr>
            <w:r w:rsidRPr="00C012EC">
              <w:t>Protocol title/ Publication title</w:t>
            </w:r>
          </w:p>
        </w:tc>
        <w:tc>
          <w:tcPr>
            <w:tcW w:w="1402" w:type="pct"/>
            <w:vAlign w:val="center"/>
          </w:tcPr>
          <w:p w14:paraId="5A59D206" w14:textId="77777777" w:rsidR="00C440A2" w:rsidRPr="00C012EC" w:rsidRDefault="00C440A2" w:rsidP="00902B2C">
            <w:pPr>
              <w:pStyle w:val="In-tableHeading"/>
            </w:pPr>
            <w:r w:rsidRPr="00C012EC">
              <w:t>Publication citation</w:t>
            </w:r>
          </w:p>
        </w:tc>
      </w:tr>
      <w:tr w:rsidR="00C440A2" w:rsidRPr="00C012EC" w14:paraId="14D8171F" w14:textId="77777777" w:rsidTr="00902B2C">
        <w:trPr>
          <w:cantSplit/>
          <w:tblHeader/>
        </w:trPr>
        <w:tc>
          <w:tcPr>
            <w:tcW w:w="5000" w:type="pct"/>
            <w:gridSpan w:val="3"/>
            <w:vAlign w:val="center"/>
          </w:tcPr>
          <w:p w14:paraId="6969A47C" w14:textId="77777777" w:rsidR="00C440A2" w:rsidRPr="00C012EC" w:rsidRDefault="00C440A2" w:rsidP="00902B2C">
            <w:pPr>
              <w:pStyle w:val="In-tableHeading"/>
            </w:pPr>
            <w:r>
              <w:t>FosLD/FosCD trial</w:t>
            </w:r>
          </w:p>
        </w:tc>
      </w:tr>
      <w:tr w:rsidR="00C440A2" w:rsidRPr="00C012EC" w14:paraId="6B157880" w14:textId="77777777" w:rsidTr="00902B2C">
        <w:trPr>
          <w:cantSplit/>
        </w:trPr>
        <w:tc>
          <w:tcPr>
            <w:tcW w:w="795" w:type="pct"/>
            <w:vMerge w:val="restart"/>
            <w:vAlign w:val="center"/>
          </w:tcPr>
          <w:p w14:paraId="40FBAD38" w14:textId="77777777" w:rsidR="00C440A2" w:rsidRDefault="00C440A2" w:rsidP="00902B2C">
            <w:pPr>
              <w:pStyle w:val="TableText0"/>
            </w:pPr>
          </w:p>
          <w:p w14:paraId="12311696" w14:textId="77777777" w:rsidR="00C440A2" w:rsidRPr="00C012EC" w:rsidRDefault="00C440A2" w:rsidP="00902B2C">
            <w:pPr>
              <w:pStyle w:val="TableText0"/>
              <w:jc w:val="center"/>
            </w:pPr>
            <w:r w:rsidRPr="00C012EC">
              <w:t>M15-736</w:t>
            </w:r>
          </w:p>
          <w:p w14:paraId="003C38C9" w14:textId="77777777" w:rsidR="00C440A2" w:rsidRPr="00C012EC" w:rsidRDefault="00C440A2" w:rsidP="00902B2C">
            <w:pPr>
              <w:pStyle w:val="TableText0"/>
              <w:jc w:val="center"/>
              <w:rPr>
                <w:szCs w:val="20"/>
              </w:rPr>
            </w:pPr>
            <w:r w:rsidRPr="00C012EC">
              <w:t>NCT04380142</w:t>
            </w:r>
          </w:p>
        </w:tc>
        <w:tc>
          <w:tcPr>
            <w:tcW w:w="2803" w:type="pct"/>
            <w:tcBorders>
              <w:bottom w:val="nil"/>
            </w:tcBorders>
          </w:tcPr>
          <w:p w14:paraId="215B24A7" w14:textId="30A7F17F" w:rsidR="00C440A2" w:rsidRPr="00C012EC" w:rsidRDefault="00C440A2" w:rsidP="00902B2C">
            <w:pPr>
              <w:pStyle w:val="TableText0"/>
            </w:pPr>
            <w:r w:rsidRPr="00C012EC">
              <w:rPr>
                <w:rFonts w:cstheme="minorHAnsi"/>
                <w:b/>
              </w:rPr>
              <w:t xml:space="preserve">Main study report: </w:t>
            </w:r>
            <w:r w:rsidRPr="00C012EC">
              <w:rPr>
                <w:rFonts w:cstheme="minorHAnsi"/>
              </w:rPr>
              <w:t xml:space="preserve">A randomised, double-blind, double-dummy, active-controlled study comparing the efficacy, </w:t>
            </w:r>
            <w:r w:rsidR="004D3E7F" w:rsidRPr="00C012EC">
              <w:rPr>
                <w:rFonts w:cstheme="minorHAnsi"/>
              </w:rPr>
              <w:t>safety,</w:t>
            </w:r>
            <w:r w:rsidRPr="00C012EC">
              <w:rPr>
                <w:rFonts w:cstheme="minorHAnsi"/>
              </w:rPr>
              <w:t xml:space="preserve"> and tolerability of ABBV-951 to oral carbidopa/levodopa in advanced Parkinson’s Disease [M15-736]</w:t>
            </w:r>
          </w:p>
        </w:tc>
        <w:tc>
          <w:tcPr>
            <w:tcW w:w="1402" w:type="pct"/>
            <w:tcBorders>
              <w:bottom w:val="nil"/>
            </w:tcBorders>
            <w:vAlign w:val="center"/>
          </w:tcPr>
          <w:p w14:paraId="4099E5E6" w14:textId="4DE6B77B" w:rsidR="00C440A2" w:rsidRPr="00C012EC" w:rsidRDefault="009B1F4A" w:rsidP="00902B2C">
            <w:pPr>
              <w:pStyle w:val="TableText0"/>
            </w:pPr>
            <w:r>
              <w:t xml:space="preserve">29 </w:t>
            </w:r>
            <w:r w:rsidR="0088462F">
              <w:t>January 2022</w:t>
            </w:r>
          </w:p>
        </w:tc>
      </w:tr>
      <w:tr w:rsidR="00C440A2" w:rsidRPr="00C012EC" w14:paraId="438BF944" w14:textId="77777777" w:rsidTr="00902B2C">
        <w:trPr>
          <w:cantSplit/>
        </w:trPr>
        <w:tc>
          <w:tcPr>
            <w:tcW w:w="795" w:type="pct"/>
            <w:vMerge/>
            <w:vAlign w:val="center"/>
          </w:tcPr>
          <w:p w14:paraId="31BCBF6F" w14:textId="77777777" w:rsidR="00C440A2" w:rsidRPr="00C012EC" w:rsidRDefault="00C440A2" w:rsidP="00902B2C">
            <w:pPr>
              <w:pStyle w:val="TableText0"/>
              <w:jc w:val="center"/>
            </w:pPr>
          </w:p>
        </w:tc>
        <w:tc>
          <w:tcPr>
            <w:tcW w:w="2803" w:type="pct"/>
            <w:tcBorders>
              <w:top w:val="nil"/>
              <w:bottom w:val="nil"/>
            </w:tcBorders>
          </w:tcPr>
          <w:p w14:paraId="3108E5C2" w14:textId="77777777" w:rsidR="00C440A2" w:rsidRPr="00C012EC" w:rsidRDefault="00C440A2" w:rsidP="00902B2C">
            <w:pPr>
              <w:pStyle w:val="TableText0"/>
              <w:rPr>
                <w:rFonts w:cstheme="minorHAnsi"/>
                <w:b/>
                <w:bCs w:val="0"/>
              </w:rPr>
            </w:pPr>
            <w:r w:rsidRPr="00C012EC">
              <w:rPr>
                <w:rFonts w:cstheme="minorHAnsi"/>
                <w:b/>
              </w:rPr>
              <w:t>Trial registry:</w:t>
            </w:r>
          </w:p>
          <w:p w14:paraId="3D63148D" w14:textId="77777777" w:rsidR="00C440A2" w:rsidRPr="00C012EC" w:rsidRDefault="00C440A2" w:rsidP="00902B2C">
            <w:pPr>
              <w:pStyle w:val="TableText0"/>
            </w:pPr>
            <w:r w:rsidRPr="00C012EC">
              <w:rPr>
                <w:rFonts w:cstheme="minorHAnsi"/>
              </w:rPr>
              <w:t>NCT04380142, Study Comparing Continuous Subcutaneous Infusion Of ABBV-951 With Oral Carbidopa/Levodopa Tablets For Treatment Of Motor Fluctuations In Adult Participants With Advanced Parkinson's Disease</w:t>
            </w:r>
          </w:p>
        </w:tc>
        <w:tc>
          <w:tcPr>
            <w:tcW w:w="1402" w:type="pct"/>
            <w:tcBorders>
              <w:top w:val="nil"/>
              <w:bottom w:val="nil"/>
            </w:tcBorders>
            <w:vAlign w:val="center"/>
          </w:tcPr>
          <w:p w14:paraId="1D182D3B" w14:textId="2719D701" w:rsidR="00C440A2" w:rsidRPr="00B42BBE" w:rsidRDefault="0088462F" w:rsidP="00902B2C">
            <w:pPr>
              <w:pStyle w:val="TableText0"/>
              <w:rPr>
                <w:iCs/>
              </w:rPr>
            </w:pPr>
            <w:r w:rsidRPr="00C95A87">
              <w:rPr>
                <w:iCs/>
              </w:rPr>
              <w:t xml:space="preserve">Clinicaltrials.gov, </w:t>
            </w:r>
            <w:r w:rsidRPr="0088462F">
              <w:t xml:space="preserve">last update </w:t>
            </w:r>
            <w:r w:rsidR="009B1F4A">
              <w:t>18 </w:t>
            </w:r>
            <w:r w:rsidRPr="0088462F">
              <w:t>November 2022</w:t>
            </w:r>
          </w:p>
        </w:tc>
      </w:tr>
      <w:tr w:rsidR="00C440A2" w:rsidRPr="00C012EC" w14:paraId="38F1A2D4" w14:textId="77777777" w:rsidTr="00902B2C">
        <w:trPr>
          <w:cantSplit/>
        </w:trPr>
        <w:tc>
          <w:tcPr>
            <w:tcW w:w="795" w:type="pct"/>
            <w:vMerge/>
            <w:tcBorders>
              <w:bottom w:val="nil"/>
            </w:tcBorders>
            <w:vAlign w:val="center"/>
          </w:tcPr>
          <w:p w14:paraId="6BE66E75" w14:textId="77777777" w:rsidR="00C440A2" w:rsidRPr="00C012EC" w:rsidRDefault="00C440A2" w:rsidP="00902B2C">
            <w:pPr>
              <w:pStyle w:val="TableText0"/>
              <w:jc w:val="center"/>
            </w:pPr>
          </w:p>
        </w:tc>
        <w:tc>
          <w:tcPr>
            <w:tcW w:w="2803" w:type="pct"/>
            <w:tcBorders>
              <w:top w:val="nil"/>
              <w:bottom w:val="nil"/>
            </w:tcBorders>
          </w:tcPr>
          <w:p w14:paraId="022866A9" w14:textId="77777777" w:rsidR="00C440A2" w:rsidRPr="00C012EC" w:rsidRDefault="00C440A2" w:rsidP="00902B2C">
            <w:pPr>
              <w:pStyle w:val="TableText0"/>
              <w:rPr>
                <w:lang w:val="en-US"/>
              </w:rPr>
            </w:pPr>
            <w:r w:rsidRPr="00C012EC">
              <w:rPr>
                <w:rFonts w:cstheme="minorHAnsi"/>
                <w:b/>
              </w:rPr>
              <w:t xml:space="preserve">Main publication: </w:t>
            </w:r>
            <w:r w:rsidRPr="00C012EC">
              <w:rPr>
                <w:rFonts w:cstheme="minorHAnsi"/>
              </w:rPr>
              <w:t>Soileau MJ, Aldred J, Budur K, Fisseha N, Fung VS, Jeong A, Kimber TE, Klos K, Litvan I, O'Neill D, Robieson WZ, Spindler MA, Standaert DG, Talapala S, Vaou EO, Zheng H, Facheris MF, Hauser RA. Safety and efficacy of continuous subcutaneous foslevodopa-foscarbidopa in patients with advanced Parkinson's disease: a randomised, double-blind, active-controlled, phase 3 trial</w:t>
            </w:r>
          </w:p>
        </w:tc>
        <w:tc>
          <w:tcPr>
            <w:tcW w:w="1402" w:type="pct"/>
            <w:tcBorders>
              <w:top w:val="nil"/>
              <w:bottom w:val="nil"/>
            </w:tcBorders>
            <w:vAlign w:val="center"/>
          </w:tcPr>
          <w:p w14:paraId="62F70116" w14:textId="77777777" w:rsidR="00C440A2" w:rsidRPr="00B42BBE" w:rsidRDefault="00C440A2" w:rsidP="00902B2C">
            <w:pPr>
              <w:pStyle w:val="TableText0"/>
              <w:rPr>
                <w:lang w:val="en-US"/>
              </w:rPr>
            </w:pPr>
            <w:r w:rsidRPr="00C95A87">
              <w:t xml:space="preserve">Lancet Neurol. </w:t>
            </w:r>
            <w:r w:rsidRPr="0088462F">
              <w:rPr>
                <w:iCs/>
              </w:rPr>
              <w:t>2022 Dec;21(12):1099-1109</w:t>
            </w:r>
          </w:p>
        </w:tc>
      </w:tr>
      <w:tr w:rsidR="00C440A2" w:rsidRPr="00C012EC" w14:paraId="11DB9EBA" w14:textId="77777777" w:rsidTr="00902B2C">
        <w:trPr>
          <w:cantSplit/>
        </w:trPr>
        <w:tc>
          <w:tcPr>
            <w:tcW w:w="5000" w:type="pct"/>
            <w:gridSpan w:val="3"/>
            <w:vAlign w:val="center"/>
          </w:tcPr>
          <w:p w14:paraId="290076D5" w14:textId="77777777" w:rsidR="00C440A2" w:rsidRPr="00C012EC" w:rsidRDefault="00C440A2" w:rsidP="00902B2C">
            <w:pPr>
              <w:pStyle w:val="TableText0"/>
              <w:rPr>
                <w:b/>
                <w:bCs w:val="0"/>
              </w:rPr>
            </w:pPr>
            <w:r w:rsidRPr="00C012EC">
              <w:rPr>
                <w:b/>
                <w:bCs w:val="0"/>
              </w:rPr>
              <w:t>LCIG trial</w:t>
            </w:r>
          </w:p>
        </w:tc>
      </w:tr>
      <w:tr w:rsidR="00C440A2" w:rsidRPr="00C012EC" w14:paraId="721E6F72" w14:textId="77777777" w:rsidTr="00902B2C">
        <w:trPr>
          <w:cantSplit/>
        </w:trPr>
        <w:tc>
          <w:tcPr>
            <w:tcW w:w="795" w:type="pct"/>
            <w:vMerge w:val="restart"/>
            <w:vAlign w:val="center"/>
          </w:tcPr>
          <w:p w14:paraId="3164F4C7" w14:textId="77777777" w:rsidR="00C440A2" w:rsidRPr="00C012EC" w:rsidRDefault="00C440A2" w:rsidP="00902B2C">
            <w:pPr>
              <w:pStyle w:val="TableText0"/>
              <w:jc w:val="center"/>
            </w:pPr>
            <w:r w:rsidRPr="00C012EC">
              <w:t>Olanow 2014</w:t>
            </w:r>
          </w:p>
          <w:p w14:paraId="5D906DA9" w14:textId="77777777" w:rsidR="00E967E8" w:rsidRDefault="00C440A2" w:rsidP="00902B2C">
            <w:pPr>
              <w:pStyle w:val="TableText0"/>
              <w:jc w:val="center"/>
            </w:pPr>
            <w:r w:rsidRPr="00C012EC">
              <w:t>NCT00357994</w:t>
            </w:r>
          </w:p>
          <w:p w14:paraId="28405F88" w14:textId="05F9DC98" w:rsidR="00C440A2" w:rsidRPr="00C012EC" w:rsidRDefault="00C440A2" w:rsidP="00902B2C">
            <w:pPr>
              <w:pStyle w:val="TableText0"/>
              <w:jc w:val="center"/>
            </w:pPr>
            <w:r w:rsidRPr="00C012EC">
              <w:t>NCT00660387</w:t>
            </w:r>
          </w:p>
        </w:tc>
        <w:tc>
          <w:tcPr>
            <w:tcW w:w="2803" w:type="pct"/>
            <w:tcBorders>
              <w:bottom w:val="nil"/>
            </w:tcBorders>
          </w:tcPr>
          <w:p w14:paraId="489D9D47" w14:textId="77777777" w:rsidR="00C440A2" w:rsidRPr="00C012EC" w:rsidRDefault="00C440A2" w:rsidP="00902B2C">
            <w:pPr>
              <w:pStyle w:val="TableText0"/>
            </w:pPr>
            <w:r w:rsidRPr="00C012EC">
              <w:rPr>
                <w:rFonts w:cstheme="minorHAnsi"/>
                <w:b/>
              </w:rPr>
              <w:t xml:space="preserve">Main study report: </w:t>
            </w:r>
            <w:r w:rsidRPr="00C012EC">
              <w:rPr>
                <w:rFonts w:cstheme="minorHAnsi"/>
              </w:rPr>
              <w:t>A Randomized, Double-Blind, Double-Dummy, Efficacy, Safety, and Tolerability Study of Levodopa-Carbidopa Intestinal Gel in Levodopa-Responsive Parkinson's Subjects Receiving Optimized Treatments with Parkinson Medicinal Products Who Continue to Experience Persistent Motor Fluctuations</w:t>
            </w:r>
          </w:p>
        </w:tc>
        <w:tc>
          <w:tcPr>
            <w:tcW w:w="1402" w:type="pct"/>
            <w:tcBorders>
              <w:bottom w:val="nil"/>
            </w:tcBorders>
            <w:vAlign w:val="center"/>
          </w:tcPr>
          <w:p w14:paraId="61A78176" w14:textId="255A1BBB" w:rsidR="00C440A2" w:rsidRPr="00C012EC" w:rsidRDefault="009B1F4A" w:rsidP="00902B2C">
            <w:pPr>
              <w:pStyle w:val="TableText0"/>
            </w:pPr>
            <w:r>
              <w:t>31 </w:t>
            </w:r>
            <w:r w:rsidR="0088462F">
              <w:t>October 2012</w:t>
            </w:r>
          </w:p>
        </w:tc>
      </w:tr>
      <w:tr w:rsidR="00C440A2" w:rsidRPr="00C012EC" w14:paraId="17009B01" w14:textId="77777777" w:rsidTr="00902B2C">
        <w:trPr>
          <w:cantSplit/>
        </w:trPr>
        <w:tc>
          <w:tcPr>
            <w:tcW w:w="795" w:type="pct"/>
            <w:vMerge/>
            <w:vAlign w:val="center"/>
          </w:tcPr>
          <w:p w14:paraId="14A6519E" w14:textId="77777777" w:rsidR="00C440A2" w:rsidRPr="00C012EC" w:rsidRDefault="00C440A2" w:rsidP="00902B2C">
            <w:pPr>
              <w:pStyle w:val="TableText0"/>
              <w:jc w:val="center"/>
            </w:pPr>
          </w:p>
        </w:tc>
        <w:tc>
          <w:tcPr>
            <w:tcW w:w="2803" w:type="pct"/>
            <w:tcBorders>
              <w:top w:val="nil"/>
              <w:bottom w:val="nil"/>
            </w:tcBorders>
          </w:tcPr>
          <w:p w14:paraId="4B95CEC6" w14:textId="77777777" w:rsidR="00C440A2" w:rsidRPr="00C012EC" w:rsidRDefault="00C440A2" w:rsidP="00902B2C">
            <w:pPr>
              <w:pStyle w:val="TableText0"/>
              <w:rPr>
                <w:rFonts w:cstheme="minorHAnsi"/>
                <w:b/>
                <w:bCs w:val="0"/>
              </w:rPr>
            </w:pPr>
            <w:r w:rsidRPr="00C012EC">
              <w:rPr>
                <w:rFonts w:cstheme="minorHAnsi"/>
                <w:b/>
              </w:rPr>
              <w:t>Trial registry:</w:t>
            </w:r>
          </w:p>
          <w:p w14:paraId="4D2A5A7F" w14:textId="77777777" w:rsidR="00C440A2" w:rsidRPr="00C012EC" w:rsidRDefault="00C440A2" w:rsidP="00902B2C">
            <w:pPr>
              <w:pStyle w:val="TableText0"/>
              <w:rPr>
                <w:rFonts w:cstheme="minorHAnsi"/>
              </w:rPr>
            </w:pPr>
            <w:r w:rsidRPr="00C012EC">
              <w:rPr>
                <w:rFonts w:cstheme="minorHAnsi"/>
              </w:rPr>
              <w:t>NCT00660387, Study of Efficacy, Safety and Tolerability of Levodopa-Carbidopa Intestinal Gel in Levodopa-Responsive Parkinson's Subjects</w:t>
            </w:r>
          </w:p>
          <w:p w14:paraId="6CDE886F" w14:textId="77777777" w:rsidR="00C440A2" w:rsidRPr="00C012EC" w:rsidRDefault="00C440A2" w:rsidP="00902B2C">
            <w:pPr>
              <w:pStyle w:val="TableText0"/>
            </w:pPr>
            <w:r w:rsidRPr="00C012EC">
              <w:rPr>
                <w:rFonts w:cstheme="minorHAnsi"/>
              </w:rPr>
              <w:t>NCT00357994, Study of Efficacy, Safety and Tolerability of Levodopa-Carbidopa Intestinal Gel in Levodopa-Responsive Parkinson's Subjects</w:t>
            </w:r>
          </w:p>
        </w:tc>
        <w:tc>
          <w:tcPr>
            <w:tcW w:w="1402" w:type="pct"/>
            <w:tcBorders>
              <w:top w:val="nil"/>
              <w:bottom w:val="nil"/>
            </w:tcBorders>
            <w:vAlign w:val="center"/>
          </w:tcPr>
          <w:p w14:paraId="30250369" w14:textId="0CE68AA9" w:rsidR="00C440A2" w:rsidRPr="00B42BBE" w:rsidRDefault="0088462F" w:rsidP="00902B2C">
            <w:pPr>
              <w:pStyle w:val="TableText0"/>
            </w:pPr>
            <w:r w:rsidRPr="00C95A87">
              <w:t xml:space="preserve">Clinicaltrials.gov, </w:t>
            </w:r>
            <w:r w:rsidRPr="0088462F">
              <w:rPr>
                <w:iCs/>
              </w:rPr>
              <w:t xml:space="preserve">last updated </w:t>
            </w:r>
            <w:r w:rsidR="009B1F4A">
              <w:rPr>
                <w:iCs/>
              </w:rPr>
              <w:t>16 </w:t>
            </w:r>
            <w:r w:rsidRPr="0088462F">
              <w:rPr>
                <w:iCs/>
              </w:rPr>
              <w:t>January 2015</w:t>
            </w:r>
          </w:p>
        </w:tc>
      </w:tr>
      <w:tr w:rsidR="00C440A2" w:rsidRPr="00C012EC" w14:paraId="343103E0" w14:textId="77777777" w:rsidTr="00902B2C">
        <w:trPr>
          <w:cantSplit/>
        </w:trPr>
        <w:tc>
          <w:tcPr>
            <w:tcW w:w="795" w:type="pct"/>
            <w:vMerge/>
            <w:tcBorders>
              <w:bottom w:val="single" w:sz="4" w:space="0" w:color="auto"/>
            </w:tcBorders>
            <w:vAlign w:val="center"/>
          </w:tcPr>
          <w:p w14:paraId="0D473043" w14:textId="77777777" w:rsidR="00C440A2" w:rsidRPr="00C012EC" w:rsidRDefault="00C440A2" w:rsidP="00902B2C">
            <w:pPr>
              <w:pStyle w:val="Tabletext"/>
              <w:keepNext/>
              <w:keepLines/>
            </w:pPr>
          </w:p>
        </w:tc>
        <w:tc>
          <w:tcPr>
            <w:tcW w:w="2803" w:type="pct"/>
            <w:tcBorders>
              <w:top w:val="nil"/>
              <w:bottom w:val="single" w:sz="4" w:space="0" w:color="auto"/>
            </w:tcBorders>
          </w:tcPr>
          <w:p w14:paraId="7F1324F8" w14:textId="77777777" w:rsidR="00C440A2" w:rsidRPr="00C012EC" w:rsidRDefault="00C440A2" w:rsidP="00902B2C">
            <w:pPr>
              <w:pStyle w:val="TableText0"/>
            </w:pPr>
            <w:r w:rsidRPr="00C012EC">
              <w:rPr>
                <w:rFonts w:cstheme="minorHAnsi"/>
                <w:b/>
              </w:rPr>
              <w:t>Main publication</w:t>
            </w:r>
            <w:r w:rsidRPr="00C012EC">
              <w:rPr>
                <w:rFonts w:cstheme="minorHAnsi"/>
              </w:rPr>
              <w:t xml:space="preserve">: C Olanow, K Kieburtz, P Odin, et. al. Continuous intrajejunal infusion of levodopa-carbidopa intestinal gel for patients with advanced Parkinson's disease: a randomised, controlled, double-blind, double-dummy study. </w:t>
            </w:r>
          </w:p>
        </w:tc>
        <w:tc>
          <w:tcPr>
            <w:tcW w:w="1402" w:type="pct"/>
            <w:tcBorders>
              <w:top w:val="nil"/>
              <w:bottom w:val="single" w:sz="4" w:space="0" w:color="auto"/>
            </w:tcBorders>
            <w:vAlign w:val="center"/>
          </w:tcPr>
          <w:p w14:paraId="1C7E4BDC" w14:textId="77777777" w:rsidR="00C440A2" w:rsidRPr="00C012EC" w:rsidRDefault="00C440A2" w:rsidP="00902B2C">
            <w:pPr>
              <w:pStyle w:val="TableText0"/>
            </w:pPr>
            <w:r w:rsidRPr="00C95A87">
              <w:t xml:space="preserve">Lancet Neurol. </w:t>
            </w:r>
            <w:r w:rsidRPr="0088462F">
              <w:rPr>
                <w:iCs/>
              </w:rPr>
              <w:t>2014 Feb;13(2):141-9</w:t>
            </w:r>
          </w:p>
        </w:tc>
      </w:tr>
    </w:tbl>
    <w:p w14:paraId="576E70C1" w14:textId="69229508" w:rsidR="00C440A2" w:rsidRPr="00B1011F" w:rsidRDefault="00C440A2" w:rsidP="00C440A2">
      <w:pPr>
        <w:pStyle w:val="FooterTableFigure"/>
        <w:rPr>
          <w:sz w:val="20"/>
        </w:rPr>
      </w:pPr>
      <w:r>
        <w:t>Source: Table 2-</w:t>
      </w:r>
      <w:r w:rsidR="009B1F4A">
        <w:t>4</w:t>
      </w:r>
      <w:r>
        <w:t xml:space="preserve">, p50 </w:t>
      </w:r>
      <w:r w:rsidRPr="00D13A3E">
        <w:t xml:space="preserve">of the </w:t>
      </w:r>
      <w:r>
        <w:t>submission.</w:t>
      </w:r>
    </w:p>
    <w:p w14:paraId="42E887C9" w14:textId="70344010" w:rsidR="00C440A2" w:rsidRPr="00EC5836" w:rsidRDefault="00C440A2" w:rsidP="003945B8">
      <w:pPr>
        <w:pStyle w:val="3-BodyText"/>
        <w:rPr>
          <w:color w:val="0066FF"/>
        </w:rPr>
      </w:pPr>
      <w:r w:rsidRPr="00B50DB8">
        <w:lastRenderedPageBreak/>
        <w:t>The key features of the randomised trial</w:t>
      </w:r>
      <w:r w:rsidR="005B0810">
        <w:t>s</w:t>
      </w:r>
      <w:r>
        <w:t xml:space="preserve"> included in the indirect comparison</w:t>
      </w:r>
      <w:r w:rsidRPr="00B50DB8">
        <w:t xml:space="preserve"> are summarised in</w:t>
      </w:r>
      <w:r>
        <w:t xml:space="preserve"> </w:t>
      </w:r>
      <w:r w:rsidRPr="00BF2B08">
        <w:rPr>
          <w:rFonts w:ascii="Calibri" w:hAnsi="Calibri" w:cs="Calibri"/>
          <w:b/>
          <w:bCs/>
        </w:rPr>
        <w:fldChar w:fldCharType="begin"/>
      </w:r>
      <w:r w:rsidRPr="00BF2B08">
        <w:rPr>
          <w:rFonts w:ascii="Calibri" w:hAnsi="Calibri" w:cs="Calibri"/>
          <w:b/>
          <w:bCs/>
        </w:rPr>
        <w:instrText xml:space="preserve"> REF _Ref104804098 \h  \* MERGEFORMAT </w:instrText>
      </w:r>
      <w:r w:rsidRPr="00BF2B08">
        <w:rPr>
          <w:rFonts w:ascii="Calibri" w:hAnsi="Calibri" w:cs="Calibri"/>
          <w:b/>
          <w:bCs/>
        </w:rPr>
      </w:r>
      <w:r w:rsidRPr="00BF2B08">
        <w:rPr>
          <w:rFonts w:ascii="Calibri" w:hAnsi="Calibri" w:cs="Calibri"/>
          <w:b/>
          <w:bCs/>
        </w:rPr>
        <w:fldChar w:fldCharType="separate"/>
      </w:r>
      <w:r w:rsidR="0043339D" w:rsidRPr="0043339D">
        <w:rPr>
          <w:rStyle w:val="CommentReference"/>
          <w:rFonts w:ascii="Calibri" w:eastAsiaTheme="majorEastAsia" w:hAnsi="Calibri" w:cs="Calibri"/>
          <w:b w:val="0"/>
          <w:bCs/>
          <w:sz w:val="24"/>
          <w:szCs w:val="24"/>
        </w:rPr>
        <w:t xml:space="preserve">Table </w:t>
      </w:r>
      <w:r w:rsidR="0043339D" w:rsidRPr="0043339D">
        <w:rPr>
          <w:rStyle w:val="CommentReference"/>
          <w:rFonts w:ascii="Calibri" w:hAnsi="Calibri" w:cs="Calibri"/>
          <w:b w:val="0"/>
          <w:bCs/>
          <w:noProof/>
          <w:sz w:val="24"/>
          <w:szCs w:val="24"/>
        </w:rPr>
        <w:t>3</w:t>
      </w:r>
      <w:r w:rsidRPr="00BF2B08">
        <w:rPr>
          <w:rFonts w:ascii="Calibri" w:hAnsi="Calibri" w:cs="Calibri"/>
          <w:b/>
          <w:bCs/>
        </w:rPr>
        <w:fldChar w:fldCharType="end"/>
      </w:r>
      <w:r w:rsidRPr="00B50DB8">
        <w:t>.</w:t>
      </w:r>
    </w:p>
    <w:p w14:paraId="6DAE0488" w14:textId="6BCBC8EB" w:rsidR="00C440A2" w:rsidRPr="00D6076E" w:rsidRDefault="00C440A2" w:rsidP="00C440A2">
      <w:pPr>
        <w:pStyle w:val="TableFigureHeading"/>
        <w:rPr>
          <w:rStyle w:val="CommentReference"/>
          <w:b/>
          <w:szCs w:val="24"/>
        </w:rPr>
      </w:pPr>
      <w:bookmarkStart w:id="21" w:name="_Ref104804098"/>
      <w:r w:rsidRPr="00D6076E">
        <w:rPr>
          <w:rStyle w:val="CommentReference"/>
          <w:b/>
          <w:szCs w:val="24"/>
        </w:rPr>
        <w:t xml:space="preserve">Table </w:t>
      </w:r>
      <w:r w:rsidRPr="00D6076E">
        <w:rPr>
          <w:rStyle w:val="CommentReference"/>
          <w:b/>
          <w:szCs w:val="24"/>
        </w:rPr>
        <w:fldChar w:fldCharType="begin"/>
      </w:r>
      <w:r w:rsidRPr="00D6076E">
        <w:rPr>
          <w:rStyle w:val="CommentReference"/>
          <w:b/>
          <w:szCs w:val="24"/>
        </w:rPr>
        <w:instrText xml:space="preserve"> SEQ Table \* ARABIC </w:instrText>
      </w:r>
      <w:r w:rsidRPr="00D6076E">
        <w:rPr>
          <w:rStyle w:val="CommentReference"/>
          <w:b/>
          <w:szCs w:val="24"/>
        </w:rPr>
        <w:fldChar w:fldCharType="separate"/>
      </w:r>
      <w:r w:rsidR="0043339D">
        <w:rPr>
          <w:rStyle w:val="CommentReference"/>
          <w:b/>
          <w:noProof/>
          <w:szCs w:val="24"/>
        </w:rPr>
        <w:t>3</w:t>
      </w:r>
      <w:r w:rsidRPr="00D6076E">
        <w:rPr>
          <w:rStyle w:val="CommentReference"/>
          <w:b/>
          <w:szCs w:val="24"/>
        </w:rPr>
        <w:fldChar w:fldCharType="end"/>
      </w:r>
      <w:bookmarkEnd w:id="21"/>
      <w:r w:rsidRPr="00D6076E">
        <w:rPr>
          <w:rStyle w:val="CommentReference"/>
          <w:b/>
          <w:szCs w:val="24"/>
        </w:rPr>
        <w:t>: Key features of the included evidence</w:t>
      </w:r>
      <w:r>
        <w:rPr>
          <w:rStyle w:val="CommentReference"/>
          <w:b/>
          <w:szCs w:val="24"/>
        </w:rPr>
        <w:t xml:space="preserve"> </w:t>
      </w:r>
      <w:r w:rsidRPr="00EC5836">
        <w:rPr>
          <w:rStyle w:val="CommentReference"/>
          <w:b/>
          <w:szCs w:val="24"/>
        </w:rPr>
        <w:t>–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853"/>
        <w:gridCol w:w="1235"/>
        <w:gridCol w:w="994"/>
        <w:gridCol w:w="1700"/>
        <w:gridCol w:w="1558"/>
        <w:gridCol w:w="1367"/>
      </w:tblGrid>
      <w:tr w:rsidR="00C440A2" w:rsidRPr="00B41614" w14:paraId="1AD354DC" w14:textId="77777777" w:rsidTr="00D022E2">
        <w:trPr>
          <w:tblHeader/>
        </w:trPr>
        <w:tc>
          <w:tcPr>
            <w:tcW w:w="726" w:type="pct"/>
            <w:shd w:val="clear" w:color="auto" w:fill="auto"/>
            <w:vAlign w:val="center"/>
          </w:tcPr>
          <w:p w14:paraId="47F0BF6E" w14:textId="77777777" w:rsidR="00C440A2" w:rsidRPr="00B41614" w:rsidRDefault="00C440A2" w:rsidP="00D935A0">
            <w:pPr>
              <w:pStyle w:val="In-tableHeading"/>
            </w:pPr>
            <w:r w:rsidRPr="00B41614">
              <w:t>Trial</w:t>
            </w:r>
          </w:p>
        </w:tc>
        <w:tc>
          <w:tcPr>
            <w:tcW w:w="473" w:type="pct"/>
            <w:shd w:val="clear" w:color="auto" w:fill="auto"/>
            <w:vAlign w:val="center"/>
          </w:tcPr>
          <w:p w14:paraId="79ECB9B2" w14:textId="77777777" w:rsidR="00C440A2" w:rsidRPr="00B41614" w:rsidRDefault="00C440A2" w:rsidP="00D935A0">
            <w:pPr>
              <w:pStyle w:val="In-tableHeading"/>
              <w:jc w:val="center"/>
            </w:pPr>
            <w:r w:rsidRPr="00B41614">
              <w:t>N</w:t>
            </w:r>
          </w:p>
        </w:tc>
        <w:tc>
          <w:tcPr>
            <w:tcW w:w="685" w:type="pct"/>
            <w:shd w:val="clear" w:color="auto" w:fill="auto"/>
            <w:vAlign w:val="center"/>
          </w:tcPr>
          <w:p w14:paraId="099CE099" w14:textId="77777777" w:rsidR="00C440A2" w:rsidRPr="00B41614" w:rsidRDefault="00C440A2" w:rsidP="00D935A0">
            <w:pPr>
              <w:pStyle w:val="In-tableHeading"/>
              <w:jc w:val="center"/>
            </w:pPr>
            <w:r w:rsidRPr="00B41614">
              <w:t>Design/ duration</w:t>
            </w:r>
          </w:p>
        </w:tc>
        <w:tc>
          <w:tcPr>
            <w:tcW w:w="551" w:type="pct"/>
            <w:shd w:val="clear" w:color="auto" w:fill="auto"/>
            <w:vAlign w:val="center"/>
          </w:tcPr>
          <w:p w14:paraId="6260F5AB" w14:textId="77777777" w:rsidR="00C440A2" w:rsidRPr="00B41614" w:rsidRDefault="00C440A2" w:rsidP="00D935A0">
            <w:pPr>
              <w:pStyle w:val="In-tableHeading"/>
              <w:jc w:val="center"/>
            </w:pPr>
            <w:r w:rsidRPr="00B41614">
              <w:t>Risk of bias</w:t>
            </w:r>
          </w:p>
        </w:tc>
        <w:tc>
          <w:tcPr>
            <w:tcW w:w="943" w:type="pct"/>
            <w:shd w:val="clear" w:color="auto" w:fill="auto"/>
            <w:vAlign w:val="center"/>
          </w:tcPr>
          <w:p w14:paraId="3CBD81C7" w14:textId="77777777" w:rsidR="00C440A2" w:rsidRPr="00B41614" w:rsidRDefault="00C440A2" w:rsidP="00D935A0">
            <w:pPr>
              <w:pStyle w:val="In-tableHeading"/>
              <w:jc w:val="center"/>
            </w:pPr>
            <w:r w:rsidRPr="00B41614">
              <w:t>Patient population</w:t>
            </w:r>
          </w:p>
        </w:tc>
        <w:tc>
          <w:tcPr>
            <w:tcW w:w="864" w:type="pct"/>
            <w:shd w:val="clear" w:color="auto" w:fill="auto"/>
            <w:vAlign w:val="center"/>
          </w:tcPr>
          <w:p w14:paraId="4D289545" w14:textId="77777777" w:rsidR="00C440A2" w:rsidRPr="00B41614" w:rsidRDefault="00C440A2" w:rsidP="00D935A0">
            <w:pPr>
              <w:pStyle w:val="In-tableHeading"/>
              <w:jc w:val="center"/>
            </w:pPr>
            <w:r w:rsidRPr="00B41614">
              <w:t>Outcome(s)</w:t>
            </w:r>
          </w:p>
        </w:tc>
        <w:tc>
          <w:tcPr>
            <w:tcW w:w="758" w:type="pct"/>
            <w:shd w:val="clear" w:color="auto" w:fill="auto"/>
            <w:vAlign w:val="center"/>
          </w:tcPr>
          <w:p w14:paraId="28F35A13" w14:textId="77777777" w:rsidR="00C440A2" w:rsidRPr="00B41614" w:rsidRDefault="00C440A2" w:rsidP="00D935A0">
            <w:pPr>
              <w:pStyle w:val="In-tableHeading"/>
              <w:jc w:val="center"/>
            </w:pPr>
            <w:r w:rsidRPr="00B41614">
              <w:t>Use in modelled evaluation</w:t>
            </w:r>
          </w:p>
        </w:tc>
      </w:tr>
      <w:tr w:rsidR="00C440A2" w:rsidRPr="00E2771E" w14:paraId="04A13B3D" w14:textId="77777777" w:rsidTr="00902B2C">
        <w:tc>
          <w:tcPr>
            <w:tcW w:w="5000" w:type="pct"/>
            <w:gridSpan w:val="7"/>
            <w:shd w:val="clear" w:color="auto" w:fill="auto"/>
            <w:vAlign w:val="center"/>
          </w:tcPr>
          <w:p w14:paraId="386B3A1D" w14:textId="77777777" w:rsidR="00C440A2" w:rsidRPr="00B41614" w:rsidRDefault="00C440A2" w:rsidP="00D935A0">
            <w:pPr>
              <w:pStyle w:val="In-tableHeading"/>
            </w:pPr>
            <w:r>
              <w:t>FosLD/FosCD vs oral LD/CD</w:t>
            </w:r>
          </w:p>
        </w:tc>
      </w:tr>
      <w:tr w:rsidR="00C440A2" w:rsidRPr="00E2771E" w14:paraId="442889CE" w14:textId="77777777" w:rsidTr="00D022E2">
        <w:tc>
          <w:tcPr>
            <w:tcW w:w="726" w:type="pct"/>
            <w:shd w:val="clear" w:color="auto" w:fill="auto"/>
            <w:vAlign w:val="center"/>
          </w:tcPr>
          <w:p w14:paraId="386A3853" w14:textId="77777777" w:rsidR="00C440A2" w:rsidRPr="00E2771E" w:rsidRDefault="00C440A2" w:rsidP="00D935A0">
            <w:pPr>
              <w:pStyle w:val="TableText0"/>
              <w:rPr>
                <w:lang w:val="en-US"/>
              </w:rPr>
            </w:pPr>
            <w:r>
              <w:rPr>
                <w:lang w:val="en-US"/>
              </w:rPr>
              <w:t>Study M15-736</w:t>
            </w:r>
          </w:p>
        </w:tc>
        <w:tc>
          <w:tcPr>
            <w:tcW w:w="473" w:type="pct"/>
            <w:shd w:val="clear" w:color="auto" w:fill="auto"/>
            <w:vAlign w:val="center"/>
          </w:tcPr>
          <w:p w14:paraId="5DFFA596" w14:textId="77777777" w:rsidR="00C440A2" w:rsidRPr="00E2771E" w:rsidRDefault="00C440A2" w:rsidP="00D935A0">
            <w:pPr>
              <w:pStyle w:val="TableText0"/>
              <w:jc w:val="center"/>
              <w:rPr>
                <w:lang w:val="en-US"/>
              </w:rPr>
            </w:pPr>
            <w:r>
              <w:rPr>
                <w:lang w:val="en-US"/>
              </w:rPr>
              <w:t>141</w:t>
            </w:r>
          </w:p>
        </w:tc>
        <w:tc>
          <w:tcPr>
            <w:tcW w:w="685" w:type="pct"/>
            <w:shd w:val="clear" w:color="auto" w:fill="auto"/>
            <w:vAlign w:val="center"/>
          </w:tcPr>
          <w:p w14:paraId="338058BD" w14:textId="77777777" w:rsidR="00C440A2" w:rsidRDefault="00C440A2" w:rsidP="00D935A0">
            <w:pPr>
              <w:pStyle w:val="TableText0"/>
              <w:jc w:val="center"/>
              <w:rPr>
                <w:lang w:val="en-US"/>
              </w:rPr>
            </w:pPr>
            <w:r>
              <w:rPr>
                <w:lang w:val="en-US"/>
              </w:rPr>
              <w:t>R, DB, DD, AC, MC</w:t>
            </w:r>
          </w:p>
          <w:p w14:paraId="5DD91E0E" w14:textId="3DA10C2F" w:rsidR="00C440A2" w:rsidRDefault="00C440A2" w:rsidP="00D935A0">
            <w:pPr>
              <w:pStyle w:val="TableText0"/>
              <w:jc w:val="center"/>
              <w:rPr>
                <w:lang w:val="en-US"/>
              </w:rPr>
            </w:pPr>
            <w:r>
              <w:rPr>
                <w:lang w:val="en-US"/>
              </w:rPr>
              <w:t>12 w</w:t>
            </w:r>
            <w:r w:rsidR="005901C4">
              <w:rPr>
                <w:lang w:val="en-US"/>
              </w:rPr>
              <w:t>ee</w:t>
            </w:r>
            <w:r>
              <w:rPr>
                <w:lang w:val="en-US"/>
              </w:rPr>
              <w:t>ks</w:t>
            </w:r>
          </w:p>
          <w:p w14:paraId="6D62DF4B" w14:textId="77777777" w:rsidR="00C440A2" w:rsidRPr="00E2771E" w:rsidRDefault="00C440A2" w:rsidP="00D935A0">
            <w:pPr>
              <w:pStyle w:val="TableText0"/>
              <w:jc w:val="center"/>
              <w:rPr>
                <w:lang w:val="en-US"/>
              </w:rPr>
            </w:pPr>
          </w:p>
        </w:tc>
        <w:tc>
          <w:tcPr>
            <w:tcW w:w="551" w:type="pct"/>
            <w:shd w:val="clear" w:color="auto" w:fill="auto"/>
            <w:vAlign w:val="center"/>
          </w:tcPr>
          <w:p w14:paraId="051D22C8" w14:textId="77777777" w:rsidR="00C440A2" w:rsidRPr="00E2771E" w:rsidRDefault="00C440A2" w:rsidP="00D935A0">
            <w:pPr>
              <w:pStyle w:val="TableText0"/>
              <w:jc w:val="center"/>
              <w:rPr>
                <w:lang w:val="en-US"/>
              </w:rPr>
            </w:pPr>
            <w:r>
              <w:rPr>
                <w:lang w:val="en-US"/>
              </w:rPr>
              <w:t>Low</w:t>
            </w:r>
          </w:p>
        </w:tc>
        <w:tc>
          <w:tcPr>
            <w:tcW w:w="943" w:type="pct"/>
            <w:shd w:val="clear" w:color="auto" w:fill="auto"/>
            <w:vAlign w:val="center"/>
          </w:tcPr>
          <w:p w14:paraId="49CC00BD" w14:textId="77777777" w:rsidR="00C440A2" w:rsidRPr="00E2771E" w:rsidRDefault="00C440A2" w:rsidP="00D935A0">
            <w:pPr>
              <w:pStyle w:val="TableText0"/>
              <w:jc w:val="center"/>
              <w:rPr>
                <w:lang w:val="en-US"/>
              </w:rPr>
            </w:pPr>
            <w:r>
              <w:rPr>
                <w:lang w:val="en-US"/>
              </w:rPr>
              <w:t xml:space="preserve">Patients with aPD </w:t>
            </w:r>
            <w:r>
              <w:t>that is not adequately controlled by oral medication</w:t>
            </w:r>
            <w:r>
              <w:rPr>
                <w:lang w:val="en-US"/>
              </w:rPr>
              <w:t xml:space="preserve"> </w:t>
            </w:r>
          </w:p>
        </w:tc>
        <w:tc>
          <w:tcPr>
            <w:tcW w:w="864" w:type="pct"/>
            <w:shd w:val="clear" w:color="auto" w:fill="auto"/>
            <w:vAlign w:val="center"/>
          </w:tcPr>
          <w:p w14:paraId="32452156" w14:textId="0BD3353A" w:rsidR="00C440A2" w:rsidRDefault="00DD70F6" w:rsidP="00D935A0">
            <w:pPr>
              <w:pStyle w:val="TableText0"/>
              <w:jc w:val="center"/>
              <w:rPr>
                <w:lang w:val="en-US"/>
              </w:rPr>
            </w:pPr>
            <w:r>
              <w:rPr>
                <w:lang w:val="en-US"/>
              </w:rPr>
              <w:t>‘On-time’</w:t>
            </w:r>
          </w:p>
          <w:p w14:paraId="211CAF72" w14:textId="40ADB668" w:rsidR="00C440A2" w:rsidRDefault="00DD70F6" w:rsidP="00D935A0">
            <w:pPr>
              <w:pStyle w:val="TableText0"/>
              <w:jc w:val="center"/>
              <w:rPr>
                <w:lang w:val="en-US"/>
              </w:rPr>
            </w:pPr>
            <w:r>
              <w:rPr>
                <w:lang w:val="en-US"/>
              </w:rPr>
              <w:t>‘Off-time’</w:t>
            </w:r>
          </w:p>
          <w:p w14:paraId="64835BAA" w14:textId="7EDA1D53" w:rsidR="00C440A2" w:rsidRDefault="00C440A2" w:rsidP="00D935A0">
            <w:pPr>
              <w:pStyle w:val="TableText0"/>
              <w:jc w:val="center"/>
              <w:rPr>
                <w:lang w:val="en-US"/>
              </w:rPr>
            </w:pPr>
            <w:r>
              <w:rPr>
                <w:lang w:val="en-US"/>
              </w:rPr>
              <w:t>MDS-UPDR</w:t>
            </w:r>
            <w:r w:rsidR="003C4C57">
              <w:rPr>
                <w:lang w:val="en-US"/>
              </w:rPr>
              <w:t>S</w:t>
            </w:r>
            <w:r>
              <w:rPr>
                <w:lang w:val="en-US"/>
              </w:rPr>
              <w:t xml:space="preserve"> part II</w:t>
            </w:r>
          </w:p>
          <w:p w14:paraId="1E606BE4" w14:textId="77777777" w:rsidR="00C440A2" w:rsidRDefault="00C440A2" w:rsidP="00D935A0">
            <w:pPr>
              <w:pStyle w:val="TableText0"/>
              <w:jc w:val="center"/>
              <w:rPr>
                <w:lang w:val="en-US"/>
              </w:rPr>
            </w:pPr>
            <w:r>
              <w:rPr>
                <w:lang w:val="en-US"/>
              </w:rPr>
              <w:t>PDQ-39</w:t>
            </w:r>
          </w:p>
          <w:p w14:paraId="7417C937" w14:textId="77777777" w:rsidR="00C440A2" w:rsidRPr="00E2771E" w:rsidRDefault="00C440A2" w:rsidP="00D935A0">
            <w:pPr>
              <w:pStyle w:val="TableText0"/>
              <w:jc w:val="center"/>
              <w:rPr>
                <w:lang w:val="en-US"/>
              </w:rPr>
            </w:pPr>
            <w:r>
              <w:rPr>
                <w:lang w:val="en-US"/>
              </w:rPr>
              <w:t>Safety</w:t>
            </w:r>
          </w:p>
        </w:tc>
        <w:tc>
          <w:tcPr>
            <w:tcW w:w="758" w:type="pct"/>
            <w:shd w:val="clear" w:color="auto" w:fill="auto"/>
            <w:vAlign w:val="center"/>
          </w:tcPr>
          <w:p w14:paraId="4F8F3672" w14:textId="3C8663AA" w:rsidR="00C440A2" w:rsidRPr="00E2771E" w:rsidRDefault="00590080" w:rsidP="00D935A0">
            <w:pPr>
              <w:pStyle w:val="TableText0"/>
              <w:jc w:val="center"/>
              <w:rPr>
                <w:lang w:val="en-US"/>
              </w:rPr>
            </w:pPr>
            <w:r>
              <w:rPr>
                <w:lang w:val="en-US"/>
              </w:rPr>
              <w:t>N/A</w:t>
            </w:r>
          </w:p>
        </w:tc>
      </w:tr>
      <w:tr w:rsidR="00C440A2" w:rsidRPr="00E2771E" w14:paraId="21CC6AF1" w14:textId="77777777" w:rsidTr="00902B2C">
        <w:tc>
          <w:tcPr>
            <w:tcW w:w="5000" w:type="pct"/>
            <w:gridSpan w:val="7"/>
            <w:shd w:val="clear" w:color="auto" w:fill="auto"/>
            <w:vAlign w:val="center"/>
          </w:tcPr>
          <w:p w14:paraId="623B8E3B" w14:textId="77777777" w:rsidR="00C440A2" w:rsidRPr="00B41614" w:rsidRDefault="00C440A2" w:rsidP="00D935A0">
            <w:pPr>
              <w:pStyle w:val="In-tableHeading"/>
            </w:pPr>
            <w:r>
              <w:t>LCIG vs oral LD/CD</w:t>
            </w:r>
          </w:p>
        </w:tc>
      </w:tr>
      <w:tr w:rsidR="00C440A2" w:rsidRPr="00E2771E" w14:paraId="734DAE8E" w14:textId="77777777" w:rsidTr="00D022E2">
        <w:tc>
          <w:tcPr>
            <w:tcW w:w="726" w:type="pct"/>
            <w:shd w:val="clear" w:color="auto" w:fill="auto"/>
            <w:vAlign w:val="center"/>
          </w:tcPr>
          <w:p w14:paraId="3A2F5C8B" w14:textId="66C73B34" w:rsidR="00C440A2" w:rsidRPr="00E2771E" w:rsidRDefault="00C440A2" w:rsidP="00D935A0">
            <w:pPr>
              <w:pStyle w:val="TableText0"/>
              <w:rPr>
                <w:lang w:val="en-US"/>
              </w:rPr>
            </w:pPr>
            <w:r>
              <w:rPr>
                <w:lang w:val="en-US"/>
              </w:rPr>
              <w:t>Olanow 2014</w:t>
            </w:r>
          </w:p>
        </w:tc>
        <w:tc>
          <w:tcPr>
            <w:tcW w:w="473" w:type="pct"/>
            <w:shd w:val="clear" w:color="auto" w:fill="auto"/>
            <w:vAlign w:val="center"/>
          </w:tcPr>
          <w:p w14:paraId="45FE14CA" w14:textId="77777777" w:rsidR="00C440A2" w:rsidRPr="00E2771E" w:rsidRDefault="00C440A2" w:rsidP="00D935A0">
            <w:pPr>
              <w:pStyle w:val="TableText0"/>
              <w:jc w:val="center"/>
              <w:rPr>
                <w:lang w:val="en-US"/>
              </w:rPr>
            </w:pPr>
            <w:r>
              <w:rPr>
                <w:lang w:val="en-US"/>
              </w:rPr>
              <w:t>71</w:t>
            </w:r>
          </w:p>
        </w:tc>
        <w:tc>
          <w:tcPr>
            <w:tcW w:w="685" w:type="pct"/>
            <w:shd w:val="clear" w:color="auto" w:fill="auto"/>
            <w:vAlign w:val="center"/>
          </w:tcPr>
          <w:p w14:paraId="3F70707C" w14:textId="77777777" w:rsidR="00C440A2" w:rsidRDefault="00C440A2" w:rsidP="00D935A0">
            <w:pPr>
              <w:pStyle w:val="TableText0"/>
              <w:jc w:val="center"/>
              <w:rPr>
                <w:lang w:val="en-US"/>
              </w:rPr>
            </w:pPr>
            <w:r>
              <w:rPr>
                <w:lang w:val="en-US"/>
              </w:rPr>
              <w:t>R, DB, DD, AC, MC</w:t>
            </w:r>
          </w:p>
          <w:p w14:paraId="57981C7D" w14:textId="351E63D0" w:rsidR="00C440A2" w:rsidRDefault="00C440A2" w:rsidP="00D935A0">
            <w:pPr>
              <w:pStyle w:val="TableText0"/>
              <w:jc w:val="center"/>
              <w:rPr>
                <w:lang w:val="en-US"/>
              </w:rPr>
            </w:pPr>
            <w:r>
              <w:rPr>
                <w:lang w:val="en-US"/>
              </w:rPr>
              <w:t>12 w</w:t>
            </w:r>
            <w:r w:rsidR="005039F5">
              <w:rPr>
                <w:lang w:val="en-US"/>
              </w:rPr>
              <w:t>ee</w:t>
            </w:r>
            <w:r>
              <w:rPr>
                <w:lang w:val="en-US"/>
              </w:rPr>
              <w:t>ks</w:t>
            </w:r>
          </w:p>
          <w:p w14:paraId="0189C047" w14:textId="77777777" w:rsidR="00C440A2" w:rsidRPr="00E2771E" w:rsidRDefault="00C440A2" w:rsidP="00D935A0">
            <w:pPr>
              <w:pStyle w:val="TableText0"/>
              <w:jc w:val="center"/>
              <w:rPr>
                <w:lang w:val="en-US"/>
              </w:rPr>
            </w:pPr>
          </w:p>
        </w:tc>
        <w:tc>
          <w:tcPr>
            <w:tcW w:w="551" w:type="pct"/>
            <w:shd w:val="clear" w:color="auto" w:fill="auto"/>
            <w:vAlign w:val="center"/>
          </w:tcPr>
          <w:p w14:paraId="1CA2279B" w14:textId="77777777" w:rsidR="00C440A2" w:rsidRPr="00E2771E" w:rsidRDefault="00C440A2" w:rsidP="00D935A0">
            <w:pPr>
              <w:pStyle w:val="TableText0"/>
              <w:jc w:val="center"/>
              <w:rPr>
                <w:lang w:val="en-US"/>
              </w:rPr>
            </w:pPr>
            <w:r>
              <w:rPr>
                <w:lang w:val="en-US"/>
              </w:rPr>
              <w:t>Low</w:t>
            </w:r>
          </w:p>
        </w:tc>
        <w:tc>
          <w:tcPr>
            <w:tcW w:w="943" w:type="pct"/>
            <w:shd w:val="clear" w:color="auto" w:fill="auto"/>
            <w:vAlign w:val="center"/>
          </w:tcPr>
          <w:p w14:paraId="13D6278D" w14:textId="77777777" w:rsidR="00C440A2" w:rsidRPr="00E2771E" w:rsidRDefault="00C440A2" w:rsidP="00D935A0">
            <w:pPr>
              <w:pStyle w:val="TableText0"/>
              <w:jc w:val="center"/>
              <w:rPr>
                <w:lang w:val="en-US"/>
              </w:rPr>
            </w:pPr>
            <w:r>
              <w:rPr>
                <w:lang w:val="en-US"/>
              </w:rPr>
              <w:t xml:space="preserve">Patients with aPD </w:t>
            </w:r>
            <w:r>
              <w:t>that is not adequately controlled by oral medication</w:t>
            </w:r>
          </w:p>
        </w:tc>
        <w:tc>
          <w:tcPr>
            <w:tcW w:w="864" w:type="pct"/>
            <w:shd w:val="clear" w:color="auto" w:fill="auto"/>
            <w:vAlign w:val="center"/>
          </w:tcPr>
          <w:p w14:paraId="19B7FAB8" w14:textId="633B806E" w:rsidR="00C440A2" w:rsidRDefault="00DD70F6" w:rsidP="00D935A0">
            <w:pPr>
              <w:pStyle w:val="TableText0"/>
              <w:jc w:val="center"/>
              <w:rPr>
                <w:lang w:val="en-US"/>
              </w:rPr>
            </w:pPr>
            <w:r>
              <w:rPr>
                <w:lang w:val="en-US"/>
              </w:rPr>
              <w:t>‘On-time’</w:t>
            </w:r>
          </w:p>
          <w:p w14:paraId="421A204D" w14:textId="7CBAF531" w:rsidR="00C440A2" w:rsidRDefault="00DD70F6" w:rsidP="00D935A0">
            <w:pPr>
              <w:pStyle w:val="TableText0"/>
              <w:jc w:val="center"/>
              <w:rPr>
                <w:lang w:val="en-US"/>
              </w:rPr>
            </w:pPr>
            <w:r>
              <w:rPr>
                <w:lang w:val="en-US"/>
              </w:rPr>
              <w:t>‘Off-time’</w:t>
            </w:r>
          </w:p>
          <w:p w14:paraId="7F55F5AF" w14:textId="5C3469D1" w:rsidR="00C440A2" w:rsidRDefault="00C440A2" w:rsidP="00D935A0">
            <w:pPr>
              <w:pStyle w:val="TableText0"/>
              <w:jc w:val="center"/>
              <w:rPr>
                <w:lang w:val="en-US"/>
              </w:rPr>
            </w:pPr>
            <w:r>
              <w:rPr>
                <w:lang w:val="en-US"/>
              </w:rPr>
              <w:t>UPDR</w:t>
            </w:r>
            <w:r w:rsidR="003C4C57">
              <w:rPr>
                <w:lang w:val="en-US"/>
              </w:rPr>
              <w:t>S</w:t>
            </w:r>
            <w:r>
              <w:rPr>
                <w:lang w:val="en-US"/>
              </w:rPr>
              <w:t xml:space="preserve"> part II</w:t>
            </w:r>
          </w:p>
          <w:p w14:paraId="1FBF3CA7" w14:textId="77777777" w:rsidR="00C440A2" w:rsidRDefault="00C440A2" w:rsidP="00D935A0">
            <w:pPr>
              <w:pStyle w:val="TableText0"/>
              <w:jc w:val="center"/>
              <w:rPr>
                <w:lang w:val="en-US"/>
              </w:rPr>
            </w:pPr>
            <w:r>
              <w:rPr>
                <w:lang w:val="en-US"/>
              </w:rPr>
              <w:t>PDQ-39</w:t>
            </w:r>
          </w:p>
          <w:p w14:paraId="068692BC" w14:textId="77777777" w:rsidR="00C440A2" w:rsidRPr="00E2771E" w:rsidRDefault="00C440A2" w:rsidP="00D935A0">
            <w:pPr>
              <w:pStyle w:val="TableText0"/>
              <w:jc w:val="center"/>
              <w:rPr>
                <w:lang w:val="en-US"/>
              </w:rPr>
            </w:pPr>
            <w:r>
              <w:rPr>
                <w:lang w:val="en-US"/>
              </w:rPr>
              <w:t>Safety</w:t>
            </w:r>
          </w:p>
        </w:tc>
        <w:tc>
          <w:tcPr>
            <w:tcW w:w="758" w:type="pct"/>
            <w:shd w:val="clear" w:color="auto" w:fill="auto"/>
            <w:vAlign w:val="center"/>
          </w:tcPr>
          <w:p w14:paraId="73B7F562" w14:textId="4602751D" w:rsidR="00C440A2" w:rsidRPr="00E2771E" w:rsidRDefault="00590080" w:rsidP="00D935A0">
            <w:pPr>
              <w:pStyle w:val="TableText0"/>
              <w:jc w:val="center"/>
              <w:rPr>
                <w:lang w:val="en-US"/>
              </w:rPr>
            </w:pPr>
            <w:r>
              <w:rPr>
                <w:lang w:val="en-US"/>
              </w:rPr>
              <w:t>N/A</w:t>
            </w:r>
          </w:p>
        </w:tc>
      </w:tr>
    </w:tbl>
    <w:p w14:paraId="062E6477" w14:textId="77777777" w:rsidR="00C440A2" w:rsidRDefault="00C440A2" w:rsidP="00D935A0">
      <w:pPr>
        <w:pStyle w:val="FooterTableFigure"/>
        <w:keepNext/>
      </w:pPr>
      <w:r>
        <w:t xml:space="preserve">Source: Table 2-5, p57 </w:t>
      </w:r>
      <w:r w:rsidRPr="00D13A3E">
        <w:t xml:space="preserve">of the </w:t>
      </w:r>
      <w:r>
        <w:t>submission.</w:t>
      </w:r>
    </w:p>
    <w:p w14:paraId="3CD0EBD8" w14:textId="438B5508" w:rsidR="00C440A2" w:rsidRDefault="008C08BD" w:rsidP="00D935A0">
      <w:pPr>
        <w:pStyle w:val="FooterTableFigure"/>
        <w:keepNext/>
      </w:pPr>
      <w:r>
        <w:t xml:space="preserve">Abbreviations: </w:t>
      </w:r>
      <w:r w:rsidR="00C440A2">
        <w:t xml:space="preserve">AC = active controlled; aPD = advanced Parkinson’s disease; </w:t>
      </w:r>
      <w:r w:rsidR="00C440A2" w:rsidRPr="0072416F">
        <w:t>DB</w:t>
      </w:r>
      <w:r w:rsidR="00C440A2">
        <w:t xml:space="preserve"> </w:t>
      </w:r>
      <w:r w:rsidR="00C440A2" w:rsidRPr="0072416F">
        <w:t>=</w:t>
      </w:r>
      <w:r w:rsidR="00C440A2">
        <w:t xml:space="preserve"> </w:t>
      </w:r>
      <w:r w:rsidR="00C440A2" w:rsidRPr="0072416F">
        <w:t xml:space="preserve">double blind; </w:t>
      </w:r>
      <w:r w:rsidR="00C440A2">
        <w:t xml:space="preserve">DD = double dummy; FosLD/FosCD = foslevodopa/foscarbidopa; LCIG = levodopa carbidopa intestinal gel; LD/CD = levodopa/carbidopa; </w:t>
      </w:r>
      <w:r w:rsidR="00C440A2" w:rsidRPr="0072416F">
        <w:t>MC</w:t>
      </w:r>
      <w:r w:rsidR="00C440A2">
        <w:t xml:space="preserve"> </w:t>
      </w:r>
      <w:r w:rsidR="00C440A2" w:rsidRPr="0072416F">
        <w:t>=</w:t>
      </w:r>
      <w:r w:rsidR="00C440A2">
        <w:t xml:space="preserve"> </w:t>
      </w:r>
      <w:r w:rsidR="00C440A2" w:rsidRPr="0072416F">
        <w:t>multi-centre;</w:t>
      </w:r>
      <w:r w:rsidR="00C440A2">
        <w:t xml:space="preserve"> </w:t>
      </w:r>
      <w:r w:rsidR="0058327B" w:rsidRPr="0058327B">
        <w:t>MDS</w:t>
      </w:r>
      <w:r w:rsidR="00623451">
        <w:t xml:space="preserve"> = Movement Disorder Society</w:t>
      </w:r>
      <w:r w:rsidR="00C440A2">
        <w:t>;</w:t>
      </w:r>
      <w:r w:rsidR="00C440A2" w:rsidRPr="0072416F">
        <w:t xml:space="preserve"> </w:t>
      </w:r>
      <w:r w:rsidR="008534D2">
        <w:t xml:space="preserve">N/A = not applicable; </w:t>
      </w:r>
      <w:r w:rsidR="00C440A2">
        <w:t xml:space="preserve">PDQ = Parkinson’s disease questionnaire; </w:t>
      </w:r>
      <w:r w:rsidR="00C440A2" w:rsidRPr="0072416F">
        <w:t>R</w:t>
      </w:r>
      <w:r w:rsidR="00C440A2">
        <w:t xml:space="preserve"> </w:t>
      </w:r>
      <w:r w:rsidR="00C440A2" w:rsidRPr="0072416F">
        <w:t>=</w:t>
      </w:r>
      <w:r w:rsidR="00C440A2">
        <w:t xml:space="preserve"> </w:t>
      </w:r>
      <w:r w:rsidR="00C440A2" w:rsidRPr="0072416F">
        <w:t>randomised</w:t>
      </w:r>
      <w:r w:rsidR="00623451">
        <w:t xml:space="preserve">; </w:t>
      </w:r>
      <w:r w:rsidR="00623451" w:rsidRPr="0058327B">
        <w:t>UPDR</w:t>
      </w:r>
      <w:r w:rsidR="00623451">
        <w:t>S</w:t>
      </w:r>
      <w:r w:rsidR="00623451" w:rsidRPr="0058327B">
        <w:t xml:space="preserve"> = </w:t>
      </w:r>
      <w:r w:rsidR="00623451">
        <w:t>U</w:t>
      </w:r>
      <w:r w:rsidR="00623451" w:rsidRPr="0058327B">
        <w:t>nified Parkinson’s disease rating scale</w:t>
      </w:r>
      <w:r w:rsidR="00623451">
        <w:t>.</w:t>
      </w:r>
    </w:p>
    <w:p w14:paraId="35F4834E" w14:textId="2B5D54F5" w:rsidR="00C440A2" w:rsidRDefault="00DD70F6" w:rsidP="00D935A0">
      <w:pPr>
        <w:pStyle w:val="FooterTableFigure"/>
        <w:keepNext/>
      </w:pPr>
      <w:r>
        <w:t>‘On-time’</w:t>
      </w:r>
      <w:r w:rsidR="00C440A2">
        <w:t xml:space="preserve"> = reduction in Parkinson’s disease symptoms following levodopa dose.</w:t>
      </w:r>
    </w:p>
    <w:p w14:paraId="005E05E8" w14:textId="4AC02B24" w:rsidR="00C440A2" w:rsidRDefault="00DD70F6" w:rsidP="00D935A0">
      <w:pPr>
        <w:pStyle w:val="FooterTableFigure"/>
        <w:keepNext/>
      </w:pPr>
      <w:r>
        <w:t>‘Off-time’</w:t>
      </w:r>
      <w:r w:rsidR="00C440A2">
        <w:t xml:space="preserve"> = </w:t>
      </w:r>
      <w:r w:rsidR="00B45F0E">
        <w:t>t</w:t>
      </w:r>
      <w:r w:rsidR="00C440A2">
        <w:t>ime with Parkinsonian features before the onset of benefit from the subsequent levodopa dose.</w:t>
      </w:r>
    </w:p>
    <w:p w14:paraId="1C0EF119" w14:textId="5E9AFDE1" w:rsidR="00623451" w:rsidRPr="00B1011F" w:rsidRDefault="00623451" w:rsidP="004F7504">
      <w:pPr>
        <w:pStyle w:val="FooterTableFigure"/>
        <w:rPr>
          <w:sz w:val="20"/>
        </w:rPr>
      </w:pPr>
      <w:r>
        <w:t>Note: UPDRS part II and MDS-UPDRS part II are identical.</w:t>
      </w:r>
    </w:p>
    <w:p w14:paraId="11DC00BB" w14:textId="164E4D95" w:rsidR="00C440A2" w:rsidRDefault="00B42CB5" w:rsidP="003945B8">
      <w:pPr>
        <w:pStyle w:val="3-BodyText"/>
      </w:pPr>
      <w:r w:rsidRPr="00B42BBE">
        <w:t>The ESC noted the trials have small numbers and short duration (12 weeks). The</w:t>
      </w:r>
      <w:r w:rsidR="0055084B" w:rsidRPr="00B42BBE">
        <w:t xml:space="preserve"> ESC also noted the</w:t>
      </w:r>
      <w:r w:rsidRPr="00B42BBE">
        <w:t xml:space="preserve">re was a shorter mean time since diagnosis in Study M15-736 for FosLD/FosCD of 8.58 years compared to </w:t>
      </w:r>
      <w:r w:rsidR="000903C4" w:rsidRPr="00B42BBE">
        <w:t>the mean time since diagnosis in Olanow 2014 of 10.09 years.</w:t>
      </w:r>
    </w:p>
    <w:p w14:paraId="2E9AE5C5" w14:textId="7299ADEB" w:rsidR="005D7784" w:rsidRPr="00B42BBE" w:rsidRDefault="005D7784" w:rsidP="003945B8">
      <w:pPr>
        <w:pStyle w:val="3-BodyText"/>
      </w:pPr>
      <w:bookmarkStart w:id="22" w:name="_Ref168769808"/>
      <w:r>
        <w:t xml:space="preserve">The PBAC noted </w:t>
      </w:r>
      <w:r w:rsidR="004010A3">
        <w:t>that a</w:t>
      </w:r>
      <w:r>
        <w:t xml:space="preserve"> high number of patients discontinued Study M15-736, with 3</w:t>
      </w:r>
      <w:r w:rsidR="009A7931">
        <w:t>5</w:t>
      </w:r>
      <w:r>
        <w:t>% of patient</w:t>
      </w:r>
      <w:r w:rsidR="0044710B">
        <w:t>s</w:t>
      </w:r>
      <w:r>
        <w:t xml:space="preserve"> discontinuing FosLD/FosCD </w:t>
      </w:r>
      <w:r w:rsidR="0044710B">
        <w:t xml:space="preserve">(26/74) </w:t>
      </w:r>
      <w:r>
        <w:t>and 7% of patients discontinu</w:t>
      </w:r>
      <w:r w:rsidR="0044710B">
        <w:t>ing</w:t>
      </w:r>
      <w:r>
        <w:t xml:space="preserve"> oral LD/CD</w:t>
      </w:r>
      <w:r w:rsidR="0044710B">
        <w:t xml:space="preserve"> (5/67)</w:t>
      </w:r>
      <w:r>
        <w:t>.</w:t>
      </w:r>
      <w:bookmarkEnd w:id="22"/>
      <w:r w:rsidR="0044710B">
        <w:t xml:space="preserve"> In comparison, the PBAC noted that in Olanow 2014, 5% of patients discontinued LCIG (2/37) and 9% of patients discontinued oral LD/CD (3/34)</w:t>
      </w:r>
      <w:r w:rsidR="000D732D">
        <w:t>.</w:t>
      </w:r>
    </w:p>
    <w:p w14:paraId="4014C459" w14:textId="77777777" w:rsidR="00C440A2" w:rsidRPr="001244D0" w:rsidRDefault="00C440A2" w:rsidP="00C440A2">
      <w:pPr>
        <w:pStyle w:val="4-SubsectionHeading"/>
        <w:rPr>
          <w:iCs/>
        </w:rPr>
      </w:pPr>
      <w:bookmarkStart w:id="23" w:name="_Toc22897641"/>
      <w:bookmarkStart w:id="24" w:name="_Toc135072003"/>
      <w:r w:rsidRPr="001244D0">
        <w:rPr>
          <w:iCs/>
        </w:rPr>
        <w:t>Comparative effectiveness</w:t>
      </w:r>
      <w:bookmarkEnd w:id="23"/>
      <w:bookmarkEnd w:id="24"/>
    </w:p>
    <w:p w14:paraId="10691077" w14:textId="429EA3AC" w:rsidR="00E967E8" w:rsidRDefault="00C440A2" w:rsidP="003945B8">
      <w:pPr>
        <w:pStyle w:val="3-BodyText"/>
        <w:rPr>
          <w:snapToGrid/>
          <w:lang w:val="en-US"/>
        </w:rPr>
      </w:pPr>
      <w:r>
        <w:rPr>
          <w:snapToGrid/>
          <w:lang w:val="en-US"/>
        </w:rPr>
        <w:t xml:space="preserve">The results of the primary efficacy measures for M15-736 are presented in </w:t>
      </w:r>
      <w:r>
        <w:rPr>
          <w:snapToGrid/>
          <w:lang w:val="en-US"/>
        </w:rPr>
        <w:fldChar w:fldCharType="begin"/>
      </w:r>
      <w:r>
        <w:rPr>
          <w:snapToGrid/>
          <w:lang w:val="en-US"/>
        </w:rPr>
        <w:instrText xml:space="preserve"> REF _Ref133621255 \h </w:instrText>
      </w:r>
      <w:r>
        <w:rPr>
          <w:snapToGrid/>
          <w:lang w:val="en-US"/>
        </w:rPr>
      </w:r>
      <w:r>
        <w:rPr>
          <w:snapToGrid/>
          <w:lang w:val="en-US"/>
        </w:rPr>
        <w:fldChar w:fldCharType="separate"/>
      </w:r>
      <w:r w:rsidR="0043339D">
        <w:t xml:space="preserve">Table </w:t>
      </w:r>
      <w:r w:rsidR="0043339D">
        <w:rPr>
          <w:noProof/>
        </w:rPr>
        <w:t>4</w:t>
      </w:r>
      <w:r>
        <w:rPr>
          <w:snapToGrid/>
          <w:lang w:val="en-US"/>
        </w:rPr>
        <w:fldChar w:fldCharType="end"/>
      </w:r>
      <w:r>
        <w:rPr>
          <w:snapToGrid/>
          <w:lang w:val="en-US"/>
        </w:rPr>
        <w:t>.</w:t>
      </w:r>
    </w:p>
    <w:p w14:paraId="397C095A" w14:textId="6D6CB2C3" w:rsidR="00C440A2" w:rsidRDefault="00C440A2" w:rsidP="008B0422">
      <w:pPr>
        <w:pStyle w:val="Caption"/>
      </w:pPr>
      <w:bookmarkStart w:id="25" w:name="_Ref133621255"/>
      <w:r>
        <w:lastRenderedPageBreak/>
        <w:t xml:space="preserve">Table </w:t>
      </w:r>
      <w:r w:rsidR="000A217C">
        <w:fldChar w:fldCharType="begin"/>
      </w:r>
      <w:r w:rsidR="000A217C">
        <w:instrText xml:space="preserve"> SEQ Table \* ARABIC </w:instrText>
      </w:r>
      <w:r w:rsidR="000A217C">
        <w:fldChar w:fldCharType="separate"/>
      </w:r>
      <w:r w:rsidR="0043339D">
        <w:rPr>
          <w:noProof/>
        </w:rPr>
        <w:t>4</w:t>
      </w:r>
      <w:r w:rsidR="000A217C">
        <w:rPr>
          <w:noProof/>
        </w:rPr>
        <w:fldChar w:fldCharType="end"/>
      </w:r>
      <w:bookmarkEnd w:id="25"/>
      <w:r>
        <w:t>: Key efficacy endpoints in M15-736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0"/>
        <w:gridCol w:w="1109"/>
        <w:gridCol w:w="1104"/>
        <w:gridCol w:w="1187"/>
        <w:gridCol w:w="1188"/>
        <w:gridCol w:w="1134"/>
        <w:gridCol w:w="1392"/>
        <w:gridCol w:w="792"/>
      </w:tblGrid>
      <w:tr w:rsidR="00B45F0E" w:rsidRPr="00B1011F" w14:paraId="5BEC4029" w14:textId="77777777" w:rsidTr="009C1CAF">
        <w:trPr>
          <w:tblHeader/>
        </w:trPr>
        <w:tc>
          <w:tcPr>
            <w:tcW w:w="1842" w:type="pct"/>
            <w:gridSpan w:val="3"/>
            <w:vAlign w:val="center"/>
          </w:tcPr>
          <w:p w14:paraId="667FA054" w14:textId="77777777" w:rsidR="00C440A2" w:rsidRPr="00B84117" w:rsidRDefault="00C440A2" w:rsidP="004F7504">
            <w:pPr>
              <w:pStyle w:val="In-tableHeading"/>
              <w:keepLines/>
              <w:jc w:val="center"/>
            </w:pPr>
            <w:bookmarkStart w:id="26" w:name="_Hlk133617311"/>
            <w:r>
              <w:rPr>
                <w:iCs/>
              </w:rPr>
              <w:t>FosLD/FosCD (N=74)</w:t>
            </w:r>
          </w:p>
        </w:tc>
        <w:tc>
          <w:tcPr>
            <w:tcW w:w="1946" w:type="pct"/>
            <w:gridSpan w:val="3"/>
            <w:vAlign w:val="center"/>
          </w:tcPr>
          <w:p w14:paraId="4936A02A" w14:textId="77777777" w:rsidR="00C440A2" w:rsidRPr="00B84117" w:rsidRDefault="00C440A2" w:rsidP="004F7504">
            <w:pPr>
              <w:pStyle w:val="In-tableHeading"/>
              <w:keepLines/>
              <w:jc w:val="center"/>
            </w:pPr>
            <w:r>
              <w:rPr>
                <w:iCs/>
              </w:rPr>
              <w:t>Oral LD/CD (N=67)</w:t>
            </w:r>
          </w:p>
        </w:tc>
        <w:tc>
          <w:tcPr>
            <w:tcW w:w="772" w:type="pct"/>
            <w:vAlign w:val="center"/>
          </w:tcPr>
          <w:p w14:paraId="4FAB4971" w14:textId="77777777" w:rsidR="00C440A2" w:rsidRPr="00B84117" w:rsidRDefault="00C440A2" w:rsidP="004F7504">
            <w:pPr>
              <w:pStyle w:val="In-tableHeading"/>
              <w:keepLines/>
              <w:jc w:val="center"/>
            </w:pPr>
            <w:r>
              <w:rPr>
                <w:iCs/>
              </w:rPr>
              <w:t xml:space="preserve">LS </w:t>
            </w:r>
            <w:r w:rsidRPr="00B84117">
              <w:rPr>
                <w:iCs/>
              </w:rPr>
              <w:t>Mean difference (</w:t>
            </w:r>
            <w:r>
              <w:rPr>
                <w:iCs/>
              </w:rPr>
              <w:t>SE</w:t>
            </w:r>
            <w:r w:rsidRPr="00B84117">
              <w:rPr>
                <w:iCs/>
              </w:rPr>
              <w:t>)</w:t>
            </w:r>
          </w:p>
        </w:tc>
        <w:tc>
          <w:tcPr>
            <w:tcW w:w="440" w:type="pct"/>
            <w:vAlign w:val="center"/>
          </w:tcPr>
          <w:p w14:paraId="792D5A40" w14:textId="77777777" w:rsidR="00C440A2" w:rsidRPr="00B84117" w:rsidRDefault="00C440A2" w:rsidP="004F7504">
            <w:pPr>
              <w:pStyle w:val="In-tableHeading"/>
              <w:keepLines/>
              <w:jc w:val="center"/>
            </w:pPr>
            <w:r>
              <w:rPr>
                <w:iCs/>
              </w:rPr>
              <w:t>P value</w:t>
            </w:r>
          </w:p>
        </w:tc>
      </w:tr>
      <w:tr w:rsidR="00B45F0E" w:rsidRPr="00AD2D84" w14:paraId="28FCED2A" w14:textId="77777777" w:rsidTr="009C1CAF">
        <w:tc>
          <w:tcPr>
            <w:tcW w:w="616" w:type="pct"/>
            <w:vAlign w:val="center"/>
          </w:tcPr>
          <w:p w14:paraId="116648ED" w14:textId="4225AE3A" w:rsidR="00C440A2" w:rsidRPr="00AD2D84" w:rsidRDefault="00493CF9" w:rsidP="004F7504">
            <w:pPr>
              <w:pStyle w:val="TableText0"/>
              <w:keepLines/>
              <w:jc w:val="center"/>
              <w:rPr>
                <w:b/>
                <w:bCs w:val="0"/>
              </w:rPr>
            </w:pPr>
            <w:r w:rsidRPr="00AD2D84">
              <w:rPr>
                <w:b/>
                <w:bCs w:val="0"/>
              </w:rPr>
              <w:t>M</w:t>
            </w:r>
            <w:r w:rsidR="00C440A2" w:rsidRPr="00AD2D84">
              <w:rPr>
                <w:b/>
                <w:bCs w:val="0"/>
              </w:rPr>
              <w:t>ean baseline (SD)</w:t>
            </w:r>
          </w:p>
        </w:tc>
        <w:tc>
          <w:tcPr>
            <w:tcW w:w="615" w:type="pct"/>
            <w:vAlign w:val="center"/>
          </w:tcPr>
          <w:p w14:paraId="1C087262" w14:textId="2F8D7CB6" w:rsidR="00C440A2" w:rsidRPr="00AD2D84" w:rsidRDefault="00493CF9" w:rsidP="004F7504">
            <w:pPr>
              <w:pStyle w:val="TableText0"/>
              <w:keepLines/>
              <w:jc w:val="center"/>
              <w:rPr>
                <w:b/>
                <w:bCs w:val="0"/>
              </w:rPr>
            </w:pPr>
            <w:r w:rsidRPr="00AD2D84">
              <w:rPr>
                <w:b/>
                <w:bCs w:val="0"/>
              </w:rPr>
              <w:t>M</w:t>
            </w:r>
            <w:r w:rsidR="00C440A2" w:rsidRPr="00AD2D84">
              <w:rPr>
                <w:b/>
                <w:bCs w:val="0"/>
              </w:rPr>
              <w:t>ean change (SD)</w:t>
            </w:r>
          </w:p>
        </w:tc>
        <w:tc>
          <w:tcPr>
            <w:tcW w:w="612" w:type="pct"/>
            <w:vAlign w:val="center"/>
          </w:tcPr>
          <w:p w14:paraId="0B18DB9E" w14:textId="77777777" w:rsidR="00C440A2" w:rsidRPr="00AD2D84" w:rsidRDefault="00C440A2" w:rsidP="004F7504">
            <w:pPr>
              <w:pStyle w:val="TableText0"/>
              <w:keepLines/>
              <w:jc w:val="center"/>
              <w:rPr>
                <w:b/>
                <w:bCs w:val="0"/>
              </w:rPr>
            </w:pPr>
            <w:r w:rsidRPr="00AD2D84">
              <w:rPr>
                <w:b/>
                <w:bCs w:val="0"/>
              </w:rPr>
              <w:t>LS mean change (SE)</w:t>
            </w:r>
          </w:p>
        </w:tc>
        <w:tc>
          <w:tcPr>
            <w:tcW w:w="658" w:type="pct"/>
            <w:vAlign w:val="center"/>
          </w:tcPr>
          <w:p w14:paraId="53ADF0D9" w14:textId="66F705B2" w:rsidR="00C440A2" w:rsidRPr="00AD2D84" w:rsidRDefault="00493CF9" w:rsidP="004F7504">
            <w:pPr>
              <w:pStyle w:val="TableText0"/>
              <w:keepLines/>
              <w:jc w:val="center"/>
              <w:rPr>
                <w:b/>
                <w:bCs w:val="0"/>
              </w:rPr>
            </w:pPr>
            <w:r w:rsidRPr="00AD2D84">
              <w:rPr>
                <w:b/>
                <w:bCs w:val="0"/>
              </w:rPr>
              <w:t>M</w:t>
            </w:r>
            <w:r w:rsidR="00C440A2" w:rsidRPr="00AD2D84">
              <w:rPr>
                <w:b/>
                <w:bCs w:val="0"/>
              </w:rPr>
              <w:t>ean baseline (SD)</w:t>
            </w:r>
          </w:p>
        </w:tc>
        <w:tc>
          <w:tcPr>
            <w:tcW w:w="659" w:type="pct"/>
            <w:vAlign w:val="center"/>
          </w:tcPr>
          <w:p w14:paraId="52FD945D" w14:textId="191D4D94" w:rsidR="00C440A2" w:rsidRPr="00AD2D84" w:rsidRDefault="00493CF9" w:rsidP="004F7504">
            <w:pPr>
              <w:pStyle w:val="TableText0"/>
              <w:keepLines/>
              <w:jc w:val="center"/>
              <w:rPr>
                <w:b/>
                <w:bCs w:val="0"/>
              </w:rPr>
            </w:pPr>
            <w:r w:rsidRPr="00AD2D84">
              <w:rPr>
                <w:b/>
                <w:bCs w:val="0"/>
              </w:rPr>
              <w:t>M</w:t>
            </w:r>
            <w:r w:rsidR="00C440A2" w:rsidRPr="00AD2D84">
              <w:rPr>
                <w:b/>
                <w:bCs w:val="0"/>
              </w:rPr>
              <w:t>ean change (SD)</w:t>
            </w:r>
          </w:p>
        </w:tc>
        <w:tc>
          <w:tcPr>
            <w:tcW w:w="628" w:type="pct"/>
            <w:vAlign w:val="center"/>
          </w:tcPr>
          <w:p w14:paraId="6531A453" w14:textId="77777777" w:rsidR="00C440A2" w:rsidRPr="00AD2D84" w:rsidRDefault="00C440A2" w:rsidP="004F7504">
            <w:pPr>
              <w:pStyle w:val="TableText0"/>
              <w:keepLines/>
              <w:jc w:val="center"/>
              <w:rPr>
                <w:b/>
                <w:bCs w:val="0"/>
              </w:rPr>
            </w:pPr>
            <w:r w:rsidRPr="00AD2D84">
              <w:rPr>
                <w:b/>
                <w:bCs w:val="0"/>
              </w:rPr>
              <w:t>LS mean change (SE)</w:t>
            </w:r>
          </w:p>
        </w:tc>
        <w:tc>
          <w:tcPr>
            <w:tcW w:w="772" w:type="pct"/>
            <w:vAlign w:val="center"/>
          </w:tcPr>
          <w:p w14:paraId="3C79FD9D" w14:textId="77777777" w:rsidR="00C440A2" w:rsidRPr="00AD2D84" w:rsidRDefault="00C440A2" w:rsidP="004F7504">
            <w:pPr>
              <w:pStyle w:val="TableText0"/>
              <w:keepLines/>
              <w:jc w:val="center"/>
              <w:rPr>
                <w:b/>
                <w:bCs w:val="0"/>
              </w:rPr>
            </w:pPr>
            <w:r w:rsidRPr="00AD2D84">
              <w:rPr>
                <w:b/>
                <w:bCs w:val="0"/>
              </w:rPr>
              <w:t>-</w:t>
            </w:r>
          </w:p>
        </w:tc>
        <w:tc>
          <w:tcPr>
            <w:tcW w:w="440" w:type="pct"/>
            <w:vAlign w:val="center"/>
          </w:tcPr>
          <w:p w14:paraId="2F03345F" w14:textId="77777777" w:rsidR="00C440A2" w:rsidRPr="00AD2D84" w:rsidRDefault="00C440A2" w:rsidP="004F7504">
            <w:pPr>
              <w:pStyle w:val="TableText0"/>
              <w:keepLines/>
              <w:jc w:val="center"/>
              <w:rPr>
                <w:b/>
                <w:bCs w:val="0"/>
              </w:rPr>
            </w:pPr>
            <w:r w:rsidRPr="00AD2D84">
              <w:rPr>
                <w:b/>
                <w:bCs w:val="0"/>
              </w:rPr>
              <w:t>-</w:t>
            </w:r>
          </w:p>
        </w:tc>
      </w:tr>
      <w:tr w:rsidR="00B45F0E" w:rsidRPr="00B1011F" w14:paraId="3942D73B" w14:textId="77777777" w:rsidTr="009C1CAF">
        <w:tc>
          <w:tcPr>
            <w:tcW w:w="3788" w:type="pct"/>
            <w:gridSpan w:val="6"/>
            <w:vAlign w:val="center"/>
          </w:tcPr>
          <w:p w14:paraId="0A233722" w14:textId="617BEBC9" w:rsidR="00C440A2" w:rsidRDefault="00C440A2" w:rsidP="004F7504">
            <w:pPr>
              <w:pStyle w:val="TableText0"/>
              <w:keepLines/>
            </w:pPr>
            <w:r w:rsidRPr="007E1E44">
              <w:rPr>
                <w:b/>
                <w:bCs w:val="0"/>
                <w:szCs w:val="20"/>
              </w:rPr>
              <w:t xml:space="preserve">Hours of </w:t>
            </w:r>
            <w:r w:rsidR="00B45F0E">
              <w:rPr>
                <w:b/>
                <w:bCs w:val="0"/>
                <w:szCs w:val="20"/>
              </w:rPr>
              <w:t>a</w:t>
            </w:r>
            <w:r w:rsidRPr="007E1E44">
              <w:rPr>
                <w:b/>
                <w:bCs w:val="0"/>
                <w:szCs w:val="20"/>
              </w:rPr>
              <w:t xml:space="preserve">verage </w:t>
            </w:r>
            <w:r w:rsidR="00B45F0E">
              <w:rPr>
                <w:b/>
                <w:bCs w:val="0"/>
                <w:szCs w:val="20"/>
              </w:rPr>
              <w:t>d</w:t>
            </w:r>
            <w:r w:rsidRPr="007E1E44">
              <w:rPr>
                <w:b/>
                <w:bCs w:val="0"/>
                <w:szCs w:val="20"/>
              </w:rPr>
              <w:t xml:space="preserve">aily </w:t>
            </w:r>
            <w:r w:rsidR="00B45F0E">
              <w:rPr>
                <w:b/>
                <w:bCs w:val="0"/>
                <w:szCs w:val="20"/>
              </w:rPr>
              <w:t>n</w:t>
            </w:r>
            <w:r w:rsidRPr="007E1E44">
              <w:rPr>
                <w:b/>
                <w:bCs w:val="0"/>
                <w:szCs w:val="20"/>
              </w:rPr>
              <w:t xml:space="preserve">ormalised </w:t>
            </w:r>
            <w:r w:rsidR="00DD70F6">
              <w:rPr>
                <w:b/>
                <w:bCs w:val="0"/>
                <w:szCs w:val="20"/>
              </w:rPr>
              <w:t>‘</w:t>
            </w:r>
            <w:r w:rsidR="008534D2">
              <w:rPr>
                <w:b/>
                <w:bCs w:val="0"/>
                <w:szCs w:val="20"/>
              </w:rPr>
              <w:t>O</w:t>
            </w:r>
            <w:r w:rsidR="00DD70F6">
              <w:rPr>
                <w:b/>
                <w:bCs w:val="0"/>
                <w:szCs w:val="20"/>
              </w:rPr>
              <w:t>n-time’</w:t>
            </w:r>
            <w:r w:rsidRPr="007E1E44">
              <w:rPr>
                <w:b/>
                <w:bCs w:val="0"/>
                <w:szCs w:val="20"/>
              </w:rPr>
              <w:t xml:space="preserve"> </w:t>
            </w:r>
            <w:r w:rsidR="00B45F0E">
              <w:rPr>
                <w:b/>
                <w:bCs w:val="0"/>
                <w:szCs w:val="20"/>
              </w:rPr>
              <w:t>w</w:t>
            </w:r>
            <w:r w:rsidRPr="007E1E44">
              <w:rPr>
                <w:b/>
                <w:bCs w:val="0"/>
                <w:szCs w:val="20"/>
              </w:rPr>
              <w:t xml:space="preserve">ithout </w:t>
            </w:r>
            <w:r w:rsidR="00B45F0E">
              <w:rPr>
                <w:b/>
                <w:bCs w:val="0"/>
                <w:szCs w:val="20"/>
              </w:rPr>
              <w:t>t</w:t>
            </w:r>
            <w:r w:rsidRPr="007E1E44">
              <w:rPr>
                <w:b/>
                <w:bCs w:val="0"/>
                <w:szCs w:val="20"/>
              </w:rPr>
              <w:t xml:space="preserve">roublesome </w:t>
            </w:r>
            <w:r w:rsidR="00B45F0E">
              <w:rPr>
                <w:b/>
                <w:bCs w:val="0"/>
                <w:szCs w:val="20"/>
              </w:rPr>
              <w:t>d</w:t>
            </w:r>
            <w:r w:rsidRPr="007E1E44">
              <w:rPr>
                <w:b/>
                <w:bCs w:val="0"/>
                <w:szCs w:val="20"/>
              </w:rPr>
              <w:t>yskinesia</w:t>
            </w:r>
          </w:p>
        </w:tc>
        <w:tc>
          <w:tcPr>
            <w:tcW w:w="772" w:type="pct"/>
            <w:vAlign w:val="center"/>
          </w:tcPr>
          <w:p w14:paraId="0406C2C9" w14:textId="77777777" w:rsidR="00C440A2" w:rsidRDefault="00C440A2" w:rsidP="004F7504">
            <w:pPr>
              <w:pStyle w:val="TableText0"/>
              <w:keepLines/>
              <w:jc w:val="center"/>
            </w:pPr>
            <w:r w:rsidRPr="0019260D">
              <w:t>1.75 (0.65)</w:t>
            </w:r>
          </w:p>
        </w:tc>
        <w:tc>
          <w:tcPr>
            <w:tcW w:w="440" w:type="pct"/>
            <w:vAlign w:val="center"/>
          </w:tcPr>
          <w:p w14:paraId="126B4BAD" w14:textId="77777777" w:rsidR="00C440A2" w:rsidRDefault="00C440A2" w:rsidP="004F7504">
            <w:pPr>
              <w:pStyle w:val="TableText0"/>
              <w:keepLines/>
              <w:jc w:val="center"/>
            </w:pPr>
            <w:r w:rsidRPr="00BD1CA4">
              <w:rPr>
                <w:b/>
                <w:bCs w:val="0"/>
              </w:rPr>
              <w:t>0.0083</w:t>
            </w:r>
          </w:p>
        </w:tc>
      </w:tr>
      <w:tr w:rsidR="00B45F0E" w:rsidRPr="00B1011F" w14:paraId="497564EF" w14:textId="77777777" w:rsidTr="009C1CAF">
        <w:tc>
          <w:tcPr>
            <w:tcW w:w="616" w:type="pct"/>
            <w:vAlign w:val="center"/>
          </w:tcPr>
          <w:p w14:paraId="5447D2CA" w14:textId="77777777" w:rsidR="00C440A2" w:rsidRPr="00B1011F" w:rsidRDefault="00C440A2" w:rsidP="004F7504">
            <w:pPr>
              <w:pStyle w:val="TableText0"/>
              <w:keepLines/>
              <w:jc w:val="center"/>
            </w:pPr>
            <w:r w:rsidRPr="00642CAF">
              <w:t>9.20 (2.42)</w:t>
            </w:r>
          </w:p>
        </w:tc>
        <w:tc>
          <w:tcPr>
            <w:tcW w:w="615" w:type="pct"/>
            <w:vAlign w:val="center"/>
          </w:tcPr>
          <w:p w14:paraId="626E7FD9" w14:textId="77777777" w:rsidR="00C440A2" w:rsidRPr="00B1011F" w:rsidRDefault="00C440A2" w:rsidP="004F7504">
            <w:pPr>
              <w:pStyle w:val="TableText0"/>
              <w:keepLines/>
              <w:jc w:val="center"/>
            </w:pPr>
            <w:r w:rsidRPr="00642CAF">
              <w:t>3.36 (3.62)</w:t>
            </w:r>
          </w:p>
        </w:tc>
        <w:tc>
          <w:tcPr>
            <w:tcW w:w="612" w:type="pct"/>
            <w:vAlign w:val="center"/>
          </w:tcPr>
          <w:p w14:paraId="442B9A53" w14:textId="77777777" w:rsidR="00C440A2" w:rsidRPr="00B1011F" w:rsidRDefault="00C440A2" w:rsidP="004F7504">
            <w:pPr>
              <w:pStyle w:val="TableText0"/>
              <w:keepLines/>
              <w:jc w:val="center"/>
            </w:pPr>
            <w:r w:rsidRPr="00642CAF">
              <w:t>2.72 (0.52)</w:t>
            </w:r>
          </w:p>
        </w:tc>
        <w:tc>
          <w:tcPr>
            <w:tcW w:w="658" w:type="pct"/>
            <w:vAlign w:val="center"/>
          </w:tcPr>
          <w:p w14:paraId="57CC2A9B" w14:textId="77777777" w:rsidR="00C440A2" w:rsidRPr="00B1011F" w:rsidRDefault="00C440A2" w:rsidP="004F7504">
            <w:pPr>
              <w:pStyle w:val="TableText0"/>
              <w:keepLines/>
              <w:jc w:val="center"/>
            </w:pPr>
            <w:r w:rsidRPr="00E00E17">
              <w:t>9.49 (2.62)</w:t>
            </w:r>
          </w:p>
        </w:tc>
        <w:tc>
          <w:tcPr>
            <w:tcW w:w="659" w:type="pct"/>
            <w:vAlign w:val="center"/>
          </w:tcPr>
          <w:p w14:paraId="4E8B6EF3" w14:textId="77777777" w:rsidR="00C440A2" w:rsidRPr="00B1011F" w:rsidRDefault="00C440A2" w:rsidP="004F7504">
            <w:pPr>
              <w:pStyle w:val="TableText0"/>
              <w:keepLines/>
              <w:jc w:val="center"/>
            </w:pPr>
            <w:r w:rsidRPr="00E00E17">
              <w:t>0.85 (3.46)</w:t>
            </w:r>
          </w:p>
        </w:tc>
        <w:tc>
          <w:tcPr>
            <w:tcW w:w="628" w:type="pct"/>
            <w:vAlign w:val="center"/>
          </w:tcPr>
          <w:p w14:paraId="562C36AB" w14:textId="77777777" w:rsidR="00C440A2" w:rsidRPr="00B1011F" w:rsidRDefault="00C440A2" w:rsidP="004F7504">
            <w:pPr>
              <w:pStyle w:val="TableText0"/>
              <w:keepLines/>
              <w:jc w:val="center"/>
            </w:pPr>
            <w:r w:rsidRPr="00E00E17">
              <w:t>0.97 (0.50)</w:t>
            </w:r>
          </w:p>
        </w:tc>
        <w:tc>
          <w:tcPr>
            <w:tcW w:w="772" w:type="pct"/>
            <w:vAlign w:val="center"/>
          </w:tcPr>
          <w:p w14:paraId="793A2884" w14:textId="77777777" w:rsidR="00C440A2" w:rsidRPr="00B1011F" w:rsidRDefault="00C440A2" w:rsidP="004F7504">
            <w:pPr>
              <w:pStyle w:val="TableText0"/>
              <w:keepLines/>
              <w:jc w:val="center"/>
            </w:pPr>
          </w:p>
        </w:tc>
        <w:tc>
          <w:tcPr>
            <w:tcW w:w="440" w:type="pct"/>
            <w:vAlign w:val="center"/>
          </w:tcPr>
          <w:p w14:paraId="47314D75" w14:textId="77777777" w:rsidR="00C440A2" w:rsidRPr="00BD1CA4" w:rsidRDefault="00C440A2" w:rsidP="004F7504">
            <w:pPr>
              <w:pStyle w:val="TableText0"/>
              <w:keepLines/>
              <w:jc w:val="center"/>
              <w:rPr>
                <w:b/>
                <w:bCs w:val="0"/>
              </w:rPr>
            </w:pPr>
          </w:p>
        </w:tc>
      </w:tr>
      <w:tr w:rsidR="00B45F0E" w:rsidRPr="00B1011F" w14:paraId="784FF8C5" w14:textId="77777777" w:rsidTr="009C1CAF">
        <w:tc>
          <w:tcPr>
            <w:tcW w:w="3788" w:type="pct"/>
            <w:gridSpan w:val="6"/>
            <w:vAlign w:val="center"/>
          </w:tcPr>
          <w:p w14:paraId="37AE0016" w14:textId="201D8F4C" w:rsidR="00C440A2" w:rsidRPr="00BD1CA4" w:rsidRDefault="00C440A2" w:rsidP="004F7504">
            <w:pPr>
              <w:pStyle w:val="TableText0"/>
              <w:keepLines/>
              <w:rPr>
                <w:b/>
                <w:bCs w:val="0"/>
              </w:rPr>
            </w:pPr>
            <w:r w:rsidRPr="007E1E44">
              <w:rPr>
                <w:b/>
                <w:bCs w:val="0"/>
                <w:szCs w:val="20"/>
              </w:rPr>
              <w:t xml:space="preserve">Hours of </w:t>
            </w:r>
            <w:r w:rsidR="00B45F0E">
              <w:rPr>
                <w:b/>
                <w:bCs w:val="0"/>
                <w:szCs w:val="20"/>
              </w:rPr>
              <w:t>a</w:t>
            </w:r>
            <w:r w:rsidRPr="007E1E44">
              <w:rPr>
                <w:b/>
                <w:bCs w:val="0"/>
                <w:szCs w:val="20"/>
              </w:rPr>
              <w:t xml:space="preserve">verage </w:t>
            </w:r>
            <w:r w:rsidR="00B45F0E">
              <w:rPr>
                <w:b/>
                <w:bCs w:val="0"/>
                <w:szCs w:val="20"/>
              </w:rPr>
              <w:t>d</w:t>
            </w:r>
            <w:r w:rsidRPr="007E1E44">
              <w:rPr>
                <w:b/>
                <w:bCs w:val="0"/>
                <w:szCs w:val="20"/>
              </w:rPr>
              <w:t xml:space="preserve">aily </w:t>
            </w:r>
            <w:r w:rsidR="00B45F0E">
              <w:rPr>
                <w:b/>
                <w:bCs w:val="0"/>
                <w:szCs w:val="20"/>
              </w:rPr>
              <w:t>n</w:t>
            </w:r>
            <w:r w:rsidRPr="007E1E44">
              <w:rPr>
                <w:b/>
                <w:bCs w:val="0"/>
                <w:szCs w:val="20"/>
              </w:rPr>
              <w:t xml:space="preserve">ormalised </w:t>
            </w:r>
            <w:r w:rsidR="00DD70F6">
              <w:rPr>
                <w:b/>
                <w:bCs w:val="0"/>
                <w:szCs w:val="20"/>
              </w:rPr>
              <w:t>‘</w:t>
            </w:r>
            <w:r w:rsidR="008534D2">
              <w:rPr>
                <w:b/>
                <w:bCs w:val="0"/>
                <w:szCs w:val="20"/>
              </w:rPr>
              <w:t>O</w:t>
            </w:r>
            <w:r w:rsidR="00DD70F6">
              <w:rPr>
                <w:b/>
                <w:bCs w:val="0"/>
                <w:szCs w:val="20"/>
              </w:rPr>
              <w:t>ff-time’</w:t>
            </w:r>
          </w:p>
        </w:tc>
        <w:tc>
          <w:tcPr>
            <w:tcW w:w="772" w:type="pct"/>
            <w:vAlign w:val="center"/>
          </w:tcPr>
          <w:p w14:paraId="29462EF9" w14:textId="77777777" w:rsidR="00C440A2" w:rsidRPr="00BD1CA4" w:rsidRDefault="00C440A2" w:rsidP="004F7504">
            <w:pPr>
              <w:pStyle w:val="TableText0"/>
              <w:keepLines/>
              <w:jc w:val="center"/>
              <w:rPr>
                <w:b/>
                <w:bCs w:val="0"/>
              </w:rPr>
            </w:pPr>
            <w:r w:rsidRPr="00135C59">
              <w:t>-1.79 (0.63)</w:t>
            </w:r>
          </w:p>
        </w:tc>
        <w:tc>
          <w:tcPr>
            <w:tcW w:w="440" w:type="pct"/>
            <w:vAlign w:val="center"/>
          </w:tcPr>
          <w:p w14:paraId="0484DE47" w14:textId="77777777" w:rsidR="00C440A2" w:rsidRPr="00BD1CA4" w:rsidRDefault="00C440A2" w:rsidP="004F7504">
            <w:pPr>
              <w:pStyle w:val="TableText0"/>
              <w:keepLines/>
              <w:jc w:val="center"/>
              <w:rPr>
                <w:b/>
                <w:bCs w:val="0"/>
              </w:rPr>
            </w:pPr>
            <w:r w:rsidRPr="00BD1CA4">
              <w:rPr>
                <w:b/>
                <w:bCs w:val="0"/>
              </w:rPr>
              <w:t>0.0054</w:t>
            </w:r>
          </w:p>
        </w:tc>
      </w:tr>
      <w:tr w:rsidR="00B45F0E" w:rsidRPr="00B1011F" w14:paraId="4CE064B0" w14:textId="77777777" w:rsidTr="009C1CAF">
        <w:tc>
          <w:tcPr>
            <w:tcW w:w="616" w:type="pct"/>
            <w:vAlign w:val="center"/>
          </w:tcPr>
          <w:p w14:paraId="2F079980" w14:textId="77777777" w:rsidR="00C440A2" w:rsidRPr="00B1011F" w:rsidRDefault="00C440A2" w:rsidP="004F7504">
            <w:pPr>
              <w:pStyle w:val="TableText0"/>
              <w:keepLines/>
              <w:jc w:val="center"/>
            </w:pPr>
            <w:r w:rsidRPr="00391E5B">
              <w:t>6.34 (2.27)</w:t>
            </w:r>
          </w:p>
        </w:tc>
        <w:tc>
          <w:tcPr>
            <w:tcW w:w="615" w:type="pct"/>
            <w:vAlign w:val="center"/>
          </w:tcPr>
          <w:p w14:paraId="519887C2" w14:textId="77777777" w:rsidR="00C440A2" w:rsidRPr="00B1011F" w:rsidRDefault="00C440A2" w:rsidP="004F7504">
            <w:pPr>
              <w:pStyle w:val="TableText0"/>
              <w:keepLines/>
              <w:jc w:val="center"/>
            </w:pPr>
            <w:r w:rsidRPr="00391E5B">
              <w:t>-3.41 (3.76)</w:t>
            </w:r>
          </w:p>
        </w:tc>
        <w:tc>
          <w:tcPr>
            <w:tcW w:w="612" w:type="pct"/>
            <w:vAlign w:val="center"/>
          </w:tcPr>
          <w:p w14:paraId="639D0985" w14:textId="77777777" w:rsidR="00C440A2" w:rsidRPr="00B1011F" w:rsidRDefault="00C440A2" w:rsidP="004F7504">
            <w:pPr>
              <w:pStyle w:val="TableText0"/>
              <w:keepLines/>
              <w:jc w:val="center"/>
            </w:pPr>
            <w:r w:rsidRPr="00391E5B">
              <w:t>-2.75 (0.50)</w:t>
            </w:r>
          </w:p>
        </w:tc>
        <w:tc>
          <w:tcPr>
            <w:tcW w:w="658" w:type="pct"/>
            <w:vAlign w:val="center"/>
          </w:tcPr>
          <w:p w14:paraId="1A8330AD" w14:textId="77777777" w:rsidR="00C440A2" w:rsidRPr="00B1011F" w:rsidRDefault="00C440A2" w:rsidP="004F7504">
            <w:pPr>
              <w:pStyle w:val="TableText0"/>
              <w:keepLines/>
              <w:jc w:val="center"/>
            </w:pPr>
            <w:r w:rsidRPr="00C44F11">
              <w:t>5.91 (1.88)</w:t>
            </w:r>
          </w:p>
        </w:tc>
        <w:tc>
          <w:tcPr>
            <w:tcW w:w="659" w:type="pct"/>
            <w:vAlign w:val="center"/>
          </w:tcPr>
          <w:p w14:paraId="35EF0BE7" w14:textId="77777777" w:rsidR="00C440A2" w:rsidRPr="00B1011F" w:rsidRDefault="00C440A2" w:rsidP="004F7504">
            <w:pPr>
              <w:pStyle w:val="TableText0"/>
              <w:keepLines/>
              <w:jc w:val="center"/>
            </w:pPr>
            <w:r w:rsidRPr="00C44F11">
              <w:t>-0.93 (3.31)</w:t>
            </w:r>
          </w:p>
        </w:tc>
        <w:tc>
          <w:tcPr>
            <w:tcW w:w="628" w:type="pct"/>
            <w:vAlign w:val="center"/>
          </w:tcPr>
          <w:p w14:paraId="2EA87975" w14:textId="77777777" w:rsidR="00C440A2" w:rsidRPr="00B1011F" w:rsidRDefault="00C440A2" w:rsidP="004F7504">
            <w:pPr>
              <w:pStyle w:val="TableText0"/>
              <w:keepLines/>
              <w:jc w:val="center"/>
            </w:pPr>
            <w:r w:rsidRPr="00C44F11">
              <w:t>-0.96 (0.49)</w:t>
            </w:r>
          </w:p>
        </w:tc>
        <w:tc>
          <w:tcPr>
            <w:tcW w:w="772" w:type="pct"/>
            <w:vAlign w:val="center"/>
          </w:tcPr>
          <w:p w14:paraId="10483D7F" w14:textId="77777777" w:rsidR="00C440A2" w:rsidRPr="00B1011F" w:rsidRDefault="00C440A2" w:rsidP="004F7504">
            <w:pPr>
              <w:pStyle w:val="TableText0"/>
              <w:keepLines/>
              <w:jc w:val="center"/>
            </w:pPr>
          </w:p>
        </w:tc>
        <w:tc>
          <w:tcPr>
            <w:tcW w:w="440" w:type="pct"/>
            <w:vAlign w:val="center"/>
          </w:tcPr>
          <w:p w14:paraId="3E6BE942" w14:textId="77777777" w:rsidR="00C440A2" w:rsidRPr="00BD1CA4" w:rsidRDefault="00C440A2" w:rsidP="004F7504">
            <w:pPr>
              <w:pStyle w:val="TableText0"/>
              <w:keepLines/>
              <w:jc w:val="center"/>
              <w:rPr>
                <w:b/>
                <w:bCs w:val="0"/>
              </w:rPr>
            </w:pPr>
          </w:p>
        </w:tc>
      </w:tr>
      <w:tr w:rsidR="00B45F0E" w:rsidRPr="00B1011F" w14:paraId="2B9C1AA1" w14:textId="77777777" w:rsidTr="009C1CAF">
        <w:tc>
          <w:tcPr>
            <w:tcW w:w="3788" w:type="pct"/>
            <w:gridSpan w:val="6"/>
            <w:vAlign w:val="center"/>
          </w:tcPr>
          <w:p w14:paraId="57839A5D" w14:textId="69AEC4BE" w:rsidR="00C440A2" w:rsidRPr="00BD1CA4" w:rsidRDefault="00C440A2" w:rsidP="004F7504">
            <w:pPr>
              <w:pStyle w:val="TableText0"/>
              <w:keepLines/>
              <w:rPr>
                <w:b/>
                <w:bCs w:val="0"/>
              </w:rPr>
            </w:pPr>
            <w:r w:rsidRPr="007E1E44">
              <w:rPr>
                <w:b/>
                <w:bCs w:val="0"/>
                <w:szCs w:val="20"/>
              </w:rPr>
              <w:t>MDS-UPDRS Part II score</w:t>
            </w:r>
          </w:p>
        </w:tc>
        <w:tc>
          <w:tcPr>
            <w:tcW w:w="772" w:type="pct"/>
            <w:vAlign w:val="center"/>
          </w:tcPr>
          <w:p w14:paraId="6EC5C73C" w14:textId="77777777" w:rsidR="00C440A2" w:rsidRPr="00BD1CA4" w:rsidRDefault="00C440A2" w:rsidP="004F7504">
            <w:pPr>
              <w:pStyle w:val="TableText0"/>
              <w:keepLines/>
              <w:jc w:val="center"/>
              <w:rPr>
                <w:b/>
                <w:bCs w:val="0"/>
              </w:rPr>
            </w:pPr>
            <w:r w:rsidRPr="00AB7A81">
              <w:t>-1.58 (1.05)</w:t>
            </w:r>
          </w:p>
        </w:tc>
        <w:tc>
          <w:tcPr>
            <w:tcW w:w="440" w:type="pct"/>
            <w:vAlign w:val="center"/>
          </w:tcPr>
          <w:p w14:paraId="347946C1" w14:textId="77777777" w:rsidR="00C440A2" w:rsidRPr="00BD1CA4" w:rsidRDefault="00C440A2" w:rsidP="004F7504">
            <w:pPr>
              <w:pStyle w:val="TableText0"/>
              <w:keepLines/>
              <w:jc w:val="center"/>
              <w:rPr>
                <w:b/>
                <w:bCs w:val="0"/>
              </w:rPr>
            </w:pPr>
            <w:r w:rsidRPr="00AB7A81">
              <w:t>0.1318</w:t>
            </w:r>
          </w:p>
        </w:tc>
      </w:tr>
      <w:tr w:rsidR="00B45F0E" w:rsidRPr="00B1011F" w14:paraId="66849A20" w14:textId="77777777" w:rsidTr="009C1CAF">
        <w:tc>
          <w:tcPr>
            <w:tcW w:w="616" w:type="pct"/>
            <w:vAlign w:val="center"/>
          </w:tcPr>
          <w:p w14:paraId="1EB65507" w14:textId="77777777" w:rsidR="00C440A2" w:rsidRPr="00B1011F" w:rsidRDefault="00C440A2" w:rsidP="004F7504">
            <w:pPr>
              <w:pStyle w:val="TableText0"/>
              <w:keepLines/>
              <w:jc w:val="center"/>
            </w:pPr>
            <w:r w:rsidRPr="009A5FFC">
              <w:t>15.31 (6.93)</w:t>
            </w:r>
          </w:p>
        </w:tc>
        <w:tc>
          <w:tcPr>
            <w:tcW w:w="615" w:type="pct"/>
            <w:vAlign w:val="center"/>
          </w:tcPr>
          <w:p w14:paraId="53E8AC68" w14:textId="77777777" w:rsidR="00C440A2" w:rsidRPr="00B1011F" w:rsidRDefault="00C440A2" w:rsidP="004F7504">
            <w:pPr>
              <w:pStyle w:val="TableText0"/>
              <w:keepLines/>
              <w:jc w:val="center"/>
            </w:pPr>
            <w:r w:rsidRPr="009A5FFC">
              <w:t>-3.76 (6.98)</w:t>
            </w:r>
          </w:p>
        </w:tc>
        <w:tc>
          <w:tcPr>
            <w:tcW w:w="612" w:type="pct"/>
            <w:vAlign w:val="center"/>
          </w:tcPr>
          <w:p w14:paraId="202AFAD5" w14:textId="77777777" w:rsidR="00C440A2" w:rsidRPr="00B1011F" w:rsidRDefault="00C440A2" w:rsidP="004F7504">
            <w:pPr>
              <w:pStyle w:val="TableText0"/>
              <w:keepLines/>
              <w:jc w:val="center"/>
            </w:pPr>
            <w:r w:rsidRPr="009A5FFC">
              <w:t>-2.65 (0.82)</w:t>
            </w:r>
          </w:p>
        </w:tc>
        <w:tc>
          <w:tcPr>
            <w:tcW w:w="658" w:type="pct"/>
            <w:vAlign w:val="center"/>
          </w:tcPr>
          <w:p w14:paraId="2BE58A2F" w14:textId="77777777" w:rsidR="00C440A2" w:rsidRPr="00B1011F" w:rsidRDefault="00C440A2" w:rsidP="004F7504">
            <w:pPr>
              <w:pStyle w:val="TableText0"/>
              <w:keepLines/>
              <w:jc w:val="center"/>
            </w:pPr>
            <w:r w:rsidRPr="00ED1B38">
              <w:t>13.27 (6.37)</w:t>
            </w:r>
          </w:p>
        </w:tc>
        <w:tc>
          <w:tcPr>
            <w:tcW w:w="659" w:type="pct"/>
            <w:vAlign w:val="center"/>
          </w:tcPr>
          <w:p w14:paraId="1FF2E785" w14:textId="77777777" w:rsidR="00C440A2" w:rsidRPr="00B1011F" w:rsidRDefault="00C440A2" w:rsidP="004F7504">
            <w:pPr>
              <w:pStyle w:val="TableText0"/>
              <w:keepLines/>
              <w:jc w:val="center"/>
            </w:pPr>
            <w:r w:rsidRPr="00ED1B38">
              <w:t>-0.48 (4.91)</w:t>
            </w:r>
          </w:p>
        </w:tc>
        <w:tc>
          <w:tcPr>
            <w:tcW w:w="628" w:type="pct"/>
            <w:vAlign w:val="center"/>
          </w:tcPr>
          <w:p w14:paraId="44A8A6DE" w14:textId="77777777" w:rsidR="00C440A2" w:rsidRPr="00B1011F" w:rsidRDefault="00C440A2" w:rsidP="004F7504">
            <w:pPr>
              <w:pStyle w:val="TableText0"/>
              <w:keepLines/>
              <w:jc w:val="center"/>
            </w:pPr>
            <w:r w:rsidRPr="00ED1B38">
              <w:t>-1.06 (0.79)</w:t>
            </w:r>
          </w:p>
        </w:tc>
        <w:tc>
          <w:tcPr>
            <w:tcW w:w="772" w:type="pct"/>
            <w:vAlign w:val="center"/>
          </w:tcPr>
          <w:p w14:paraId="15166C6A" w14:textId="77777777" w:rsidR="00C440A2" w:rsidRPr="00B1011F" w:rsidRDefault="00C440A2" w:rsidP="004F7504">
            <w:pPr>
              <w:pStyle w:val="TableText0"/>
              <w:keepLines/>
              <w:jc w:val="center"/>
            </w:pPr>
          </w:p>
        </w:tc>
        <w:tc>
          <w:tcPr>
            <w:tcW w:w="440" w:type="pct"/>
            <w:vAlign w:val="center"/>
          </w:tcPr>
          <w:p w14:paraId="1849E937" w14:textId="77777777" w:rsidR="00C440A2" w:rsidRPr="00B1011F" w:rsidRDefault="00C440A2" w:rsidP="004F7504">
            <w:pPr>
              <w:pStyle w:val="TableText0"/>
              <w:keepLines/>
              <w:jc w:val="center"/>
            </w:pPr>
          </w:p>
        </w:tc>
      </w:tr>
      <w:tr w:rsidR="00B45F0E" w:rsidRPr="00B1011F" w14:paraId="7105704C" w14:textId="77777777" w:rsidTr="009C1CAF">
        <w:tc>
          <w:tcPr>
            <w:tcW w:w="3788" w:type="pct"/>
            <w:gridSpan w:val="6"/>
            <w:vAlign w:val="center"/>
          </w:tcPr>
          <w:p w14:paraId="0819B1D8" w14:textId="77777777" w:rsidR="00C440A2" w:rsidRPr="00AB7A81" w:rsidRDefault="00C440A2" w:rsidP="004F7504">
            <w:pPr>
              <w:pStyle w:val="TableText0"/>
              <w:keepLines/>
            </w:pPr>
            <w:r w:rsidRPr="007E1E44">
              <w:rPr>
                <w:b/>
                <w:bCs w:val="0"/>
                <w:szCs w:val="20"/>
              </w:rPr>
              <w:t>PDQ-39 score</w:t>
            </w:r>
          </w:p>
        </w:tc>
        <w:tc>
          <w:tcPr>
            <w:tcW w:w="772" w:type="pct"/>
            <w:vAlign w:val="center"/>
          </w:tcPr>
          <w:p w14:paraId="5CC85461" w14:textId="77777777" w:rsidR="00C440A2" w:rsidRPr="00AB7A81" w:rsidRDefault="00C440A2" w:rsidP="004F7504">
            <w:pPr>
              <w:pStyle w:val="TableText0"/>
              <w:keepLines/>
              <w:jc w:val="center"/>
            </w:pPr>
            <w:r w:rsidRPr="00C42B1E">
              <w:t>-4.10 (2.04)</w:t>
            </w:r>
          </w:p>
        </w:tc>
        <w:tc>
          <w:tcPr>
            <w:tcW w:w="440" w:type="pct"/>
            <w:vAlign w:val="center"/>
          </w:tcPr>
          <w:p w14:paraId="0C59EDD3" w14:textId="77777777" w:rsidR="00C440A2" w:rsidRPr="00AB7A81" w:rsidRDefault="00C440A2" w:rsidP="004F7504">
            <w:pPr>
              <w:pStyle w:val="TableText0"/>
              <w:keepLines/>
              <w:jc w:val="center"/>
            </w:pPr>
            <w:r w:rsidRPr="0093137C">
              <w:rPr>
                <w:b/>
                <w:bCs w:val="0"/>
              </w:rPr>
              <w:t>0.0470</w:t>
            </w:r>
          </w:p>
        </w:tc>
      </w:tr>
      <w:tr w:rsidR="00B45F0E" w:rsidRPr="00B1011F" w14:paraId="4670F3EB" w14:textId="77777777" w:rsidTr="009C1CAF">
        <w:tc>
          <w:tcPr>
            <w:tcW w:w="616" w:type="pct"/>
            <w:vAlign w:val="center"/>
          </w:tcPr>
          <w:p w14:paraId="78B1F9BC" w14:textId="77777777" w:rsidR="00C440A2" w:rsidRPr="009A5FFC" w:rsidRDefault="00C440A2" w:rsidP="004F7504">
            <w:pPr>
              <w:pStyle w:val="TableText0"/>
              <w:keepLines/>
              <w:jc w:val="center"/>
            </w:pPr>
            <w:r w:rsidRPr="00541614">
              <w:t>29.31 (15.84)</w:t>
            </w:r>
          </w:p>
        </w:tc>
        <w:tc>
          <w:tcPr>
            <w:tcW w:w="615" w:type="pct"/>
            <w:vAlign w:val="center"/>
          </w:tcPr>
          <w:p w14:paraId="5EC69150" w14:textId="77777777" w:rsidR="00C440A2" w:rsidRPr="009A5FFC" w:rsidRDefault="00C440A2" w:rsidP="004F7504">
            <w:pPr>
              <w:pStyle w:val="TableText0"/>
              <w:keepLines/>
              <w:jc w:val="center"/>
            </w:pPr>
            <w:r w:rsidRPr="00541614">
              <w:t>-5.66 (13.71)</w:t>
            </w:r>
          </w:p>
        </w:tc>
        <w:tc>
          <w:tcPr>
            <w:tcW w:w="612" w:type="pct"/>
            <w:vAlign w:val="center"/>
          </w:tcPr>
          <w:p w14:paraId="02C1992F" w14:textId="77777777" w:rsidR="00C440A2" w:rsidRPr="009A5FFC" w:rsidRDefault="00C440A2" w:rsidP="004F7504">
            <w:pPr>
              <w:pStyle w:val="TableText0"/>
              <w:keepLines/>
              <w:jc w:val="center"/>
            </w:pPr>
            <w:r w:rsidRPr="00541614">
              <w:t>-6.38 (1.83)</w:t>
            </w:r>
          </w:p>
        </w:tc>
        <w:tc>
          <w:tcPr>
            <w:tcW w:w="658" w:type="pct"/>
            <w:vAlign w:val="center"/>
          </w:tcPr>
          <w:p w14:paraId="581E61DC" w14:textId="77777777" w:rsidR="00C440A2" w:rsidRPr="00ED1B38" w:rsidRDefault="00C440A2" w:rsidP="004F7504">
            <w:pPr>
              <w:pStyle w:val="TableText0"/>
              <w:keepLines/>
              <w:jc w:val="center"/>
            </w:pPr>
            <w:r w:rsidRPr="00AA1BCA">
              <w:t>26.52 (13.89)</w:t>
            </w:r>
          </w:p>
        </w:tc>
        <w:tc>
          <w:tcPr>
            <w:tcW w:w="659" w:type="pct"/>
            <w:vAlign w:val="center"/>
          </w:tcPr>
          <w:p w14:paraId="209D2133" w14:textId="77777777" w:rsidR="00C440A2" w:rsidRPr="00ED1B38" w:rsidRDefault="00C440A2" w:rsidP="004F7504">
            <w:pPr>
              <w:pStyle w:val="TableText0"/>
              <w:keepLines/>
              <w:jc w:val="center"/>
            </w:pPr>
            <w:r w:rsidRPr="00AA1BCA">
              <w:t>-0.57 (8.79)</w:t>
            </w:r>
          </w:p>
        </w:tc>
        <w:tc>
          <w:tcPr>
            <w:tcW w:w="628" w:type="pct"/>
            <w:vAlign w:val="center"/>
          </w:tcPr>
          <w:p w14:paraId="470F57B3" w14:textId="77777777" w:rsidR="00C440A2" w:rsidRPr="00ED1B38" w:rsidRDefault="00C440A2" w:rsidP="004F7504">
            <w:pPr>
              <w:pStyle w:val="TableText0"/>
              <w:keepLines/>
              <w:jc w:val="center"/>
            </w:pPr>
            <w:r w:rsidRPr="00AA1BCA">
              <w:t>-2.28 (1.75)</w:t>
            </w:r>
          </w:p>
        </w:tc>
        <w:tc>
          <w:tcPr>
            <w:tcW w:w="772" w:type="pct"/>
            <w:vAlign w:val="center"/>
          </w:tcPr>
          <w:p w14:paraId="32A45461" w14:textId="77777777" w:rsidR="00C440A2" w:rsidRPr="00AB7A81" w:rsidRDefault="00C440A2" w:rsidP="004F7504">
            <w:pPr>
              <w:pStyle w:val="TableText0"/>
              <w:keepLines/>
              <w:jc w:val="center"/>
            </w:pPr>
          </w:p>
        </w:tc>
        <w:tc>
          <w:tcPr>
            <w:tcW w:w="440" w:type="pct"/>
            <w:vAlign w:val="center"/>
          </w:tcPr>
          <w:p w14:paraId="6545EBB9" w14:textId="77777777" w:rsidR="00C440A2" w:rsidRPr="0093137C" w:rsidRDefault="00C440A2" w:rsidP="004F7504">
            <w:pPr>
              <w:pStyle w:val="TableText0"/>
              <w:keepLines/>
              <w:jc w:val="center"/>
              <w:rPr>
                <w:b/>
                <w:bCs w:val="0"/>
              </w:rPr>
            </w:pPr>
          </w:p>
        </w:tc>
      </w:tr>
    </w:tbl>
    <w:bookmarkEnd w:id="26"/>
    <w:p w14:paraId="764A64CC" w14:textId="6DF8C0A2" w:rsidR="00C440A2" w:rsidRPr="00B1011F" w:rsidRDefault="00C440A2" w:rsidP="004F7504">
      <w:pPr>
        <w:pStyle w:val="FooterTableFigure"/>
        <w:keepNext/>
        <w:keepLines/>
        <w:rPr>
          <w:sz w:val="20"/>
        </w:rPr>
      </w:pPr>
      <w:r>
        <w:t xml:space="preserve">Source: Table 2-17, p79 and </w:t>
      </w:r>
      <w:r w:rsidR="00B45F0E">
        <w:t>T</w:t>
      </w:r>
      <w:r>
        <w:t xml:space="preserve">able 2-18, p80 </w:t>
      </w:r>
      <w:r w:rsidRPr="00D13A3E">
        <w:t xml:space="preserve">of the </w:t>
      </w:r>
      <w:r>
        <w:t>submission.</w:t>
      </w:r>
    </w:p>
    <w:p w14:paraId="1F09CB91" w14:textId="6CC48914" w:rsidR="00C440A2" w:rsidRDefault="008C08BD" w:rsidP="004F7504">
      <w:pPr>
        <w:pStyle w:val="FooterTableFigure"/>
        <w:keepNext/>
        <w:keepLines/>
      </w:pPr>
      <w:r>
        <w:t xml:space="preserve">Abbreviations: </w:t>
      </w:r>
      <w:r w:rsidR="00C440A2">
        <w:t>FosLD/FosCD = Foslevodopa/foscarbidopa; LD/CD = levodopa/carbidopa; LS = least squares; MDS = Movement Disorder Society; PDQ = Parkinson’s disease questionnaire;</w:t>
      </w:r>
      <w:r w:rsidR="00C440A2" w:rsidRPr="00B40358">
        <w:t xml:space="preserve"> SD = standard deviation</w:t>
      </w:r>
      <w:r w:rsidR="00C440A2">
        <w:t>; SE = standard error; UPDRS = unified Parkinson’s disease rating scale.</w:t>
      </w:r>
    </w:p>
    <w:p w14:paraId="55D32B0D" w14:textId="591B6296" w:rsidR="00C440A2" w:rsidRDefault="00C440A2" w:rsidP="004F7504">
      <w:pPr>
        <w:pStyle w:val="FooterTableFigure"/>
        <w:keepNext/>
        <w:keepLines/>
      </w:pPr>
      <w:r w:rsidRPr="00AF30D8">
        <w:t>Bold</w:t>
      </w:r>
      <w:r>
        <w:t xml:space="preserve"> = statistically significant.</w:t>
      </w:r>
    </w:p>
    <w:p w14:paraId="0AA20A0F" w14:textId="5D4DAD8F" w:rsidR="0023584D" w:rsidRDefault="009905F8" w:rsidP="004F7504">
      <w:pPr>
        <w:pStyle w:val="FooterTableFigure"/>
        <w:keepNext/>
        <w:keepLines/>
      </w:pPr>
      <w:r>
        <w:t>The MDS-UPDRS part II score ranges from 0 – 52 with higher scores indicating more severe impairment</w:t>
      </w:r>
      <w:r w:rsidR="003C4C57">
        <w:t>.</w:t>
      </w:r>
    </w:p>
    <w:p w14:paraId="4BBF84EE" w14:textId="2D1E0C0C" w:rsidR="009905F8" w:rsidRPr="002B008E" w:rsidRDefault="009905F8" w:rsidP="00C440A2">
      <w:pPr>
        <w:pStyle w:val="FooterTableFigure"/>
      </w:pPr>
      <w:r>
        <w:t>The PDQ-39 score ranges from 0 – 100 with higher scores associated with more severe disease symptoms.</w:t>
      </w:r>
    </w:p>
    <w:p w14:paraId="64380155" w14:textId="6AE7DFC9" w:rsidR="00E967E8" w:rsidRDefault="009223C3" w:rsidP="003945B8">
      <w:pPr>
        <w:pStyle w:val="3-BodyText"/>
      </w:pPr>
      <w:r>
        <w:t xml:space="preserve">The submission proposed </w:t>
      </w:r>
      <w:r w:rsidR="006E6BBC">
        <w:t>minimal clinically important differences (</w:t>
      </w:r>
      <w:r w:rsidR="003E7C75">
        <w:t>MCIDs</w:t>
      </w:r>
      <w:r w:rsidR="006E6BBC">
        <w:t>)</w:t>
      </w:r>
      <w:r w:rsidR="003E7C75">
        <w:t xml:space="preserve"> for </w:t>
      </w:r>
      <w:r w:rsidR="00DD70F6">
        <w:t>‘Off-time’</w:t>
      </w:r>
      <w:r w:rsidR="003E7C75">
        <w:t>, MDS-UPDRS, and PDQ-39. These are summarised in</w:t>
      </w:r>
      <w:r w:rsidR="006E6BBC">
        <w:t xml:space="preserve"> </w:t>
      </w:r>
      <w:r w:rsidR="006E6BBC">
        <w:fldChar w:fldCharType="begin"/>
      </w:r>
      <w:r w:rsidR="006E6BBC">
        <w:instrText xml:space="preserve"> REF _Ref134451329 \h </w:instrText>
      </w:r>
      <w:r w:rsidR="006E6BBC">
        <w:fldChar w:fldCharType="separate"/>
      </w:r>
      <w:r w:rsidR="0043339D">
        <w:t xml:space="preserve">Table </w:t>
      </w:r>
      <w:r w:rsidR="0043339D">
        <w:rPr>
          <w:noProof/>
        </w:rPr>
        <w:t>5</w:t>
      </w:r>
      <w:r w:rsidR="006E6BBC">
        <w:fldChar w:fldCharType="end"/>
      </w:r>
      <w:r w:rsidR="006E6BBC">
        <w:t>.</w:t>
      </w:r>
    </w:p>
    <w:p w14:paraId="273108F7" w14:textId="4D555DB1" w:rsidR="003E7C75" w:rsidRDefault="003E7C75" w:rsidP="003E7C75">
      <w:pPr>
        <w:pStyle w:val="Caption"/>
      </w:pPr>
      <w:bookmarkStart w:id="27" w:name="_Ref134451329"/>
      <w:r>
        <w:t xml:space="preserve">Table </w:t>
      </w:r>
      <w:r w:rsidR="000A217C">
        <w:fldChar w:fldCharType="begin"/>
      </w:r>
      <w:r w:rsidR="000A217C">
        <w:instrText xml:space="preserve"> SEQ Table \* ARABIC </w:instrText>
      </w:r>
      <w:r w:rsidR="000A217C">
        <w:fldChar w:fldCharType="separate"/>
      </w:r>
      <w:r w:rsidR="0043339D">
        <w:rPr>
          <w:noProof/>
        </w:rPr>
        <w:t>5</w:t>
      </w:r>
      <w:r w:rsidR="000A217C">
        <w:rPr>
          <w:noProof/>
        </w:rPr>
        <w:fldChar w:fldCharType="end"/>
      </w:r>
      <w:bookmarkEnd w:id="27"/>
      <w:r>
        <w:t xml:space="preserve">: </w:t>
      </w:r>
      <w:r w:rsidRPr="006563D8">
        <w:t xml:space="preserve">Details of minimal clinically important differences (MCID) </w:t>
      </w:r>
      <w:r>
        <w:t>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791"/>
        <w:gridCol w:w="3511"/>
      </w:tblGrid>
      <w:tr w:rsidR="00AD2D84" w:rsidRPr="003E7C75" w14:paraId="67DC3AB8" w14:textId="77777777" w:rsidTr="00AD2D84">
        <w:trPr>
          <w:tblHeader/>
        </w:trPr>
        <w:tc>
          <w:tcPr>
            <w:tcW w:w="1697" w:type="dxa"/>
            <w:shd w:val="clear" w:color="auto" w:fill="auto"/>
          </w:tcPr>
          <w:p w14:paraId="1F31B5B0" w14:textId="77777777" w:rsidR="003E7C75" w:rsidRPr="003E7C75" w:rsidRDefault="003E7C75" w:rsidP="003E7C75">
            <w:pPr>
              <w:pStyle w:val="TableText0"/>
              <w:rPr>
                <w:b/>
              </w:rPr>
            </w:pPr>
            <w:r w:rsidRPr="003E7C75">
              <w:rPr>
                <w:b/>
              </w:rPr>
              <w:t>Outcome</w:t>
            </w:r>
          </w:p>
        </w:tc>
        <w:tc>
          <w:tcPr>
            <w:tcW w:w="3753" w:type="dxa"/>
            <w:shd w:val="clear" w:color="auto" w:fill="auto"/>
          </w:tcPr>
          <w:p w14:paraId="5113EAA1" w14:textId="77777777" w:rsidR="003E7C75" w:rsidRPr="003E7C75" w:rsidRDefault="003E7C75" w:rsidP="003E7C75">
            <w:pPr>
              <w:pStyle w:val="TableText0"/>
              <w:rPr>
                <w:b/>
              </w:rPr>
            </w:pPr>
            <w:r w:rsidRPr="003E7C75">
              <w:rPr>
                <w:b/>
              </w:rPr>
              <w:t>Proposed MCID (change from baseline)</w:t>
            </w:r>
          </w:p>
        </w:tc>
        <w:tc>
          <w:tcPr>
            <w:tcW w:w="3476" w:type="dxa"/>
          </w:tcPr>
          <w:p w14:paraId="041D01D7" w14:textId="1FCB9941" w:rsidR="003E7C75" w:rsidRPr="003E7C75" w:rsidRDefault="003E7C75" w:rsidP="003E7C75">
            <w:pPr>
              <w:pStyle w:val="TableText0"/>
              <w:rPr>
                <w:b/>
              </w:rPr>
            </w:pPr>
            <w:r w:rsidRPr="003E7C75">
              <w:rPr>
                <w:b/>
              </w:rPr>
              <w:t>Source</w:t>
            </w:r>
            <w:r>
              <w:rPr>
                <w:b/>
              </w:rPr>
              <w:t xml:space="preserve"> in submission</w:t>
            </w:r>
          </w:p>
        </w:tc>
      </w:tr>
      <w:tr w:rsidR="00AD2D84" w:rsidRPr="003E7C75" w14:paraId="21F83942" w14:textId="77777777" w:rsidTr="00AD2D84">
        <w:tc>
          <w:tcPr>
            <w:tcW w:w="1697" w:type="dxa"/>
          </w:tcPr>
          <w:p w14:paraId="06C585BB" w14:textId="0A12ADF4" w:rsidR="003E7C75" w:rsidRPr="003E7C75" w:rsidRDefault="00DD70F6" w:rsidP="003E7C75">
            <w:pPr>
              <w:pStyle w:val="TableText0"/>
            </w:pPr>
            <w:r>
              <w:t>‘Off-time’</w:t>
            </w:r>
            <w:r w:rsidR="003E7C75" w:rsidRPr="003E7C75">
              <w:t xml:space="preserve"> per day</w:t>
            </w:r>
          </w:p>
        </w:tc>
        <w:tc>
          <w:tcPr>
            <w:tcW w:w="3753" w:type="dxa"/>
          </w:tcPr>
          <w:p w14:paraId="62A80516" w14:textId="77777777" w:rsidR="003E7C75" w:rsidRPr="003E7C75" w:rsidRDefault="003E7C75" w:rsidP="003E7C75">
            <w:pPr>
              <w:pStyle w:val="TableText0"/>
            </w:pPr>
            <w:r w:rsidRPr="003E7C75">
              <w:t>-1.3 hours</w:t>
            </w:r>
          </w:p>
          <w:p w14:paraId="62D818FF" w14:textId="77777777" w:rsidR="003E7C75" w:rsidRPr="003E7C75" w:rsidRDefault="003E7C75" w:rsidP="003E7C75">
            <w:pPr>
              <w:pStyle w:val="TableText0"/>
            </w:pPr>
            <w:r w:rsidRPr="003E7C75">
              <w:t>MCID was calculated as the mean change in patients who received active treatment and rated themselves “a little better” on patient global impression of improvement</w:t>
            </w:r>
          </w:p>
        </w:tc>
        <w:tc>
          <w:tcPr>
            <w:tcW w:w="3476" w:type="dxa"/>
          </w:tcPr>
          <w:p w14:paraId="1743E015" w14:textId="26E9DCAF" w:rsidR="003E7C75" w:rsidRPr="003E7C75" w:rsidRDefault="003E7C75" w:rsidP="003E7C75">
            <w:pPr>
              <w:pStyle w:val="TableText0"/>
            </w:pPr>
            <w:r w:rsidRPr="003E7C75">
              <w:t xml:space="preserve">Hauser et al (2014). Minimal </w:t>
            </w:r>
            <w:r w:rsidR="00AD2D84">
              <w:t>c</w:t>
            </w:r>
            <w:r w:rsidRPr="003E7C75">
              <w:t xml:space="preserve">linically </w:t>
            </w:r>
            <w:r w:rsidR="00AD2D84">
              <w:t>i</w:t>
            </w:r>
            <w:r w:rsidRPr="003E7C75">
              <w:t xml:space="preserve">mportant </w:t>
            </w:r>
            <w:r w:rsidR="00AD2D84">
              <w:t>d</w:t>
            </w:r>
            <w:r w:rsidRPr="003E7C75">
              <w:t xml:space="preserve">ifference in Parkinson's </w:t>
            </w:r>
            <w:r w:rsidR="00AD2D84">
              <w:t>d</w:t>
            </w:r>
            <w:r w:rsidRPr="003E7C75">
              <w:t xml:space="preserve">isease as </w:t>
            </w:r>
            <w:r w:rsidR="00AD2D84">
              <w:t>a</w:t>
            </w:r>
            <w:r w:rsidRPr="003E7C75">
              <w:t xml:space="preserve">ssessed in </w:t>
            </w:r>
            <w:r w:rsidR="00AD2D84">
              <w:t>p</w:t>
            </w:r>
            <w:r w:rsidRPr="003E7C75">
              <w:t xml:space="preserve">ivotal </w:t>
            </w:r>
            <w:r w:rsidR="00AD2D84">
              <w:t>t</w:t>
            </w:r>
            <w:r w:rsidRPr="003E7C75">
              <w:t xml:space="preserve">rials of </w:t>
            </w:r>
            <w:r w:rsidR="00AD2D84">
              <w:t>p</w:t>
            </w:r>
            <w:r w:rsidRPr="003E7C75">
              <w:t xml:space="preserve">ramipexole </w:t>
            </w:r>
            <w:r w:rsidR="00AD2D84">
              <w:t>e</w:t>
            </w:r>
            <w:r w:rsidRPr="003E7C75">
              <w:t xml:space="preserve">xtended </w:t>
            </w:r>
            <w:r w:rsidR="00AD2D84">
              <w:t>r</w:t>
            </w:r>
            <w:r w:rsidRPr="003E7C75">
              <w:t xml:space="preserve">elease. </w:t>
            </w:r>
            <w:r w:rsidRPr="00B42BBE">
              <w:t>Parkinsons Dis</w:t>
            </w:r>
            <w:r w:rsidRPr="003E7C75">
              <w:t xml:space="preserve"> 2014</w:t>
            </w:r>
            <w:r w:rsidR="00AD2D84">
              <w:t xml:space="preserve">; </w:t>
            </w:r>
            <w:r w:rsidR="00AD2D84" w:rsidRPr="00AD2D84">
              <w:rPr>
                <w:rFonts w:cs="Segoe UI"/>
                <w:bCs w:val="0"/>
                <w:shd w:val="clear" w:color="auto" w:fill="FFFFFF"/>
              </w:rPr>
              <w:t>doi:</w:t>
            </w:r>
            <w:r w:rsidR="00AD2D84">
              <w:rPr>
                <w:rFonts w:cs="Segoe UI"/>
                <w:bCs w:val="0"/>
                <w:shd w:val="clear" w:color="auto" w:fill="FFFFFF"/>
              </w:rPr>
              <w:t xml:space="preserve"> </w:t>
            </w:r>
            <w:r w:rsidR="00AD2D84" w:rsidRPr="00AD2D84">
              <w:rPr>
                <w:rFonts w:cs="Segoe UI"/>
                <w:bCs w:val="0"/>
                <w:shd w:val="clear" w:color="auto" w:fill="FFFFFF"/>
              </w:rPr>
              <w:t>10.1155/2014/467131</w:t>
            </w:r>
          </w:p>
        </w:tc>
      </w:tr>
      <w:tr w:rsidR="00AD2D84" w:rsidRPr="003E7C75" w14:paraId="50A70C31" w14:textId="77777777" w:rsidTr="00AD2D84">
        <w:tc>
          <w:tcPr>
            <w:tcW w:w="1697" w:type="dxa"/>
          </w:tcPr>
          <w:p w14:paraId="4AB95239" w14:textId="04501594" w:rsidR="003E7C75" w:rsidRPr="003E7C75" w:rsidRDefault="00556F4D" w:rsidP="003E7C75">
            <w:pPr>
              <w:pStyle w:val="TableText0"/>
            </w:pPr>
            <w:r>
              <w:t>UPDRS</w:t>
            </w:r>
            <w:r w:rsidR="00C72189">
              <w:t xml:space="preserve"> Part II and </w:t>
            </w:r>
            <w:r>
              <w:t>MDS-</w:t>
            </w:r>
            <w:r w:rsidR="003E7C75" w:rsidRPr="003E7C75">
              <w:t>UPDRS Part II</w:t>
            </w:r>
          </w:p>
          <w:p w14:paraId="429425DB" w14:textId="77777777" w:rsidR="003E7C75" w:rsidRPr="003E7C75" w:rsidRDefault="003E7C75" w:rsidP="003E7C75">
            <w:pPr>
              <w:pStyle w:val="TableText0"/>
            </w:pPr>
          </w:p>
        </w:tc>
        <w:tc>
          <w:tcPr>
            <w:tcW w:w="3753" w:type="dxa"/>
          </w:tcPr>
          <w:p w14:paraId="487D1188" w14:textId="77777777" w:rsidR="003E7C75" w:rsidRPr="003E7C75" w:rsidRDefault="003E7C75" w:rsidP="003E7C75">
            <w:pPr>
              <w:pStyle w:val="TableText0"/>
            </w:pPr>
            <w:r w:rsidRPr="003E7C75">
              <w:t>-2.3</w:t>
            </w:r>
          </w:p>
          <w:p w14:paraId="0116797C" w14:textId="77777777" w:rsidR="003E7C75" w:rsidRPr="003E7C75" w:rsidRDefault="003E7C75" w:rsidP="003E7C75">
            <w:pPr>
              <w:pStyle w:val="TableText0"/>
            </w:pPr>
            <w:r w:rsidRPr="003E7C75">
              <w:t>MCID was calculated as the mean change in patients who received active treatment and rated themselves “a little better” on patient global impression of improvement</w:t>
            </w:r>
          </w:p>
        </w:tc>
        <w:tc>
          <w:tcPr>
            <w:tcW w:w="3476" w:type="dxa"/>
          </w:tcPr>
          <w:p w14:paraId="563F2CD0" w14:textId="45D823F7" w:rsidR="003E7C75" w:rsidRPr="003E7C75" w:rsidRDefault="003E7C75" w:rsidP="003E7C75">
            <w:pPr>
              <w:pStyle w:val="TableText0"/>
            </w:pPr>
            <w:r w:rsidRPr="003E7C75">
              <w:t xml:space="preserve">Hauser </w:t>
            </w:r>
            <w:r w:rsidR="008534D2">
              <w:t xml:space="preserve">et al </w:t>
            </w:r>
            <w:r w:rsidRPr="003E7C75">
              <w:t>(2014) as above</w:t>
            </w:r>
          </w:p>
        </w:tc>
      </w:tr>
      <w:tr w:rsidR="00AD2D84" w:rsidRPr="003E7C75" w14:paraId="65B1F8F2" w14:textId="77777777" w:rsidTr="00AD2D84">
        <w:tc>
          <w:tcPr>
            <w:tcW w:w="1697" w:type="dxa"/>
          </w:tcPr>
          <w:p w14:paraId="338B96EF" w14:textId="77777777" w:rsidR="003E7C75" w:rsidRPr="003E7C75" w:rsidRDefault="003E7C75" w:rsidP="003E7C75">
            <w:pPr>
              <w:pStyle w:val="TableText0"/>
            </w:pPr>
            <w:r w:rsidRPr="003E7C75">
              <w:t>PDQ-39</w:t>
            </w:r>
          </w:p>
        </w:tc>
        <w:tc>
          <w:tcPr>
            <w:tcW w:w="3753" w:type="dxa"/>
          </w:tcPr>
          <w:p w14:paraId="37D58F1C" w14:textId="16B72EA7" w:rsidR="003E7C75" w:rsidRDefault="003E7C75" w:rsidP="003E7C75">
            <w:pPr>
              <w:pStyle w:val="TableText0"/>
            </w:pPr>
            <w:r w:rsidRPr="003E7C75">
              <w:t>-4.72</w:t>
            </w:r>
          </w:p>
          <w:p w14:paraId="0D2A0E38" w14:textId="236F0410" w:rsidR="003E7C75" w:rsidRPr="003E7C75" w:rsidRDefault="006E6BBC" w:rsidP="00577503">
            <w:pPr>
              <w:pStyle w:val="TableText0"/>
            </w:pPr>
            <w:r w:rsidRPr="006E6BBC">
              <w:t>The study utilised both anchor-based and distribution-based techniques to calculate the MCID for PDQ-39</w:t>
            </w:r>
          </w:p>
        </w:tc>
        <w:tc>
          <w:tcPr>
            <w:tcW w:w="3476" w:type="dxa"/>
          </w:tcPr>
          <w:p w14:paraId="21702115" w14:textId="5503186E" w:rsidR="003E7C75" w:rsidRPr="003E7C75" w:rsidRDefault="003E7C75" w:rsidP="003E7C75">
            <w:pPr>
              <w:pStyle w:val="TableText0"/>
            </w:pPr>
            <w:r w:rsidRPr="003E7C75">
              <w:t>Horvath</w:t>
            </w:r>
            <w:r w:rsidR="00AD2D84">
              <w:t xml:space="preserve"> </w:t>
            </w:r>
            <w:r w:rsidRPr="003E7C75">
              <w:t xml:space="preserve">et al (2017). Changes in </w:t>
            </w:r>
            <w:r w:rsidR="00AD2D84">
              <w:t>q</w:t>
            </w:r>
            <w:r w:rsidRPr="003E7C75">
              <w:t xml:space="preserve">uality of </w:t>
            </w:r>
            <w:r w:rsidR="00AD2D84">
              <w:t>l</w:t>
            </w:r>
            <w:r w:rsidRPr="003E7C75">
              <w:t xml:space="preserve">ife in Parkinson’s </w:t>
            </w:r>
            <w:r w:rsidR="00AD2D84">
              <w:t>d</w:t>
            </w:r>
            <w:r w:rsidRPr="003E7C75">
              <w:t xml:space="preserve">isease: How </w:t>
            </w:r>
            <w:r w:rsidR="00AD2D84">
              <w:t>l</w:t>
            </w:r>
            <w:r w:rsidRPr="003E7C75">
              <w:t xml:space="preserve">arge </w:t>
            </w:r>
            <w:r w:rsidR="00AD2D84">
              <w:t>m</w:t>
            </w:r>
            <w:r w:rsidRPr="003E7C75">
              <w:t xml:space="preserve">ust </w:t>
            </w:r>
            <w:r w:rsidR="00AD2D84">
              <w:t>t</w:t>
            </w:r>
            <w:r w:rsidRPr="003E7C75">
              <w:t xml:space="preserve">hey </w:t>
            </w:r>
            <w:r w:rsidR="00AD2D84">
              <w:t>b</w:t>
            </w:r>
            <w:r w:rsidRPr="003E7C75">
              <w:t xml:space="preserve">e to </w:t>
            </w:r>
            <w:r w:rsidR="00AD2D84">
              <w:t>b</w:t>
            </w:r>
            <w:r w:rsidRPr="003E7C75">
              <w:t xml:space="preserve">e </w:t>
            </w:r>
            <w:r w:rsidR="00AD2D84">
              <w:t>r</w:t>
            </w:r>
            <w:r w:rsidRPr="003E7C75">
              <w:t xml:space="preserve">elevant? </w:t>
            </w:r>
            <w:r w:rsidRPr="00B42BBE">
              <w:t>Neuroepidemiology</w:t>
            </w:r>
            <w:r w:rsidR="00AD2D84" w:rsidRPr="00B42BBE">
              <w:t xml:space="preserve"> </w:t>
            </w:r>
            <w:r w:rsidR="00AD2D84">
              <w:rPr>
                <w:iCs/>
              </w:rPr>
              <w:t>2017;</w:t>
            </w:r>
            <w:r w:rsidRPr="003E7C75">
              <w:t xml:space="preserve"> 48</w:t>
            </w:r>
            <w:r w:rsidR="00AD2D84">
              <w:t xml:space="preserve"> (1-2):</w:t>
            </w:r>
            <w:r w:rsidRPr="003E7C75">
              <w:t xml:space="preserve"> 1-8</w:t>
            </w:r>
          </w:p>
        </w:tc>
      </w:tr>
    </w:tbl>
    <w:p w14:paraId="5D295FD7" w14:textId="10C147FF" w:rsidR="003E7C75" w:rsidRPr="00D632D9" w:rsidRDefault="003E7C75" w:rsidP="006E6BBC">
      <w:pPr>
        <w:pStyle w:val="TableFooter"/>
      </w:pPr>
      <w:r w:rsidRPr="00D632D9">
        <w:t xml:space="preserve">Source: </w:t>
      </w:r>
      <w:r>
        <w:t>T</w:t>
      </w:r>
      <w:r w:rsidRPr="00D632D9">
        <w:t>able</w:t>
      </w:r>
      <w:r>
        <w:t>s</w:t>
      </w:r>
      <w:r w:rsidRPr="00D632D9">
        <w:t xml:space="preserve"> 2-14</w:t>
      </w:r>
      <w:r>
        <w:t xml:space="preserve"> to 2</w:t>
      </w:r>
      <w:r w:rsidR="0050456C">
        <w:t>-</w:t>
      </w:r>
      <w:r>
        <w:t>16, pp74-75 o</w:t>
      </w:r>
      <w:r w:rsidRPr="00D632D9">
        <w:t>f the submission</w:t>
      </w:r>
    </w:p>
    <w:p w14:paraId="008FC97A" w14:textId="0A168015" w:rsidR="003E7C75" w:rsidRDefault="008C08BD" w:rsidP="00C21903">
      <w:pPr>
        <w:pStyle w:val="TableFooter"/>
      </w:pPr>
      <w:r>
        <w:t xml:space="preserve">Abbreviations: </w:t>
      </w:r>
      <w:r w:rsidR="00C21903">
        <w:t xml:space="preserve">MCID = minimally clinically important difference; </w:t>
      </w:r>
      <w:r w:rsidR="00556F4D">
        <w:t xml:space="preserve">MDS = Movement Disorder Society; </w:t>
      </w:r>
      <w:r w:rsidR="00C21903">
        <w:t>PDQ = Parkinson’s disease questionnaire; UPDRS = Unified Parkinson’s disease rating scale.</w:t>
      </w:r>
    </w:p>
    <w:p w14:paraId="5E48C2DB" w14:textId="6796A3C3" w:rsidR="00C72189" w:rsidRDefault="00C72189" w:rsidP="004F7504">
      <w:pPr>
        <w:pStyle w:val="TableFooter"/>
        <w:spacing w:after="120"/>
        <w:jc w:val="left"/>
      </w:pPr>
      <w:r w:rsidRPr="00C72189">
        <w:t>Note: UPDRS part II and MDS-UPDRS part II are identical.</w:t>
      </w:r>
    </w:p>
    <w:p w14:paraId="0B617DFF" w14:textId="77777777" w:rsidR="00E967E8" w:rsidRDefault="00C440A2" w:rsidP="003945B8">
      <w:pPr>
        <w:pStyle w:val="3-BodyText"/>
      </w:pPr>
      <w:r w:rsidRPr="00B7475D">
        <w:t>In the M15-736 trial comparing FosLD/FosCD to oral LD/CD, the FosLD/FosCD</w:t>
      </w:r>
      <w:r w:rsidR="00B2506D">
        <w:t xml:space="preserve"> arm</w:t>
      </w:r>
      <w:r w:rsidRPr="00B7475D">
        <w:t xml:space="preserve"> had statistically significant improvements in </w:t>
      </w:r>
      <w:r w:rsidR="00DD70F6">
        <w:t>‘On-time’</w:t>
      </w:r>
      <w:r w:rsidRPr="00B7475D">
        <w:t xml:space="preserve"> without troublesome dyskinesia, </w:t>
      </w:r>
      <w:r w:rsidR="00DD70F6">
        <w:t>‘Off-time’</w:t>
      </w:r>
      <w:r w:rsidRPr="00B7475D">
        <w:t>, and the PDQ-38 quality of life score.</w:t>
      </w:r>
    </w:p>
    <w:p w14:paraId="045E368F" w14:textId="53980E18" w:rsidR="00C440A2" w:rsidRDefault="00C440A2" w:rsidP="003945B8">
      <w:pPr>
        <w:pStyle w:val="3-BodyText"/>
      </w:pPr>
      <w:r>
        <w:t xml:space="preserve">The observed improvement in average daily </w:t>
      </w:r>
      <w:r w:rsidR="00DD70F6">
        <w:t>‘Off-time’</w:t>
      </w:r>
      <w:r>
        <w:t xml:space="preserve"> of -2.75 hours in the FosLD/FosCD arm </w:t>
      </w:r>
      <w:r w:rsidR="007F74EF">
        <w:t xml:space="preserve">was greater than </w:t>
      </w:r>
      <w:r>
        <w:t>the nominated MCID of -1.3 hours</w:t>
      </w:r>
      <w:r w:rsidR="007F74EF">
        <w:t>,</w:t>
      </w:r>
      <w:r>
        <w:t xml:space="preserve"> as well as being statistically significant</w:t>
      </w:r>
      <w:r w:rsidR="007F74EF">
        <w:t>,</w:t>
      </w:r>
      <w:r>
        <w:t xml:space="preserve"> when compared to oral LD/CD. Average daily </w:t>
      </w:r>
      <w:r w:rsidR="00DD70F6">
        <w:t>‘On-time’</w:t>
      </w:r>
      <w:r>
        <w:t xml:space="preserve"> did not have a nominate</w:t>
      </w:r>
      <w:r w:rsidR="00B2506D">
        <w:t>d</w:t>
      </w:r>
      <w:r>
        <w:t xml:space="preserve"> MCID.</w:t>
      </w:r>
    </w:p>
    <w:p w14:paraId="2D5FCFB0" w14:textId="5535BB82" w:rsidR="00C440A2" w:rsidRDefault="00C440A2" w:rsidP="003945B8">
      <w:pPr>
        <w:pStyle w:val="3-BodyText"/>
      </w:pPr>
      <w:r>
        <w:lastRenderedPageBreak/>
        <w:t xml:space="preserve">The improvement in MDS-UPDRS part II of -2.65 for FosLD/FosCD </w:t>
      </w:r>
      <w:r w:rsidR="007F74EF">
        <w:t xml:space="preserve">was greater than </w:t>
      </w:r>
      <w:r>
        <w:t>the nominated MCID of -2.3 change from baseline. However, when compared to oral LD/CD the change was not statistically significant.</w:t>
      </w:r>
    </w:p>
    <w:p w14:paraId="38230592" w14:textId="77777777" w:rsidR="00E967E8" w:rsidRDefault="00A86EEC" w:rsidP="003945B8">
      <w:pPr>
        <w:pStyle w:val="3-BodyText"/>
      </w:pPr>
      <w:r>
        <w:t>The submission noted that p</w:t>
      </w:r>
      <w:r w:rsidR="00C440A2">
        <w:t xml:space="preserve">articipants in the </w:t>
      </w:r>
      <w:r w:rsidR="007F74EF">
        <w:t>F</w:t>
      </w:r>
      <w:r w:rsidR="00C440A2">
        <w:t>osLD/</w:t>
      </w:r>
      <w:r w:rsidR="007F74EF">
        <w:t>F</w:t>
      </w:r>
      <w:r w:rsidR="00C440A2">
        <w:t>osCD treatment group had a 6.38-point reduction</w:t>
      </w:r>
      <w:r w:rsidR="00C440A2" w:rsidRPr="00720624">
        <w:t xml:space="preserve"> </w:t>
      </w:r>
      <w:r w:rsidR="00C440A2">
        <w:t>(least square mean change), indicating a clinically meaningful improvement in PD</w:t>
      </w:r>
      <w:r w:rsidR="003E7C75">
        <w:t>Q</w:t>
      </w:r>
      <w:r w:rsidR="00C440A2">
        <w:t>-</w:t>
      </w:r>
      <w:r w:rsidR="003E7C75">
        <w:t>39</w:t>
      </w:r>
      <w:r w:rsidR="00C440A2">
        <w:t xml:space="preserve"> (MCID -4.72). This compares to a 2.28-point </w:t>
      </w:r>
      <w:r w:rsidR="00D710D5">
        <w:t xml:space="preserve">reduction </w:t>
      </w:r>
      <w:r w:rsidR="00C440A2">
        <w:t xml:space="preserve">for patients in the </w:t>
      </w:r>
      <w:r>
        <w:t xml:space="preserve">oral </w:t>
      </w:r>
      <w:r w:rsidR="00C440A2">
        <w:t xml:space="preserve">LD/CD arm at week 12. The least squares mean difference </w:t>
      </w:r>
      <w:r>
        <w:t>between</w:t>
      </w:r>
      <w:r w:rsidR="00C440A2">
        <w:t xml:space="preserve"> the two arms at 12 weeks was</w:t>
      </w:r>
      <w:r>
        <w:t xml:space="preserve"> </w:t>
      </w:r>
      <w:r w:rsidR="00C440A2">
        <w:t>-4.10</w:t>
      </w:r>
      <w:r w:rsidR="005D7784">
        <w:t>,</w:t>
      </w:r>
      <w:r w:rsidR="00C440A2">
        <w:t xml:space="preserve"> </w:t>
      </w:r>
      <w:r>
        <w:t>which did</w:t>
      </w:r>
      <w:r w:rsidR="00C440A2">
        <w:t xml:space="preserve"> not meet the MCID </w:t>
      </w:r>
      <w:r>
        <w:t>threshold of</w:t>
      </w:r>
      <w:r w:rsidR="00C440A2">
        <w:t xml:space="preserve"> </w:t>
      </w:r>
      <w:r w:rsidR="00C440A2" w:rsidRPr="002563C3">
        <w:t>-4.72</w:t>
      </w:r>
      <w:r w:rsidR="00C440A2">
        <w:t>.</w:t>
      </w:r>
    </w:p>
    <w:p w14:paraId="47FDE0EA" w14:textId="362B59DB" w:rsidR="00505A76" w:rsidRDefault="00505A76" w:rsidP="003945B8">
      <w:pPr>
        <w:pStyle w:val="3-BodyText"/>
      </w:pPr>
      <w:r w:rsidRPr="00D01F45">
        <w:t xml:space="preserve">As the trial was only 12 weeks long, it </w:t>
      </w:r>
      <w:r w:rsidR="00A86EEC" w:rsidRPr="00D01F45">
        <w:t>wa</w:t>
      </w:r>
      <w:r w:rsidRPr="00D01F45">
        <w:t xml:space="preserve">s not possible to assess </w:t>
      </w:r>
      <w:r w:rsidR="00A86EEC" w:rsidRPr="00D01F45">
        <w:t>the long-term efficacy of FosLD/FosCD.</w:t>
      </w:r>
    </w:p>
    <w:p w14:paraId="43AFB56A" w14:textId="2EF067CC" w:rsidR="00E967E8" w:rsidRDefault="00C440A2" w:rsidP="003945B8">
      <w:pPr>
        <w:pStyle w:val="3-BodyText"/>
      </w:pPr>
      <w:r>
        <w:t>The result</w:t>
      </w:r>
      <w:r w:rsidR="007F74EF">
        <w:t>s</w:t>
      </w:r>
      <w:r>
        <w:t xml:space="preserve"> of the indirect comparison of FosLD/FosCD with LCIG in terms of the key efficacy measures are presented in </w:t>
      </w:r>
      <w:r>
        <w:fldChar w:fldCharType="begin"/>
      </w:r>
      <w:r>
        <w:instrText xml:space="preserve"> REF _Ref133621280 \h </w:instrText>
      </w:r>
      <w:r>
        <w:fldChar w:fldCharType="separate"/>
      </w:r>
      <w:r w:rsidR="0043339D">
        <w:t xml:space="preserve">Table </w:t>
      </w:r>
      <w:r w:rsidR="0043339D">
        <w:rPr>
          <w:noProof/>
        </w:rPr>
        <w:t>6</w:t>
      </w:r>
      <w:r>
        <w:fldChar w:fldCharType="end"/>
      </w:r>
      <w:r>
        <w:t>.</w:t>
      </w:r>
    </w:p>
    <w:p w14:paraId="19B424FF" w14:textId="1B83A737" w:rsidR="00C440A2" w:rsidRDefault="00C440A2" w:rsidP="00C440A2">
      <w:pPr>
        <w:pStyle w:val="Caption"/>
      </w:pPr>
      <w:bookmarkStart w:id="28" w:name="_Ref133621280"/>
      <w:r>
        <w:t xml:space="preserve">Table </w:t>
      </w:r>
      <w:r w:rsidR="000A217C">
        <w:fldChar w:fldCharType="begin"/>
      </w:r>
      <w:r w:rsidR="000A217C">
        <w:instrText xml:space="preserve"> SEQ Table \* ARABIC </w:instrText>
      </w:r>
      <w:r w:rsidR="000A217C">
        <w:fldChar w:fldCharType="separate"/>
      </w:r>
      <w:r w:rsidR="0043339D">
        <w:rPr>
          <w:noProof/>
        </w:rPr>
        <w:t>6</w:t>
      </w:r>
      <w:r w:rsidR="000A217C">
        <w:rPr>
          <w:noProof/>
        </w:rPr>
        <w:fldChar w:fldCharType="end"/>
      </w:r>
      <w:bookmarkEnd w:id="28"/>
      <w:r>
        <w:t xml:space="preserve">: Indirect treatment comparison of </w:t>
      </w:r>
      <w:r w:rsidR="00CF7C88">
        <w:t>effectiveness of</w:t>
      </w:r>
      <w:r>
        <w:t xml:space="preserve"> </w:t>
      </w:r>
      <w:r w:rsidR="00EC3E6F" w:rsidRPr="00C01FAE">
        <w:t>FosLD/FosCD</w:t>
      </w:r>
      <w:r>
        <w:t xml:space="preserve"> versus levodopa</w:t>
      </w:r>
      <w:r w:rsidR="004010A3">
        <w:t>/</w:t>
      </w:r>
      <w:r>
        <w:t>carbidopa intestinal gel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7"/>
        <w:gridCol w:w="1125"/>
        <w:gridCol w:w="1129"/>
        <w:gridCol w:w="1127"/>
        <w:gridCol w:w="1129"/>
        <w:gridCol w:w="1129"/>
        <w:gridCol w:w="2110"/>
      </w:tblGrid>
      <w:tr w:rsidR="002C2801" w:rsidRPr="00B84117" w14:paraId="29818477" w14:textId="77777777" w:rsidTr="00DC2324">
        <w:trPr>
          <w:cantSplit/>
          <w:tblHeader/>
        </w:trPr>
        <w:tc>
          <w:tcPr>
            <w:tcW w:w="1953" w:type="pct"/>
            <w:gridSpan w:val="3"/>
            <w:vAlign w:val="center"/>
          </w:tcPr>
          <w:p w14:paraId="53A19637" w14:textId="77777777" w:rsidR="002C2801" w:rsidRPr="004D50C7" w:rsidRDefault="002C2801" w:rsidP="00070BF1">
            <w:pPr>
              <w:pStyle w:val="In-tableHeading"/>
              <w:jc w:val="center"/>
              <w:rPr>
                <w:szCs w:val="20"/>
              </w:rPr>
            </w:pPr>
            <w:r>
              <w:t>M15-736</w:t>
            </w:r>
            <w:r w:rsidRPr="007E1E44">
              <w:rPr>
                <w:szCs w:val="20"/>
              </w:rPr>
              <w:t xml:space="preserve"> </w:t>
            </w:r>
          </w:p>
        </w:tc>
        <w:tc>
          <w:tcPr>
            <w:tcW w:w="1877" w:type="pct"/>
            <w:gridSpan w:val="3"/>
            <w:vAlign w:val="center"/>
          </w:tcPr>
          <w:p w14:paraId="790CABEC" w14:textId="77777777" w:rsidR="002C2801" w:rsidRPr="00B84117" w:rsidRDefault="002C2801" w:rsidP="00070BF1">
            <w:pPr>
              <w:pStyle w:val="In-tableHeading"/>
              <w:jc w:val="center"/>
            </w:pPr>
            <w:r>
              <w:t>Olanow 2014</w:t>
            </w:r>
          </w:p>
        </w:tc>
        <w:tc>
          <w:tcPr>
            <w:tcW w:w="1170" w:type="pct"/>
            <w:vMerge w:val="restart"/>
            <w:vAlign w:val="center"/>
          </w:tcPr>
          <w:p w14:paraId="762C64CF" w14:textId="102B8F02" w:rsidR="002C2801" w:rsidRPr="009905F8" w:rsidRDefault="002C2801" w:rsidP="00070BF1">
            <w:pPr>
              <w:pStyle w:val="In-tableHeading"/>
              <w:jc w:val="center"/>
              <w:rPr>
                <w:vertAlign w:val="superscript"/>
              </w:rPr>
            </w:pPr>
            <w:r>
              <w:t>Indirect estimates</w:t>
            </w:r>
            <w:r w:rsidR="00E255BB">
              <w:rPr>
                <w:vertAlign w:val="superscript"/>
              </w:rPr>
              <w:t>a</w:t>
            </w:r>
          </w:p>
          <w:p w14:paraId="20243E94" w14:textId="77777777" w:rsidR="002C2801" w:rsidRDefault="002C2801" w:rsidP="00070BF1">
            <w:pPr>
              <w:pStyle w:val="In-tableHeading"/>
              <w:jc w:val="center"/>
            </w:pPr>
            <w:r>
              <w:t>(95% CI), p-value</w:t>
            </w:r>
          </w:p>
        </w:tc>
      </w:tr>
      <w:tr w:rsidR="002C2801" w:rsidRPr="00B84117" w14:paraId="3F0F33DB" w14:textId="77777777" w:rsidTr="00DC2324">
        <w:trPr>
          <w:cantSplit/>
          <w:tblHeader/>
        </w:trPr>
        <w:tc>
          <w:tcPr>
            <w:tcW w:w="703" w:type="pct"/>
          </w:tcPr>
          <w:p w14:paraId="68C394C2" w14:textId="77777777" w:rsidR="002C2801" w:rsidRPr="00B84117" w:rsidRDefault="002C2801" w:rsidP="00070BF1">
            <w:pPr>
              <w:pStyle w:val="In-tableHeading"/>
              <w:ind w:left="-57" w:right="-57"/>
              <w:jc w:val="center"/>
            </w:pPr>
            <w:r>
              <w:rPr>
                <w:iCs/>
              </w:rPr>
              <w:t>FosLD/FosCD (N=74)</w:t>
            </w:r>
          </w:p>
        </w:tc>
        <w:tc>
          <w:tcPr>
            <w:tcW w:w="624" w:type="pct"/>
          </w:tcPr>
          <w:p w14:paraId="322EB3EA" w14:textId="77777777" w:rsidR="002C2801" w:rsidRPr="00B84117" w:rsidRDefault="002C2801" w:rsidP="00070BF1">
            <w:pPr>
              <w:pStyle w:val="In-tableHeading"/>
              <w:jc w:val="center"/>
            </w:pPr>
            <w:r>
              <w:rPr>
                <w:iCs/>
              </w:rPr>
              <w:t>Oral LD/CD (N=67)</w:t>
            </w:r>
          </w:p>
        </w:tc>
        <w:tc>
          <w:tcPr>
            <w:tcW w:w="626" w:type="pct"/>
            <w:vAlign w:val="center"/>
          </w:tcPr>
          <w:p w14:paraId="44B8DEE4" w14:textId="77777777" w:rsidR="002C2801" w:rsidRPr="00B84117" w:rsidRDefault="002C2801" w:rsidP="00070BF1">
            <w:pPr>
              <w:pStyle w:val="In-tableHeading"/>
              <w:jc w:val="center"/>
            </w:pPr>
            <w:r>
              <w:t>Difference</w:t>
            </w:r>
          </w:p>
        </w:tc>
        <w:tc>
          <w:tcPr>
            <w:tcW w:w="625" w:type="pct"/>
            <w:vAlign w:val="center"/>
          </w:tcPr>
          <w:p w14:paraId="034BA43A" w14:textId="77777777" w:rsidR="002C2801" w:rsidRPr="00B84117" w:rsidRDefault="002C2801" w:rsidP="00070BF1">
            <w:pPr>
              <w:pStyle w:val="In-tableHeading"/>
              <w:jc w:val="center"/>
            </w:pPr>
            <w:r w:rsidRPr="007E1E44">
              <w:rPr>
                <w:szCs w:val="20"/>
              </w:rPr>
              <w:t>LCIG</w:t>
            </w:r>
            <w:r>
              <w:rPr>
                <w:szCs w:val="20"/>
              </w:rPr>
              <w:t xml:space="preserve"> (N=37)</w:t>
            </w:r>
          </w:p>
        </w:tc>
        <w:tc>
          <w:tcPr>
            <w:tcW w:w="626" w:type="pct"/>
            <w:vAlign w:val="center"/>
          </w:tcPr>
          <w:p w14:paraId="07E7FEEB" w14:textId="77777777" w:rsidR="002C2801" w:rsidRPr="00B84117" w:rsidRDefault="002C2801" w:rsidP="00070BF1">
            <w:pPr>
              <w:pStyle w:val="In-tableHeading"/>
              <w:jc w:val="center"/>
            </w:pPr>
            <w:r w:rsidRPr="007E1E44">
              <w:rPr>
                <w:iCs/>
                <w:szCs w:val="20"/>
              </w:rPr>
              <w:t>Oral LD/CD</w:t>
            </w:r>
            <w:r>
              <w:rPr>
                <w:iCs/>
                <w:szCs w:val="20"/>
              </w:rPr>
              <w:t xml:space="preserve"> (N=34)</w:t>
            </w:r>
          </w:p>
        </w:tc>
        <w:tc>
          <w:tcPr>
            <w:tcW w:w="626" w:type="pct"/>
            <w:vAlign w:val="center"/>
          </w:tcPr>
          <w:p w14:paraId="6A2B398A" w14:textId="77777777" w:rsidR="002C2801" w:rsidRPr="00B84117" w:rsidRDefault="002C2801" w:rsidP="00070BF1">
            <w:pPr>
              <w:pStyle w:val="In-tableHeading"/>
              <w:jc w:val="center"/>
            </w:pPr>
            <w:r>
              <w:t>Difference</w:t>
            </w:r>
          </w:p>
        </w:tc>
        <w:tc>
          <w:tcPr>
            <w:tcW w:w="1170" w:type="pct"/>
            <w:vMerge/>
            <w:vAlign w:val="center"/>
          </w:tcPr>
          <w:p w14:paraId="174B4E80" w14:textId="77777777" w:rsidR="002C2801" w:rsidRDefault="002C2801" w:rsidP="00070BF1">
            <w:pPr>
              <w:pStyle w:val="In-tableHeading"/>
              <w:jc w:val="center"/>
            </w:pPr>
          </w:p>
        </w:tc>
      </w:tr>
      <w:tr w:rsidR="002C2801" w:rsidRPr="00DC2324" w14:paraId="0980522E" w14:textId="77777777" w:rsidTr="00DC2324">
        <w:trPr>
          <w:cantSplit/>
        </w:trPr>
        <w:tc>
          <w:tcPr>
            <w:tcW w:w="5000" w:type="pct"/>
            <w:gridSpan w:val="7"/>
          </w:tcPr>
          <w:p w14:paraId="45452A9B" w14:textId="5B8FE683" w:rsidR="002C2801" w:rsidRPr="00DC2324" w:rsidRDefault="002C2801" w:rsidP="00070BF1">
            <w:pPr>
              <w:pStyle w:val="TableText0"/>
              <w:rPr>
                <w:b/>
                <w:szCs w:val="20"/>
              </w:rPr>
            </w:pPr>
            <w:r w:rsidRPr="00DC2324">
              <w:rPr>
                <w:b/>
                <w:szCs w:val="20"/>
              </w:rPr>
              <w:t xml:space="preserve">Hours of </w:t>
            </w:r>
            <w:r w:rsidR="008534D2" w:rsidRPr="00DC2324">
              <w:rPr>
                <w:b/>
                <w:szCs w:val="20"/>
              </w:rPr>
              <w:t>a</w:t>
            </w:r>
            <w:r w:rsidRPr="00DC2324">
              <w:rPr>
                <w:b/>
                <w:szCs w:val="20"/>
              </w:rPr>
              <w:t xml:space="preserve">verage </w:t>
            </w:r>
            <w:r w:rsidR="008534D2" w:rsidRPr="00DC2324">
              <w:rPr>
                <w:b/>
                <w:szCs w:val="20"/>
              </w:rPr>
              <w:t>d</w:t>
            </w:r>
            <w:r w:rsidRPr="00DC2324">
              <w:rPr>
                <w:b/>
                <w:szCs w:val="20"/>
              </w:rPr>
              <w:t xml:space="preserve">aily </w:t>
            </w:r>
            <w:r w:rsidR="008534D2" w:rsidRPr="00DC2324">
              <w:rPr>
                <w:b/>
                <w:szCs w:val="20"/>
              </w:rPr>
              <w:t>n</w:t>
            </w:r>
            <w:r w:rsidRPr="00DC2324">
              <w:rPr>
                <w:b/>
                <w:szCs w:val="20"/>
              </w:rPr>
              <w:t xml:space="preserve">ormalised </w:t>
            </w:r>
            <w:r w:rsidR="00DD70F6" w:rsidRPr="00DC2324">
              <w:rPr>
                <w:b/>
                <w:szCs w:val="20"/>
              </w:rPr>
              <w:t>‘</w:t>
            </w:r>
            <w:r w:rsidR="008534D2" w:rsidRPr="00DC2324">
              <w:rPr>
                <w:b/>
                <w:szCs w:val="20"/>
              </w:rPr>
              <w:t>O</w:t>
            </w:r>
            <w:r w:rsidR="00DD70F6" w:rsidRPr="00DC2324">
              <w:rPr>
                <w:b/>
                <w:szCs w:val="20"/>
              </w:rPr>
              <w:t>n-time’</w:t>
            </w:r>
            <w:r w:rsidRPr="00DC2324">
              <w:rPr>
                <w:b/>
                <w:szCs w:val="20"/>
              </w:rPr>
              <w:t xml:space="preserve"> </w:t>
            </w:r>
            <w:r w:rsidR="008534D2" w:rsidRPr="00DC2324">
              <w:rPr>
                <w:b/>
                <w:szCs w:val="20"/>
              </w:rPr>
              <w:t>w</w:t>
            </w:r>
            <w:r w:rsidRPr="00DC2324">
              <w:rPr>
                <w:b/>
                <w:szCs w:val="20"/>
              </w:rPr>
              <w:t xml:space="preserve">ithout </w:t>
            </w:r>
            <w:r w:rsidR="008534D2" w:rsidRPr="00DC2324">
              <w:rPr>
                <w:b/>
                <w:szCs w:val="20"/>
              </w:rPr>
              <w:t>t</w:t>
            </w:r>
            <w:r w:rsidRPr="00DC2324">
              <w:rPr>
                <w:b/>
                <w:szCs w:val="20"/>
              </w:rPr>
              <w:t xml:space="preserve">roublesome </w:t>
            </w:r>
            <w:r w:rsidR="008534D2" w:rsidRPr="00DC2324">
              <w:rPr>
                <w:b/>
                <w:szCs w:val="20"/>
              </w:rPr>
              <w:t>d</w:t>
            </w:r>
            <w:r w:rsidRPr="00DC2324">
              <w:rPr>
                <w:b/>
                <w:szCs w:val="20"/>
              </w:rPr>
              <w:t>yskinesia, LS mean change from baseline (SE)</w:t>
            </w:r>
          </w:p>
        </w:tc>
      </w:tr>
      <w:tr w:rsidR="002C2801" w:rsidRPr="00B1011F" w14:paraId="326B6F1D" w14:textId="77777777" w:rsidTr="00DC2324">
        <w:trPr>
          <w:cantSplit/>
        </w:trPr>
        <w:tc>
          <w:tcPr>
            <w:tcW w:w="703" w:type="pct"/>
          </w:tcPr>
          <w:p w14:paraId="1ADD6855" w14:textId="77777777" w:rsidR="002C2801" w:rsidRPr="00B1011F" w:rsidRDefault="002C2801" w:rsidP="00070BF1">
            <w:pPr>
              <w:pStyle w:val="TableText0"/>
              <w:jc w:val="center"/>
            </w:pPr>
            <w:r w:rsidRPr="00642CAF">
              <w:t>2.72 (0.52)</w:t>
            </w:r>
          </w:p>
        </w:tc>
        <w:tc>
          <w:tcPr>
            <w:tcW w:w="624" w:type="pct"/>
          </w:tcPr>
          <w:p w14:paraId="3AF85281" w14:textId="77777777" w:rsidR="002C2801" w:rsidRDefault="002C2801" w:rsidP="00070BF1">
            <w:pPr>
              <w:pStyle w:val="TableText0"/>
              <w:jc w:val="center"/>
            </w:pPr>
            <w:r w:rsidRPr="00E00E17">
              <w:t>0.97 (0.50)</w:t>
            </w:r>
          </w:p>
        </w:tc>
        <w:tc>
          <w:tcPr>
            <w:tcW w:w="626" w:type="pct"/>
          </w:tcPr>
          <w:p w14:paraId="6381FF98" w14:textId="77777777" w:rsidR="002C2801" w:rsidRDefault="002C2801" w:rsidP="00070BF1">
            <w:pPr>
              <w:pStyle w:val="TableText0"/>
              <w:jc w:val="center"/>
            </w:pPr>
            <w:r w:rsidRPr="0019260D">
              <w:t>1.75 (0.65)</w:t>
            </w:r>
          </w:p>
        </w:tc>
        <w:tc>
          <w:tcPr>
            <w:tcW w:w="625" w:type="pct"/>
          </w:tcPr>
          <w:p w14:paraId="0D37572B" w14:textId="77777777" w:rsidR="002C2801" w:rsidRPr="00B1011F" w:rsidRDefault="002C2801" w:rsidP="00070BF1">
            <w:pPr>
              <w:pStyle w:val="TableText0"/>
              <w:jc w:val="center"/>
            </w:pPr>
            <w:r w:rsidRPr="007E1E44">
              <w:rPr>
                <w:szCs w:val="20"/>
              </w:rPr>
              <w:t>4.11 (0.75)</w:t>
            </w:r>
          </w:p>
        </w:tc>
        <w:tc>
          <w:tcPr>
            <w:tcW w:w="626" w:type="pct"/>
          </w:tcPr>
          <w:p w14:paraId="1F17C425" w14:textId="77777777" w:rsidR="002C2801" w:rsidRPr="00B1011F" w:rsidRDefault="002C2801" w:rsidP="00070BF1">
            <w:pPr>
              <w:pStyle w:val="TableText0"/>
              <w:jc w:val="center"/>
            </w:pPr>
            <w:r w:rsidRPr="007E1E44">
              <w:rPr>
                <w:szCs w:val="20"/>
              </w:rPr>
              <w:t>2.24 (0.76)</w:t>
            </w:r>
          </w:p>
        </w:tc>
        <w:tc>
          <w:tcPr>
            <w:tcW w:w="626" w:type="pct"/>
          </w:tcPr>
          <w:p w14:paraId="6DCC89C5" w14:textId="77777777" w:rsidR="002C2801" w:rsidRPr="00B1011F" w:rsidRDefault="002C2801" w:rsidP="00070BF1">
            <w:pPr>
              <w:pStyle w:val="TableText0"/>
              <w:jc w:val="center"/>
            </w:pPr>
            <w:r w:rsidRPr="007E1E44">
              <w:rPr>
                <w:rFonts w:eastAsia="Calibri" w:cs="Calibri"/>
                <w:szCs w:val="20"/>
              </w:rPr>
              <w:t>1.86 (0.65)</w:t>
            </w:r>
          </w:p>
        </w:tc>
        <w:tc>
          <w:tcPr>
            <w:tcW w:w="1170" w:type="pct"/>
          </w:tcPr>
          <w:p w14:paraId="5ACE2B99" w14:textId="77777777" w:rsidR="002C2801" w:rsidRPr="00B1011F" w:rsidRDefault="002C2801" w:rsidP="00070BF1">
            <w:pPr>
              <w:pStyle w:val="TableText0"/>
              <w:jc w:val="center"/>
            </w:pPr>
            <w:r w:rsidRPr="00646D24">
              <w:rPr>
                <w:color w:val="000000"/>
                <w:szCs w:val="20"/>
                <w:lang w:val="en-GB"/>
              </w:rPr>
              <w:t>-0.11 (-1.93, 1.71)</w:t>
            </w:r>
            <w:r>
              <w:rPr>
                <w:color w:val="000000"/>
                <w:szCs w:val="20"/>
                <w:lang w:val="en-GB"/>
              </w:rPr>
              <w:t>, p=0.906</w:t>
            </w:r>
          </w:p>
        </w:tc>
      </w:tr>
      <w:tr w:rsidR="002C2801" w:rsidRPr="00DC2324" w14:paraId="3541AEFD" w14:textId="77777777" w:rsidTr="00DC2324">
        <w:trPr>
          <w:cantSplit/>
        </w:trPr>
        <w:tc>
          <w:tcPr>
            <w:tcW w:w="5000" w:type="pct"/>
            <w:gridSpan w:val="7"/>
          </w:tcPr>
          <w:p w14:paraId="5E927FE7" w14:textId="7CD80E95" w:rsidR="002C2801" w:rsidRPr="00DC2324" w:rsidRDefault="002C2801" w:rsidP="00070BF1">
            <w:pPr>
              <w:pStyle w:val="TableText0"/>
              <w:rPr>
                <w:b/>
                <w:szCs w:val="20"/>
              </w:rPr>
            </w:pPr>
            <w:r w:rsidRPr="00DC2324">
              <w:rPr>
                <w:b/>
                <w:szCs w:val="20"/>
              </w:rPr>
              <w:t xml:space="preserve">Hours of </w:t>
            </w:r>
            <w:r w:rsidR="008534D2" w:rsidRPr="00DC2324">
              <w:rPr>
                <w:b/>
                <w:szCs w:val="20"/>
              </w:rPr>
              <w:t>a</w:t>
            </w:r>
            <w:r w:rsidRPr="00DC2324">
              <w:rPr>
                <w:b/>
                <w:szCs w:val="20"/>
              </w:rPr>
              <w:t xml:space="preserve">verage </w:t>
            </w:r>
            <w:r w:rsidR="008534D2" w:rsidRPr="00DC2324">
              <w:rPr>
                <w:b/>
                <w:szCs w:val="20"/>
              </w:rPr>
              <w:t>d</w:t>
            </w:r>
            <w:r w:rsidRPr="00DC2324">
              <w:rPr>
                <w:b/>
                <w:szCs w:val="20"/>
              </w:rPr>
              <w:t xml:space="preserve">aily </w:t>
            </w:r>
            <w:r w:rsidR="008534D2" w:rsidRPr="00DC2324">
              <w:rPr>
                <w:b/>
                <w:szCs w:val="20"/>
              </w:rPr>
              <w:t>n</w:t>
            </w:r>
            <w:r w:rsidRPr="00DC2324">
              <w:rPr>
                <w:b/>
                <w:szCs w:val="20"/>
              </w:rPr>
              <w:t xml:space="preserve">ormalised </w:t>
            </w:r>
            <w:r w:rsidR="00DD70F6" w:rsidRPr="00DC2324">
              <w:rPr>
                <w:b/>
                <w:szCs w:val="20"/>
              </w:rPr>
              <w:t>‘</w:t>
            </w:r>
            <w:r w:rsidR="008534D2" w:rsidRPr="00DC2324">
              <w:rPr>
                <w:b/>
                <w:szCs w:val="20"/>
              </w:rPr>
              <w:t>O</w:t>
            </w:r>
            <w:r w:rsidR="00DD70F6" w:rsidRPr="00DC2324">
              <w:rPr>
                <w:b/>
                <w:szCs w:val="20"/>
              </w:rPr>
              <w:t>ff-time’</w:t>
            </w:r>
            <w:r w:rsidRPr="00DC2324">
              <w:rPr>
                <w:b/>
                <w:szCs w:val="20"/>
              </w:rPr>
              <w:t>, LS mean change from baseline (SE)</w:t>
            </w:r>
          </w:p>
        </w:tc>
      </w:tr>
      <w:tr w:rsidR="002C2801" w:rsidRPr="00B1011F" w14:paraId="444D25FF" w14:textId="77777777" w:rsidTr="00DC2324">
        <w:trPr>
          <w:cantSplit/>
        </w:trPr>
        <w:tc>
          <w:tcPr>
            <w:tcW w:w="703" w:type="pct"/>
          </w:tcPr>
          <w:p w14:paraId="33E2F33B" w14:textId="77777777" w:rsidR="002C2801" w:rsidRPr="00B1011F" w:rsidRDefault="002C2801" w:rsidP="00070BF1">
            <w:pPr>
              <w:pStyle w:val="TableText0"/>
              <w:jc w:val="center"/>
            </w:pPr>
            <w:r w:rsidRPr="00391E5B">
              <w:t>-2.75 (0.50)</w:t>
            </w:r>
          </w:p>
        </w:tc>
        <w:tc>
          <w:tcPr>
            <w:tcW w:w="624" w:type="pct"/>
          </w:tcPr>
          <w:p w14:paraId="2499F7AD" w14:textId="77777777" w:rsidR="002C2801" w:rsidRDefault="002C2801" w:rsidP="00070BF1">
            <w:pPr>
              <w:pStyle w:val="TableText0"/>
              <w:jc w:val="center"/>
            </w:pPr>
            <w:r w:rsidRPr="00C44F11">
              <w:t>-0.96 (0.49)</w:t>
            </w:r>
          </w:p>
        </w:tc>
        <w:tc>
          <w:tcPr>
            <w:tcW w:w="626" w:type="pct"/>
          </w:tcPr>
          <w:p w14:paraId="41BF6823" w14:textId="77777777" w:rsidR="002C2801" w:rsidRDefault="002C2801" w:rsidP="00070BF1">
            <w:pPr>
              <w:pStyle w:val="TableText0"/>
              <w:jc w:val="center"/>
            </w:pPr>
            <w:r w:rsidRPr="00135C59">
              <w:t>-1.79 (0.63)</w:t>
            </w:r>
          </w:p>
        </w:tc>
        <w:tc>
          <w:tcPr>
            <w:tcW w:w="625" w:type="pct"/>
          </w:tcPr>
          <w:p w14:paraId="670ADAB5" w14:textId="77777777" w:rsidR="002C2801" w:rsidRPr="00B1011F" w:rsidRDefault="002C2801" w:rsidP="00070BF1">
            <w:pPr>
              <w:pStyle w:val="TableText0"/>
              <w:jc w:val="center"/>
            </w:pPr>
            <w:r w:rsidRPr="007E1E44">
              <w:rPr>
                <w:rFonts w:eastAsia="Calibri" w:cs="Calibri"/>
                <w:szCs w:val="20"/>
              </w:rPr>
              <w:t>-4.04 (0.65)</w:t>
            </w:r>
          </w:p>
        </w:tc>
        <w:tc>
          <w:tcPr>
            <w:tcW w:w="626" w:type="pct"/>
          </w:tcPr>
          <w:p w14:paraId="26754359" w14:textId="77777777" w:rsidR="002C2801" w:rsidRPr="00B1011F" w:rsidRDefault="002C2801" w:rsidP="00070BF1">
            <w:pPr>
              <w:pStyle w:val="TableText0"/>
              <w:jc w:val="center"/>
            </w:pPr>
            <w:r w:rsidRPr="007E1E44">
              <w:rPr>
                <w:rFonts w:eastAsia="Calibri" w:cs="Calibri"/>
                <w:szCs w:val="20"/>
              </w:rPr>
              <w:t>-2.14 (0.66)</w:t>
            </w:r>
          </w:p>
        </w:tc>
        <w:tc>
          <w:tcPr>
            <w:tcW w:w="626" w:type="pct"/>
          </w:tcPr>
          <w:p w14:paraId="7BA56EE4" w14:textId="77777777" w:rsidR="002C2801" w:rsidRPr="00B1011F" w:rsidRDefault="002C2801" w:rsidP="00070BF1">
            <w:pPr>
              <w:pStyle w:val="TableText0"/>
              <w:jc w:val="center"/>
            </w:pPr>
            <w:r w:rsidRPr="007E1E44">
              <w:rPr>
                <w:rFonts w:eastAsia="Calibri" w:cs="Calibri"/>
                <w:szCs w:val="20"/>
              </w:rPr>
              <w:t>-1.91 (0.57)</w:t>
            </w:r>
          </w:p>
        </w:tc>
        <w:tc>
          <w:tcPr>
            <w:tcW w:w="1170" w:type="pct"/>
          </w:tcPr>
          <w:p w14:paraId="149C1E90" w14:textId="77777777" w:rsidR="002C2801" w:rsidRPr="00B1011F" w:rsidRDefault="002C2801" w:rsidP="00070BF1">
            <w:pPr>
              <w:pStyle w:val="TableText0"/>
              <w:jc w:val="center"/>
            </w:pPr>
            <w:r w:rsidRPr="00646D24">
              <w:rPr>
                <w:color w:val="000000"/>
                <w:szCs w:val="20"/>
                <w:lang w:val="en-GB"/>
              </w:rPr>
              <w:t xml:space="preserve">0.12 (-1.56, 1.80) </w:t>
            </w:r>
            <w:r>
              <w:rPr>
                <w:color w:val="000000"/>
                <w:szCs w:val="20"/>
                <w:lang w:val="en-GB"/>
              </w:rPr>
              <w:t>p=</w:t>
            </w:r>
            <w:r w:rsidRPr="00646D24">
              <w:rPr>
                <w:color w:val="000000"/>
                <w:szCs w:val="20"/>
                <w:lang w:val="en-GB"/>
              </w:rPr>
              <w:t>0.889</w:t>
            </w:r>
          </w:p>
        </w:tc>
      </w:tr>
      <w:tr w:rsidR="002C2801" w:rsidRPr="00DC2324" w14:paraId="40569DD9" w14:textId="77777777" w:rsidTr="00DC2324">
        <w:trPr>
          <w:cantSplit/>
        </w:trPr>
        <w:tc>
          <w:tcPr>
            <w:tcW w:w="5000" w:type="pct"/>
            <w:gridSpan w:val="7"/>
          </w:tcPr>
          <w:p w14:paraId="5EB77D81" w14:textId="5B3C7778" w:rsidR="002C2801" w:rsidRPr="00DC2324" w:rsidRDefault="00556F4D" w:rsidP="00070BF1">
            <w:pPr>
              <w:pStyle w:val="TableText0"/>
              <w:rPr>
                <w:b/>
                <w:szCs w:val="20"/>
              </w:rPr>
            </w:pPr>
            <w:r w:rsidRPr="00DC2324">
              <w:rPr>
                <w:b/>
                <w:szCs w:val="20"/>
              </w:rPr>
              <w:t>UPDRS/</w:t>
            </w:r>
            <w:r w:rsidR="002C2801" w:rsidRPr="00DC2324">
              <w:rPr>
                <w:b/>
                <w:szCs w:val="20"/>
              </w:rPr>
              <w:t>MDS-UPDRS Part II score, LS mean change from baseline (SE)</w:t>
            </w:r>
          </w:p>
        </w:tc>
      </w:tr>
      <w:tr w:rsidR="002C2801" w:rsidRPr="00B1011F" w14:paraId="4BD5A833" w14:textId="77777777" w:rsidTr="00DC2324">
        <w:trPr>
          <w:cantSplit/>
        </w:trPr>
        <w:tc>
          <w:tcPr>
            <w:tcW w:w="703" w:type="pct"/>
          </w:tcPr>
          <w:p w14:paraId="55F25B75" w14:textId="77777777" w:rsidR="002C2801" w:rsidRPr="00B1011F" w:rsidRDefault="002C2801" w:rsidP="00070BF1">
            <w:pPr>
              <w:pStyle w:val="TableText0"/>
              <w:jc w:val="center"/>
            </w:pPr>
            <w:r w:rsidRPr="009A5FFC">
              <w:t>-2.65 (0.82)</w:t>
            </w:r>
          </w:p>
        </w:tc>
        <w:tc>
          <w:tcPr>
            <w:tcW w:w="624" w:type="pct"/>
          </w:tcPr>
          <w:p w14:paraId="4DAB783C" w14:textId="77777777" w:rsidR="002C2801" w:rsidRPr="00B1011F" w:rsidRDefault="002C2801" w:rsidP="00070BF1">
            <w:pPr>
              <w:pStyle w:val="TableText0"/>
              <w:jc w:val="center"/>
            </w:pPr>
            <w:r w:rsidRPr="00ED1B38">
              <w:t>-1.06 (0.79)</w:t>
            </w:r>
          </w:p>
        </w:tc>
        <w:tc>
          <w:tcPr>
            <w:tcW w:w="626" w:type="pct"/>
          </w:tcPr>
          <w:p w14:paraId="463082BE" w14:textId="77777777" w:rsidR="002C2801" w:rsidRPr="00B1011F" w:rsidRDefault="002C2801" w:rsidP="00070BF1">
            <w:pPr>
              <w:pStyle w:val="TableText0"/>
              <w:jc w:val="center"/>
            </w:pPr>
            <w:r w:rsidRPr="00AB7A81">
              <w:t>-1.58 (1.05)</w:t>
            </w:r>
          </w:p>
        </w:tc>
        <w:tc>
          <w:tcPr>
            <w:tcW w:w="625" w:type="pct"/>
          </w:tcPr>
          <w:p w14:paraId="4E1490E8" w14:textId="77777777" w:rsidR="002C2801" w:rsidRPr="00B1011F" w:rsidRDefault="002C2801" w:rsidP="00070BF1">
            <w:pPr>
              <w:pStyle w:val="TableText0"/>
              <w:jc w:val="center"/>
            </w:pPr>
            <w:r w:rsidRPr="007E1E44">
              <w:rPr>
                <w:szCs w:val="20"/>
              </w:rPr>
              <w:t>-1.8 (1.3)</w:t>
            </w:r>
          </w:p>
        </w:tc>
        <w:tc>
          <w:tcPr>
            <w:tcW w:w="626" w:type="pct"/>
          </w:tcPr>
          <w:p w14:paraId="060804FA" w14:textId="77777777" w:rsidR="002C2801" w:rsidRPr="00B1011F" w:rsidRDefault="002C2801" w:rsidP="00070BF1">
            <w:pPr>
              <w:pStyle w:val="TableText0"/>
              <w:jc w:val="center"/>
            </w:pPr>
            <w:r w:rsidRPr="005F45D4">
              <w:t>1.3 (1.3)</w:t>
            </w:r>
          </w:p>
        </w:tc>
        <w:tc>
          <w:tcPr>
            <w:tcW w:w="626" w:type="pct"/>
          </w:tcPr>
          <w:p w14:paraId="7CB3A57C" w14:textId="77777777" w:rsidR="002C2801" w:rsidRPr="00B1011F" w:rsidRDefault="002C2801" w:rsidP="00070BF1">
            <w:pPr>
              <w:pStyle w:val="TableText0"/>
              <w:jc w:val="center"/>
            </w:pPr>
            <w:r>
              <w:rPr>
                <w:szCs w:val="20"/>
              </w:rPr>
              <w:t>-3.0 (1.1)</w:t>
            </w:r>
          </w:p>
        </w:tc>
        <w:tc>
          <w:tcPr>
            <w:tcW w:w="1170" w:type="pct"/>
          </w:tcPr>
          <w:p w14:paraId="12E08EDE" w14:textId="77777777" w:rsidR="002C2801" w:rsidRPr="00B1011F" w:rsidRDefault="002C2801" w:rsidP="00070BF1">
            <w:pPr>
              <w:pStyle w:val="TableText0"/>
              <w:jc w:val="center"/>
            </w:pPr>
            <w:r w:rsidRPr="00646D24">
              <w:rPr>
                <w:color w:val="000000"/>
                <w:szCs w:val="20"/>
                <w:lang w:val="en-GB"/>
              </w:rPr>
              <w:t>1.42 (-1.63, 4.47)</w:t>
            </w:r>
            <w:r>
              <w:rPr>
                <w:color w:val="000000"/>
                <w:szCs w:val="20"/>
                <w:lang w:val="en-GB"/>
              </w:rPr>
              <w:t>, p=0.361</w:t>
            </w:r>
          </w:p>
        </w:tc>
      </w:tr>
      <w:tr w:rsidR="002C2801" w:rsidRPr="00DC2324" w14:paraId="1C06B5F4" w14:textId="77777777" w:rsidTr="00DC2324">
        <w:trPr>
          <w:cantSplit/>
        </w:trPr>
        <w:tc>
          <w:tcPr>
            <w:tcW w:w="5000" w:type="pct"/>
            <w:gridSpan w:val="7"/>
          </w:tcPr>
          <w:p w14:paraId="5EA2864A" w14:textId="77777777" w:rsidR="002C2801" w:rsidRPr="00DC2324" w:rsidRDefault="002C2801" w:rsidP="00070BF1">
            <w:pPr>
              <w:pStyle w:val="TableText0"/>
              <w:rPr>
                <w:b/>
                <w:szCs w:val="20"/>
              </w:rPr>
            </w:pPr>
            <w:r w:rsidRPr="00DC2324">
              <w:rPr>
                <w:b/>
                <w:szCs w:val="20"/>
              </w:rPr>
              <w:t>PDQ-39 score, LS mean change from baseline (SE)</w:t>
            </w:r>
          </w:p>
        </w:tc>
      </w:tr>
      <w:tr w:rsidR="002C2801" w:rsidRPr="006E6BBC" w14:paraId="39EFF419" w14:textId="77777777" w:rsidTr="00DC2324">
        <w:trPr>
          <w:cantSplit/>
        </w:trPr>
        <w:tc>
          <w:tcPr>
            <w:tcW w:w="703" w:type="pct"/>
          </w:tcPr>
          <w:p w14:paraId="487F08CA" w14:textId="77777777" w:rsidR="002C2801" w:rsidRPr="006E6BBC" w:rsidRDefault="002C2801" w:rsidP="00070BF1">
            <w:pPr>
              <w:pStyle w:val="TableText0"/>
              <w:jc w:val="center"/>
            </w:pPr>
            <w:r w:rsidRPr="006E6BBC">
              <w:t>-6.38 (1.83)</w:t>
            </w:r>
          </w:p>
        </w:tc>
        <w:tc>
          <w:tcPr>
            <w:tcW w:w="624" w:type="pct"/>
          </w:tcPr>
          <w:p w14:paraId="4C80FB3C" w14:textId="77777777" w:rsidR="002C2801" w:rsidRPr="006E6BBC" w:rsidRDefault="002C2801" w:rsidP="00070BF1">
            <w:pPr>
              <w:pStyle w:val="TableText0"/>
              <w:jc w:val="center"/>
            </w:pPr>
            <w:r w:rsidRPr="006E6BBC">
              <w:t>-2.28 (1.75)</w:t>
            </w:r>
          </w:p>
        </w:tc>
        <w:tc>
          <w:tcPr>
            <w:tcW w:w="626" w:type="pct"/>
          </w:tcPr>
          <w:p w14:paraId="0B32FC13" w14:textId="77777777" w:rsidR="002C2801" w:rsidRPr="006E6BBC" w:rsidRDefault="002C2801" w:rsidP="00070BF1">
            <w:pPr>
              <w:pStyle w:val="TableText0"/>
              <w:jc w:val="center"/>
            </w:pPr>
            <w:r w:rsidRPr="006E6BBC">
              <w:t>-4.10 (2.04)</w:t>
            </w:r>
          </w:p>
        </w:tc>
        <w:tc>
          <w:tcPr>
            <w:tcW w:w="625" w:type="pct"/>
          </w:tcPr>
          <w:p w14:paraId="3DFD1F1F" w14:textId="77777777" w:rsidR="002C2801" w:rsidRPr="006E6BBC" w:rsidRDefault="002C2801" w:rsidP="00070BF1">
            <w:pPr>
              <w:pStyle w:val="TableText0"/>
              <w:jc w:val="center"/>
            </w:pPr>
            <w:r w:rsidRPr="006E6BBC">
              <w:rPr>
                <w:rFonts w:eastAsia="Times New Roman" w:cstheme="minorHAnsi"/>
                <w:szCs w:val="20"/>
              </w:rPr>
              <w:t>-10.9 (3.3)</w:t>
            </w:r>
          </w:p>
        </w:tc>
        <w:tc>
          <w:tcPr>
            <w:tcW w:w="626" w:type="pct"/>
          </w:tcPr>
          <w:p w14:paraId="329FC746" w14:textId="77777777" w:rsidR="002C2801" w:rsidRPr="006E6BBC" w:rsidRDefault="002C2801" w:rsidP="00070BF1">
            <w:pPr>
              <w:pStyle w:val="TableText0"/>
              <w:jc w:val="center"/>
            </w:pPr>
            <w:r w:rsidRPr="006E6BBC">
              <w:rPr>
                <w:rFonts w:eastAsia="Times New Roman" w:cstheme="minorHAnsi"/>
                <w:szCs w:val="20"/>
              </w:rPr>
              <w:t>-3.9 (3.2)</w:t>
            </w:r>
          </w:p>
        </w:tc>
        <w:tc>
          <w:tcPr>
            <w:tcW w:w="626" w:type="pct"/>
          </w:tcPr>
          <w:p w14:paraId="36AC8832" w14:textId="77777777" w:rsidR="002C2801" w:rsidRPr="006E6BBC" w:rsidRDefault="002C2801" w:rsidP="00070BF1">
            <w:pPr>
              <w:pStyle w:val="TableText0"/>
              <w:jc w:val="center"/>
            </w:pPr>
            <w:r w:rsidRPr="006E6BBC">
              <w:rPr>
                <w:rFonts w:eastAsia="Times New Roman" w:cstheme="minorHAnsi"/>
                <w:szCs w:val="20"/>
              </w:rPr>
              <w:t>-7.0 (2.8)</w:t>
            </w:r>
          </w:p>
        </w:tc>
        <w:tc>
          <w:tcPr>
            <w:tcW w:w="1170" w:type="pct"/>
          </w:tcPr>
          <w:p w14:paraId="13F1AFBF" w14:textId="77777777" w:rsidR="002C2801" w:rsidRPr="006E6BBC" w:rsidRDefault="002C2801" w:rsidP="00070BF1">
            <w:pPr>
              <w:pStyle w:val="TableText0"/>
              <w:jc w:val="center"/>
            </w:pPr>
            <w:r w:rsidRPr="006E6BBC">
              <w:rPr>
                <w:color w:val="000000"/>
                <w:szCs w:val="20"/>
                <w:lang w:val="en-GB"/>
              </w:rPr>
              <w:t>2.90 (-3.98, 9.78), p=0.409</w:t>
            </w:r>
          </w:p>
        </w:tc>
      </w:tr>
    </w:tbl>
    <w:p w14:paraId="4100C4F1" w14:textId="2ED595C4" w:rsidR="00C440A2" w:rsidRPr="006E6BBC" w:rsidRDefault="00C440A2" w:rsidP="00C440A2">
      <w:pPr>
        <w:rPr>
          <w:rFonts w:ascii="Arial Narrow" w:hAnsi="Arial Narrow"/>
          <w:sz w:val="18"/>
          <w:szCs w:val="18"/>
        </w:rPr>
      </w:pPr>
      <w:r w:rsidRPr="006E6BBC">
        <w:rPr>
          <w:rFonts w:ascii="Arial Narrow" w:hAnsi="Arial Narrow"/>
          <w:sz w:val="18"/>
          <w:szCs w:val="18"/>
        </w:rPr>
        <w:t xml:space="preserve">Source: </w:t>
      </w:r>
      <w:r w:rsidR="0050456C">
        <w:rPr>
          <w:rFonts w:ascii="Arial Narrow" w:hAnsi="Arial Narrow"/>
          <w:sz w:val="18"/>
          <w:szCs w:val="18"/>
        </w:rPr>
        <w:t>T</w:t>
      </w:r>
      <w:r w:rsidRPr="006E6BBC">
        <w:rPr>
          <w:rFonts w:ascii="Arial Narrow" w:hAnsi="Arial Narrow"/>
          <w:sz w:val="18"/>
          <w:szCs w:val="18"/>
        </w:rPr>
        <w:t>able 2-22, p88 of the submission.</w:t>
      </w:r>
    </w:p>
    <w:p w14:paraId="55902BEA" w14:textId="5A1169D3" w:rsidR="00C440A2" w:rsidRDefault="008C08BD" w:rsidP="00C440A2">
      <w:pPr>
        <w:rPr>
          <w:rFonts w:ascii="Arial Narrow" w:hAnsi="Arial Narrow"/>
          <w:sz w:val="18"/>
          <w:szCs w:val="18"/>
        </w:rPr>
      </w:pPr>
      <w:r>
        <w:rPr>
          <w:rStyle w:val="FooterTableFigureChar"/>
        </w:rPr>
        <w:t xml:space="preserve">Abbreviations: </w:t>
      </w:r>
      <w:r w:rsidR="008534D2" w:rsidRPr="008534D2">
        <w:rPr>
          <w:rStyle w:val="FooterTableFigureChar"/>
        </w:rPr>
        <w:t xml:space="preserve">FosLD/FosCD = </w:t>
      </w:r>
      <w:r w:rsidR="008534D2">
        <w:rPr>
          <w:rStyle w:val="FooterTableFigureChar"/>
        </w:rPr>
        <w:t>f</w:t>
      </w:r>
      <w:r w:rsidR="008534D2" w:rsidRPr="008534D2">
        <w:rPr>
          <w:rStyle w:val="FooterTableFigureChar"/>
        </w:rPr>
        <w:t>oslevodopa/foscarbidopa; LD/CD = levodopa/carbidopa;</w:t>
      </w:r>
      <w:r w:rsidR="008534D2" w:rsidRPr="00DC2324">
        <w:rPr>
          <w:rStyle w:val="FooterTableFigureChar"/>
        </w:rPr>
        <w:t xml:space="preserve"> </w:t>
      </w:r>
      <w:r w:rsidR="00C440A2" w:rsidRPr="00DC2324">
        <w:rPr>
          <w:rFonts w:ascii="Arial Narrow" w:hAnsi="Arial Narrow"/>
          <w:sz w:val="18"/>
          <w:szCs w:val="18"/>
        </w:rPr>
        <w:t>LS = least</w:t>
      </w:r>
      <w:r w:rsidR="00C440A2" w:rsidRPr="006E6BBC">
        <w:rPr>
          <w:rFonts w:ascii="Arial Narrow" w:hAnsi="Arial Narrow"/>
          <w:sz w:val="18"/>
          <w:szCs w:val="18"/>
        </w:rPr>
        <w:t xml:space="preserve"> squares; M</w:t>
      </w:r>
      <w:r w:rsidR="00F9260A">
        <w:rPr>
          <w:rFonts w:ascii="Arial Narrow" w:hAnsi="Arial Narrow"/>
          <w:sz w:val="18"/>
          <w:szCs w:val="18"/>
        </w:rPr>
        <w:t>DS</w:t>
      </w:r>
      <w:r w:rsidR="00C440A2" w:rsidRPr="006E6BBC">
        <w:rPr>
          <w:rFonts w:ascii="Arial Narrow" w:hAnsi="Arial Narrow"/>
          <w:sz w:val="18"/>
          <w:szCs w:val="18"/>
        </w:rPr>
        <w:t xml:space="preserve"> = movement disorder society; PDQ = Parkinson’s disease questionnaire; </w:t>
      </w:r>
      <w:r w:rsidR="008534D2">
        <w:rPr>
          <w:rFonts w:ascii="Arial Narrow" w:hAnsi="Arial Narrow"/>
          <w:sz w:val="18"/>
          <w:szCs w:val="18"/>
        </w:rPr>
        <w:t xml:space="preserve">SE = standard error; </w:t>
      </w:r>
      <w:r w:rsidR="00C440A2" w:rsidRPr="006E6BBC">
        <w:rPr>
          <w:rFonts w:ascii="Arial Narrow" w:hAnsi="Arial Narrow"/>
          <w:sz w:val="18"/>
          <w:szCs w:val="18"/>
        </w:rPr>
        <w:t>UPDRS = unified Parkinson’s disease rating scale.</w:t>
      </w:r>
    </w:p>
    <w:p w14:paraId="15706FD6" w14:textId="264D18D4" w:rsidR="00E9621D" w:rsidRPr="006E6BBC" w:rsidRDefault="00E9621D" w:rsidP="00C440A2">
      <w:pPr>
        <w:rPr>
          <w:rFonts w:ascii="Arial Narrow" w:hAnsi="Arial Narrow"/>
          <w:sz w:val="18"/>
          <w:szCs w:val="18"/>
        </w:rPr>
      </w:pPr>
      <w:r w:rsidRPr="00E9621D">
        <w:rPr>
          <w:rFonts w:ascii="Arial Narrow" w:hAnsi="Arial Narrow"/>
          <w:sz w:val="18"/>
          <w:szCs w:val="18"/>
        </w:rPr>
        <w:t>Note: UPDRS part II and MDS-UPDRS part II are identical.</w:t>
      </w:r>
    </w:p>
    <w:p w14:paraId="232AB86F" w14:textId="77777777" w:rsidR="00E967E8" w:rsidRDefault="009905F8" w:rsidP="009905F8">
      <w:pPr>
        <w:rPr>
          <w:rFonts w:ascii="Arial Narrow" w:hAnsi="Arial Narrow"/>
          <w:sz w:val="18"/>
          <w:szCs w:val="18"/>
        </w:rPr>
      </w:pPr>
      <w:r w:rsidRPr="006E6BBC">
        <w:rPr>
          <w:rFonts w:ascii="Arial Narrow" w:hAnsi="Arial Narrow"/>
          <w:sz w:val="18"/>
          <w:szCs w:val="18"/>
        </w:rPr>
        <w:t xml:space="preserve">The </w:t>
      </w:r>
      <w:r w:rsidR="00E9621D">
        <w:rPr>
          <w:rFonts w:ascii="Arial Narrow" w:hAnsi="Arial Narrow"/>
          <w:sz w:val="18"/>
          <w:szCs w:val="18"/>
        </w:rPr>
        <w:t>UPDRS/</w:t>
      </w:r>
      <w:r w:rsidRPr="006E6BBC">
        <w:rPr>
          <w:rFonts w:ascii="Arial Narrow" w:hAnsi="Arial Narrow"/>
          <w:sz w:val="18"/>
          <w:szCs w:val="18"/>
        </w:rPr>
        <w:t>MDS-UPDRS part II score ranges from 0 – 52 with higher scores indicating more severe impairment</w:t>
      </w:r>
      <w:r w:rsidR="00502DB3" w:rsidRPr="006E6BBC">
        <w:rPr>
          <w:rFonts w:ascii="Arial Narrow" w:hAnsi="Arial Narrow"/>
          <w:sz w:val="18"/>
          <w:szCs w:val="18"/>
        </w:rPr>
        <w:t>.</w:t>
      </w:r>
    </w:p>
    <w:p w14:paraId="16F18C19" w14:textId="46CF8B95" w:rsidR="00C440A2" w:rsidRPr="006E6BBC" w:rsidRDefault="009905F8" w:rsidP="009905F8">
      <w:pPr>
        <w:rPr>
          <w:rFonts w:ascii="Arial Narrow" w:hAnsi="Arial Narrow"/>
          <w:sz w:val="18"/>
          <w:szCs w:val="18"/>
        </w:rPr>
      </w:pPr>
      <w:r w:rsidRPr="006E6BBC">
        <w:rPr>
          <w:rFonts w:ascii="Arial Narrow" w:hAnsi="Arial Narrow"/>
          <w:sz w:val="18"/>
          <w:szCs w:val="18"/>
        </w:rPr>
        <w:t>The PDQ-39 score ranges from 0 – 100 with higher scores associated with more severe disease symptoms.</w:t>
      </w:r>
    </w:p>
    <w:p w14:paraId="541C97A8" w14:textId="77777777" w:rsidR="00AF5780" w:rsidRDefault="003323F3" w:rsidP="00AF5780">
      <w:pPr>
        <w:tabs>
          <w:tab w:val="left" w:pos="142"/>
        </w:tabs>
        <w:rPr>
          <w:rFonts w:ascii="Arial Narrow" w:hAnsi="Arial Narrow"/>
          <w:sz w:val="18"/>
          <w:szCs w:val="18"/>
        </w:rPr>
      </w:pPr>
      <w:r w:rsidRPr="003323F3">
        <w:rPr>
          <w:rFonts w:ascii="Arial Narrow" w:hAnsi="Arial Narrow"/>
          <w:sz w:val="18"/>
          <w:szCs w:val="18"/>
          <w:vertAlign w:val="superscript"/>
        </w:rPr>
        <w:t>a</w:t>
      </w:r>
      <w:r w:rsidR="00AF5780">
        <w:rPr>
          <w:rFonts w:ascii="Arial Narrow" w:hAnsi="Arial Narrow"/>
          <w:sz w:val="18"/>
          <w:szCs w:val="18"/>
        </w:rPr>
        <w:t xml:space="preserve"> </w:t>
      </w:r>
      <w:r w:rsidR="009905F8" w:rsidRPr="003323F3">
        <w:rPr>
          <w:rFonts w:ascii="Arial Narrow" w:hAnsi="Arial Narrow"/>
          <w:sz w:val="18"/>
          <w:szCs w:val="18"/>
        </w:rPr>
        <w:t>Calculated</w:t>
      </w:r>
      <w:r w:rsidR="009905F8" w:rsidRPr="006E6BBC">
        <w:rPr>
          <w:rFonts w:ascii="Arial Narrow" w:hAnsi="Arial Narrow"/>
          <w:sz w:val="18"/>
          <w:szCs w:val="18"/>
        </w:rPr>
        <w:t xml:space="preserve"> using the Bucher single pairwise method</w:t>
      </w:r>
      <w:r w:rsidR="00DC2324">
        <w:rPr>
          <w:rFonts w:ascii="Arial Narrow" w:hAnsi="Arial Narrow"/>
          <w:sz w:val="18"/>
          <w:szCs w:val="18"/>
        </w:rPr>
        <w:t>.</w:t>
      </w:r>
    </w:p>
    <w:p w14:paraId="07C28079" w14:textId="044B3428" w:rsidR="00502DB3" w:rsidRPr="006E6BBC" w:rsidRDefault="00502DB3" w:rsidP="00AF5780">
      <w:pPr>
        <w:tabs>
          <w:tab w:val="left" w:pos="142"/>
        </w:tabs>
        <w:rPr>
          <w:rFonts w:ascii="Arial Narrow" w:hAnsi="Arial Narrow"/>
          <w:sz w:val="18"/>
          <w:szCs w:val="18"/>
        </w:rPr>
      </w:pPr>
      <w:r w:rsidRPr="006E6BBC">
        <w:rPr>
          <w:rFonts w:ascii="Arial Narrow" w:hAnsi="Arial Narrow"/>
          <w:sz w:val="18"/>
          <w:szCs w:val="18"/>
        </w:rPr>
        <w:t xml:space="preserve">MCIDs </w:t>
      </w:r>
      <w:r w:rsidR="00B8328B" w:rsidRPr="006E6BBC">
        <w:rPr>
          <w:rFonts w:ascii="Arial Narrow" w:hAnsi="Arial Narrow"/>
          <w:sz w:val="18"/>
          <w:szCs w:val="18"/>
        </w:rPr>
        <w:t>proposed</w:t>
      </w:r>
      <w:r w:rsidR="006E6BBC" w:rsidRPr="006E6BBC">
        <w:rPr>
          <w:rFonts w:ascii="Arial Narrow" w:hAnsi="Arial Narrow"/>
          <w:sz w:val="18"/>
          <w:szCs w:val="18"/>
        </w:rPr>
        <w:t xml:space="preserve"> in the submission: </w:t>
      </w:r>
      <w:r w:rsidRPr="006E6BBC">
        <w:rPr>
          <w:rFonts w:ascii="Arial Narrow" w:hAnsi="Arial Narrow"/>
          <w:sz w:val="18"/>
          <w:szCs w:val="18"/>
        </w:rPr>
        <w:t xml:space="preserve">Off time of -1.3 hours </w:t>
      </w:r>
      <w:r w:rsidR="009223C3" w:rsidRPr="006E6BBC">
        <w:rPr>
          <w:rFonts w:ascii="Arial Narrow" w:hAnsi="Arial Narrow"/>
          <w:sz w:val="18"/>
          <w:szCs w:val="18"/>
        </w:rPr>
        <w:t xml:space="preserve">change </w:t>
      </w:r>
      <w:r w:rsidRPr="006E6BBC">
        <w:rPr>
          <w:rFonts w:ascii="Arial Narrow" w:hAnsi="Arial Narrow"/>
          <w:sz w:val="18"/>
          <w:szCs w:val="18"/>
        </w:rPr>
        <w:t xml:space="preserve">from baseline, MDS-UPDRS -2.3 change from baseline, PDQ-39 </w:t>
      </w:r>
      <w:r w:rsidR="009223C3" w:rsidRPr="006E6BBC">
        <w:rPr>
          <w:rFonts w:ascii="Arial Narrow" w:hAnsi="Arial Narrow"/>
          <w:sz w:val="18"/>
          <w:szCs w:val="18"/>
        </w:rPr>
        <w:t>-</w:t>
      </w:r>
      <w:r w:rsidRPr="006E6BBC">
        <w:rPr>
          <w:rFonts w:ascii="Arial Narrow" w:hAnsi="Arial Narrow"/>
          <w:sz w:val="18"/>
          <w:szCs w:val="18"/>
        </w:rPr>
        <w:t>4.72</w:t>
      </w:r>
      <w:r w:rsidR="00AF5780">
        <w:rPr>
          <w:rFonts w:ascii="Arial Narrow" w:hAnsi="Arial Narrow"/>
          <w:sz w:val="18"/>
          <w:szCs w:val="18"/>
        </w:rPr>
        <w:t xml:space="preserve"> </w:t>
      </w:r>
      <w:r w:rsidRPr="006E6BBC">
        <w:rPr>
          <w:rFonts w:ascii="Arial Narrow" w:hAnsi="Arial Narrow"/>
          <w:sz w:val="18"/>
          <w:szCs w:val="18"/>
        </w:rPr>
        <w:t>change from baseline</w:t>
      </w:r>
      <w:r w:rsidR="009223C3" w:rsidRPr="006E6BBC">
        <w:rPr>
          <w:rFonts w:ascii="Arial Narrow" w:hAnsi="Arial Narrow"/>
          <w:sz w:val="18"/>
          <w:szCs w:val="18"/>
        </w:rPr>
        <w:t>.</w:t>
      </w:r>
    </w:p>
    <w:p w14:paraId="4126BCDD" w14:textId="2520B958" w:rsidR="00E967E8" w:rsidRDefault="009223C3" w:rsidP="003323F3">
      <w:pPr>
        <w:tabs>
          <w:tab w:val="left" w:pos="142"/>
        </w:tabs>
        <w:spacing w:after="120"/>
        <w:ind w:left="142" w:hanging="142"/>
        <w:rPr>
          <w:rFonts w:ascii="Arial Narrow" w:hAnsi="Arial Narrow"/>
          <w:iCs/>
          <w:sz w:val="18"/>
          <w:szCs w:val="18"/>
        </w:rPr>
      </w:pPr>
      <w:r w:rsidRPr="006E6BBC">
        <w:rPr>
          <w:rFonts w:ascii="Arial Narrow" w:hAnsi="Arial Narrow"/>
          <w:iCs/>
          <w:sz w:val="18"/>
          <w:szCs w:val="18"/>
        </w:rPr>
        <w:t xml:space="preserve">There was no pre-specified MCID for </w:t>
      </w:r>
      <w:r w:rsidR="00DD70F6">
        <w:rPr>
          <w:rFonts w:ascii="Arial Narrow" w:hAnsi="Arial Narrow"/>
          <w:iCs/>
          <w:sz w:val="18"/>
          <w:szCs w:val="18"/>
        </w:rPr>
        <w:t>‘On-time’</w:t>
      </w:r>
      <w:r w:rsidRPr="006E6BBC">
        <w:rPr>
          <w:rFonts w:ascii="Arial Narrow" w:hAnsi="Arial Narrow"/>
          <w:iCs/>
          <w:sz w:val="18"/>
          <w:szCs w:val="18"/>
        </w:rPr>
        <w:t xml:space="preserve"> without troublesome dyskinesia</w:t>
      </w:r>
      <w:r w:rsidR="00DC2324">
        <w:rPr>
          <w:rFonts w:ascii="Arial Narrow" w:hAnsi="Arial Narrow"/>
          <w:iCs/>
          <w:sz w:val="18"/>
          <w:szCs w:val="18"/>
        </w:rPr>
        <w:t>.</w:t>
      </w:r>
    </w:p>
    <w:p w14:paraId="4B9857A0" w14:textId="38F243FB" w:rsidR="00C440A2" w:rsidRPr="006E6BBC" w:rsidRDefault="006E6BBC" w:rsidP="003945B8">
      <w:pPr>
        <w:pStyle w:val="3-BodyText"/>
      </w:pPr>
      <w:r w:rsidRPr="00C95A87">
        <w:t>Overall, the</w:t>
      </w:r>
      <w:r w:rsidR="00F914A5">
        <w:t xml:space="preserve"> evaluation noted the</w:t>
      </w:r>
      <w:r w:rsidRPr="00C95A87">
        <w:t xml:space="preserve"> indirect comparisons were based on small patient numbers and considered</w:t>
      </w:r>
      <w:r w:rsidR="00F914A5">
        <w:t xml:space="preserve"> them to be</w:t>
      </w:r>
      <w:r w:rsidRPr="00C95A87">
        <w:t xml:space="preserve"> unreliable</w:t>
      </w:r>
      <w:r w:rsidR="00F914A5">
        <w:t>,</w:t>
      </w:r>
      <w:r w:rsidRPr="00C95A87">
        <w:t xml:space="preserve"> as reflected by the wide confidence intervals.</w:t>
      </w:r>
      <w:r>
        <w:t xml:space="preserve"> </w:t>
      </w:r>
      <w:r w:rsidR="00C440A2" w:rsidRPr="00A86EEC">
        <w:t>For all outcomes</w:t>
      </w:r>
      <w:r w:rsidR="00E255BB" w:rsidRPr="00A86EEC">
        <w:t>,</w:t>
      </w:r>
      <w:r w:rsidR="00C440A2" w:rsidRPr="00A86EEC">
        <w:t xml:space="preserve"> there was no statistically significant difference</w:t>
      </w:r>
      <w:r w:rsidR="00E255BB" w:rsidRPr="00A86EEC">
        <w:t xml:space="preserve"> between FosLD/FosCD and LCIG</w:t>
      </w:r>
      <w:r w:rsidR="00A86EEC" w:rsidRPr="006E6BBC">
        <w:t xml:space="preserve">. </w:t>
      </w:r>
      <w:r w:rsidR="00502DB3" w:rsidRPr="006E6BBC">
        <w:t>T</w:t>
      </w:r>
      <w:r w:rsidR="00E255BB" w:rsidRPr="006E6BBC">
        <w:t xml:space="preserve">he point estimates of the differences in change from baseline generally favoured </w:t>
      </w:r>
      <w:r w:rsidR="00C440A2" w:rsidRPr="006E6BBC">
        <w:t>LCIG</w:t>
      </w:r>
      <w:r w:rsidR="00502DB3" w:rsidRPr="006E6BBC">
        <w:t>, although</w:t>
      </w:r>
      <w:r w:rsidR="009223C3" w:rsidRPr="006E6BBC">
        <w:t xml:space="preserve"> the lower and upper limits</w:t>
      </w:r>
      <w:r w:rsidR="00502DB3" w:rsidRPr="006E6BBC">
        <w:t xml:space="preserve"> </w:t>
      </w:r>
      <w:r w:rsidR="009223C3" w:rsidRPr="006E6BBC">
        <w:t xml:space="preserve">met the </w:t>
      </w:r>
      <w:r w:rsidR="00502DB3" w:rsidRPr="006E6BBC">
        <w:t xml:space="preserve">MCIDs proposed </w:t>
      </w:r>
      <w:r>
        <w:t xml:space="preserve">in the submission. </w:t>
      </w:r>
      <w:bookmarkStart w:id="29" w:name="_Hlk134450197"/>
      <w:r w:rsidR="00C440A2" w:rsidRPr="006E6BBC">
        <w:t xml:space="preserve">There </w:t>
      </w:r>
      <w:r w:rsidR="00CF7C88" w:rsidRPr="006E6BBC">
        <w:t>wa</w:t>
      </w:r>
      <w:r w:rsidR="00C440A2" w:rsidRPr="006E6BBC">
        <w:t xml:space="preserve">s no MCID </w:t>
      </w:r>
      <w:r>
        <w:t xml:space="preserve">nominated in the submission </w:t>
      </w:r>
      <w:r w:rsidR="00C440A2" w:rsidRPr="006E6BBC">
        <w:t xml:space="preserve">for </w:t>
      </w:r>
      <w:r w:rsidR="00DD70F6">
        <w:t>‘On-time’</w:t>
      </w:r>
      <w:r w:rsidR="00C440A2" w:rsidRPr="006E6BBC">
        <w:t xml:space="preserve"> without troublesome dyskinesia</w:t>
      </w:r>
      <w:bookmarkEnd w:id="29"/>
      <w:r w:rsidR="00C440A2" w:rsidRPr="006E6BBC">
        <w:t>.</w:t>
      </w:r>
      <w:r w:rsidR="005E4FB5">
        <w:t xml:space="preserve"> </w:t>
      </w:r>
      <w:r w:rsidR="005E4FB5" w:rsidRPr="005E4FB5">
        <w:t xml:space="preserve">Additionally, the differences in </w:t>
      </w:r>
      <w:r w:rsidR="005E4FB5">
        <w:t>outcome</w:t>
      </w:r>
      <w:r w:rsidR="005E4FB5" w:rsidRPr="005E4FB5">
        <w:t xml:space="preserve"> rates between the common comparator arms indicates the existence of transitivity issues between the two trials.</w:t>
      </w:r>
    </w:p>
    <w:p w14:paraId="78230F7E" w14:textId="3441F72F" w:rsidR="008556CE" w:rsidRPr="008556CE" w:rsidRDefault="008556CE" w:rsidP="003945B8">
      <w:pPr>
        <w:pStyle w:val="3-BodyText"/>
      </w:pPr>
      <w:r w:rsidRPr="00C95A87">
        <w:t xml:space="preserve">The mean time since diagnosis in M15-736 was 8.58 years compared to 10.09 years in Olanow 2014. Subgroup analysis of Study M15-736 indicated that there may be a significant treatment effect variation in terms of the difference in mean change from </w:t>
      </w:r>
      <w:r w:rsidRPr="00C95A87">
        <w:lastRenderedPageBreak/>
        <w:t xml:space="preserve">baseline in </w:t>
      </w:r>
      <w:r w:rsidR="00DD70F6" w:rsidRPr="00C95A87">
        <w:t>‘Off-time’</w:t>
      </w:r>
      <w:r w:rsidRPr="00C95A87">
        <w:t xml:space="preserve"> by time since diagnosis (Difference between oral LD/CD and FosLD/FosCD (&lt; 10 years: -1.84; ≥ 10 years: -0.70; p-value= 0.039). However, subgroup analysis by duration of disease was not reported in Olanow</w:t>
      </w:r>
      <w:r w:rsidR="004D31B7">
        <w:t xml:space="preserve"> </w:t>
      </w:r>
      <w:r w:rsidRPr="00C95A87">
        <w:t>2014 and thus the impact of this variable on the indirect estimate of treatment effect is unknown.</w:t>
      </w:r>
    </w:p>
    <w:p w14:paraId="2E6665F9" w14:textId="77777777" w:rsidR="00C440A2" w:rsidRPr="001244D0" w:rsidRDefault="00C440A2" w:rsidP="00C440A2">
      <w:pPr>
        <w:pStyle w:val="4-SubsectionHeading"/>
        <w:rPr>
          <w:iCs/>
        </w:rPr>
      </w:pPr>
      <w:bookmarkStart w:id="30" w:name="_Toc22897642"/>
      <w:bookmarkStart w:id="31" w:name="_Toc135072004"/>
      <w:r w:rsidRPr="001244D0">
        <w:rPr>
          <w:iCs/>
        </w:rPr>
        <w:t>Comparative harms</w:t>
      </w:r>
      <w:bookmarkEnd w:id="30"/>
      <w:bookmarkEnd w:id="31"/>
    </w:p>
    <w:p w14:paraId="52E4049F" w14:textId="5E306602" w:rsidR="00E967E8" w:rsidRDefault="00C440A2" w:rsidP="003945B8">
      <w:pPr>
        <w:pStyle w:val="3-BodyText"/>
        <w:rPr>
          <w:color w:val="0066FF"/>
        </w:rPr>
      </w:pPr>
      <w:bookmarkStart w:id="32" w:name="_Hlk104801403"/>
      <w:r>
        <w:t xml:space="preserve">A summary of key adverse events in trial M15-736 and Olanow 2014 is presented in </w:t>
      </w:r>
      <w:r>
        <w:fldChar w:fldCharType="begin"/>
      </w:r>
      <w:r>
        <w:instrText xml:space="preserve"> REF _Ref133621290 \h </w:instrText>
      </w:r>
      <w:r>
        <w:fldChar w:fldCharType="separate"/>
      </w:r>
      <w:r w:rsidR="0043339D">
        <w:t xml:space="preserve">Table </w:t>
      </w:r>
      <w:r w:rsidR="0043339D">
        <w:rPr>
          <w:noProof/>
        </w:rPr>
        <w:t>7</w:t>
      </w:r>
      <w:r>
        <w:fldChar w:fldCharType="end"/>
      </w:r>
      <w:r>
        <w:t>.</w:t>
      </w:r>
      <w:bookmarkEnd w:id="32"/>
    </w:p>
    <w:p w14:paraId="42ADC618" w14:textId="4EE578B4" w:rsidR="00C440A2" w:rsidRDefault="00C440A2" w:rsidP="00C440A2">
      <w:pPr>
        <w:pStyle w:val="Caption"/>
      </w:pPr>
      <w:bookmarkStart w:id="33" w:name="_Ref133621290"/>
      <w:r>
        <w:t xml:space="preserve">Table </w:t>
      </w:r>
      <w:r w:rsidR="000A217C">
        <w:fldChar w:fldCharType="begin"/>
      </w:r>
      <w:r w:rsidR="000A217C">
        <w:instrText xml:space="preserve"> SEQ Table \* ARABIC </w:instrText>
      </w:r>
      <w:r w:rsidR="000A217C">
        <w:fldChar w:fldCharType="separate"/>
      </w:r>
      <w:r w:rsidR="0043339D">
        <w:rPr>
          <w:noProof/>
        </w:rPr>
        <w:t>7</w:t>
      </w:r>
      <w:r w:rsidR="000A217C">
        <w:rPr>
          <w:noProof/>
        </w:rPr>
        <w:fldChar w:fldCharType="end"/>
      </w:r>
      <w:bookmarkEnd w:id="33"/>
      <w:r>
        <w:t>:</w:t>
      </w:r>
      <w:r w:rsidRPr="0075424E">
        <w:rPr>
          <w:rStyle w:val="CommentReference"/>
          <w:b/>
          <w:szCs w:val="24"/>
        </w:rPr>
        <w:t xml:space="preserve"> </w:t>
      </w:r>
      <w:r w:rsidRPr="00D86231">
        <w:rPr>
          <w:rStyle w:val="CommentReference"/>
          <w:b/>
          <w:szCs w:val="24"/>
        </w:rPr>
        <w:t>Summary of key adverse events in the trials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1326"/>
        <w:gridCol w:w="1897"/>
        <w:gridCol w:w="1360"/>
        <w:gridCol w:w="1384"/>
      </w:tblGrid>
      <w:tr w:rsidR="00C440A2" w:rsidRPr="00B2506D" w14:paraId="1FBC71E6" w14:textId="77777777" w:rsidTr="008556CE">
        <w:trPr>
          <w:cantSplit/>
          <w:tblHeader/>
          <w:jc w:val="center"/>
        </w:trPr>
        <w:tc>
          <w:tcPr>
            <w:tcW w:w="3049" w:type="dxa"/>
            <w:shd w:val="clear" w:color="auto" w:fill="auto"/>
            <w:vAlign w:val="center"/>
          </w:tcPr>
          <w:p w14:paraId="1F955313" w14:textId="77777777" w:rsidR="00C440A2" w:rsidRPr="00B2506D" w:rsidRDefault="00C440A2" w:rsidP="008556CE">
            <w:pPr>
              <w:pStyle w:val="Table"/>
              <w:keepNext/>
              <w:keepLines/>
              <w:jc w:val="center"/>
              <w:rPr>
                <w:rFonts w:ascii="Arial Narrow" w:hAnsi="Arial Narrow" w:cstheme="minorBidi"/>
                <w:b/>
                <w:szCs w:val="20"/>
              </w:rPr>
            </w:pPr>
            <w:r w:rsidRPr="00B2506D">
              <w:rPr>
                <w:rFonts w:ascii="Arial Narrow" w:hAnsi="Arial Narrow" w:cstheme="minorBidi"/>
                <w:b/>
                <w:bCs/>
                <w:szCs w:val="20"/>
              </w:rPr>
              <w:t>Events, n (%)</w:t>
            </w:r>
          </w:p>
        </w:tc>
        <w:tc>
          <w:tcPr>
            <w:tcW w:w="3223" w:type="dxa"/>
            <w:gridSpan w:val="2"/>
            <w:shd w:val="clear" w:color="auto" w:fill="auto"/>
            <w:vAlign w:val="center"/>
          </w:tcPr>
          <w:p w14:paraId="3EA0B6E6" w14:textId="77777777" w:rsidR="00C440A2" w:rsidRPr="00B2506D" w:rsidRDefault="00C440A2" w:rsidP="008556CE">
            <w:pPr>
              <w:pStyle w:val="Table"/>
              <w:keepNext/>
              <w:keepLines/>
              <w:jc w:val="center"/>
              <w:rPr>
                <w:rFonts w:ascii="Arial Narrow" w:hAnsi="Arial Narrow" w:cstheme="minorHAnsi"/>
                <w:b/>
                <w:szCs w:val="20"/>
              </w:rPr>
            </w:pPr>
            <w:r w:rsidRPr="00B2506D">
              <w:rPr>
                <w:rFonts w:ascii="Arial Narrow" w:hAnsi="Arial Narrow" w:cstheme="minorHAnsi"/>
                <w:b/>
                <w:szCs w:val="20"/>
              </w:rPr>
              <w:t>M15-736</w:t>
            </w:r>
          </w:p>
        </w:tc>
        <w:tc>
          <w:tcPr>
            <w:tcW w:w="2744" w:type="dxa"/>
            <w:gridSpan w:val="2"/>
            <w:shd w:val="clear" w:color="auto" w:fill="auto"/>
            <w:vAlign w:val="center"/>
          </w:tcPr>
          <w:p w14:paraId="36957BD5" w14:textId="77777777" w:rsidR="00C440A2" w:rsidRPr="00B2506D" w:rsidRDefault="00C440A2" w:rsidP="008556CE">
            <w:pPr>
              <w:pStyle w:val="Table"/>
              <w:keepNext/>
              <w:keepLines/>
              <w:jc w:val="center"/>
              <w:rPr>
                <w:rFonts w:ascii="Arial Narrow" w:hAnsi="Arial Narrow" w:cstheme="minorHAnsi"/>
                <w:b/>
                <w:szCs w:val="20"/>
              </w:rPr>
            </w:pPr>
            <w:r w:rsidRPr="00B2506D">
              <w:rPr>
                <w:rFonts w:ascii="Arial Narrow" w:hAnsi="Arial Narrow" w:cstheme="minorHAnsi"/>
                <w:b/>
                <w:szCs w:val="20"/>
              </w:rPr>
              <w:t>Olanow 2014</w:t>
            </w:r>
          </w:p>
        </w:tc>
      </w:tr>
      <w:tr w:rsidR="00C440A2" w:rsidRPr="00B2506D" w14:paraId="7D3C9CFF" w14:textId="77777777" w:rsidTr="008556CE">
        <w:trPr>
          <w:cantSplit/>
          <w:jc w:val="center"/>
        </w:trPr>
        <w:tc>
          <w:tcPr>
            <w:tcW w:w="3049" w:type="dxa"/>
            <w:shd w:val="clear" w:color="auto" w:fill="auto"/>
            <w:vAlign w:val="center"/>
          </w:tcPr>
          <w:p w14:paraId="1B6A3E07" w14:textId="77777777" w:rsidR="00C440A2" w:rsidRPr="00B2506D" w:rsidRDefault="00C440A2" w:rsidP="008556CE">
            <w:pPr>
              <w:pStyle w:val="Table"/>
              <w:keepNext/>
              <w:keepLines/>
              <w:jc w:val="center"/>
              <w:rPr>
                <w:rFonts w:ascii="Arial Narrow" w:hAnsi="Arial Narrow" w:cstheme="minorHAnsi"/>
                <w:szCs w:val="20"/>
              </w:rPr>
            </w:pPr>
          </w:p>
        </w:tc>
        <w:tc>
          <w:tcPr>
            <w:tcW w:w="1326" w:type="dxa"/>
            <w:shd w:val="clear" w:color="auto" w:fill="auto"/>
            <w:vAlign w:val="center"/>
          </w:tcPr>
          <w:p w14:paraId="55DA523B" w14:textId="74D04118" w:rsidR="00C440A2" w:rsidRPr="00B2506D" w:rsidRDefault="00C61ED4" w:rsidP="008556CE">
            <w:pPr>
              <w:pStyle w:val="Table"/>
              <w:keepNext/>
              <w:jc w:val="center"/>
              <w:rPr>
                <w:rFonts w:ascii="Arial Narrow" w:eastAsia="Times New Roman" w:hAnsi="Arial Narrow" w:cstheme="minorHAnsi"/>
                <w:b/>
                <w:bCs/>
                <w:szCs w:val="20"/>
              </w:rPr>
            </w:pPr>
            <w:r>
              <w:rPr>
                <w:rFonts w:ascii="Arial Narrow" w:eastAsia="Times New Roman" w:hAnsi="Arial Narrow" w:cstheme="minorHAnsi"/>
                <w:b/>
                <w:bCs/>
                <w:szCs w:val="20"/>
              </w:rPr>
              <w:t>F</w:t>
            </w:r>
            <w:r w:rsidR="00C440A2" w:rsidRPr="00B2506D">
              <w:rPr>
                <w:rFonts w:ascii="Arial Narrow" w:eastAsia="Times New Roman" w:hAnsi="Arial Narrow" w:cstheme="minorHAnsi"/>
                <w:b/>
                <w:bCs/>
                <w:szCs w:val="20"/>
              </w:rPr>
              <w:t>osLD/</w:t>
            </w:r>
            <w:r>
              <w:rPr>
                <w:rFonts w:ascii="Arial Narrow" w:eastAsia="Times New Roman" w:hAnsi="Arial Narrow" w:cstheme="minorHAnsi"/>
                <w:b/>
                <w:bCs/>
                <w:szCs w:val="20"/>
              </w:rPr>
              <w:t>F</w:t>
            </w:r>
            <w:r w:rsidR="00C440A2" w:rsidRPr="00B2506D">
              <w:rPr>
                <w:rFonts w:ascii="Arial Narrow" w:eastAsia="Times New Roman" w:hAnsi="Arial Narrow" w:cstheme="minorHAnsi"/>
                <w:b/>
                <w:bCs/>
                <w:szCs w:val="20"/>
              </w:rPr>
              <w:t>osCD</w:t>
            </w:r>
          </w:p>
        </w:tc>
        <w:tc>
          <w:tcPr>
            <w:tcW w:w="1897" w:type="dxa"/>
            <w:shd w:val="clear" w:color="auto" w:fill="auto"/>
            <w:vAlign w:val="center"/>
          </w:tcPr>
          <w:p w14:paraId="33918A69" w14:textId="318274CB" w:rsidR="00C440A2" w:rsidRPr="00B2506D" w:rsidRDefault="009B06F7" w:rsidP="008556CE">
            <w:pPr>
              <w:pStyle w:val="Table"/>
              <w:keepNext/>
              <w:jc w:val="center"/>
              <w:rPr>
                <w:rFonts w:ascii="Arial Narrow" w:eastAsia="Times New Roman" w:hAnsi="Arial Narrow" w:cstheme="minorHAnsi"/>
                <w:b/>
                <w:bCs/>
                <w:szCs w:val="20"/>
              </w:rPr>
            </w:pPr>
            <w:r>
              <w:rPr>
                <w:rFonts w:ascii="Arial Narrow" w:eastAsia="Times New Roman" w:hAnsi="Arial Narrow" w:cstheme="minorHAnsi"/>
                <w:b/>
                <w:bCs/>
                <w:szCs w:val="20"/>
              </w:rPr>
              <w:t xml:space="preserve">Oral </w:t>
            </w:r>
            <w:r w:rsidR="00C440A2" w:rsidRPr="00B2506D">
              <w:rPr>
                <w:rFonts w:ascii="Arial Narrow" w:eastAsia="Times New Roman" w:hAnsi="Arial Narrow" w:cstheme="minorHAnsi"/>
                <w:b/>
                <w:bCs/>
                <w:szCs w:val="20"/>
              </w:rPr>
              <w:t>LD/C</w:t>
            </w:r>
            <w:r>
              <w:rPr>
                <w:rFonts w:ascii="Arial Narrow" w:eastAsia="Times New Roman" w:hAnsi="Arial Narrow" w:cstheme="minorHAnsi"/>
                <w:b/>
                <w:bCs/>
                <w:szCs w:val="20"/>
              </w:rPr>
              <w:t>D</w:t>
            </w:r>
          </w:p>
        </w:tc>
        <w:tc>
          <w:tcPr>
            <w:tcW w:w="1360" w:type="dxa"/>
            <w:shd w:val="clear" w:color="auto" w:fill="auto"/>
            <w:vAlign w:val="center"/>
          </w:tcPr>
          <w:p w14:paraId="7177A3FA" w14:textId="77777777" w:rsidR="00C440A2" w:rsidRPr="00B2506D" w:rsidRDefault="00C440A2" w:rsidP="008556CE">
            <w:pPr>
              <w:pStyle w:val="Table"/>
              <w:keepNext/>
              <w:jc w:val="center"/>
              <w:rPr>
                <w:rFonts w:ascii="Arial Narrow" w:eastAsia="Times New Roman" w:hAnsi="Arial Narrow" w:cstheme="minorHAnsi"/>
                <w:b/>
                <w:bCs/>
                <w:szCs w:val="20"/>
              </w:rPr>
            </w:pPr>
            <w:r w:rsidRPr="00B2506D">
              <w:rPr>
                <w:rFonts w:ascii="Arial Narrow" w:eastAsia="Times New Roman" w:hAnsi="Arial Narrow" w:cstheme="minorHAnsi"/>
                <w:b/>
                <w:bCs/>
                <w:szCs w:val="20"/>
              </w:rPr>
              <w:t>LCIG</w:t>
            </w:r>
          </w:p>
        </w:tc>
        <w:tc>
          <w:tcPr>
            <w:tcW w:w="1384" w:type="dxa"/>
            <w:shd w:val="clear" w:color="auto" w:fill="auto"/>
            <w:vAlign w:val="center"/>
          </w:tcPr>
          <w:p w14:paraId="15DA92C0" w14:textId="2D9817BF" w:rsidR="00C440A2" w:rsidRPr="00B2506D" w:rsidRDefault="009B06F7" w:rsidP="008556CE">
            <w:pPr>
              <w:pStyle w:val="Table"/>
              <w:keepNext/>
              <w:jc w:val="center"/>
              <w:rPr>
                <w:rFonts w:ascii="Arial Narrow" w:eastAsia="Times New Roman" w:hAnsi="Arial Narrow" w:cstheme="minorHAnsi"/>
                <w:b/>
                <w:bCs/>
                <w:szCs w:val="20"/>
              </w:rPr>
            </w:pPr>
            <w:r>
              <w:rPr>
                <w:rFonts w:ascii="Arial Narrow" w:eastAsia="Times New Roman" w:hAnsi="Arial Narrow" w:cstheme="minorHAnsi"/>
                <w:b/>
                <w:bCs/>
                <w:szCs w:val="20"/>
              </w:rPr>
              <w:t xml:space="preserve">Oral </w:t>
            </w:r>
            <w:r w:rsidR="00C440A2" w:rsidRPr="00B2506D">
              <w:rPr>
                <w:rFonts w:ascii="Arial Narrow" w:eastAsia="Times New Roman" w:hAnsi="Arial Narrow" w:cstheme="minorHAnsi"/>
                <w:b/>
                <w:bCs/>
                <w:szCs w:val="20"/>
              </w:rPr>
              <w:t>LD/CD</w:t>
            </w:r>
          </w:p>
        </w:tc>
      </w:tr>
      <w:tr w:rsidR="00C440A2" w:rsidRPr="00B2506D" w14:paraId="67A0DCC7" w14:textId="77777777" w:rsidTr="008556CE">
        <w:trPr>
          <w:cantSplit/>
          <w:jc w:val="center"/>
        </w:trPr>
        <w:tc>
          <w:tcPr>
            <w:tcW w:w="3049" w:type="dxa"/>
            <w:shd w:val="clear" w:color="auto" w:fill="auto"/>
            <w:vAlign w:val="center"/>
          </w:tcPr>
          <w:p w14:paraId="195FED42" w14:textId="77777777" w:rsidR="00C440A2" w:rsidRPr="00B2506D" w:rsidRDefault="00C440A2" w:rsidP="008556CE">
            <w:pPr>
              <w:pStyle w:val="Table"/>
              <w:keepNext/>
              <w:keepLines/>
              <w:rPr>
                <w:rFonts w:ascii="Arial Narrow" w:hAnsi="Arial Narrow" w:cstheme="minorHAnsi"/>
                <w:szCs w:val="20"/>
              </w:rPr>
            </w:pPr>
            <w:r w:rsidRPr="00B2506D">
              <w:rPr>
                <w:rFonts w:ascii="Arial Narrow" w:hAnsi="Arial Narrow" w:cstheme="minorHAnsi"/>
                <w:szCs w:val="20"/>
              </w:rPr>
              <w:t>n</w:t>
            </w:r>
          </w:p>
        </w:tc>
        <w:tc>
          <w:tcPr>
            <w:tcW w:w="1326" w:type="dxa"/>
            <w:shd w:val="clear" w:color="auto" w:fill="auto"/>
            <w:vAlign w:val="center"/>
          </w:tcPr>
          <w:p w14:paraId="101DB1F4"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74</w:t>
            </w:r>
          </w:p>
        </w:tc>
        <w:tc>
          <w:tcPr>
            <w:tcW w:w="1897" w:type="dxa"/>
            <w:shd w:val="clear" w:color="auto" w:fill="auto"/>
            <w:vAlign w:val="center"/>
          </w:tcPr>
          <w:p w14:paraId="5E40A139"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67</w:t>
            </w:r>
          </w:p>
        </w:tc>
        <w:tc>
          <w:tcPr>
            <w:tcW w:w="1360" w:type="dxa"/>
            <w:shd w:val="clear" w:color="auto" w:fill="auto"/>
            <w:vAlign w:val="center"/>
          </w:tcPr>
          <w:p w14:paraId="707601C3"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37</w:t>
            </w:r>
          </w:p>
        </w:tc>
        <w:tc>
          <w:tcPr>
            <w:tcW w:w="1384" w:type="dxa"/>
            <w:shd w:val="clear" w:color="auto" w:fill="auto"/>
            <w:vAlign w:val="center"/>
          </w:tcPr>
          <w:p w14:paraId="7A2E91EB"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34</w:t>
            </w:r>
          </w:p>
        </w:tc>
      </w:tr>
      <w:tr w:rsidR="00C440A2" w:rsidRPr="00B2506D" w14:paraId="3097FD85" w14:textId="77777777" w:rsidTr="008556CE">
        <w:trPr>
          <w:cantSplit/>
          <w:jc w:val="center"/>
        </w:trPr>
        <w:tc>
          <w:tcPr>
            <w:tcW w:w="3049" w:type="dxa"/>
            <w:shd w:val="clear" w:color="auto" w:fill="auto"/>
            <w:vAlign w:val="center"/>
          </w:tcPr>
          <w:p w14:paraId="2142BA9A"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Any TEAE</w:t>
            </w:r>
          </w:p>
        </w:tc>
        <w:tc>
          <w:tcPr>
            <w:tcW w:w="1326" w:type="dxa"/>
            <w:shd w:val="clear" w:color="auto" w:fill="auto"/>
            <w:vAlign w:val="center"/>
          </w:tcPr>
          <w:p w14:paraId="17FD6689"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63 (85.1)</w:t>
            </w:r>
          </w:p>
        </w:tc>
        <w:tc>
          <w:tcPr>
            <w:tcW w:w="1897" w:type="dxa"/>
            <w:shd w:val="clear" w:color="auto" w:fill="auto"/>
            <w:vAlign w:val="center"/>
          </w:tcPr>
          <w:p w14:paraId="6F535F46"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42 (62.7)</w:t>
            </w:r>
          </w:p>
        </w:tc>
        <w:tc>
          <w:tcPr>
            <w:tcW w:w="1360" w:type="dxa"/>
            <w:shd w:val="clear" w:color="auto" w:fill="auto"/>
            <w:vAlign w:val="center"/>
          </w:tcPr>
          <w:p w14:paraId="6C7AE189"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35 (94.6)</w:t>
            </w:r>
          </w:p>
        </w:tc>
        <w:tc>
          <w:tcPr>
            <w:tcW w:w="1384" w:type="dxa"/>
            <w:shd w:val="clear" w:color="auto" w:fill="auto"/>
            <w:vAlign w:val="center"/>
          </w:tcPr>
          <w:p w14:paraId="412B2E32"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34 (100)</w:t>
            </w:r>
          </w:p>
        </w:tc>
      </w:tr>
      <w:tr w:rsidR="00C440A2" w:rsidRPr="00B2506D" w14:paraId="42BD145D" w14:textId="77777777" w:rsidTr="008556CE">
        <w:trPr>
          <w:cantSplit/>
          <w:jc w:val="center"/>
        </w:trPr>
        <w:tc>
          <w:tcPr>
            <w:tcW w:w="3049" w:type="dxa"/>
            <w:shd w:val="clear" w:color="auto" w:fill="auto"/>
            <w:vAlign w:val="center"/>
          </w:tcPr>
          <w:p w14:paraId="51E5AA7C"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Serious TEAE</w:t>
            </w:r>
          </w:p>
        </w:tc>
        <w:tc>
          <w:tcPr>
            <w:tcW w:w="1326" w:type="dxa"/>
            <w:shd w:val="clear" w:color="auto" w:fill="auto"/>
            <w:vAlign w:val="center"/>
          </w:tcPr>
          <w:p w14:paraId="72CA48B6"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6 (8.1)</w:t>
            </w:r>
          </w:p>
        </w:tc>
        <w:tc>
          <w:tcPr>
            <w:tcW w:w="1897" w:type="dxa"/>
            <w:shd w:val="clear" w:color="auto" w:fill="auto"/>
            <w:vAlign w:val="center"/>
          </w:tcPr>
          <w:p w14:paraId="55545D03"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4 (6.0)</w:t>
            </w:r>
          </w:p>
        </w:tc>
        <w:tc>
          <w:tcPr>
            <w:tcW w:w="1360" w:type="dxa"/>
            <w:shd w:val="clear" w:color="auto" w:fill="auto"/>
            <w:vAlign w:val="center"/>
          </w:tcPr>
          <w:p w14:paraId="20810F56"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5 (13.5)</w:t>
            </w:r>
          </w:p>
        </w:tc>
        <w:tc>
          <w:tcPr>
            <w:tcW w:w="1384" w:type="dxa"/>
            <w:shd w:val="clear" w:color="auto" w:fill="auto"/>
            <w:vAlign w:val="center"/>
          </w:tcPr>
          <w:p w14:paraId="12362884"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7 (20.6)</w:t>
            </w:r>
          </w:p>
        </w:tc>
      </w:tr>
      <w:tr w:rsidR="00C440A2" w:rsidRPr="00B2506D" w14:paraId="5B8960E5" w14:textId="77777777" w:rsidTr="008556CE">
        <w:trPr>
          <w:cantSplit/>
          <w:jc w:val="center"/>
        </w:trPr>
        <w:tc>
          <w:tcPr>
            <w:tcW w:w="3049" w:type="dxa"/>
            <w:shd w:val="clear" w:color="auto" w:fill="auto"/>
            <w:vAlign w:val="center"/>
          </w:tcPr>
          <w:p w14:paraId="6AC30767" w14:textId="59530AC3" w:rsidR="00C440A2" w:rsidRPr="00B2506D" w:rsidRDefault="00C440A2" w:rsidP="008556CE">
            <w:pPr>
              <w:pStyle w:val="Table"/>
              <w:keepNext/>
              <w:keepLines/>
              <w:rPr>
                <w:rFonts w:ascii="Arial Narrow" w:eastAsia="MS Gothic" w:hAnsi="Arial Narrow" w:cs="Times New Roman"/>
                <w:szCs w:val="20"/>
                <w:vertAlign w:val="superscript"/>
              </w:rPr>
            </w:pPr>
            <w:r w:rsidRPr="00B2506D">
              <w:rPr>
                <w:rFonts w:ascii="Arial Narrow" w:hAnsi="Arial Narrow" w:cstheme="minorBidi"/>
                <w:szCs w:val="20"/>
              </w:rPr>
              <w:t xml:space="preserve">AE Leading to </w:t>
            </w:r>
            <w:r w:rsidR="00982218">
              <w:rPr>
                <w:rFonts w:ascii="Arial Narrow" w:hAnsi="Arial Narrow" w:cstheme="minorBidi"/>
                <w:szCs w:val="20"/>
              </w:rPr>
              <w:t>d</w:t>
            </w:r>
            <w:r w:rsidRPr="00B2506D">
              <w:rPr>
                <w:rFonts w:ascii="Arial Narrow" w:hAnsi="Arial Narrow" w:cstheme="minorBidi"/>
                <w:szCs w:val="20"/>
              </w:rPr>
              <w:t>eath</w:t>
            </w:r>
          </w:p>
        </w:tc>
        <w:tc>
          <w:tcPr>
            <w:tcW w:w="1326" w:type="dxa"/>
            <w:shd w:val="clear" w:color="auto" w:fill="auto"/>
            <w:vAlign w:val="center"/>
          </w:tcPr>
          <w:p w14:paraId="56FFEF88"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0</w:t>
            </w:r>
          </w:p>
        </w:tc>
        <w:tc>
          <w:tcPr>
            <w:tcW w:w="1897" w:type="dxa"/>
            <w:shd w:val="clear" w:color="auto" w:fill="auto"/>
            <w:vAlign w:val="center"/>
          </w:tcPr>
          <w:p w14:paraId="33950A93"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1 (1.5)</w:t>
            </w:r>
          </w:p>
        </w:tc>
        <w:tc>
          <w:tcPr>
            <w:tcW w:w="1360" w:type="dxa"/>
            <w:shd w:val="clear" w:color="auto" w:fill="auto"/>
            <w:vAlign w:val="center"/>
          </w:tcPr>
          <w:p w14:paraId="77C37EE4"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0</w:t>
            </w:r>
          </w:p>
        </w:tc>
        <w:tc>
          <w:tcPr>
            <w:tcW w:w="1384" w:type="dxa"/>
            <w:shd w:val="clear" w:color="auto" w:fill="auto"/>
            <w:vAlign w:val="center"/>
          </w:tcPr>
          <w:p w14:paraId="21E7FAB3"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 xml:space="preserve">0 </w:t>
            </w:r>
          </w:p>
        </w:tc>
      </w:tr>
      <w:tr w:rsidR="00C440A2" w:rsidRPr="00B2506D" w14:paraId="543E8E4B" w14:textId="77777777" w:rsidTr="008556CE">
        <w:trPr>
          <w:cantSplit/>
          <w:jc w:val="center"/>
        </w:trPr>
        <w:tc>
          <w:tcPr>
            <w:tcW w:w="3049" w:type="dxa"/>
            <w:shd w:val="clear" w:color="auto" w:fill="auto"/>
            <w:vAlign w:val="center"/>
          </w:tcPr>
          <w:p w14:paraId="4057100D" w14:textId="1F8D9EED"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 xml:space="preserve">AE leading to </w:t>
            </w:r>
            <w:r w:rsidR="00982218">
              <w:rPr>
                <w:rFonts w:ascii="Arial Narrow" w:hAnsi="Arial Narrow" w:cstheme="minorBidi"/>
                <w:szCs w:val="20"/>
              </w:rPr>
              <w:t>d</w:t>
            </w:r>
            <w:r w:rsidRPr="00B2506D">
              <w:rPr>
                <w:rFonts w:ascii="Arial Narrow" w:hAnsi="Arial Narrow" w:cstheme="minorBidi"/>
                <w:szCs w:val="20"/>
              </w:rPr>
              <w:t xml:space="preserve">iscontinuation </w:t>
            </w:r>
          </w:p>
        </w:tc>
        <w:tc>
          <w:tcPr>
            <w:tcW w:w="1326" w:type="dxa"/>
            <w:shd w:val="clear" w:color="auto" w:fill="auto"/>
            <w:vAlign w:val="center"/>
          </w:tcPr>
          <w:p w14:paraId="670F9AE9"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16 (21.6)</w:t>
            </w:r>
          </w:p>
        </w:tc>
        <w:tc>
          <w:tcPr>
            <w:tcW w:w="1897" w:type="dxa"/>
            <w:shd w:val="clear" w:color="auto" w:fill="auto"/>
            <w:vAlign w:val="center"/>
          </w:tcPr>
          <w:p w14:paraId="5CB6D4D4"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1 (1.5)</w:t>
            </w:r>
          </w:p>
        </w:tc>
        <w:tc>
          <w:tcPr>
            <w:tcW w:w="1360" w:type="dxa"/>
            <w:shd w:val="clear" w:color="auto" w:fill="auto"/>
            <w:vAlign w:val="center"/>
          </w:tcPr>
          <w:p w14:paraId="6D0FB057"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 xml:space="preserve">1 (2.7) </w:t>
            </w:r>
          </w:p>
        </w:tc>
        <w:tc>
          <w:tcPr>
            <w:tcW w:w="1384" w:type="dxa"/>
            <w:shd w:val="clear" w:color="auto" w:fill="auto"/>
            <w:vAlign w:val="center"/>
          </w:tcPr>
          <w:p w14:paraId="0DECE5F5"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2 (5.9)</w:t>
            </w:r>
          </w:p>
        </w:tc>
      </w:tr>
      <w:tr w:rsidR="00C440A2" w:rsidRPr="00B2506D" w14:paraId="74335C46" w14:textId="77777777" w:rsidTr="008556CE">
        <w:trPr>
          <w:cantSplit/>
          <w:jc w:val="center"/>
        </w:trPr>
        <w:tc>
          <w:tcPr>
            <w:tcW w:w="3049" w:type="dxa"/>
            <w:shd w:val="clear" w:color="auto" w:fill="auto"/>
            <w:vAlign w:val="center"/>
          </w:tcPr>
          <w:p w14:paraId="7EE5A61D" w14:textId="77777777" w:rsidR="00C440A2" w:rsidRPr="00B2506D" w:rsidRDefault="00C440A2" w:rsidP="008556CE">
            <w:pPr>
              <w:pStyle w:val="Table"/>
              <w:keepNext/>
              <w:rPr>
                <w:rFonts w:ascii="Arial Narrow" w:eastAsia="MS Gothic" w:hAnsi="Arial Narrow" w:cs="Times New Roman"/>
                <w:szCs w:val="20"/>
              </w:rPr>
            </w:pPr>
            <w:r w:rsidRPr="00B2506D">
              <w:rPr>
                <w:rFonts w:ascii="Arial Narrow" w:eastAsia="MS Gothic" w:hAnsi="Arial Narrow" w:cs="Times New Roman"/>
                <w:szCs w:val="20"/>
              </w:rPr>
              <w:t>Drug-related TEAE</w:t>
            </w:r>
          </w:p>
        </w:tc>
        <w:tc>
          <w:tcPr>
            <w:tcW w:w="1326" w:type="dxa"/>
            <w:shd w:val="clear" w:color="auto" w:fill="auto"/>
            <w:vAlign w:val="center"/>
          </w:tcPr>
          <w:p w14:paraId="4B22A2B1"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52 (70.3)</w:t>
            </w:r>
          </w:p>
        </w:tc>
        <w:tc>
          <w:tcPr>
            <w:tcW w:w="1897" w:type="dxa"/>
            <w:shd w:val="clear" w:color="auto" w:fill="auto"/>
            <w:vAlign w:val="center"/>
          </w:tcPr>
          <w:p w14:paraId="0AC83965"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15 (22.4)</w:t>
            </w:r>
          </w:p>
        </w:tc>
        <w:tc>
          <w:tcPr>
            <w:tcW w:w="1360" w:type="dxa"/>
            <w:shd w:val="clear" w:color="auto" w:fill="auto"/>
            <w:vAlign w:val="center"/>
          </w:tcPr>
          <w:p w14:paraId="3E4E8A0B"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NR</w:t>
            </w:r>
          </w:p>
        </w:tc>
        <w:tc>
          <w:tcPr>
            <w:tcW w:w="1384" w:type="dxa"/>
            <w:shd w:val="clear" w:color="auto" w:fill="auto"/>
            <w:vAlign w:val="center"/>
          </w:tcPr>
          <w:p w14:paraId="6612A43B"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NR</w:t>
            </w:r>
          </w:p>
        </w:tc>
      </w:tr>
      <w:tr w:rsidR="00C440A2" w:rsidRPr="00B2506D" w14:paraId="164B4313" w14:textId="77777777" w:rsidTr="008556CE">
        <w:trPr>
          <w:cantSplit/>
          <w:jc w:val="center"/>
        </w:trPr>
        <w:tc>
          <w:tcPr>
            <w:tcW w:w="3049" w:type="dxa"/>
            <w:shd w:val="clear" w:color="auto" w:fill="auto"/>
            <w:vAlign w:val="bottom"/>
          </w:tcPr>
          <w:p w14:paraId="7167D865"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 xml:space="preserve">Device-related TEAE </w:t>
            </w:r>
          </w:p>
        </w:tc>
        <w:tc>
          <w:tcPr>
            <w:tcW w:w="1326" w:type="dxa"/>
            <w:shd w:val="clear" w:color="auto" w:fill="auto"/>
            <w:vAlign w:val="center"/>
          </w:tcPr>
          <w:p w14:paraId="37E59B58"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46 (62.2)</w:t>
            </w:r>
          </w:p>
        </w:tc>
        <w:tc>
          <w:tcPr>
            <w:tcW w:w="1897" w:type="dxa"/>
            <w:shd w:val="clear" w:color="auto" w:fill="auto"/>
            <w:vAlign w:val="center"/>
          </w:tcPr>
          <w:p w14:paraId="7E855429" w14:textId="77777777" w:rsidR="00C440A2" w:rsidRPr="00B2506D" w:rsidRDefault="00C440A2" w:rsidP="008556CE">
            <w:pPr>
              <w:pStyle w:val="Table"/>
              <w:keepNext/>
              <w:jc w:val="center"/>
              <w:rPr>
                <w:rFonts w:ascii="Arial Narrow" w:eastAsia="Times New Roman" w:hAnsi="Arial Narrow" w:cstheme="minorHAnsi"/>
                <w:szCs w:val="20"/>
              </w:rPr>
            </w:pPr>
            <w:r w:rsidRPr="00B2506D">
              <w:rPr>
                <w:rFonts w:ascii="Arial Narrow" w:eastAsia="Times New Roman" w:hAnsi="Arial Narrow" w:cstheme="minorHAnsi"/>
                <w:szCs w:val="20"/>
              </w:rPr>
              <w:t>8 (11.9)</w:t>
            </w:r>
          </w:p>
        </w:tc>
        <w:tc>
          <w:tcPr>
            <w:tcW w:w="1360" w:type="dxa"/>
            <w:shd w:val="clear" w:color="auto" w:fill="auto"/>
            <w:vAlign w:val="center"/>
          </w:tcPr>
          <w:p w14:paraId="5BFA96E3"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34 (91.9)</w:t>
            </w:r>
          </w:p>
        </w:tc>
        <w:tc>
          <w:tcPr>
            <w:tcW w:w="1384" w:type="dxa"/>
            <w:shd w:val="clear" w:color="auto" w:fill="auto"/>
            <w:vAlign w:val="center"/>
          </w:tcPr>
          <w:p w14:paraId="377B752E"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29 (85.3)</w:t>
            </w:r>
          </w:p>
        </w:tc>
      </w:tr>
      <w:tr w:rsidR="00C440A2" w:rsidRPr="00B2506D" w14:paraId="75DF1446" w14:textId="77777777" w:rsidTr="008556CE">
        <w:trPr>
          <w:cantSplit/>
          <w:jc w:val="center"/>
        </w:trPr>
        <w:tc>
          <w:tcPr>
            <w:tcW w:w="3049" w:type="dxa"/>
            <w:shd w:val="clear" w:color="auto" w:fill="auto"/>
            <w:vAlign w:val="center"/>
          </w:tcPr>
          <w:p w14:paraId="6058EFD1" w14:textId="77777777" w:rsidR="00C440A2" w:rsidRPr="00B2506D" w:rsidRDefault="00C440A2" w:rsidP="008556CE">
            <w:pPr>
              <w:pStyle w:val="Table"/>
              <w:keepNext/>
              <w:rPr>
                <w:rFonts w:ascii="Arial Narrow" w:eastAsia="MS Gothic" w:hAnsi="Arial Narrow" w:cs="Times New Roman"/>
                <w:szCs w:val="20"/>
              </w:rPr>
            </w:pPr>
            <w:r w:rsidRPr="00B2506D">
              <w:rPr>
                <w:rFonts w:ascii="Arial Narrow" w:eastAsia="MS Gothic" w:hAnsi="Arial Narrow" w:cs="Times New Roman"/>
                <w:szCs w:val="20"/>
              </w:rPr>
              <w:t>Surgery-related TEAE</w:t>
            </w:r>
          </w:p>
        </w:tc>
        <w:tc>
          <w:tcPr>
            <w:tcW w:w="1326" w:type="dxa"/>
            <w:shd w:val="clear" w:color="auto" w:fill="auto"/>
            <w:vAlign w:val="center"/>
          </w:tcPr>
          <w:p w14:paraId="4EF4FC71"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0</w:t>
            </w:r>
          </w:p>
        </w:tc>
        <w:tc>
          <w:tcPr>
            <w:tcW w:w="1897" w:type="dxa"/>
            <w:shd w:val="clear" w:color="auto" w:fill="auto"/>
            <w:vAlign w:val="center"/>
          </w:tcPr>
          <w:p w14:paraId="27855AE3"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0</w:t>
            </w:r>
          </w:p>
        </w:tc>
        <w:tc>
          <w:tcPr>
            <w:tcW w:w="1360" w:type="dxa"/>
            <w:shd w:val="clear" w:color="auto" w:fill="auto"/>
            <w:vAlign w:val="center"/>
          </w:tcPr>
          <w:p w14:paraId="41FC7627"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2 (5.4)</w:t>
            </w:r>
          </w:p>
        </w:tc>
        <w:tc>
          <w:tcPr>
            <w:tcW w:w="1384" w:type="dxa"/>
            <w:shd w:val="clear" w:color="auto" w:fill="auto"/>
            <w:vAlign w:val="center"/>
          </w:tcPr>
          <w:p w14:paraId="0D4D9F25"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3 (8.8)</w:t>
            </w:r>
          </w:p>
        </w:tc>
      </w:tr>
      <w:tr w:rsidR="00C440A2" w:rsidRPr="00B2506D" w14:paraId="150FE4AD" w14:textId="77777777" w:rsidTr="008556CE">
        <w:trPr>
          <w:cantSplit/>
          <w:jc w:val="center"/>
        </w:trPr>
        <w:tc>
          <w:tcPr>
            <w:tcW w:w="9016" w:type="dxa"/>
            <w:gridSpan w:val="5"/>
            <w:shd w:val="clear" w:color="auto" w:fill="auto"/>
            <w:vAlign w:val="center"/>
          </w:tcPr>
          <w:p w14:paraId="0A19A65D" w14:textId="77777777" w:rsidR="00C440A2" w:rsidRPr="00B2506D" w:rsidRDefault="00C440A2" w:rsidP="008556CE">
            <w:pPr>
              <w:pStyle w:val="Table"/>
              <w:keepNext/>
              <w:rPr>
                <w:rFonts w:ascii="Arial Narrow" w:eastAsia="Times New Roman" w:hAnsi="Arial Narrow" w:cstheme="minorBidi"/>
                <w:szCs w:val="20"/>
              </w:rPr>
            </w:pPr>
            <w:r w:rsidRPr="00B2506D">
              <w:rPr>
                <w:rFonts w:ascii="Arial Narrow" w:hAnsi="Arial Narrow" w:cstheme="minorBidi"/>
                <w:b/>
                <w:bCs/>
                <w:szCs w:val="20"/>
              </w:rPr>
              <w:t>TEAE</w:t>
            </w:r>
            <w:r w:rsidRPr="00B2506D">
              <w:rPr>
                <w:rFonts w:ascii="Arial Narrow" w:hAnsi="Arial Narrow" w:cstheme="minorBidi"/>
                <w:b/>
                <w:szCs w:val="20"/>
              </w:rPr>
              <w:t xml:space="preserve"> of special interest</w:t>
            </w:r>
          </w:p>
        </w:tc>
      </w:tr>
      <w:tr w:rsidR="00C440A2" w:rsidRPr="00B2506D" w14:paraId="2498EDFE" w14:textId="77777777" w:rsidTr="008556CE">
        <w:trPr>
          <w:cantSplit/>
          <w:jc w:val="center"/>
        </w:trPr>
        <w:tc>
          <w:tcPr>
            <w:tcW w:w="3049" w:type="dxa"/>
            <w:shd w:val="clear" w:color="auto" w:fill="auto"/>
            <w:vAlign w:val="center"/>
          </w:tcPr>
          <w:p w14:paraId="1DC47EBE" w14:textId="77777777" w:rsidR="00C440A2" w:rsidRPr="00B2506D" w:rsidRDefault="00C440A2" w:rsidP="008556CE">
            <w:pPr>
              <w:pStyle w:val="Table"/>
              <w:keepNext/>
              <w:rPr>
                <w:rFonts w:ascii="Arial Narrow" w:eastAsia="MS Gothic" w:hAnsi="Arial Narrow" w:cs="Times New Roman"/>
                <w:szCs w:val="20"/>
              </w:rPr>
            </w:pPr>
            <w:r w:rsidRPr="00B2506D">
              <w:rPr>
                <w:rFonts w:ascii="Arial Narrow" w:eastAsia="MS Gothic" w:hAnsi="Arial Narrow" w:cs="Times New Roman"/>
                <w:szCs w:val="20"/>
              </w:rPr>
              <w:t>Hallucinations</w:t>
            </w:r>
          </w:p>
        </w:tc>
        <w:tc>
          <w:tcPr>
            <w:tcW w:w="1326" w:type="dxa"/>
            <w:shd w:val="clear" w:color="auto" w:fill="auto"/>
            <w:vAlign w:val="center"/>
          </w:tcPr>
          <w:p w14:paraId="163EF3DA"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11 (14.9)</w:t>
            </w:r>
          </w:p>
        </w:tc>
        <w:tc>
          <w:tcPr>
            <w:tcW w:w="1897" w:type="dxa"/>
            <w:shd w:val="clear" w:color="auto" w:fill="auto"/>
            <w:vAlign w:val="center"/>
          </w:tcPr>
          <w:p w14:paraId="081DA7D9"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2 (3.0)</w:t>
            </w:r>
          </w:p>
        </w:tc>
        <w:tc>
          <w:tcPr>
            <w:tcW w:w="1360" w:type="dxa"/>
            <w:shd w:val="clear" w:color="auto" w:fill="auto"/>
            <w:vAlign w:val="center"/>
          </w:tcPr>
          <w:p w14:paraId="74BCE567"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1 (2.7)</w:t>
            </w:r>
          </w:p>
        </w:tc>
        <w:tc>
          <w:tcPr>
            <w:tcW w:w="1384" w:type="dxa"/>
            <w:shd w:val="clear" w:color="auto" w:fill="auto"/>
            <w:vAlign w:val="center"/>
          </w:tcPr>
          <w:p w14:paraId="0DB99BC1"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MS Gothic" w:hAnsi="Arial Narrow" w:cs="Times New Roman"/>
                <w:szCs w:val="20"/>
              </w:rPr>
              <w:t>1 (2.9)</w:t>
            </w:r>
          </w:p>
        </w:tc>
      </w:tr>
      <w:tr w:rsidR="00C440A2" w:rsidRPr="00B2506D" w14:paraId="706A03C1" w14:textId="77777777" w:rsidTr="008556CE">
        <w:trPr>
          <w:cantSplit/>
          <w:jc w:val="center"/>
        </w:trPr>
        <w:tc>
          <w:tcPr>
            <w:tcW w:w="3049" w:type="dxa"/>
            <w:shd w:val="clear" w:color="auto" w:fill="auto"/>
            <w:vAlign w:val="center"/>
          </w:tcPr>
          <w:p w14:paraId="19EEE991"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Falls and associated injuries</w:t>
            </w:r>
          </w:p>
        </w:tc>
        <w:tc>
          <w:tcPr>
            <w:tcW w:w="1326" w:type="dxa"/>
            <w:shd w:val="clear" w:color="auto" w:fill="auto"/>
            <w:vAlign w:val="center"/>
          </w:tcPr>
          <w:p w14:paraId="7D830D4E"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6 (8.1)</w:t>
            </w:r>
          </w:p>
        </w:tc>
        <w:tc>
          <w:tcPr>
            <w:tcW w:w="1897" w:type="dxa"/>
            <w:shd w:val="clear" w:color="auto" w:fill="auto"/>
            <w:vAlign w:val="center"/>
          </w:tcPr>
          <w:p w14:paraId="27A25AEE"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25 (37.3)</w:t>
            </w:r>
          </w:p>
        </w:tc>
        <w:tc>
          <w:tcPr>
            <w:tcW w:w="1360" w:type="dxa"/>
            <w:shd w:val="clear" w:color="auto" w:fill="auto"/>
            <w:vAlign w:val="center"/>
          </w:tcPr>
          <w:p w14:paraId="1A871E07"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4 (10.8)</w:t>
            </w:r>
          </w:p>
        </w:tc>
        <w:tc>
          <w:tcPr>
            <w:tcW w:w="1384" w:type="dxa"/>
            <w:shd w:val="clear" w:color="auto" w:fill="auto"/>
            <w:vAlign w:val="center"/>
          </w:tcPr>
          <w:p w14:paraId="4C97A38C"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4 (11.8)</w:t>
            </w:r>
          </w:p>
        </w:tc>
      </w:tr>
      <w:tr w:rsidR="00C440A2" w:rsidRPr="00B2506D" w14:paraId="6DA3E048" w14:textId="77777777" w:rsidTr="008556CE">
        <w:trPr>
          <w:cantSplit/>
          <w:jc w:val="center"/>
        </w:trPr>
        <w:tc>
          <w:tcPr>
            <w:tcW w:w="3049" w:type="dxa"/>
            <w:shd w:val="clear" w:color="auto" w:fill="auto"/>
            <w:vAlign w:val="center"/>
          </w:tcPr>
          <w:p w14:paraId="2E1EF169"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Infusion site infection</w:t>
            </w:r>
          </w:p>
        </w:tc>
        <w:tc>
          <w:tcPr>
            <w:tcW w:w="1326" w:type="dxa"/>
            <w:shd w:val="clear" w:color="auto" w:fill="auto"/>
            <w:vAlign w:val="center"/>
          </w:tcPr>
          <w:p w14:paraId="74200B01"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21 (28.4)</w:t>
            </w:r>
          </w:p>
        </w:tc>
        <w:tc>
          <w:tcPr>
            <w:tcW w:w="1897" w:type="dxa"/>
            <w:shd w:val="clear" w:color="auto" w:fill="auto"/>
            <w:vAlign w:val="center"/>
          </w:tcPr>
          <w:p w14:paraId="0C53189B"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2 (3.0)</w:t>
            </w:r>
          </w:p>
        </w:tc>
        <w:tc>
          <w:tcPr>
            <w:tcW w:w="1360" w:type="dxa"/>
            <w:shd w:val="clear" w:color="auto" w:fill="auto"/>
            <w:vAlign w:val="center"/>
          </w:tcPr>
          <w:p w14:paraId="6AE3B3DE"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4 (10.8)</w:t>
            </w:r>
          </w:p>
        </w:tc>
        <w:tc>
          <w:tcPr>
            <w:tcW w:w="1384" w:type="dxa"/>
            <w:shd w:val="clear" w:color="auto" w:fill="auto"/>
            <w:vAlign w:val="center"/>
          </w:tcPr>
          <w:p w14:paraId="3C784961"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8 (23.5)</w:t>
            </w:r>
          </w:p>
        </w:tc>
      </w:tr>
      <w:tr w:rsidR="00C440A2" w:rsidRPr="00B2506D" w14:paraId="1C9C90E0" w14:textId="77777777" w:rsidTr="008556CE">
        <w:trPr>
          <w:cantSplit/>
          <w:jc w:val="center"/>
        </w:trPr>
        <w:tc>
          <w:tcPr>
            <w:tcW w:w="3049" w:type="dxa"/>
            <w:shd w:val="clear" w:color="auto" w:fill="auto"/>
            <w:vAlign w:val="center"/>
          </w:tcPr>
          <w:p w14:paraId="42E02663" w14:textId="77777777" w:rsidR="00C440A2" w:rsidRPr="00B2506D" w:rsidRDefault="00C440A2" w:rsidP="008556CE">
            <w:pPr>
              <w:pStyle w:val="Table"/>
              <w:keepNext/>
              <w:keepLines/>
              <w:rPr>
                <w:rFonts w:ascii="Arial Narrow" w:eastAsia="Calibri" w:hAnsi="Arial Narrow" w:cs="Calibri"/>
                <w:szCs w:val="20"/>
                <w:vertAlign w:val="superscript"/>
              </w:rPr>
            </w:pPr>
            <w:r w:rsidRPr="00B2506D">
              <w:rPr>
                <w:rFonts w:ascii="Arial Narrow" w:hAnsi="Arial Narrow" w:cstheme="minorBidi"/>
                <w:szCs w:val="20"/>
              </w:rPr>
              <w:t>Infusion site reaction</w:t>
            </w:r>
          </w:p>
        </w:tc>
        <w:tc>
          <w:tcPr>
            <w:tcW w:w="1326" w:type="dxa"/>
            <w:shd w:val="clear" w:color="auto" w:fill="auto"/>
            <w:vAlign w:val="center"/>
          </w:tcPr>
          <w:p w14:paraId="2C2D8419"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46 (62.2)</w:t>
            </w:r>
          </w:p>
        </w:tc>
        <w:tc>
          <w:tcPr>
            <w:tcW w:w="1897" w:type="dxa"/>
            <w:shd w:val="clear" w:color="auto" w:fill="auto"/>
            <w:vAlign w:val="center"/>
          </w:tcPr>
          <w:p w14:paraId="69318EA4"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5 (7.5)</w:t>
            </w:r>
          </w:p>
        </w:tc>
        <w:tc>
          <w:tcPr>
            <w:tcW w:w="1360" w:type="dxa"/>
            <w:shd w:val="clear" w:color="auto" w:fill="auto"/>
            <w:vAlign w:val="center"/>
          </w:tcPr>
          <w:p w14:paraId="2D3A286F"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30 (81.1)</w:t>
            </w:r>
          </w:p>
        </w:tc>
        <w:tc>
          <w:tcPr>
            <w:tcW w:w="1384" w:type="dxa"/>
            <w:shd w:val="clear" w:color="auto" w:fill="auto"/>
            <w:vAlign w:val="center"/>
          </w:tcPr>
          <w:p w14:paraId="2B2DF1A8"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23 (67.6)</w:t>
            </w:r>
          </w:p>
        </w:tc>
      </w:tr>
      <w:tr w:rsidR="00C440A2" w:rsidRPr="00B2506D" w14:paraId="7ADFA2D7" w14:textId="77777777" w:rsidTr="008556CE">
        <w:trPr>
          <w:cantSplit/>
          <w:jc w:val="center"/>
        </w:trPr>
        <w:tc>
          <w:tcPr>
            <w:tcW w:w="3049" w:type="dxa"/>
            <w:shd w:val="clear" w:color="auto" w:fill="auto"/>
            <w:vAlign w:val="center"/>
          </w:tcPr>
          <w:p w14:paraId="3D6EA8DB"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 xml:space="preserve">Polyneuropathy </w:t>
            </w:r>
          </w:p>
        </w:tc>
        <w:tc>
          <w:tcPr>
            <w:tcW w:w="1326" w:type="dxa"/>
            <w:shd w:val="clear" w:color="auto" w:fill="auto"/>
            <w:vAlign w:val="center"/>
          </w:tcPr>
          <w:p w14:paraId="5950BE56"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0</w:t>
            </w:r>
          </w:p>
        </w:tc>
        <w:tc>
          <w:tcPr>
            <w:tcW w:w="1897" w:type="dxa"/>
            <w:shd w:val="clear" w:color="auto" w:fill="auto"/>
            <w:vAlign w:val="center"/>
          </w:tcPr>
          <w:p w14:paraId="09A2CED9" w14:textId="77777777" w:rsidR="00C440A2" w:rsidRPr="00B2506D" w:rsidRDefault="00C440A2" w:rsidP="008556CE">
            <w:pPr>
              <w:pStyle w:val="Table"/>
              <w:keepNext/>
              <w:jc w:val="center"/>
              <w:rPr>
                <w:rFonts w:ascii="Arial Narrow" w:eastAsia="MS Gothic" w:hAnsi="Arial Narrow" w:cs="Times New Roman"/>
                <w:szCs w:val="20"/>
              </w:rPr>
            </w:pPr>
            <w:r w:rsidRPr="00B2506D">
              <w:rPr>
                <w:rFonts w:ascii="Arial Narrow" w:eastAsia="Times New Roman" w:hAnsi="Arial Narrow" w:cstheme="minorBidi"/>
                <w:szCs w:val="20"/>
              </w:rPr>
              <w:t>1 (1.5)</w:t>
            </w:r>
          </w:p>
        </w:tc>
        <w:tc>
          <w:tcPr>
            <w:tcW w:w="1360" w:type="dxa"/>
            <w:shd w:val="clear" w:color="auto" w:fill="auto"/>
            <w:vAlign w:val="center"/>
          </w:tcPr>
          <w:p w14:paraId="45E619FF"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1 (2.7)</w:t>
            </w:r>
          </w:p>
        </w:tc>
        <w:tc>
          <w:tcPr>
            <w:tcW w:w="1384" w:type="dxa"/>
            <w:shd w:val="clear" w:color="auto" w:fill="auto"/>
            <w:vAlign w:val="center"/>
          </w:tcPr>
          <w:p w14:paraId="27802A33"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3 (8.8)</w:t>
            </w:r>
          </w:p>
        </w:tc>
      </w:tr>
      <w:tr w:rsidR="00C440A2" w:rsidRPr="00B2506D" w14:paraId="66318483" w14:textId="77777777" w:rsidTr="008556CE">
        <w:trPr>
          <w:cantSplit/>
          <w:jc w:val="center"/>
        </w:trPr>
        <w:tc>
          <w:tcPr>
            <w:tcW w:w="3049" w:type="dxa"/>
            <w:shd w:val="clear" w:color="auto" w:fill="auto"/>
            <w:vAlign w:val="center"/>
          </w:tcPr>
          <w:p w14:paraId="70771AC6" w14:textId="77777777" w:rsidR="00C440A2" w:rsidRPr="00B2506D" w:rsidRDefault="00C440A2" w:rsidP="008556CE">
            <w:pPr>
              <w:pStyle w:val="Table"/>
              <w:keepNext/>
              <w:keepLines/>
              <w:rPr>
                <w:rFonts w:ascii="Arial Narrow" w:hAnsi="Arial Narrow" w:cstheme="minorBidi"/>
                <w:szCs w:val="20"/>
              </w:rPr>
            </w:pPr>
            <w:r w:rsidRPr="00B2506D">
              <w:rPr>
                <w:rFonts w:ascii="Arial Narrow" w:hAnsi="Arial Narrow" w:cstheme="minorBidi"/>
                <w:szCs w:val="20"/>
              </w:rPr>
              <w:t>Weight loss</w:t>
            </w:r>
          </w:p>
        </w:tc>
        <w:tc>
          <w:tcPr>
            <w:tcW w:w="1326" w:type="dxa"/>
            <w:shd w:val="clear" w:color="auto" w:fill="auto"/>
            <w:vAlign w:val="center"/>
          </w:tcPr>
          <w:p w14:paraId="244B03C2"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1 (1.4)</w:t>
            </w:r>
          </w:p>
        </w:tc>
        <w:tc>
          <w:tcPr>
            <w:tcW w:w="1897" w:type="dxa"/>
            <w:shd w:val="clear" w:color="auto" w:fill="auto"/>
            <w:vAlign w:val="center"/>
          </w:tcPr>
          <w:p w14:paraId="6CDBFD9E"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17 (25.4)</w:t>
            </w:r>
          </w:p>
        </w:tc>
        <w:tc>
          <w:tcPr>
            <w:tcW w:w="1360" w:type="dxa"/>
            <w:shd w:val="clear" w:color="auto" w:fill="auto"/>
            <w:vAlign w:val="center"/>
          </w:tcPr>
          <w:p w14:paraId="4E9D95ED"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0</w:t>
            </w:r>
          </w:p>
        </w:tc>
        <w:tc>
          <w:tcPr>
            <w:tcW w:w="1384" w:type="dxa"/>
            <w:shd w:val="clear" w:color="auto" w:fill="auto"/>
            <w:vAlign w:val="center"/>
          </w:tcPr>
          <w:p w14:paraId="0E8D84EF" w14:textId="77777777" w:rsidR="00C440A2" w:rsidRPr="00B2506D" w:rsidRDefault="00C440A2" w:rsidP="008556CE">
            <w:pPr>
              <w:pStyle w:val="Table"/>
              <w:keepNext/>
              <w:jc w:val="center"/>
              <w:rPr>
                <w:rFonts w:ascii="Arial Narrow" w:eastAsia="Times New Roman" w:hAnsi="Arial Narrow" w:cstheme="minorBidi"/>
                <w:szCs w:val="20"/>
              </w:rPr>
            </w:pPr>
            <w:r w:rsidRPr="00B2506D">
              <w:rPr>
                <w:rFonts w:ascii="Arial Narrow" w:eastAsia="Times New Roman" w:hAnsi="Arial Narrow" w:cstheme="minorBidi"/>
                <w:szCs w:val="20"/>
              </w:rPr>
              <w:t>2 (5.9)</w:t>
            </w:r>
          </w:p>
        </w:tc>
      </w:tr>
    </w:tbl>
    <w:p w14:paraId="52B5FBC4" w14:textId="3ED3CE62" w:rsidR="00C440A2" w:rsidRPr="00C21903" w:rsidRDefault="00C440A2" w:rsidP="00C440A2">
      <w:pPr>
        <w:pStyle w:val="FooterTableFigure"/>
        <w:rPr>
          <w:szCs w:val="18"/>
        </w:rPr>
      </w:pPr>
      <w:r w:rsidRPr="00C21903">
        <w:rPr>
          <w:szCs w:val="18"/>
        </w:rPr>
        <w:t>Source: Table 2-21, p86 of the submission.</w:t>
      </w:r>
    </w:p>
    <w:p w14:paraId="5EA150D4" w14:textId="38AFBA06" w:rsidR="009B06F7" w:rsidRPr="00C21903" w:rsidRDefault="008C08BD" w:rsidP="00C440A2">
      <w:pPr>
        <w:pStyle w:val="FooterTableFigure"/>
        <w:rPr>
          <w:szCs w:val="18"/>
        </w:rPr>
      </w:pPr>
      <w:r>
        <w:rPr>
          <w:szCs w:val="18"/>
        </w:rPr>
        <w:t xml:space="preserve">Abbreviations: </w:t>
      </w:r>
      <w:r w:rsidR="00982218">
        <w:rPr>
          <w:szCs w:val="18"/>
        </w:rPr>
        <w:t xml:space="preserve">AE = adverse event; </w:t>
      </w:r>
      <w:r w:rsidR="009B06F7" w:rsidRPr="00C21903">
        <w:rPr>
          <w:szCs w:val="18"/>
        </w:rPr>
        <w:t>FosLD/FosCD = foslevodopa/foscarbidopa; LCIG = levodopa carbidopa intestinal gel; LD/</w:t>
      </w:r>
      <w:r w:rsidR="008A5258">
        <w:rPr>
          <w:szCs w:val="18"/>
        </w:rPr>
        <w:t>CD</w:t>
      </w:r>
      <w:r w:rsidR="009B06F7" w:rsidRPr="00C21903">
        <w:rPr>
          <w:szCs w:val="18"/>
        </w:rPr>
        <w:t xml:space="preserve"> = levodopa/carbidopa; n = number of </w:t>
      </w:r>
      <w:r w:rsidR="00C21903" w:rsidRPr="00C21903">
        <w:rPr>
          <w:szCs w:val="18"/>
        </w:rPr>
        <w:t>patients</w:t>
      </w:r>
      <w:r w:rsidR="009B06F7" w:rsidRPr="00C21903">
        <w:rPr>
          <w:szCs w:val="18"/>
        </w:rPr>
        <w:t>; TEAE = treatment emergent adverse events</w:t>
      </w:r>
    </w:p>
    <w:p w14:paraId="53C64418" w14:textId="77777777" w:rsidR="00E967E8" w:rsidRDefault="004418F5" w:rsidP="003945B8">
      <w:pPr>
        <w:pStyle w:val="3-BodyText"/>
      </w:pPr>
      <w:r w:rsidRPr="00C95A87">
        <w:t xml:space="preserve">Data pertaining to </w:t>
      </w:r>
      <w:r w:rsidR="00AA3997" w:rsidRPr="00C95A87">
        <w:t xml:space="preserve">i) </w:t>
      </w:r>
      <w:r w:rsidRPr="00C95A87">
        <w:t>falls and associated injuries could not be verified from the M15-736 clinical study report</w:t>
      </w:r>
      <w:r w:rsidR="00AA3997" w:rsidRPr="00C95A87">
        <w:t>, and ii) hallucinations could not be verified from the Olanow 2014 publication.</w:t>
      </w:r>
    </w:p>
    <w:p w14:paraId="47902376" w14:textId="77777777" w:rsidR="00E967E8" w:rsidRDefault="00C440A2" w:rsidP="003945B8">
      <w:pPr>
        <w:pStyle w:val="3-BodyText"/>
      </w:pPr>
      <w:bookmarkStart w:id="34" w:name="_Ref168769968"/>
      <w:r>
        <w:t xml:space="preserve">In M15-736 the FosLD/FosCD arm had higher </w:t>
      </w:r>
      <w:r w:rsidR="00B2506D">
        <w:t>treatment emergent adverse ev</w:t>
      </w:r>
      <w:r w:rsidR="004F48E2">
        <w:t>e</w:t>
      </w:r>
      <w:r w:rsidR="00B2506D">
        <w:t>nts (</w:t>
      </w:r>
      <w:r>
        <w:t>TEAEs</w:t>
      </w:r>
      <w:r w:rsidR="00B2506D">
        <w:t>)</w:t>
      </w:r>
      <w:r>
        <w:t xml:space="preserve"> than oral LD/CD overall (85.1% vs 62.7%). </w:t>
      </w:r>
      <w:r w:rsidR="00DF6A1E">
        <w:t>There was a</w:t>
      </w:r>
      <w:r>
        <w:t xml:space="preserve"> high</w:t>
      </w:r>
      <w:r w:rsidR="00B2506D">
        <w:t xml:space="preserve"> </w:t>
      </w:r>
      <w:r w:rsidR="001328A9">
        <w:t xml:space="preserve">rate of </w:t>
      </w:r>
      <w:r w:rsidR="00B2506D">
        <w:t>adverse events</w:t>
      </w:r>
      <w:r>
        <w:t xml:space="preserve"> </w:t>
      </w:r>
      <w:r w:rsidR="00B2506D">
        <w:t>(</w:t>
      </w:r>
      <w:r>
        <w:t>AEs</w:t>
      </w:r>
      <w:r w:rsidR="00B2506D">
        <w:t>)</w:t>
      </w:r>
      <w:r>
        <w:t xml:space="preserve"> leading to discontinuation (FosLD/FosCD = 21.6% vs oral LD/CD = 1.5%). The submission stated that most of the AEs leading to discontinuation</w:t>
      </w:r>
      <w:r w:rsidR="00194FBD">
        <w:t xml:space="preserve"> in the FosLD/FosCD arm</w:t>
      </w:r>
      <w:r>
        <w:t xml:space="preserve"> were due to infusion site </w:t>
      </w:r>
      <w:r w:rsidR="00472104">
        <w:t xml:space="preserve">adverse </w:t>
      </w:r>
      <w:r>
        <w:t>events</w:t>
      </w:r>
      <w:r w:rsidR="001168FF">
        <w:t xml:space="preserve"> (14.9%)</w:t>
      </w:r>
      <w:r>
        <w:t xml:space="preserve"> or difficulty with the drug delivery system</w:t>
      </w:r>
      <w:r w:rsidR="001168FF">
        <w:t xml:space="preserve"> </w:t>
      </w:r>
      <w:bookmarkStart w:id="35" w:name="_Hlk135041584"/>
      <w:r w:rsidR="001168FF">
        <w:t>(6.8%)</w:t>
      </w:r>
      <w:r>
        <w:t>.</w:t>
      </w:r>
      <w:r w:rsidR="00B2506D">
        <w:t xml:space="preserve"> </w:t>
      </w:r>
      <w:bookmarkEnd w:id="35"/>
      <w:r w:rsidR="00913733">
        <w:t>The rate of AEs leading to discontinuation in Olanow 2014</w:t>
      </w:r>
      <w:r w:rsidR="00C72189">
        <w:t xml:space="preserve"> did not differ greatly a</w:t>
      </w:r>
      <w:r w:rsidR="00913733">
        <w:t xml:space="preserve">cross the two arms (LCIG = 2.7% </w:t>
      </w:r>
      <w:r w:rsidR="00913733" w:rsidRPr="00C95A87">
        <w:t>vs</w:t>
      </w:r>
      <w:r w:rsidR="00C72189">
        <w:t>.</w:t>
      </w:r>
      <w:r w:rsidR="00913733">
        <w:t xml:space="preserve"> oral LD/CD = 5.9%).</w:t>
      </w:r>
      <w:bookmarkEnd w:id="34"/>
    </w:p>
    <w:p w14:paraId="3443D67F" w14:textId="77777777" w:rsidR="00E967E8" w:rsidRDefault="00194FBD" w:rsidP="003945B8">
      <w:pPr>
        <w:pStyle w:val="3-BodyText"/>
      </w:pPr>
      <w:r w:rsidRPr="00C95A87">
        <w:t xml:space="preserve">The submission did not explain </w:t>
      </w:r>
      <w:r w:rsidR="007813A7" w:rsidRPr="00C95A87">
        <w:t xml:space="preserve">why </w:t>
      </w:r>
      <w:r w:rsidRPr="00C95A87">
        <w:t xml:space="preserve">the proportions of patients with </w:t>
      </w:r>
      <w:r w:rsidR="007813A7" w:rsidRPr="00C95A87">
        <w:t>device related TEAEs (FosLD/Fo</w:t>
      </w:r>
      <w:r w:rsidR="00081290" w:rsidRPr="00C95A87">
        <w:t>s</w:t>
      </w:r>
      <w:r w:rsidR="007813A7" w:rsidRPr="00C95A87">
        <w:t>C</w:t>
      </w:r>
      <w:r w:rsidR="00081290" w:rsidRPr="00C95A87">
        <w:t>D</w:t>
      </w:r>
      <w:r w:rsidR="007813A7" w:rsidRPr="00C95A87">
        <w:t xml:space="preserve"> = </w:t>
      </w:r>
      <w:r w:rsidR="00081290" w:rsidRPr="00C95A87">
        <w:t xml:space="preserve">62.6% vs oral LD/CD = 11.9%) </w:t>
      </w:r>
      <w:r w:rsidRPr="00C95A87">
        <w:t>and</w:t>
      </w:r>
      <w:r w:rsidR="00081290" w:rsidRPr="00C95A87">
        <w:t xml:space="preserve"> infusion site reactions (FosLD/FosCD = 62.6% vs </w:t>
      </w:r>
      <w:r w:rsidR="00E9621D" w:rsidRPr="00C95A87">
        <w:t xml:space="preserve">oral LD/CD = </w:t>
      </w:r>
      <w:r w:rsidR="00081290" w:rsidRPr="00C95A87">
        <w:t xml:space="preserve">7.5%) </w:t>
      </w:r>
      <w:r w:rsidRPr="00C95A87">
        <w:t>were</w:t>
      </w:r>
      <w:r w:rsidR="00081290" w:rsidRPr="00C95A87">
        <w:t xml:space="preserve"> higher in the FosLD/FosCD arm </w:t>
      </w:r>
      <w:r w:rsidR="00E9621D" w:rsidRPr="00C95A87">
        <w:t xml:space="preserve">compared to the oral LD/CD arm </w:t>
      </w:r>
      <w:r w:rsidR="00081290" w:rsidRPr="00C95A87">
        <w:t>despite both arms using the continuous subcutaneous infusion device.</w:t>
      </w:r>
    </w:p>
    <w:p w14:paraId="3352E257" w14:textId="7FAD3E81" w:rsidR="00C440A2" w:rsidRPr="00606E7E" w:rsidRDefault="00C440A2" w:rsidP="003945B8">
      <w:pPr>
        <w:pStyle w:val="3-BodyText"/>
        <w:rPr>
          <w:color w:val="0066FF"/>
        </w:rPr>
      </w:pPr>
      <w:r>
        <w:lastRenderedPageBreak/>
        <w:t xml:space="preserve">Hallucinations were higher in the FosLD/FosCD arm compared to </w:t>
      </w:r>
      <w:r w:rsidR="00472104">
        <w:t xml:space="preserve">the </w:t>
      </w:r>
      <w:r>
        <w:t>oral LD/CD (14.9% vs 3.0%)</w:t>
      </w:r>
      <w:r w:rsidR="00472104">
        <w:t xml:space="preserve"> arm</w:t>
      </w:r>
      <w:r>
        <w:t xml:space="preserve"> but falls and associated injuries were lower (FosLD/FosCD = 8.1% vs oral LD/CD = 37.3%)</w:t>
      </w:r>
      <w:r w:rsidR="00472104">
        <w:t>. The latter may have been due to changes in dyskinesia.</w:t>
      </w:r>
    </w:p>
    <w:p w14:paraId="0DC1E4B9" w14:textId="3563ACD4" w:rsidR="00C440A2" w:rsidRPr="00606E7E" w:rsidRDefault="00C440A2" w:rsidP="003945B8">
      <w:pPr>
        <w:pStyle w:val="3-BodyText"/>
        <w:rPr>
          <w:color w:val="0066FF"/>
        </w:rPr>
      </w:pPr>
      <w:r>
        <w:t xml:space="preserve">In Olanow 2014 the two arms were more even in </w:t>
      </w:r>
      <w:r w:rsidR="00472104">
        <w:t xml:space="preserve">terms of </w:t>
      </w:r>
      <w:r>
        <w:t xml:space="preserve">the AE </w:t>
      </w:r>
      <w:r w:rsidR="00472104">
        <w:t xml:space="preserve">rates, with the exception of </w:t>
      </w:r>
      <w:r>
        <w:t>infusion site infection (LCIG = 10.8% vs oral LD/CD = 23.5%) and infusion site reactions (LCIG = 81.1% vs 67.6%)</w:t>
      </w:r>
      <w:r w:rsidR="00472104">
        <w:t>.</w:t>
      </w:r>
    </w:p>
    <w:p w14:paraId="62703AC3" w14:textId="510E3F7D" w:rsidR="00C440A2" w:rsidRPr="00606E7E" w:rsidRDefault="00C440A2" w:rsidP="003945B8">
      <w:pPr>
        <w:pStyle w:val="3-BodyText"/>
        <w:rPr>
          <w:color w:val="0066FF"/>
        </w:rPr>
      </w:pPr>
      <w:r w:rsidRPr="00C95A87">
        <w:t xml:space="preserve">The high rate of discontinuation for FosLD/FosCD resulted in a mean duration of treatment of 62.4 days compared to 81.5 days for oral LD/CD </w:t>
      </w:r>
      <w:r w:rsidR="00D25956" w:rsidRPr="00C95A87">
        <w:t xml:space="preserve">in </w:t>
      </w:r>
      <w:r w:rsidR="00472104" w:rsidRPr="00C95A87">
        <w:t>M</w:t>
      </w:r>
      <w:r w:rsidR="00D25956" w:rsidRPr="00C95A87">
        <w:t xml:space="preserve">15-736 </w:t>
      </w:r>
      <w:r w:rsidRPr="00C95A87">
        <w:t xml:space="preserve">and </w:t>
      </w:r>
      <w:r w:rsidR="00EC71C3" w:rsidRPr="00C95A87">
        <w:t xml:space="preserve">compared to </w:t>
      </w:r>
      <w:r w:rsidR="00D25956" w:rsidRPr="00C95A87">
        <w:t>82.3</w:t>
      </w:r>
      <w:r w:rsidRPr="00C95A87">
        <w:t xml:space="preserve"> days for LCIG</w:t>
      </w:r>
      <w:r w:rsidR="00D25956" w:rsidRPr="00C95A87">
        <w:t xml:space="preserve"> </w:t>
      </w:r>
      <w:r w:rsidR="00EC71C3" w:rsidRPr="00C95A87">
        <w:t xml:space="preserve">and </w:t>
      </w:r>
      <w:r w:rsidR="00D25956" w:rsidRPr="00C95A87">
        <w:t>78.7 days for oral LD/CD in Olanow 2014</w:t>
      </w:r>
      <w:r w:rsidRPr="00C95A87">
        <w:t>. Th</w:t>
      </w:r>
      <w:r w:rsidR="00D02A3B" w:rsidRPr="00C95A87">
        <w:t>e applicability of th</w:t>
      </w:r>
      <w:r w:rsidR="00EE4D1E" w:rsidRPr="00C95A87">
        <w:t xml:space="preserve">e observed </w:t>
      </w:r>
      <w:r w:rsidR="00D02A3B" w:rsidRPr="00C95A87">
        <w:t xml:space="preserve">mean treatment duration </w:t>
      </w:r>
      <w:r w:rsidR="00EE4D1E" w:rsidRPr="00C95A87">
        <w:t xml:space="preserve">of FosLD/FosCD </w:t>
      </w:r>
      <w:r w:rsidR="00D02A3B" w:rsidRPr="00C95A87">
        <w:t>to clinical practice remains unknown.</w:t>
      </w:r>
    </w:p>
    <w:p w14:paraId="77C49EA1" w14:textId="77777777" w:rsidR="00E967E8" w:rsidRDefault="00C440A2" w:rsidP="003945B8">
      <w:pPr>
        <w:pStyle w:val="3-BodyText"/>
      </w:pPr>
      <w:r w:rsidRPr="00D01F45">
        <w:t xml:space="preserve">Additionally, as the trial was only 12 weeks long, there was </w:t>
      </w:r>
      <w:r w:rsidR="008556CE" w:rsidRPr="00D01F45">
        <w:t>inadequate follow-up</w:t>
      </w:r>
      <w:r w:rsidRPr="00D01F45">
        <w:t xml:space="preserve"> to capture long</w:t>
      </w:r>
      <w:r w:rsidR="008556CE" w:rsidRPr="00D01F45">
        <w:t>-</w:t>
      </w:r>
      <w:r w:rsidRPr="00D01F45">
        <w:t xml:space="preserve">term </w:t>
      </w:r>
      <w:r w:rsidR="00D02A3B" w:rsidRPr="00D01F45">
        <w:t xml:space="preserve">safety </w:t>
      </w:r>
      <w:r w:rsidRPr="00D01F45">
        <w:t xml:space="preserve">associated </w:t>
      </w:r>
      <w:r w:rsidR="00472104" w:rsidRPr="00D01F45">
        <w:t>with the</w:t>
      </w:r>
      <w:r w:rsidRPr="00D01F45">
        <w:t xml:space="preserve"> continuous use of FosLD/FosCD. </w:t>
      </w:r>
      <w:r w:rsidR="00D02A3B" w:rsidRPr="00D01F45">
        <w:t xml:space="preserve">This is important as </w:t>
      </w:r>
      <w:r w:rsidRPr="00D01F45">
        <w:t>patients are likely to be on FosLD/FosCD for extended periods of time</w:t>
      </w:r>
      <w:r w:rsidR="00D02A3B" w:rsidRPr="00D01F45">
        <w:t>.</w:t>
      </w:r>
    </w:p>
    <w:p w14:paraId="79F07F62" w14:textId="298894E3" w:rsidR="00F32FAF" w:rsidRPr="00F32FAF" w:rsidRDefault="00F32FAF" w:rsidP="003945B8">
      <w:pPr>
        <w:pStyle w:val="3-BodyText"/>
        <w:rPr>
          <w:color w:val="0066FF"/>
        </w:rPr>
      </w:pPr>
      <w:bookmarkStart w:id="36" w:name="_Hlk134911591"/>
      <w:r w:rsidRPr="00753C45">
        <w:t xml:space="preserve">The </w:t>
      </w:r>
      <w:r w:rsidR="00194FBD">
        <w:t xml:space="preserve">submission provided additional safety data </w:t>
      </w:r>
      <w:r w:rsidRPr="00753C45">
        <w:t>from M15-741</w:t>
      </w:r>
      <w:r w:rsidR="00194FBD">
        <w:t xml:space="preserve"> (</w:t>
      </w:r>
      <w:r w:rsidRPr="00753C45">
        <w:t>an open-label, single arm, 52-week study of FosLD/FosCD</w:t>
      </w:r>
      <w:r w:rsidR="00194FBD">
        <w:t>)</w:t>
      </w:r>
      <w:r w:rsidRPr="00753C45">
        <w:t xml:space="preserve"> and </w:t>
      </w:r>
      <w:r w:rsidR="00194FBD">
        <w:t>its extension study (</w:t>
      </w:r>
      <w:r w:rsidRPr="00753C45">
        <w:t>M15-737</w:t>
      </w:r>
      <w:r w:rsidR="00194FBD">
        <w:t>)</w:t>
      </w:r>
      <w:r w:rsidRPr="00753C45">
        <w:t xml:space="preserve">. </w:t>
      </w:r>
      <w:r w:rsidR="00194FBD">
        <w:t>It was</w:t>
      </w:r>
      <w:r w:rsidR="00E9621D" w:rsidRPr="00753C45">
        <w:t xml:space="preserve"> reported that</w:t>
      </w:r>
      <w:r w:rsidR="007E6088">
        <w:t>, with a median treatment exposure of 24 weeks,</w:t>
      </w:r>
      <w:r w:rsidRPr="00753C45">
        <w:t xml:space="preserve"> 92.4% of patients experienc</w:t>
      </w:r>
      <w:r w:rsidR="00E9621D" w:rsidRPr="00753C45">
        <w:t>ed</w:t>
      </w:r>
      <w:r w:rsidRPr="00753C45">
        <w:t xml:space="preserve"> an AE and 24.7% of patients experienc</w:t>
      </w:r>
      <w:r w:rsidR="00E9621D" w:rsidRPr="00753C45">
        <w:t>ed</w:t>
      </w:r>
      <w:r w:rsidRPr="00753C45">
        <w:t xml:space="preserve"> a</w:t>
      </w:r>
      <w:r w:rsidR="007F5152">
        <w:t xml:space="preserve"> serious adverse event</w:t>
      </w:r>
      <w:r w:rsidRPr="00753C45">
        <w:t>.</w:t>
      </w:r>
      <w:r w:rsidRPr="00D01F45">
        <w:t xml:space="preserve"> It is important to note that as M15-741 and M15-737 </w:t>
      </w:r>
      <w:r w:rsidR="007E6088" w:rsidRPr="00D01F45">
        <w:t>were</w:t>
      </w:r>
      <w:r w:rsidRPr="00D01F45">
        <w:t xml:space="preserve"> open-label, single arm studies, </w:t>
      </w:r>
      <w:r w:rsidR="00E9621D" w:rsidRPr="00D01F45">
        <w:t>they</w:t>
      </w:r>
      <w:r w:rsidRPr="00D01F45">
        <w:t xml:space="preserve"> do not provide any comparative evidence against oral LD/CD or LCIG. Furthermore, the median duration of treatment with LCIG has been found to be 7.8 years</w:t>
      </w:r>
      <w:r w:rsidRPr="00D01F45">
        <w:rPr>
          <w:rStyle w:val="FootnoteReference"/>
          <w:iCs/>
        </w:rPr>
        <w:footnoteReference w:id="6"/>
      </w:r>
      <w:r w:rsidRPr="00D01F45">
        <w:t xml:space="preserve"> and several studies have reported safety and efficacy data out to 5 years</w:t>
      </w:r>
      <w:r w:rsidRPr="00D01F45">
        <w:rPr>
          <w:rStyle w:val="FootnoteReference"/>
          <w:iCs/>
        </w:rPr>
        <w:footnoteReference w:id="7"/>
      </w:r>
      <w:r w:rsidRPr="00D01F45">
        <w:t xml:space="preserve">. As such, </w:t>
      </w:r>
      <w:r w:rsidR="007E6088" w:rsidRPr="00D01F45">
        <w:t xml:space="preserve">the safety data </w:t>
      </w:r>
      <w:r w:rsidR="00B51644" w:rsidRPr="00D01F45">
        <w:t xml:space="preserve">for FosLD/FosCD </w:t>
      </w:r>
      <w:r w:rsidR="007E6088" w:rsidRPr="00D01F45">
        <w:t xml:space="preserve">from M15-741/M15-737 </w:t>
      </w:r>
      <w:r w:rsidR="00F36C14" w:rsidRPr="00D01F45">
        <w:t>may</w:t>
      </w:r>
      <w:r w:rsidRPr="00D01F45">
        <w:t xml:space="preserve"> </w:t>
      </w:r>
      <w:r w:rsidR="000204C9" w:rsidRPr="00D01F45">
        <w:t xml:space="preserve">not </w:t>
      </w:r>
      <w:r w:rsidR="00B51644" w:rsidRPr="00D01F45">
        <w:t>reflect the long-term safety of FosLD/FosCD</w:t>
      </w:r>
      <w:r w:rsidRPr="00D01F45">
        <w:t xml:space="preserve">. </w:t>
      </w:r>
      <w:r w:rsidR="00B51644" w:rsidRPr="00D01F45">
        <w:t>I</w:t>
      </w:r>
      <w:r w:rsidRPr="00D01F45">
        <w:t>t is important to note the absence of this evidence especially given the differences in administration and mean total daily dose in FosLD/FosCD compared to other dopaminergic treatments.</w:t>
      </w:r>
      <w:bookmarkEnd w:id="36"/>
    </w:p>
    <w:p w14:paraId="0DC34D8D" w14:textId="77777777" w:rsidR="00E967E8" w:rsidRDefault="006E3551" w:rsidP="003945B8">
      <w:pPr>
        <w:pStyle w:val="3-BodyText"/>
      </w:pPr>
      <w:r w:rsidRPr="00D01F45">
        <w:t xml:space="preserve">As FosLD/FosCD is a 24-hour infusion, </w:t>
      </w:r>
      <w:r w:rsidR="006204D0">
        <w:t xml:space="preserve">the evaluation stated that </w:t>
      </w:r>
      <w:r w:rsidRPr="00D01F45">
        <w:t>it would be expected that there would be a higher rate of infusion site reactions.</w:t>
      </w:r>
    </w:p>
    <w:p w14:paraId="6F67632F" w14:textId="6089C7F0" w:rsidR="00E967E8" w:rsidRDefault="00315192" w:rsidP="003945B8">
      <w:pPr>
        <w:pStyle w:val="3-BodyText"/>
      </w:pPr>
      <w:bookmarkStart w:id="37" w:name="_Ref168824826"/>
      <w:r w:rsidRPr="00D01F45">
        <w:t xml:space="preserve">The pump used to deliver FosLD/FosCD allows for patients to administer an extra dose (up to one per hour) if enabled by their health care provider. The pump also allows for patients to administer a loading dose if the infusion has been interrupted for longer than 3 hours. </w:t>
      </w:r>
      <w:r w:rsidR="00DC584C">
        <w:t>The</w:t>
      </w:r>
      <w:r w:rsidR="00AB57C4" w:rsidRPr="00D01F45">
        <w:t xml:space="preserve"> M15-736 clinical study report </w:t>
      </w:r>
      <w:r w:rsidR="00DC584C">
        <w:t xml:space="preserve">indicates </w:t>
      </w:r>
      <w:r w:rsidR="00AB57C4" w:rsidRPr="00D01F45">
        <w:t>that t</w:t>
      </w:r>
      <w:r w:rsidRPr="00D01F45">
        <w:t>hese functions of the pump were</w:t>
      </w:r>
      <w:r w:rsidR="00DC584C">
        <w:t xml:space="preserve"> not</w:t>
      </w:r>
      <w:r w:rsidRPr="00D01F45">
        <w:t xml:space="preserve"> available</w:t>
      </w:r>
      <w:r w:rsidR="00AB57C4" w:rsidRPr="00D01F45">
        <w:t xml:space="preserve">. </w:t>
      </w:r>
      <w:r w:rsidRPr="00D01F45">
        <w:t xml:space="preserve">As such, </w:t>
      </w:r>
      <w:r w:rsidR="00D3746C" w:rsidRPr="00D01F45">
        <w:t xml:space="preserve">the mean total daily dose </w:t>
      </w:r>
      <w:r w:rsidR="00AB57C4" w:rsidRPr="00D01F45">
        <w:t xml:space="preserve">as reported </w:t>
      </w:r>
      <w:r w:rsidR="00D3746C" w:rsidRPr="00D01F45">
        <w:t xml:space="preserve">in M15-736 </w:t>
      </w:r>
      <w:r w:rsidR="00AB57C4" w:rsidRPr="00D01F45">
        <w:t>may not reflect the mean total daily dose in clinical practice where</w:t>
      </w:r>
      <w:r w:rsidR="00D3746C" w:rsidRPr="00D01F45">
        <w:t xml:space="preserve"> patients</w:t>
      </w:r>
      <w:r w:rsidR="00AB57C4" w:rsidRPr="00D01F45">
        <w:t xml:space="preserve"> or health care providers</w:t>
      </w:r>
      <w:r w:rsidR="00D3746C" w:rsidRPr="00D01F45">
        <w:t xml:space="preserve"> may use these </w:t>
      </w:r>
      <w:r w:rsidR="00AB57C4" w:rsidRPr="00D01F45">
        <w:t xml:space="preserve">pump </w:t>
      </w:r>
      <w:r w:rsidR="00D3746C" w:rsidRPr="00D01F45">
        <w:t>functions</w:t>
      </w:r>
      <w:r w:rsidR="00753C45" w:rsidRPr="00D01F45">
        <w:t xml:space="preserve">; and this was not accounted for in the </w:t>
      </w:r>
      <w:r w:rsidR="00753C45" w:rsidRPr="00D01F45">
        <w:lastRenderedPageBreak/>
        <w:t>determination of the equi-effective doses in the economic analysis</w:t>
      </w:r>
      <w:r w:rsidR="00D3746C" w:rsidRPr="00D01F45">
        <w:t>. Th</w:t>
      </w:r>
      <w:r w:rsidR="00AB57C4" w:rsidRPr="00D01F45">
        <w:t xml:space="preserve">e trial may have underestimated the occurrence of AEs </w:t>
      </w:r>
      <w:r w:rsidR="00D3746C" w:rsidRPr="00D01F45">
        <w:t>in clinical practice.</w:t>
      </w:r>
      <w:bookmarkEnd w:id="37"/>
    </w:p>
    <w:p w14:paraId="258EDBEA" w14:textId="13CA4FD1" w:rsidR="00C440A2" w:rsidRPr="00AA3997" w:rsidRDefault="00C440A2" w:rsidP="003945B8">
      <w:pPr>
        <w:pStyle w:val="3-BodyText"/>
        <w:rPr>
          <w:color w:val="0066FF"/>
        </w:rPr>
      </w:pPr>
      <w:r>
        <w:t xml:space="preserve">The </w:t>
      </w:r>
      <w:r w:rsidRPr="00AA3997">
        <w:t xml:space="preserve">results of the indirect comparison for TEAEs are shown in </w:t>
      </w:r>
      <w:r w:rsidRPr="00AA3997">
        <w:fldChar w:fldCharType="begin"/>
      </w:r>
      <w:r w:rsidRPr="00AA3997">
        <w:instrText xml:space="preserve"> REF _Ref133621304 \h </w:instrText>
      </w:r>
      <w:r w:rsidR="00AA3997">
        <w:instrText xml:space="preserve"> \* MERGEFORMAT </w:instrText>
      </w:r>
      <w:r w:rsidRPr="00AA3997">
        <w:fldChar w:fldCharType="separate"/>
      </w:r>
      <w:r w:rsidR="0043339D" w:rsidRPr="00AA3997">
        <w:t xml:space="preserve">Table </w:t>
      </w:r>
      <w:r w:rsidR="0043339D">
        <w:rPr>
          <w:noProof/>
        </w:rPr>
        <w:t>8</w:t>
      </w:r>
      <w:r w:rsidRPr="00AA3997">
        <w:fldChar w:fldCharType="end"/>
      </w:r>
      <w:r w:rsidRPr="00AA3997">
        <w:t>.</w:t>
      </w:r>
    </w:p>
    <w:p w14:paraId="749776FF" w14:textId="1A2EC18E" w:rsidR="00C440A2" w:rsidRPr="00AA3997" w:rsidRDefault="00C440A2" w:rsidP="00C440A2">
      <w:pPr>
        <w:pStyle w:val="Caption"/>
      </w:pPr>
      <w:bookmarkStart w:id="38" w:name="_Ref133621304"/>
      <w:r w:rsidRPr="00AA3997">
        <w:t xml:space="preserve">Table </w:t>
      </w:r>
      <w:r w:rsidR="000A217C">
        <w:fldChar w:fldCharType="begin"/>
      </w:r>
      <w:r w:rsidR="000A217C">
        <w:instrText xml:space="preserve"> SEQ Table \* ARABIC </w:instrText>
      </w:r>
      <w:r w:rsidR="000A217C">
        <w:fldChar w:fldCharType="separate"/>
      </w:r>
      <w:r w:rsidR="0043339D">
        <w:rPr>
          <w:noProof/>
        </w:rPr>
        <w:t>8</w:t>
      </w:r>
      <w:r w:rsidR="000A217C">
        <w:rPr>
          <w:noProof/>
        </w:rPr>
        <w:fldChar w:fldCharType="end"/>
      </w:r>
      <w:bookmarkEnd w:id="38"/>
      <w:r w:rsidRPr="00AA3997">
        <w:t xml:space="preserve">: Indirect treatment comparison of safety results, </w:t>
      </w:r>
      <w:r w:rsidR="00C61ED4" w:rsidRPr="00AA3997">
        <w:t>F</w:t>
      </w:r>
      <w:r w:rsidRPr="00AA3997">
        <w:t>os</w:t>
      </w:r>
      <w:r w:rsidR="00982218">
        <w:t>LD</w:t>
      </w:r>
      <w:r w:rsidRPr="00AA3997">
        <w:t>/</w:t>
      </w:r>
      <w:r w:rsidR="00C61ED4" w:rsidRPr="00AA3997">
        <w:t>F</w:t>
      </w:r>
      <w:r w:rsidRPr="00AA3997">
        <w:t>os</w:t>
      </w:r>
      <w:r w:rsidR="00982218">
        <w:t xml:space="preserve">CD </w:t>
      </w:r>
      <w:r w:rsidRPr="00AA3997">
        <w:t xml:space="preserve">versus </w:t>
      </w:r>
      <w:r w:rsidR="00982218">
        <w:t>LCIG</w:t>
      </w:r>
    </w:p>
    <w:tbl>
      <w:tblPr>
        <w:tblStyle w:val="PlainTable2"/>
        <w:tblW w:w="5000"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6"/>
        <w:gridCol w:w="2465"/>
        <w:gridCol w:w="2043"/>
        <w:gridCol w:w="2382"/>
      </w:tblGrid>
      <w:tr w:rsidR="00C440A2" w:rsidRPr="00AA3997" w14:paraId="24AC7A38" w14:textId="77777777" w:rsidTr="009822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pct"/>
            <w:shd w:val="clear" w:color="auto" w:fill="auto"/>
            <w:vAlign w:val="center"/>
            <w:hideMark/>
          </w:tcPr>
          <w:p w14:paraId="141451D1" w14:textId="77777777" w:rsidR="00E967E8" w:rsidRDefault="00C440A2" w:rsidP="00AA3997">
            <w:pPr>
              <w:keepNext/>
              <w:jc w:val="center"/>
              <w:rPr>
                <w:rFonts w:ascii="Arial Narrow" w:hAnsi="Arial Narrow"/>
                <w:bCs w:val="0"/>
                <w:sz w:val="20"/>
                <w:szCs w:val="20"/>
                <w:lang w:val="en-GB"/>
              </w:rPr>
            </w:pPr>
            <w:r w:rsidRPr="00AA3997">
              <w:rPr>
                <w:rFonts w:ascii="Arial Narrow" w:hAnsi="Arial Narrow"/>
                <w:bCs w:val="0"/>
                <w:sz w:val="20"/>
                <w:szCs w:val="20"/>
                <w:lang w:val="en-GB"/>
              </w:rPr>
              <w:t>FosLD/</w:t>
            </w:r>
            <w:r w:rsidR="00A8387B" w:rsidRPr="00AA3997">
              <w:rPr>
                <w:rFonts w:ascii="Arial Narrow" w:hAnsi="Arial Narrow"/>
                <w:bCs w:val="0"/>
                <w:sz w:val="20"/>
                <w:szCs w:val="20"/>
                <w:lang w:val="en-GB"/>
              </w:rPr>
              <w:t>F</w:t>
            </w:r>
            <w:r w:rsidRPr="00AA3997">
              <w:rPr>
                <w:rFonts w:ascii="Arial Narrow" w:hAnsi="Arial Narrow"/>
                <w:bCs w:val="0"/>
                <w:sz w:val="20"/>
                <w:szCs w:val="20"/>
                <w:lang w:val="en-GB"/>
              </w:rPr>
              <w:t>osCD</w:t>
            </w:r>
          </w:p>
          <w:p w14:paraId="71BD106A" w14:textId="6C550100" w:rsidR="00C440A2" w:rsidRPr="00AA3997" w:rsidRDefault="00C440A2" w:rsidP="00AA3997">
            <w:pPr>
              <w:keepNext/>
              <w:jc w:val="center"/>
              <w:rPr>
                <w:rFonts w:ascii="Arial Narrow" w:hAnsi="Arial Narrow"/>
                <w:bCs w:val="0"/>
                <w:sz w:val="20"/>
                <w:szCs w:val="20"/>
                <w:lang w:val="en-GB"/>
              </w:rPr>
            </w:pPr>
            <w:r w:rsidRPr="00AA3997">
              <w:rPr>
                <w:rFonts w:ascii="Arial Narrow" w:hAnsi="Arial Narrow"/>
                <w:bCs w:val="0"/>
                <w:sz w:val="20"/>
                <w:szCs w:val="20"/>
                <w:lang w:val="en-GB"/>
              </w:rPr>
              <w:t>versus LCIG</w:t>
            </w:r>
          </w:p>
        </w:tc>
        <w:tc>
          <w:tcPr>
            <w:tcW w:w="1367" w:type="pct"/>
            <w:shd w:val="clear" w:color="auto" w:fill="auto"/>
            <w:vAlign w:val="center"/>
            <w:hideMark/>
          </w:tcPr>
          <w:p w14:paraId="7D2BB567" w14:textId="1CC22B77" w:rsidR="00C440A2" w:rsidRPr="00AA3997" w:rsidRDefault="00C440A2" w:rsidP="00AA3997">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0"/>
                <w:szCs w:val="20"/>
                <w:vertAlign w:val="superscript"/>
                <w:lang w:val="en-GB"/>
              </w:rPr>
            </w:pPr>
            <w:r w:rsidRPr="00AA3997">
              <w:rPr>
                <w:rFonts w:ascii="Arial Narrow" w:hAnsi="Arial Narrow"/>
                <w:bCs w:val="0"/>
                <w:sz w:val="20"/>
                <w:szCs w:val="20"/>
                <w:lang w:val="en-GB"/>
              </w:rPr>
              <w:t>Indirect OR (95% CI)</w:t>
            </w:r>
            <w:r w:rsidR="00EE4D1E" w:rsidRPr="00AA3997">
              <w:rPr>
                <w:rFonts w:ascii="Arial Narrow" w:hAnsi="Arial Narrow"/>
                <w:bCs w:val="0"/>
                <w:sz w:val="20"/>
                <w:szCs w:val="20"/>
                <w:vertAlign w:val="superscript"/>
                <w:lang w:val="en-GB"/>
              </w:rPr>
              <w:t>a</w:t>
            </w:r>
          </w:p>
        </w:tc>
        <w:tc>
          <w:tcPr>
            <w:tcW w:w="1133" w:type="pct"/>
            <w:shd w:val="clear" w:color="auto" w:fill="auto"/>
            <w:vAlign w:val="center"/>
            <w:hideMark/>
          </w:tcPr>
          <w:p w14:paraId="10DB3D36" w14:textId="00A7DC2C" w:rsidR="00C440A2" w:rsidRPr="00AA3997" w:rsidRDefault="00C440A2" w:rsidP="00AA3997">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0"/>
                <w:szCs w:val="20"/>
                <w:vertAlign w:val="superscript"/>
                <w:lang w:val="en-GB"/>
              </w:rPr>
            </w:pPr>
            <w:r w:rsidRPr="00AA3997">
              <w:rPr>
                <w:rFonts w:ascii="Arial Narrow" w:hAnsi="Arial Narrow"/>
                <w:bCs w:val="0"/>
                <w:sz w:val="20"/>
                <w:szCs w:val="20"/>
                <w:lang w:val="en-GB"/>
              </w:rPr>
              <w:t>Indirect RR (95% CI)</w:t>
            </w:r>
            <w:r w:rsidR="00EE4D1E" w:rsidRPr="00AA3997">
              <w:rPr>
                <w:rFonts w:ascii="Arial Narrow" w:hAnsi="Arial Narrow"/>
                <w:bCs w:val="0"/>
                <w:sz w:val="20"/>
                <w:szCs w:val="20"/>
                <w:vertAlign w:val="superscript"/>
                <w:lang w:val="en-GB"/>
              </w:rPr>
              <w:t>a</w:t>
            </w:r>
          </w:p>
        </w:tc>
        <w:tc>
          <w:tcPr>
            <w:tcW w:w="1321" w:type="pct"/>
            <w:shd w:val="clear" w:color="auto" w:fill="auto"/>
            <w:vAlign w:val="center"/>
            <w:hideMark/>
          </w:tcPr>
          <w:p w14:paraId="45C7FFC8" w14:textId="622D0A8A" w:rsidR="00C440A2" w:rsidRPr="00AA3997" w:rsidRDefault="00C440A2" w:rsidP="00AA3997">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0"/>
                <w:szCs w:val="20"/>
                <w:vertAlign w:val="superscript"/>
                <w:lang w:val="en-GB"/>
              </w:rPr>
            </w:pPr>
            <w:r w:rsidRPr="00AA3997">
              <w:rPr>
                <w:rFonts w:ascii="Arial Narrow" w:hAnsi="Arial Narrow"/>
                <w:bCs w:val="0"/>
                <w:sz w:val="20"/>
                <w:szCs w:val="20"/>
                <w:lang w:val="en-GB"/>
              </w:rPr>
              <w:t>Indirect RD (%) (95% CI)</w:t>
            </w:r>
            <w:r w:rsidR="00EE4D1E" w:rsidRPr="00AA3997">
              <w:rPr>
                <w:rFonts w:ascii="Arial Narrow" w:hAnsi="Arial Narrow"/>
                <w:bCs w:val="0"/>
                <w:sz w:val="20"/>
                <w:szCs w:val="20"/>
                <w:vertAlign w:val="superscript"/>
                <w:lang w:val="en-GB"/>
              </w:rPr>
              <w:t>a</w:t>
            </w:r>
          </w:p>
        </w:tc>
      </w:tr>
      <w:tr w:rsidR="00C440A2" w:rsidRPr="00AA3997" w14:paraId="63CA76AF" w14:textId="77777777" w:rsidTr="00982218">
        <w:trPr>
          <w:cnfStyle w:val="000000100000" w:firstRow="0" w:lastRow="0" w:firstColumn="0" w:lastColumn="0" w:oddVBand="0" w:evenVBand="0" w:oddHBand="1" w:evenHBand="0" w:firstRowFirstColumn="0" w:firstRowLastColumn="0" w:lastRowFirstColumn="0" w:lastRowLastColumn="0"/>
          <w:cantSplit/>
          <w:trHeight w:hRule="exact" w:val="255"/>
        </w:trPr>
        <w:tc>
          <w:tcPr>
            <w:cnfStyle w:val="001000000000" w:firstRow="0" w:lastRow="0" w:firstColumn="1" w:lastColumn="0" w:oddVBand="0" w:evenVBand="0" w:oddHBand="0" w:evenHBand="0" w:firstRowFirstColumn="0" w:firstRowLastColumn="0" w:lastRowFirstColumn="0" w:lastRowLastColumn="0"/>
            <w:tcW w:w="1179" w:type="pct"/>
            <w:tcBorders>
              <w:top w:val="none" w:sz="0" w:space="0" w:color="auto"/>
              <w:bottom w:val="none" w:sz="0" w:space="0" w:color="auto"/>
            </w:tcBorders>
            <w:vAlign w:val="center"/>
            <w:hideMark/>
          </w:tcPr>
          <w:p w14:paraId="07D972AA" w14:textId="77777777" w:rsidR="00C440A2" w:rsidRPr="00AA3997" w:rsidRDefault="00C440A2" w:rsidP="00982218">
            <w:pPr>
              <w:keepNext/>
              <w:jc w:val="left"/>
              <w:rPr>
                <w:rFonts w:ascii="Arial Narrow" w:hAnsi="Arial Narrow"/>
                <w:b w:val="0"/>
                <w:color w:val="000000"/>
                <w:sz w:val="20"/>
                <w:szCs w:val="20"/>
                <w:lang w:val="en-GB"/>
              </w:rPr>
            </w:pPr>
            <w:r w:rsidRPr="00AA3997">
              <w:rPr>
                <w:rFonts w:ascii="Arial Narrow" w:hAnsi="Arial Narrow"/>
                <w:b w:val="0"/>
                <w:color w:val="000000"/>
                <w:sz w:val="20"/>
                <w:szCs w:val="20"/>
                <w:lang w:val="en-GB"/>
              </w:rPr>
              <w:t>TEAE</w:t>
            </w:r>
          </w:p>
        </w:tc>
        <w:tc>
          <w:tcPr>
            <w:tcW w:w="1367" w:type="pct"/>
            <w:tcBorders>
              <w:top w:val="none" w:sz="0" w:space="0" w:color="auto"/>
              <w:bottom w:val="none" w:sz="0" w:space="0" w:color="auto"/>
            </w:tcBorders>
            <w:vAlign w:val="center"/>
            <w:hideMark/>
          </w:tcPr>
          <w:p w14:paraId="3C109FB3" w14:textId="77777777" w:rsidR="00C440A2" w:rsidRPr="00AA3997" w:rsidRDefault="00C440A2"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lang w:val="en-GB"/>
              </w:rPr>
            </w:pPr>
            <w:r w:rsidRPr="00AA3997">
              <w:rPr>
                <w:rFonts w:ascii="Arial Narrow" w:hAnsi="Arial Narrow"/>
                <w:color w:val="000000"/>
                <w:sz w:val="20"/>
                <w:szCs w:val="20"/>
                <w:lang w:val="en-GB"/>
              </w:rPr>
              <w:t>16.57 (0.69, 397.24)</w:t>
            </w:r>
          </w:p>
        </w:tc>
        <w:tc>
          <w:tcPr>
            <w:tcW w:w="1133" w:type="pct"/>
            <w:tcBorders>
              <w:top w:val="none" w:sz="0" w:space="0" w:color="auto"/>
              <w:bottom w:val="none" w:sz="0" w:space="0" w:color="auto"/>
            </w:tcBorders>
            <w:vAlign w:val="center"/>
            <w:hideMark/>
          </w:tcPr>
          <w:p w14:paraId="64CB7BDA" w14:textId="77777777" w:rsidR="00C440A2" w:rsidRPr="00AA3997" w:rsidRDefault="00C440A2"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0"/>
                <w:szCs w:val="20"/>
                <w:lang w:val="en-GB"/>
              </w:rPr>
            </w:pPr>
            <w:r w:rsidRPr="00AA3997">
              <w:rPr>
                <w:rFonts w:ascii="Arial Narrow" w:hAnsi="Arial Narrow"/>
                <w:b/>
                <w:bCs/>
                <w:color w:val="000000"/>
                <w:sz w:val="20"/>
                <w:szCs w:val="20"/>
                <w:lang w:val="en-GB"/>
              </w:rPr>
              <w:t>1.43 (1.14, 1.80)</w:t>
            </w:r>
          </w:p>
        </w:tc>
        <w:tc>
          <w:tcPr>
            <w:tcW w:w="1321" w:type="pct"/>
            <w:tcBorders>
              <w:top w:val="none" w:sz="0" w:space="0" w:color="auto"/>
              <w:bottom w:val="none" w:sz="0" w:space="0" w:color="auto"/>
            </w:tcBorders>
            <w:vAlign w:val="center"/>
            <w:hideMark/>
          </w:tcPr>
          <w:p w14:paraId="6D5B54A0" w14:textId="77777777" w:rsidR="00C440A2" w:rsidRPr="00AA3997" w:rsidRDefault="00C440A2"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0"/>
                <w:szCs w:val="20"/>
                <w:lang w:val="en-GB"/>
              </w:rPr>
            </w:pPr>
            <w:r w:rsidRPr="00AA3997">
              <w:rPr>
                <w:rFonts w:ascii="Arial Narrow" w:hAnsi="Arial Narrow"/>
                <w:b/>
                <w:bCs/>
                <w:color w:val="000000"/>
                <w:sz w:val="20"/>
                <w:szCs w:val="20"/>
                <w:lang w:val="en-GB"/>
              </w:rPr>
              <w:t>27.9 (11.2, 44.5)</w:t>
            </w:r>
          </w:p>
        </w:tc>
      </w:tr>
      <w:tr w:rsidR="00C440A2" w:rsidRPr="00AA3997" w14:paraId="5392C7AE" w14:textId="77777777" w:rsidTr="00982218">
        <w:trPr>
          <w:cantSplit/>
          <w:trHeight w:hRule="exact" w:val="255"/>
        </w:trPr>
        <w:tc>
          <w:tcPr>
            <w:cnfStyle w:val="001000000000" w:firstRow="0" w:lastRow="0" w:firstColumn="1" w:lastColumn="0" w:oddVBand="0" w:evenVBand="0" w:oddHBand="0" w:evenHBand="0" w:firstRowFirstColumn="0" w:firstRowLastColumn="0" w:lastRowFirstColumn="0" w:lastRowLastColumn="0"/>
            <w:tcW w:w="1179" w:type="pct"/>
            <w:vAlign w:val="center"/>
            <w:hideMark/>
          </w:tcPr>
          <w:p w14:paraId="6937FB74" w14:textId="77777777" w:rsidR="00C440A2" w:rsidRPr="00AA3997" w:rsidRDefault="00C440A2" w:rsidP="00982218">
            <w:pPr>
              <w:keepNext/>
              <w:jc w:val="left"/>
              <w:rPr>
                <w:rFonts w:ascii="Arial Narrow" w:hAnsi="Arial Narrow"/>
                <w:b w:val="0"/>
                <w:color w:val="000000"/>
                <w:sz w:val="20"/>
                <w:szCs w:val="20"/>
                <w:lang w:val="en-GB"/>
              </w:rPr>
            </w:pPr>
            <w:r w:rsidRPr="00AA3997">
              <w:rPr>
                <w:rFonts w:ascii="Arial Narrow" w:hAnsi="Arial Narrow"/>
                <w:b w:val="0"/>
                <w:color w:val="000000"/>
                <w:sz w:val="20"/>
                <w:szCs w:val="20"/>
                <w:lang w:val="en-GB"/>
              </w:rPr>
              <w:t>SAE</w:t>
            </w:r>
          </w:p>
        </w:tc>
        <w:tc>
          <w:tcPr>
            <w:tcW w:w="1367" w:type="pct"/>
            <w:vAlign w:val="center"/>
            <w:hideMark/>
          </w:tcPr>
          <w:p w14:paraId="23B66FDA" w14:textId="77777777" w:rsidR="00C440A2" w:rsidRPr="00AA3997" w:rsidRDefault="00C440A2" w:rsidP="00AA3997">
            <w:pPr>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lang w:val="en-GB"/>
              </w:rPr>
            </w:pPr>
            <w:r w:rsidRPr="00AA3997">
              <w:rPr>
                <w:rFonts w:ascii="Arial Narrow" w:hAnsi="Arial Narrow"/>
                <w:color w:val="000000"/>
                <w:sz w:val="20"/>
                <w:szCs w:val="20"/>
                <w:lang w:val="en-GB"/>
              </w:rPr>
              <w:t>2.31 (0.38, 14.17)</w:t>
            </w:r>
          </w:p>
        </w:tc>
        <w:tc>
          <w:tcPr>
            <w:tcW w:w="1133" w:type="pct"/>
            <w:vAlign w:val="center"/>
            <w:hideMark/>
          </w:tcPr>
          <w:p w14:paraId="28EDC873" w14:textId="77777777" w:rsidR="00C440A2" w:rsidRPr="00AA3997" w:rsidRDefault="00C440A2" w:rsidP="00AA3997">
            <w:pPr>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lang w:val="en-GB"/>
              </w:rPr>
            </w:pPr>
            <w:r w:rsidRPr="00AA3997">
              <w:rPr>
                <w:rFonts w:ascii="Arial Narrow" w:hAnsi="Arial Narrow"/>
                <w:color w:val="000000"/>
                <w:sz w:val="20"/>
                <w:szCs w:val="20"/>
                <w:lang w:val="en-GB"/>
              </w:rPr>
              <w:t>2.07 (0.41, 10.35)</w:t>
            </w:r>
          </w:p>
        </w:tc>
        <w:tc>
          <w:tcPr>
            <w:tcW w:w="1321" w:type="pct"/>
            <w:vAlign w:val="center"/>
            <w:hideMark/>
          </w:tcPr>
          <w:p w14:paraId="452FBDD7" w14:textId="77777777" w:rsidR="00C440A2" w:rsidRPr="00AA3997" w:rsidRDefault="00C440A2" w:rsidP="00AA3997">
            <w:pPr>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lang w:val="en-GB"/>
              </w:rPr>
            </w:pPr>
            <w:r w:rsidRPr="00AA3997">
              <w:rPr>
                <w:rFonts w:ascii="Arial Narrow" w:hAnsi="Arial Narrow"/>
                <w:color w:val="000000"/>
                <w:sz w:val="20"/>
                <w:szCs w:val="20"/>
                <w:lang w:val="en-GB"/>
              </w:rPr>
              <w:t>9.2 (-10.2, 28.6)</w:t>
            </w:r>
          </w:p>
        </w:tc>
      </w:tr>
      <w:tr w:rsidR="004418F5" w:rsidRPr="00AA3997" w14:paraId="408D8423" w14:textId="77777777" w:rsidTr="00982218">
        <w:trPr>
          <w:cnfStyle w:val="000000100000" w:firstRow="0" w:lastRow="0" w:firstColumn="0" w:lastColumn="0" w:oddVBand="0" w:evenVBand="0" w:oddHBand="1" w:evenHBand="0" w:firstRowFirstColumn="0" w:firstRowLastColumn="0" w:lastRowFirstColumn="0" w:lastRowLastColumn="0"/>
          <w:cantSplit/>
          <w:trHeight w:hRule="exact" w:val="255"/>
        </w:trPr>
        <w:tc>
          <w:tcPr>
            <w:cnfStyle w:val="001000000000" w:firstRow="0" w:lastRow="0" w:firstColumn="1" w:lastColumn="0" w:oddVBand="0" w:evenVBand="0" w:oddHBand="0" w:evenHBand="0" w:firstRowFirstColumn="0" w:firstRowLastColumn="0" w:lastRowFirstColumn="0" w:lastRowLastColumn="0"/>
            <w:tcW w:w="1179" w:type="pct"/>
            <w:tcBorders>
              <w:top w:val="none" w:sz="0" w:space="0" w:color="auto"/>
              <w:bottom w:val="none" w:sz="0" w:space="0" w:color="auto"/>
            </w:tcBorders>
            <w:vAlign w:val="center"/>
          </w:tcPr>
          <w:p w14:paraId="4103519A" w14:textId="77777777" w:rsidR="004418F5" w:rsidRPr="00AA3997" w:rsidRDefault="004418F5" w:rsidP="00982218">
            <w:pPr>
              <w:keepNext/>
              <w:jc w:val="left"/>
              <w:rPr>
                <w:rFonts w:ascii="Arial Narrow" w:hAnsi="Arial Narrow"/>
                <w:b w:val="0"/>
                <w:color w:val="000000"/>
                <w:sz w:val="20"/>
                <w:szCs w:val="20"/>
                <w:lang w:val="en-GB"/>
              </w:rPr>
            </w:pPr>
            <w:r w:rsidRPr="00AA3997">
              <w:rPr>
                <w:rFonts w:ascii="Arial Narrow" w:hAnsi="Arial Narrow"/>
                <w:b w:val="0"/>
                <w:sz w:val="20"/>
                <w:szCs w:val="20"/>
              </w:rPr>
              <w:t>Hallucination</w:t>
            </w:r>
          </w:p>
        </w:tc>
        <w:tc>
          <w:tcPr>
            <w:tcW w:w="1367" w:type="pct"/>
            <w:tcBorders>
              <w:top w:val="none" w:sz="0" w:space="0" w:color="auto"/>
              <w:bottom w:val="none" w:sz="0" w:space="0" w:color="auto"/>
            </w:tcBorders>
            <w:vAlign w:val="center"/>
          </w:tcPr>
          <w:p w14:paraId="375E504C" w14:textId="5FDCCB37" w:rsidR="004418F5" w:rsidRPr="00AA3997" w:rsidRDefault="004418F5"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lang w:val="en-GB"/>
              </w:rPr>
            </w:pPr>
            <w:r w:rsidRPr="00C95A87">
              <w:rPr>
                <w:rFonts w:ascii="Arial Narrow" w:hAnsi="Arial Narrow"/>
                <w:sz w:val="20"/>
                <w:szCs w:val="20"/>
              </w:rPr>
              <w:t>6.19 (0.25, 153.21)</w:t>
            </w:r>
          </w:p>
        </w:tc>
        <w:tc>
          <w:tcPr>
            <w:tcW w:w="1133" w:type="pct"/>
            <w:tcBorders>
              <w:top w:val="none" w:sz="0" w:space="0" w:color="auto"/>
              <w:bottom w:val="none" w:sz="0" w:space="0" w:color="auto"/>
            </w:tcBorders>
            <w:vAlign w:val="center"/>
          </w:tcPr>
          <w:p w14:paraId="361B65DD" w14:textId="77777777" w:rsidR="004418F5" w:rsidRPr="00D01F45" w:rsidRDefault="004418F5"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lang w:val="en-GB"/>
              </w:rPr>
            </w:pPr>
            <w:r w:rsidRPr="00D01F45">
              <w:rPr>
                <w:rFonts w:ascii="Arial Narrow" w:hAnsi="Arial Narrow"/>
                <w:color w:val="000000"/>
                <w:sz w:val="20"/>
                <w:szCs w:val="20"/>
                <w:lang w:val="en-GB"/>
              </w:rPr>
              <w:t>5.42 (0.24, 120.63)</w:t>
            </w:r>
          </w:p>
          <w:p w14:paraId="526550FF" w14:textId="505172C0" w:rsidR="004418F5" w:rsidRPr="00AA3997" w:rsidRDefault="004418F5"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lang w:val="en-GB"/>
              </w:rPr>
            </w:pPr>
          </w:p>
        </w:tc>
        <w:tc>
          <w:tcPr>
            <w:tcW w:w="1321" w:type="pct"/>
            <w:tcBorders>
              <w:top w:val="none" w:sz="0" w:space="0" w:color="auto"/>
              <w:bottom w:val="none" w:sz="0" w:space="0" w:color="auto"/>
            </w:tcBorders>
            <w:vAlign w:val="center"/>
          </w:tcPr>
          <w:p w14:paraId="13E12D24" w14:textId="5FAC17D3" w:rsidR="004418F5" w:rsidRPr="00AA3997" w:rsidRDefault="004418F5" w:rsidP="00AA3997">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lang w:val="en-GB"/>
              </w:rPr>
            </w:pPr>
            <w:r w:rsidRPr="00C95A87">
              <w:rPr>
                <w:rFonts w:ascii="Arial Narrow" w:hAnsi="Arial Narrow"/>
                <w:sz w:val="20"/>
                <w:szCs w:val="20"/>
              </w:rPr>
              <w:t>12.12 (0.21, 24.03)</w:t>
            </w:r>
          </w:p>
        </w:tc>
      </w:tr>
      <w:tr w:rsidR="004418F5" w:rsidRPr="00AA3997" w14:paraId="5F472E43" w14:textId="77777777" w:rsidTr="00982218">
        <w:trPr>
          <w:cantSplit/>
          <w:trHeight w:hRule="exact" w:val="511"/>
        </w:trPr>
        <w:tc>
          <w:tcPr>
            <w:cnfStyle w:val="001000000000" w:firstRow="0" w:lastRow="0" w:firstColumn="1" w:lastColumn="0" w:oddVBand="0" w:evenVBand="0" w:oddHBand="0" w:evenHBand="0" w:firstRowFirstColumn="0" w:firstRowLastColumn="0" w:lastRowFirstColumn="0" w:lastRowLastColumn="0"/>
            <w:tcW w:w="1179" w:type="pct"/>
            <w:vAlign w:val="center"/>
          </w:tcPr>
          <w:p w14:paraId="10130630" w14:textId="29298F8E" w:rsidR="004418F5" w:rsidRPr="00AA3997" w:rsidRDefault="004418F5" w:rsidP="00982218">
            <w:pPr>
              <w:keepNext/>
              <w:jc w:val="left"/>
              <w:rPr>
                <w:rFonts w:ascii="Arial Narrow" w:hAnsi="Arial Narrow"/>
                <w:b w:val="0"/>
                <w:color w:val="000000"/>
                <w:sz w:val="20"/>
                <w:szCs w:val="20"/>
                <w:lang w:val="en-GB"/>
              </w:rPr>
            </w:pPr>
            <w:r w:rsidRPr="00AA3997">
              <w:rPr>
                <w:rFonts w:ascii="Arial Narrow" w:hAnsi="Arial Narrow"/>
                <w:b w:val="0"/>
                <w:sz w:val="20"/>
                <w:szCs w:val="20"/>
              </w:rPr>
              <w:t>Falls</w:t>
            </w:r>
            <w:r w:rsidR="00AA3997" w:rsidRPr="00AA3997">
              <w:rPr>
                <w:rFonts w:ascii="Arial Narrow" w:hAnsi="Arial Narrow"/>
                <w:b w:val="0"/>
                <w:sz w:val="20"/>
                <w:szCs w:val="20"/>
              </w:rPr>
              <w:t xml:space="preserve"> and associated injuries</w:t>
            </w:r>
          </w:p>
        </w:tc>
        <w:tc>
          <w:tcPr>
            <w:tcW w:w="1367" w:type="pct"/>
            <w:vAlign w:val="center"/>
          </w:tcPr>
          <w:p w14:paraId="44E12040" w14:textId="681ADEF4" w:rsidR="004418F5" w:rsidRPr="00AA3997" w:rsidRDefault="004418F5" w:rsidP="00AA3997">
            <w:pPr>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lang w:val="en-GB"/>
              </w:rPr>
            </w:pPr>
            <w:r w:rsidRPr="00C95A87">
              <w:rPr>
                <w:rFonts w:ascii="Arial Narrow" w:hAnsi="Arial Narrow"/>
                <w:sz w:val="20"/>
                <w:szCs w:val="20"/>
              </w:rPr>
              <w:t>0.16 (0.03, 0.95)</w:t>
            </w:r>
          </w:p>
        </w:tc>
        <w:tc>
          <w:tcPr>
            <w:tcW w:w="1133" w:type="pct"/>
            <w:vAlign w:val="center"/>
          </w:tcPr>
          <w:p w14:paraId="0B9F15AA" w14:textId="69E826A8" w:rsidR="004418F5" w:rsidRPr="00AA3997" w:rsidRDefault="004418F5" w:rsidP="00AA3997">
            <w:pPr>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lang w:val="en-GB"/>
              </w:rPr>
            </w:pPr>
            <w:r w:rsidRPr="00C95A87">
              <w:rPr>
                <w:rFonts w:ascii="Arial Narrow" w:hAnsi="Arial Narrow"/>
                <w:color w:val="000000"/>
                <w:sz w:val="20"/>
                <w:szCs w:val="20"/>
                <w:lang w:val="en-GB"/>
              </w:rPr>
              <w:t>0.24 (0.05, 1.11)</w:t>
            </w:r>
          </w:p>
        </w:tc>
        <w:tc>
          <w:tcPr>
            <w:tcW w:w="1321" w:type="pct"/>
            <w:vAlign w:val="center"/>
          </w:tcPr>
          <w:p w14:paraId="710EC923" w14:textId="0A1FEA14" w:rsidR="004418F5" w:rsidRPr="00AA3997" w:rsidRDefault="004418F5" w:rsidP="00AA3997">
            <w:pPr>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lang w:val="en-GB"/>
              </w:rPr>
            </w:pPr>
            <w:r w:rsidRPr="00C95A87">
              <w:rPr>
                <w:rFonts w:ascii="Arial Narrow" w:hAnsi="Arial Narrow"/>
                <w:sz w:val="20"/>
                <w:szCs w:val="20"/>
              </w:rPr>
              <w:t>-28.25 (--48.00, -8.50)</w:t>
            </w:r>
          </w:p>
        </w:tc>
      </w:tr>
    </w:tbl>
    <w:p w14:paraId="48C6A591" w14:textId="5A101BAE" w:rsidR="00C440A2" w:rsidRPr="00AA3997" w:rsidRDefault="00C440A2" w:rsidP="00C440A2">
      <w:pPr>
        <w:rPr>
          <w:rFonts w:ascii="Arial Narrow" w:hAnsi="Arial Narrow"/>
          <w:sz w:val="18"/>
          <w:szCs w:val="18"/>
        </w:rPr>
      </w:pPr>
      <w:r w:rsidRPr="00AA3997">
        <w:rPr>
          <w:rFonts w:ascii="Arial Narrow" w:hAnsi="Arial Narrow"/>
          <w:sz w:val="18"/>
          <w:szCs w:val="18"/>
        </w:rPr>
        <w:t>Source: Table 2-23, p88</w:t>
      </w:r>
      <w:r w:rsidR="003323F3">
        <w:rPr>
          <w:rFonts w:ascii="Arial Narrow" w:hAnsi="Arial Narrow"/>
          <w:sz w:val="18"/>
          <w:szCs w:val="18"/>
        </w:rPr>
        <w:t xml:space="preserve"> of the submission.</w:t>
      </w:r>
    </w:p>
    <w:p w14:paraId="07CA94BB" w14:textId="528069D4" w:rsidR="00C440A2" w:rsidRPr="006377B3" w:rsidRDefault="000F1EE4" w:rsidP="00C440A2">
      <w:pPr>
        <w:rPr>
          <w:rFonts w:ascii="Arial Narrow" w:hAnsi="Arial Narrow"/>
          <w:sz w:val="18"/>
          <w:szCs w:val="18"/>
        </w:rPr>
      </w:pPr>
      <w:r>
        <w:rPr>
          <w:rFonts w:ascii="Arial Narrow" w:hAnsi="Arial Narrow"/>
          <w:sz w:val="18"/>
          <w:szCs w:val="18"/>
        </w:rPr>
        <w:t xml:space="preserve">Abbreviations: </w:t>
      </w:r>
      <w:r w:rsidR="00C440A2" w:rsidRPr="00AA3997">
        <w:rPr>
          <w:rFonts w:ascii="Arial Narrow" w:hAnsi="Arial Narrow"/>
          <w:sz w:val="18"/>
          <w:szCs w:val="18"/>
        </w:rPr>
        <w:t>CI = confidence interval; FosLD/FosCD = foslevodopa/foscarbidopa; LCIG = levodopa carbidopa intestinal gel; OR</w:t>
      </w:r>
      <w:r w:rsidR="00C440A2">
        <w:rPr>
          <w:rFonts w:ascii="Arial Narrow" w:hAnsi="Arial Narrow"/>
          <w:sz w:val="18"/>
          <w:szCs w:val="18"/>
        </w:rPr>
        <w:t xml:space="preserve"> = odds ratio; RD = risk difference; </w:t>
      </w:r>
      <w:r w:rsidR="00C440A2" w:rsidRPr="006377B3">
        <w:rPr>
          <w:rFonts w:ascii="Arial Narrow" w:hAnsi="Arial Narrow"/>
          <w:sz w:val="18"/>
          <w:szCs w:val="18"/>
        </w:rPr>
        <w:t>RR = risk ratio; SAE = serious adverse event; TEAE = treatment emergent adverse event.</w:t>
      </w:r>
    </w:p>
    <w:p w14:paraId="0C8E2273" w14:textId="41692D59" w:rsidR="009905F8" w:rsidRPr="004F7504" w:rsidRDefault="00C440A2" w:rsidP="003945B8">
      <w:pPr>
        <w:pStyle w:val="3-BodyText"/>
        <w:numPr>
          <w:ilvl w:val="0"/>
          <w:numId w:val="0"/>
        </w:numPr>
        <w:spacing w:after="0"/>
        <w:rPr>
          <w:rFonts w:ascii="Arial Narrow" w:hAnsi="Arial Narrow"/>
          <w:snapToGrid/>
          <w:sz w:val="18"/>
          <w:szCs w:val="18"/>
        </w:rPr>
      </w:pPr>
      <w:r w:rsidRPr="004F7504">
        <w:rPr>
          <w:rFonts w:ascii="Arial Narrow" w:hAnsi="Arial Narrow"/>
          <w:snapToGrid/>
          <w:sz w:val="18"/>
          <w:szCs w:val="18"/>
        </w:rPr>
        <w:t>Bold = statistically significant.</w:t>
      </w:r>
    </w:p>
    <w:p w14:paraId="098743A6" w14:textId="2368CC79" w:rsidR="009905F8" w:rsidRPr="004F7504" w:rsidRDefault="00EE4D1E" w:rsidP="004F7504">
      <w:pPr>
        <w:pStyle w:val="3-BodyText"/>
        <w:numPr>
          <w:ilvl w:val="0"/>
          <w:numId w:val="0"/>
        </w:numPr>
        <w:rPr>
          <w:rFonts w:ascii="Arial Narrow" w:hAnsi="Arial Narrow"/>
          <w:snapToGrid/>
          <w:sz w:val="18"/>
          <w:szCs w:val="18"/>
        </w:rPr>
      </w:pPr>
      <w:r w:rsidRPr="000F1EE4">
        <w:rPr>
          <w:rFonts w:ascii="Arial Narrow" w:hAnsi="Arial Narrow"/>
          <w:snapToGrid/>
          <w:sz w:val="18"/>
          <w:szCs w:val="18"/>
          <w:vertAlign w:val="superscript"/>
        </w:rPr>
        <w:t xml:space="preserve">a </w:t>
      </w:r>
      <w:r w:rsidR="009905F8" w:rsidRPr="004F7504">
        <w:rPr>
          <w:rFonts w:ascii="Arial Narrow" w:hAnsi="Arial Narrow"/>
          <w:snapToGrid/>
          <w:sz w:val="18"/>
          <w:szCs w:val="18"/>
        </w:rPr>
        <w:t>Calculated using the Bucher single pairwise method</w:t>
      </w:r>
      <w:r w:rsidR="003323F3" w:rsidRPr="004F7504">
        <w:rPr>
          <w:rFonts w:ascii="Arial Narrow" w:hAnsi="Arial Narrow"/>
          <w:snapToGrid/>
          <w:sz w:val="18"/>
          <w:szCs w:val="18"/>
        </w:rPr>
        <w:t>.</w:t>
      </w:r>
    </w:p>
    <w:p w14:paraId="1BBBCD52" w14:textId="1AAD52D4" w:rsidR="00C440A2" w:rsidRPr="00C95A87" w:rsidRDefault="00C440A2" w:rsidP="003945B8">
      <w:pPr>
        <w:pStyle w:val="3-BodyText"/>
      </w:pPr>
      <w:r w:rsidRPr="00C95A87">
        <w:t>The indirect comparison</w:t>
      </w:r>
      <w:r w:rsidR="00AA3997" w:rsidRPr="00C95A87">
        <w:t xml:space="preserve">s were based on small patient numbers as reflected by the wide confidence intervals and were not reliable. The results indicated </w:t>
      </w:r>
      <w:r w:rsidRPr="00C95A87">
        <w:t xml:space="preserve">that TEAEs were statistically significantly worse with FosLD/FosCD than with LCIG. However, </w:t>
      </w:r>
      <w:r w:rsidR="00AA3997" w:rsidRPr="00C95A87">
        <w:t>the indirect estimates are</w:t>
      </w:r>
      <w:r w:rsidRPr="00C95A87">
        <w:t xml:space="preserve"> difficult to interpret as </w:t>
      </w:r>
      <w:r w:rsidR="007F5152">
        <w:t>the estimates</w:t>
      </w:r>
      <w:r w:rsidRPr="00C95A87">
        <w:t xml:space="preserve"> include any AE regardless of severity. </w:t>
      </w:r>
      <w:r w:rsidR="006E3551" w:rsidRPr="00C95A87">
        <w:t>Serious adverse events (</w:t>
      </w:r>
      <w:r w:rsidRPr="00C95A87">
        <w:t>SAEs</w:t>
      </w:r>
      <w:r w:rsidR="006E3551" w:rsidRPr="00C95A87">
        <w:t>)</w:t>
      </w:r>
      <w:r w:rsidRPr="00C95A87">
        <w:t xml:space="preserve">, </w:t>
      </w:r>
      <w:r w:rsidR="00A8387B" w:rsidRPr="00C95A87">
        <w:t>h</w:t>
      </w:r>
      <w:r w:rsidRPr="00C95A87">
        <w:t>allucinations, and falls d</w:t>
      </w:r>
      <w:r w:rsidR="00A8387B" w:rsidRPr="00C95A87">
        <w:t>id</w:t>
      </w:r>
      <w:r w:rsidRPr="00C95A87">
        <w:t xml:space="preserve"> not show any statistically significant difference</w:t>
      </w:r>
      <w:r w:rsidR="00A8387B" w:rsidRPr="00C95A87">
        <w:t xml:space="preserve"> (probably due to small numbers), although the absolute differences were large</w:t>
      </w:r>
      <w:r w:rsidRPr="00C95A87">
        <w:t xml:space="preserve">. Confounding the results is the difference in mean treatment </w:t>
      </w:r>
      <w:r w:rsidR="00A8387B" w:rsidRPr="00C95A87">
        <w:t xml:space="preserve">duration </w:t>
      </w:r>
      <w:r w:rsidRPr="00C95A87">
        <w:t xml:space="preserve">between the </w:t>
      </w:r>
      <w:r w:rsidR="00A8387B" w:rsidRPr="00C95A87">
        <w:t xml:space="preserve">indirectly compared </w:t>
      </w:r>
      <w:r w:rsidRPr="00C95A87">
        <w:t>FosLD/FosCD and LCIG</w:t>
      </w:r>
      <w:r w:rsidR="00A8387B" w:rsidRPr="00C95A87">
        <w:t xml:space="preserve"> trial arms</w:t>
      </w:r>
      <w:r w:rsidRPr="00C95A87">
        <w:t>, with FosLD/FosCD having a shorter treatment exposure.</w:t>
      </w:r>
      <w:r w:rsidR="002B4FEC" w:rsidRPr="00C95A87">
        <w:t xml:space="preserve"> Additionally, the differences in AE rates between the common comparator arms indicates </w:t>
      </w:r>
      <w:r w:rsidR="00931F0D" w:rsidRPr="00C95A87">
        <w:t>the existence of</w:t>
      </w:r>
      <w:r w:rsidR="002B4FEC" w:rsidRPr="00C95A87">
        <w:t xml:space="preserve"> transitivity</w:t>
      </w:r>
      <w:r w:rsidR="00931F0D" w:rsidRPr="00C95A87">
        <w:t xml:space="preserve"> issues between the two trials</w:t>
      </w:r>
      <w:r w:rsidR="002B4FEC" w:rsidRPr="00C95A87">
        <w:t>.</w:t>
      </w:r>
    </w:p>
    <w:p w14:paraId="0C6E4A60" w14:textId="77777777" w:rsidR="00C440A2" w:rsidRPr="001244D0" w:rsidRDefault="00C440A2" w:rsidP="00C440A2">
      <w:pPr>
        <w:pStyle w:val="4-SubsectionHeading"/>
        <w:rPr>
          <w:iCs/>
        </w:rPr>
      </w:pPr>
      <w:bookmarkStart w:id="39" w:name="_Toc22897643"/>
      <w:bookmarkStart w:id="40" w:name="_Toc135072005"/>
      <w:r w:rsidRPr="001244D0">
        <w:rPr>
          <w:iCs/>
        </w:rPr>
        <w:t>Benefits/harms</w:t>
      </w:r>
      <w:bookmarkEnd w:id="39"/>
      <w:bookmarkEnd w:id="40"/>
    </w:p>
    <w:p w14:paraId="7E280682" w14:textId="7E15130A" w:rsidR="00C440A2" w:rsidRPr="002E1071" w:rsidRDefault="00C440A2" w:rsidP="003945B8">
      <w:pPr>
        <w:pStyle w:val="3-BodyText"/>
      </w:pPr>
      <w:r w:rsidRPr="00311D9B">
        <w:rPr>
          <w:snapToGrid/>
          <w:lang w:val="en-US"/>
        </w:rPr>
        <w:t xml:space="preserve">A benefits and harms table </w:t>
      </w:r>
      <w:r w:rsidR="005D7784">
        <w:rPr>
          <w:snapToGrid/>
          <w:lang w:val="en-US"/>
        </w:rPr>
        <w:t>wa</w:t>
      </w:r>
      <w:r w:rsidRPr="00311D9B">
        <w:rPr>
          <w:snapToGrid/>
          <w:lang w:val="en-US"/>
        </w:rPr>
        <w:t>s not presented as the submission made a claim of non-inferiority.</w:t>
      </w:r>
    </w:p>
    <w:p w14:paraId="608EADEC" w14:textId="77777777" w:rsidR="00C440A2" w:rsidRPr="001244D0" w:rsidRDefault="00C440A2" w:rsidP="00C440A2">
      <w:pPr>
        <w:pStyle w:val="4-SubsectionHeading"/>
        <w:rPr>
          <w:iCs/>
        </w:rPr>
      </w:pPr>
      <w:bookmarkStart w:id="41" w:name="_Toc22897644"/>
      <w:bookmarkStart w:id="42" w:name="_Toc135072006"/>
      <w:r w:rsidRPr="001244D0">
        <w:rPr>
          <w:iCs/>
        </w:rPr>
        <w:t>Clinical claim</w:t>
      </w:r>
      <w:bookmarkEnd w:id="41"/>
      <w:bookmarkEnd w:id="42"/>
    </w:p>
    <w:p w14:paraId="5CB32AF2" w14:textId="6E6FF618" w:rsidR="00C440A2" w:rsidRDefault="00C440A2" w:rsidP="003945B8">
      <w:pPr>
        <w:pStyle w:val="3-BodyText"/>
        <w:rPr>
          <w:rFonts w:eastAsia="Calibri"/>
        </w:rPr>
      </w:pPr>
      <w:r w:rsidRPr="005D6F6E">
        <w:rPr>
          <w:rFonts w:eastAsia="Calibri"/>
        </w:rPr>
        <w:t xml:space="preserve">The submission described </w:t>
      </w:r>
      <w:r>
        <w:rPr>
          <w:rFonts w:eastAsia="Calibri"/>
        </w:rPr>
        <w:t xml:space="preserve">FosLD/FosCD </w:t>
      </w:r>
      <w:r w:rsidRPr="005D6F6E">
        <w:rPr>
          <w:rFonts w:eastAsia="Calibri"/>
        </w:rPr>
        <w:t xml:space="preserve">as </w:t>
      </w:r>
      <w:r>
        <w:rPr>
          <w:rFonts w:eastAsia="Calibri"/>
        </w:rPr>
        <w:t>non-inferior</w:t>
      </w:r>
      <w:r w:rsidRPr="005D6F6E">
        <w:rPr>
          <w:rFonts w:eastAsia="Calibri"/>
        </w:rPr>
        <w:t xml:space="preserve"> in terms of effectiveness compared to </w:t>
      </w:r>
      <w:r>
        <w:rPr>
          <w:rFonts w:eastAsia="Calibri"/>
        </w:rPr>
        <w:t>LCIG</w:t>
      </w:r>
      <w:r w:rsidRPr="005D6F6E">
        <w:rPr>
          <w:rFonts w:eastAsia="Calibri"/>
        </w:rPr>
        <w:t xml:space="preserve">. </w:t>
      </w:r>
      <w:r w:rsidR="00885493">
        <w:rPr>
          <w:rFonts w:eastAsia="Calibri"/>
        </w:rPr>
        <w:t>During the evaluation the</w:t>
      </w:r>
      <w:r w:rsidR="00444C60" w:rsidRPr="00C95A87">
        <w:rPr>
          <w:rFonts w:eastAsia="Calibri"/>
        </w:rPr>
        <w:t xml:space="preserve"> indirect comparisons were </w:t>
      </w:r>
      <w:r w:rsidR="001A7635">
        <w:rPr>
          <w:rFonts w:eastAsia="Calibri"/>
        </w:rPr>
        <w:t xml:space="preserve">considered </w:t>
      </w:r>
      <w:r w:rsidR="00444C60" w:rsidRPr="00C95A87">
        <w:rPr>
          <w:rFonts w:eastAsia="Calibri"/>
        </w:rPr>
        <w:t xml:space="preserve">not reliable </w:t>
      </w:r>
      <w:r w:rsidR="004B276B">
        <w:rPr>
          <w:rFonts w:eastAsia="Calibri"/>
        </w:rPr>
        <w:t>given they</w:t>
      </w:r>
      <w:r w:rsidR="004B276B" w:rsidRPr="00C95A87">
        <w:rPr>
          <w:rFonts w:eastAsia="Calibri"/>
        </w:rPr>
        <w:t xml:space="preserve"> </w:t>
      </w:r>
      <w:r w:rsidR="00444C60" w:rsidRPr="00C95A87">
        <w:rPr>
          <w:rFonts w:eastAsia="Calibri"/>
        </w:rPr>
        <w:t>were based on small patient numbers as reflected by the wide confidence intervals of the indirect estimates of treatment effect</w:t>
      </w:r>
      <w:r w:rsidRPr="005D6F6E">
        <w:rPr>
          <w:rFonts w:eastAsia="Calibri"/>
        </w:rPr>
        <w:t>.</w:t>
      </w:r>
      <w:r>
        <w:rPr>
          <w:rFonts w:eastAsia="Calibri"/>
        </w:rPr>
        <w:t xml:space="preserve"> </w:t>
      </w:r>
      <w:r w:rsidR="00444C60" w:rsidRPr="00D01F45">
        <w:rPr>
          <w:rFonts w:eastAsia="Calibri"/>
        </w:rPr>
        <w:t>The lack of precision with the results make</w:t>
      </w:r>
      <w:r w:rsidR="00A07367">
        <w:rPr>
          <w:rFonts w:eastAsia="Calibri"/>
        </w:rPr>
        <w:t>s</w:t>
      </w:r>
      <w:r w:rsidR="00444C60" w:rsidRPr="00D01F45">
        <w:rPr>
          <w:rFonts w:eastAsia="Calibri"/>
        </w:rPr>
        <w:t xml:space="preserve"> the indirect results difficult to interpret. </w:t>
      </w:r>
      <w:r w:rsidR="00A07367" w:rsidRPr="00B42BBE">
        <w:rPr>
          <w:rFonts w:eastAsia="Calibri"/>
          <w:iCs/>
        </w:rPr>
        <w:t>The ESC considered the claim of non-inferior effectiveness compared to LCIG to be reasonable.</w:t>
      </w:r>
    </w:p>
    <w:p w14:paraId="36A11F31" w14:textId="2FB43BEB" w:rsidR="00E967E8" w:rsidRDefault="00C440A2" w:rsidP="003945B8">
      <w:pPr>
        <w:pStyle w:val="3-BodyText"/>
        <w:rPr>
          <w:iCs/>
        </w:rPr>
      </w:pPr>
      <w:r w:rsidRPr="005D6F6E">
        <w:rPr>
          <w:rFonts w:eastAsia="Calibri"/>
        </w:rPr>
        <w:t xml:space="preserve">The submission described </w:t>
      </w:r>
      <w:r>
        <w:rPr>
          <w:rFonts w:eastAsia="Calibri"/>
        </w:rPr>
        <w:t xml:space="preserve">FosLD/FosCD </w:t>
      </w:r>
      <w:r w:rsidRPr="005D6F6E">
        <w:rPr>
          <w:rFonts w:eastAsia="Calibri"/>
        </w:rPr>
        <w:t xml:space="preserve">as </w:t>
      </w:r>
      <w:r>
        <w:rPr>
          <w:rFonts w:eastAsia="Calibri"/>
        </w:rPr>
        <w:t>non</w:t>
      </w:r>
      <w:r w:rsidR="00A07367">
        <w:rPr>
          <w:rFonts w:eastAsia="Calibri"/>
        </w:rPr>
        <w:t>-</w:t>
      </w:r>
      <w:r>
        <w:rPr>
          <w:rFonts w:eastAsia="Calibri"/>
        </w:rPr>
        <w:t>inferior</w:t>
      </w:r>
      <w:r w:rsidRPr="005D6F6E">
        <w:rPr>
          <w:rFonts w:eastAsia="Calibri"/>
        </w:rPr>
        <w:t xml:space="preserve"> in term</w:t>
      </w:r>
      <w:r>
        <w:rPr>
          <w:rFonts w:eastAsia="Calibri"/>
        </w:rPr>
        <w:t>s</w:t>
      </w:r>
      <w:r w:rsidRPr="005D6F6E">
        <w:rPr>
          <w:rFonts w:eastAsia="Calibri"/>
        </w:rPr>
        <w:t xml:space="preserve"> of safety compared to </w:t>
      </w:r>
      <w:r>
        <w:rPr>
          <w:rFonts w:eastAsia="Calibri"/>
        </w:rPr>
        <w:t>LCIG</w:t>
      </w:r>
      <w:r w:rsidRPr="005D6F6E">
        <w:rPr>
          <w:rFonts w:eastAsia="Calibri"/>
        </w:rPr>
        <w:t xml:space="preserve">. </w:t>
      </w:r>
      <w:r w:rsidR="004F6479" w:rsidRPr="00C95A87">
        <w:rPr>
          <w:rFonts w:eastAsia="Calibri"/>
        </w:rPr>
        <w:t xml:space="preserve">For similar reasons, the indirect comparisons of safety lacked precision. In addition, </w:t>
      </w:r>
      <w:r w:rsidR="004F6479" w:rsidRPr="00C95A87">
        <w:rPr>
          <w:rFonts w:eastAsia="Calibri"/>
          <w:iCs/>
        </w:rPr>
        <w:t xml:space="preserve">AEs for the common reference arm (oral LD/CD) varied between the studies. The mean time since diagnosis was also shorter (8.58 years) in Study M15-736 compared to that in Olanow 2014 (10.09 years). This reflects heterogeneity between </w:t>
      </w:r>
      <w:r w:rsidR="004F6479" w:rsidRPr="00C95A87">
        <w:rPr>
          <w:rFonts w:eastAsia="Calibri"/>
          <w:iCs/>
        </w:rPr>
        <w:lastRenderedPageBreak/>
        <w:t>the study populations that are being indirectly compared making the interpretation of comparative safety also difficult.</w:t>
      </w:r>
      <w:r w:rsidR="00B16D1B" w:rsidRPr="00B16D1B">
        <w:t xml:space="preserve"> </w:t>
      </w:r>
      <w:r w:rsidR="00B16D1B">
        <w:t>During the evaluation t</w:t>
      </w:r>
      <w:r w:rsidR="00B16D1B" w:rsidRPr="00D01F45">
        <w:t>he claim of non</w:t>
      </w:r>
      <w:r w:rsidR="00E20CF0">
        <w:t>-</w:t>
      </w:r>
      <w:r w:rsidR="00B16D1B" w:rsidRPr="00D01F45">
        <w:t>inferior safety was</w:t>
      </w:r>
      <w:r w:rsidR="00B16D1B">
        <w:t xml:space="preserve"> considered</w:t>
      </w:r>
      <w:r w:rsidR="00B16D1B" w:rsidRPr="00D01F45">
        <w:t xml:space="preserve"> not well established as the indirect comparison of safety of FosLD/FosCD vs LCIG resulted in a RR of 1.43 (1.14, 1.80; 95% CI) for TEAEs.</w:t>
      </w:r>
      <w:r w:rsidR="00A07367">
        <w:rPr>
          <w:rFonts w:eastAsia="Calibri"/>
          <w:iCs/>
        </w:rPr>
        <w:t xml:space="preserve"> </w:t>
      </w:r>
      <w:r w:rsidR="00A07367" w:rsidRPr="00B42BBE">
        <w:rPr>
          <w:rFonts w:eastAsia="Calibri"/>
        </w:rPr>
        <w:t xml:space="preserve">The ESC considered the claim of non-inferior safety to be poorly supported noting the high rates of </w:t>
      </w:r>
      <w:r w:rsidR="00A07367" w:rsidRPr="00B42BBE">
        <w:t>discontinuation</w:t>
      </w:r>
      <w:r w:rsidR="004342D7" w:rsidRPr="00B42BBE">
        <w:t xml:space="preserve"> of</w:t>
      </w:r>
      <w:r w:rsidR="00A07367" w:rsidRPr="00B42BBE">
        <w:t xml:space="preserve"> FosLD/FosCD in Studies M15-736 and M15-741</w:t>
      </w:r>
      <w:r w:rsidR="004342D7" w:rsidRPr="00B42BBE">
        <w:t xml:space="preserve"> and the higher overall frequencies of some specific treatment-related AEs for FosLD/FosCD compared to LCIG.</w:t>
      </w:r>
      <w:r w:rsidR="004F452D">
        <w:t xml:space="preserve"> </w:t>
      </w:r>
      <w:r w:rsidR="004F452D">
        <w:rPr>
          <w:iCs/>
        </w:rPr>
        <w:t>The Pre-PBAC Response argued it was biologically plausible to expect comparable safety between FosLD/FosCD and LCIG, and the available pharmacokinetic data further supported this conclusion.</w:t>
      </w:r>
    </w:p>
    <w:p w14:paraId="390FCB7B" w14:textId="6A93794B" w:rsidR="00F82334" w:rsidRPr="00CE42B4" w:rsidRDefault="00F82334" w:rsidP="00F82334">
      <w:pPr>
        <w:widowControl w:val="0"/>
        <w:numPr>
          <w:ilvl w:val="1"/>
          <w:numId w:val="1"/>
        </w:numPr>
        <w:spacing w:after="120"/>
        <w:rPr>
          <w:rFonts w:asciiTheme="minorHAnsi" w:hAnsiTheme="minorHAnsi"/>
          <w:snapToGrid w:val="0"/>
          <w:szCs w:val="20"/>
        </w:rPr>
      </w:pPr>
      <w:bookmarkStart w:id="43"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w:t>
      </w:r>
      <w:r w:rsidR="00240322">
        <w:rPr>
          <w:rFonts w:asciiTheme="minorHAnsi" w:hAnsiTheme="minorHAnsi"/>
          <w:snapToGrid w:val="0"/>
          <w:szCs w:val="20"/>
        </w:rPr>
        <w:t xml:space="preserve"> to LCIG may be supported, but that additional detail and analyses to further support this claim </w:t>
      </w:r>
      <w:r w:rsidR="004B276B">
        <w:rPr>
          <w:rFonts w:asciiTheme="minorHAnsi" w:hAnsiTheme="minorHAnsi"/>
          <w:snapToGrid w:val="0"/>
          <w:szCs w:val="20"/>
        </w:rPr>
        <w:t>were required</w:t>
      </w:r>
      <w:r w:rsidR="00240322">
        <w:rPr>
          <w:rFonts w:asciiTheme="minorHAnsi" w:hAnsiTheme="minorHAnsi"/>
          <w:snapToGrid w:val="0"/>
          <w:szCs w:val="20"/>
        </w:rPr>
        <w:t xml:space="preserve"> (discussed further in paragraph 7.</w:t>
      </w:r>
      <w:r w:rsidR="0029353A">
        <w:rPr>
          <w:rFonts w:asciiTheme="minorHAnsi" w:hAnsiTheme="minorHAnsi"/>
          <w:snapToGrid w:val="0"/>
          <w:szCs w:val="20"/>
        </w:rPr>
        <w:t>9</w:t>
      </w:r>
      <w:r w:rsidR="00240322">
        <w:rPr>
          <w:rFonts w:asciiTheme="minorHAnsi" w:hAnsiTheme="minorHAnsi"/>
          <w:snapToGrid w:val="0"/>
          <w:szCs w:val="20"/>
        </w:rPr>
        <w:t>).</w:t>
      </w:r>
    </w:p>
    <w:p w14:paraId="6AC0C244" w14:textId="77777777" w:rsidR="00E967E8" w:rsidRDefault="00F82334" w:rsidP="00F82334">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non-inferior comparative safety</w:t>
      </w:r>
      <w:r w:rsidR="00240322">
        <w:rPr>
          <w:rFonts w:asciiTheme="minorHAnsi" w:hAnsiTheme="minorHAnsi"/>
          <w:snapToGrid w:val="0"/>
          <w:szCs w:val="20"/>
        </w:rPr>
        <w:t xml:space="preserve"> to LCIG appeared to be poorly supported</w:t>
      </w:r>
      <w:r w:rsidR="00C45D48">
        <w:rPr>
          <w:rFonts w:asciiTheme="minorHAnsi" w:hAnsiTheme="minorHAnsi"/>
          <w:snapToGrid w:val="0"/>
          <w:szCs w:val="20"/>
        </w:rPr>
        <w:t>.</w:t>
      </w:r>
      <w:bookmarkEnd w:id="43"/>
    </w:p>
    <w:p w14:paraId="3DA28DC1" w14:textId="77777777" w:rsidR="00E967E8" w:rsidRDefault="00B60939" w:rsidP="00185649">
      <w:pPr>
        <w:pStyle w:val="4-SubsectionHeading"/>
        <w:rPr>
          <w:iCs/>
        </w:rPr>
      </w:pPr>
      <w:bookmarkStart w:id="44" w:name="_Toc135072007"/>
      <w:r w:rsidRPr="001244D0">
        <w:rPr>
          <w:iCs/>
        </w:rPr>
        <w:t>Economic analysis</w:t>
      </w:r>
      <w:bookmarkEnd w:id="2"/>
      <w:bookmarkEnd w:id="44"/>
    </w:p>
    <w:p w14:paraId="447E3D86" w14:textId="77777777" w:rsidR="00E967E8" w:rsidRDefault="009A5B6A" w:rsidP="003945B8">
      <w:pPr>
        <w:pStyle w:val="3-BodyText"/>
      </w:pPr>
      <w:bookmarkStart w:id="45" w:name="_Toc22897650"/>
      <w:bookmarkStart w:id="46" w:name="_Toc107927636"/>
      <w:r w:rsidRPr="003947BF">
        <w:t xml:space="preserve">The submission presented a </w:t>
      </w:r>
      <w:r>
        <w:t>CMA</w:t>
      </w:r>
      <w:r w:rsidR="00107DC9">
        <w:t>,</w:t>
      </w:r>
      <w:r>
        <w:t xml:space="preserve"> which compared</w:t>
      </w:r>
      <w:r w:rsidRPr="003947BF">
        <w:t xml:space="preserve"> </w:t>
      </w:r>
      <w:r w:rsidR="00EC3E6F" w:rsidRPr="00C01FAE">
        <w:t>FosLD/FosCD</w:t>
      </w:r>
      <w:r w:rsidRPr="003947BF">
        <w:t>, administered as a</w:t>
      </w:r>
      <w:r>
        <w:t xml:space="preserve"> 24-hour</w:t>
      </w:r>
      <w:r w:rsidRPr="003947BF">
        <w:t xml:space="preserve"> continuous subcutaneous infusion, </w:t>
      </w:r>
      <w:r>
        <w:t>with</w:t>
      </w:r>
      <w:r w:rsidRPr="003947BF">
        <w:t xml:space="preserve"> LCIG, administered as a 16-hour daytime continuous infusion through a PEG-J tube.</w:t>
      </w:r>
    </w:p>
    <w:p w14:paraId="544D751C" w14:textId="6D97630F" w:rsidR="00E967E8" w:rsidRDefault="003B119B" w:rsidP="003945B8">
      <w:pPr>
        <w:pStyle w:val="3-BodyText"/>
      </w:pPr>
      <w:r w:rsidRPr="00B42BBE">
        <w:t xml:space="preserve">The ESC noted that given the </w:t>
      </w:r>
      <w:r w:rsidR="00B16D1B" w:rsidRPr="00B42BBE">
        <w:t xml:space="preserve">estimated </w:t>
      </w:r>
      <w:r w:rsidRPr="00B42BBE">
        <w:t xml:space="preserve">high cost associated with </w:t>
      </w:r>
      <w:r w:rsidR="00B16D1B" w:rsidRPr="00B42BBE">
        <w:t xml:space="preserve">the listing of </w:t>
      </w:r>
      <w:r w:rsidRPr="00B42BBE">
        <w:t>FosLD/FosCD</w:t>
      </w:r>
      <w:r w:rsidR="00AF59D8" w:rsidRPr="00B42BBE">
        <w:t xml:space="preserve"> </w:t>
      </w:r>
      <w:r w:rsidR="00B16D1B" w:rsidRPr="00B42BBE">
        <w:t>due to a substantially expanded market versus that for LCIG</w:t>
      </w:r>
      <w:r w:rsidRPr="00B42BBE">
        <w:t xml:space="preserve"> (</w:t>
      </w:r>
      <w:r w:rsidR="00AF59D8" w:rsidRPr="00B42BBE">
        <w:t>$</w:t>
      </w:r>
      <w:r w:rsidR="00D33225">
        <w:t>60 million to &lt; $70 million</w:t>
      </w:r>
      <w:r w:rsidR="00AF59D8" w:rsidRPr="00B42BBE">
        <w:t xml:space="preserve"> over the first 6 years,</w:t>
      </w:r>
      <w:r w:rsidRPr="00B42BBE">
        <w:t xml:space="preserve"> see para</w:t>
      </w:r>
      <w:r w:rsidR="00B16D1B" w:rsidRPr="00B42BBE">
        <w:t>graph</w:t>
      </w:r>
      <w:r w:rsidRPr="00B42BBE">
        <w:t xml:space="preserve"> </w:t>
      </w:r>
      <w:r w:rsidR="00AF59D8" w:rsidRPr="00B42BBE">
        <w:t>6.5</w:t>
      </w:r>
      <w:r w:rsidR="00772EA1">
        <w:t>5</w:t>
      </w:r>
      <w:r w:rsidRPr="00B42BBE">
        <w:t xml:space="preserve"> for detail) a cost-effectiveness analysis may have been appropriate.</w:t>
      </w:r>
      <w:r w:rsidR="009A5B6A" w:rsidRPr="00B42BBE">
        <w:t xml:space="preserve"> </w:t>
      </w:r>
      <w:r w:rsidR="00B16D1B" w:rsidRPr="00B42BBE">
        <w:t>The ESC also noted a CMA may not be appropriate if the claim of non-inferior safety is not supported, especially as the CMA has not accounted for the high rate of discontinuations with FosLD/FosCD.</w:t>
      </w:r>
    </w:p>
    <w:p w14:paraId="272C503E" w14:textId="70B3090E" w:rsidR="00E967E8" w:rsidRDefault="009A5B6A" w:rsidP="003945B8">
      <w:pPr>
        <w:pStyle w:val="3-BodyText"/>
      </w:pPr>
      <w:r w:rsidRPr="00D419B4">
        <w:t>The</w:t>
      </w:r>
      <w:r>
        <w:t xml:space="preserve"> key assumptions and components of the CMA presented in the submission are summarised in </w:t>
      </w:r>
      <w:r>
        <w:fldChar w:fldCharType="begin"/>
      </w:r>
      <w:r>
        <w:instrText xml:space="preserve"> REF _Ref133670881 \h </w:instrText>
      </w:r>
      <w:r>
        <w:fldChar w:fldCharType="separate"/>
      </w:r>
      <w:r w:rsidR="0043339D">
        <w:t xml:space="preserve">Table </w:t>
      </w:r>
      <w:r w:rsidR="0043339D">
        <w:rPr>
          <w:noProof/>
        </w:rPr>
        <w:t>9</w:t>
      </w:r>
      <w:r>
        <w:fldChar w:fldCharType="end"/>
      </w:r>
      <w:r>
        <w:t>.</w:t>
      </w:r>
    </w:p>
    <w:p w14:paraId="5EFEABBE" w14:textId="4B771729" w:rsidR="009A5B6A" w:rsidRDefault="009A5B6A" w:rsidP="009A5B6A">
      <w:pPr>
        <w:pStyle w:val="Caption"/>
      </w:pPr>
      <w:bookmarkStart w:id="47" w:name="_Ref133670881"/>
      <w:r>
        <w:t xml:space="preserve">Table </w:t>
      </w:r>
      <w:r w:rsidR="000A217C">
        <w:fldChar w:fldCharType="begin"/>
      </w:r>
      <w:r w:rsidR="000A217C">
        <w:instrText xml:space="preserve"> SEQ Table \* ARABIC </w:instrText>
      </w:r>
      <w:r w:rsidR="000A217C">
        <w:fldChar w:fldCharType="separate"/>
      </w:r>
      <w:r w:rsidR="0043339D">
        <w:rPr>
          <w:noProof/>
        </w:rPr>
        <w:t>9</w:t>
      </w:r>
      <w:r w:rsidR="000A217C">
        <w:rPr>
          <w:noProof/>
        </w:rPr>
        <w:fldChar w:fldCharType="end"/>
      </w:r>
      <w:bookmarkEnd w:id="47"/>
      <w:r>
        <w:t>: 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403"/>
      </w:tblGrid>
      <w:tr w:rsidR="009A5B6A" w:rsidRPr="00431E55" w14:paraId="0872C078" w14:textId="77777777" w:rsidTr="00C061F0">
        <w:tc>
          <w:tcPr>
            <w:tcW w:w="1449" w:type="pct"/>
            <w:vAlign w:val="center"/>
          </w:tcPr>
          <w:p w14:paraId="6B0F892A" w14:textId="77777777" w:rsidR="009A5B6A" w:rsidRPr="00431E55" w:rsidRDefault="009A5B6A" w:rsidP="00313182">
            <w:pPr>
              <w:pStyle w:val="In-tableHeading"/>
            </w:pPr>
            <w:r>
              <w:t>Component</w:t>
            </w:r>
          </w:p>
        </w:tc>
        <w:tc>
          <w:tcPr>
            <w:tcW w:w="3551" w:type="pct"/>
            <w:vAlign w:val="center"/>
          </w:tcPr>
          <w:p w14:paraId="4E0DF4BC" w14:textId="77777777" w:rsidR="009A5B6A" w:rsidRPr="00431E55" w:rsidRDefault="009A5B6A" w:rsidP="00313182">
            <w:pPr>
              <w:pStyle w:val="In-tableHeading"/>
            </w:pPr>
            <w:r>
              <w:t>Claim or assumption</w:t>
            </w:r>
          </w:p>
        </w:tc>
      </w:tr>
      <w:tr w:rsidR="009A5B6A" w14:paraId="4B0442B5" w14:textId="77777777" w:rsidTr="00C061F0">
        <w:tc>
          <w:tcPr>
            <w:tcW w:w="1449" w:type="pct"/>
            <w:vAlign w:val="center"/>
          </w:tcPr>
          <w:p w14:paraId="354E6BD9" w14:textId="77777777" w:rsidR="009A5B6A" w:rsidRDefault="009A5B6A" w:rsidP="00313182">
            <w:pPr>
              <w:pStyle w:val="TableText0"/>
            </w:pPr>
            <w:r>
              <w:t>Treatments</w:t>
            </w:r>
          </w:p>
        </w:tc>
        <w:tc>
          <w:tcPr>
            <w:tcW w:w="3551" w:type="pct"/>
            <w:vAlign w:val="center"/>
          </w:tcPr>
          <w:p w14:paraId="1C8C3CC6" w14:textId="3F881945" w:rsidR="009A5B6A" w:rsidRDefault="00D657C1" w:rsidP="00313182">
            <w:pPr>
              <w:pStyle w:val="TableText0"/>
            </w:pPr>
            <w:r>
              <w:t xml:space="preserve">FosLD/FosCD </w:t>
            </w:r>
            <w:r w:rsidR="009A5B6A">
              <w:t>vs</w:t>
            </w:r>
            <w:r>
              <w:t>.</w:t>
            </w:r>
            <w:r w:rsidR="009A5B6A">
              <w:t xml:space="preserve"> </w:t>
            </w:r>
            <w:r>
              <w:t>LCIG</w:t>
            </w:r>
          </w:p>
        </w:tc>
      </w:tr>
      <w:tr w:rsidR="009A5B6A" w14:paraId="3798C3B1" w14:textId="77777777" w:rsidTr="00C061F0">
        <w:tc>
          <w:tcPr>
            <w:tcW w:w="1449" w:type="pct"/>
            <w:vAlign w:val="center"/>
          </w:tcPr>
          <w:p w14:paraId="7D7FFE3B" w14:textId="77777777" w:rsidR="009A5B6A" w:rsidRDefault="009A5B6A" w:rsidP="00313182">
            <w:pPr>
              <w:pStyle w:val="TableText0"/>
            </w:pPr>
            <w:r>
              <w:t>Therapeutic claim: effectiveness</w:t>
            </w:r>
          </w:p>
        </w:tc>
        <w:tc>
          <w:tcPr>
            <w:tcW w:w="3551" w:type="pct"/>
            <w:vAlign w:val="center"/>
          </w:tcPr>
          <w:p w14:paraId="32490D87" w14:textId="46A08AE8" w:rsidR="009A5B6A" w:rsidRDefault="009A5B6A" w:rsidP="00313182">
            <w:pPr>
              <w:pStyle w:val="TableText0"/>
            </w:pPr>
            <w:r>
              <w:t>Based on evidence presented in Section 2</w:t>
            </w:r>
            <w:r w:rsidR="00B11162">
              <w:t xml:space="preserve"> of the submission</w:t>
            </w:r>
            <w:r>
              <w:t>, effectiveness is assumed to be non-inferior</w:t>
            </w:r>
          </w:p>
        </w:tc>
      </w:tr>
      <w:tr w:rsidR="009A5B6A" w14:paraId="55BD3583" w14:textId="77777777" w:rsidTr="00C061F0">
        <w:tc>
          <w:tcPr>
            <w:tcW w:w="1449" w:type="pct"/>
            <w:vAlign w:val="center"/>
          </w:tcPr>
          <w:p w14:paraId="7A983A5C" w14:textId="77777777" w:rsidR="009A5B6A" w:rsidRDefault="009A5B6A" w:rsidP="00313182">
            <w:pPr>
              <w:pStyle w:val="TableText0"/>
            </w:pPr>
            <w:r>
              <w:t>Therapeutic claim: safety</w:t>
            </w:r>
          </w:p>
        </w:tc>
        <w:tc>
          <w:tcPr>
            <w:tcW w:w="3551" w:type="pct"/>
            <w:vAlign w:val="center"/>
          </w:tcPr>
          <w:p w14:paraId="3D03CC31" w14:textId="4755ED0F" w:rsidR="009A5B6A" w:rsidRDefault="009A5B6A" w:rsidP="00313182">
            <w:pPr>
              <w:pStyle w:val="TableText0"/>
            </w:pPr>
            <w:r>
              <w:t>Based on evidence presented in Section 2</w:t>
            </w:r>
            <w:r w:rsidR="00B11162">
              <w:t xml:space="preserve"> of the submission</w:t>
            </w:r>
            <w:r>
              <w:t>, safety is assumed to be non-inferior</w:t>
            </w:r>
          </w:p>
        </w:tc>
      </w:tr>
      <w:tr w:rsidR="009A5B6A" w14:paraId="6FB6FE83" w14:textId="77777777" w:rsidTr="00C061F0">
        <w:tc>
          <w:tcPr>
            <w:tcW w:w="1449" w:type="pct"/>
            <w:vAlign w:val="center"/>
          </w:tcPr>
          <w:p w14:paraId="56BAC7E4" w14:textId="77777777" w:rsidR="009A5B6A" w:rsidRDefault="009A5B6A" w:rsidP="00313182">
            <w:pPr>
              <w:pStyle w:val="TableText0"/>
            </w:pPr>
            <w:r>
              <w:t>Evidence base</w:t>
            </w:r>
          </w:p>
        </w:tc>
        <w:tc>
          <w:tcPr>
            <w:tcW w:w="3551" w:type="pct"/>
            <w:vAlign w:val="center"/>
          </w:tcPr>
          <w:p w14:paraId="569365D8" w14:textId="1A6EFC83" w:rsidR="009A5B6A" w:rsidRDefault="009A5B6A" w:rsidP="00313182">
            <w:pPr>
              <w:pStyle w:val="TableText0"/>
            </w:pPr>
            <w:r>
              <w:t xml:space="preserve">Indirect comparison of </w:t>
            </w:r>
            <w:r w:rsidR="00D657C1">
              <w:t xml:space="preserve">FosLD/FosCD </w:t>
            </w:r>
            <w:r>
              <w:t xml:space="preserve">(study M15-736) and </w:t>
            </w:r>
            <w:r w:rsidR="00D657C1">
              <w:t xml:space="preserve">LCIG </w:t>
            </w:r>
            <w:r>
              <w:t xml:space="preserve">(Olanow 2014) </w:t>
            </w:r>
          </w:p>
        </w:tc>
      </w:tr>
      <w:tr w:rsidR="009A5B6A" w14:paraId="10820B66" w14:textId="77777777" w:rsidTr="00C061F0">
        <w:tc>
          <w:tcPr>
            <w:tcW w:w="1449" w:type="pct"/>
            <w:vAlign w:val="center"/>
          </w:tcPr>
          <w:p w14:paraId="5A4EC8C5" w14:textId="77777777" w:rsidR="009A5B6A" w:rsidRDefault="009A5B6A" w:rsidP="00313182">
            <w:pPr>
              <w:pStyle w:val="TableText0"/>
            </w:pPr>
            <w:r>
              <w:t>Equi-effective doses</w:t>
            </w:r>
          </w:p>
        </w:tc>
        <w:tc>
          <w:tcPr>
            <w:tcW w:w="3551" w:type="pct"/>
            <w:vAlign w:val="center"/>
          </w:tcPr>
          <w:p w14:paraId="1B791E09" w14:textId="77777777" w:rsidR="009A5B6A" w:rsidRDefault="009A5B6A" w:rsidP="00313182">
            <w:pPr>
              <w:pStyle w:val="TableText0"/>
            </w:pPr>
            <w:r>
              <w:t>1.32 vials of FosLD/FosCD per day = 1.10 cassettes of LCIG per day</w:t>
            </w:r>
          </w:p>
        </w:tc>
      </w:tr>
      <w:tr w:rsidR="009A5B6A" w14:paraId="72DC440A" w14:textId="77777777" w:rsidTr="00C061F0">
        <w:tc>
          <w:tcPr>
            <w:tcW w:w="1449" w:type="pct"/>
            <w:vAlign w:val="center"/>
          </w:tcPr>
          <w:p w14:paraId="67FC1082" w14:textId="77777777" w:rsidR="009A5B6A" w:rsidRDefault="009A5B6A" w:rsidP="00313182">
            <w:pPr>
              <w:pStyle w:val="TableText0"/>
            </w:pPr>
            <w:r>
              <w:t>Direct medicine costs</w:t>
            </w:r>
          </w:p>
        </w:tc>
        <w:tc>
          <w:tcPr>
            <w:tcW w:w="3551" w:type="pct"/>
            <w:vAlign w:val="center"/>
          </w:tcPr>
          <w:p w14:paraId="4C123DDE" w14:textId="26F7DF47" w:rsidR="009A5B6A" w:rsidRPr="00993F4C" w:rsidRDefault="009A5B6A" w:rsidP="00313182">
            <w:pPr>
              <w:pStyle w:val="TableText0"/>
            </w:pPr>
            <w:r>
              <w:t>C</w:t>
            </w:r>
            <w:r w:rsidRPr="007B4D8D">
              <w:t xml:space="preserve">osts per patient per course </w:t>
            </w:r>
            <w:r>
              <w:t xml:space="preserve">of </w:t>
            </w:r>
            <w:r w:rsidRPr="007B4D8D">
              <w:t xml:space="preserve">acute </w:t>
            </w:r>
            <w:r>
              <w:t xml:space="preserve">therapy, 1.32 vials of </w:t>
            </w:r>
            <w:r w:rsidR="00D657C1">
              <w:t>F</w:t>
            </w:r>
            <w:r>
              <w:t>osLD/</w:t>
            </w:r>
            <w:r w:rsidR="00D657C1">
              <w:t>F</w:t>
            </w:r>
            <w:r>
              <w:t xml:space="preserve">osCD compared to 1.1 cassettes of LCIG. </w:t>
            </w:r>
          </w:p>
        </w:tc>
      </w:tr>
      <w:tr w:rsidR="009A5B6A" w14:paraId="5CA4DFB6" w14:textId="77777777" w:rsidTr="00C061F0">
        <w:tc>
          <w:tcPr>
            <w:tcW w:w="1449" w:type="pct"/>
            <w:vAlign w:val="center"/>
          </w:tcPr>
          <w:p w14:paraId="072B1E09" w14:textId="77777777" w:rsidR="009A5B6A" w:rsidRDefault="009A5B6A" w:rsidP="00313182">
            <w:pPr>
              <w:pStyle w:val="TableText0"/>
            </w:pPr>
            <w:r>
              <w:t>Other costs or cost offsets</w:t>
            </w:r>
          </w:p>
        </w:tc>
        <w:tc>
          <w:tcPr>
            <w:tcW w:w="3551" w:type="pct"/>
            <w:vAlign w:val="center"/>
          </w:tcPr>
          <w:p w14:paraId="5F9B9C08" w14:textId="77777777" w:rsidR="00E967E8" w:rsidRDefault="009A5B6A" w:rsidP="00313182">
            <w:pPr>
              <w:pStyle w:val="TableText0"/>
            </w:pPr>
            <w:r>
              <w:t xml:space="preserve">Initiation costs of </w:t>
            </w:r>
            <w:r w:rsidRPr="00B42BBE">
              <w:rPr>
                <w:iCs/>
              </w:rPr>
              <w:t>$</w:t>
            </w:r>
            <w:r w:rsidR="00D657C1" w:rsidRPr="00B42BBE">
              <w:rPr>
                <w:iCs/>
              </w:rPr>
              <w:t>110</w:t>
            </w:r>
            <w:r w:rsidRPr="00B42BBE">
              <w:rPr>
                <w:iCs/>
              </w:rPr>
              <w:t>.</w:t>
            </w:r>
            <w:r w:rsidR="00D657C1" w:rsidRPr="00B42BBE">
              <w:rPr>
                <w:iCs/>
              </w:rPr>
              <w:t>76</w:t>
            </w:r>
            <w:r w:rsidR="00D657C1">
              <w:t xml:space="preserve"> </w:t>
            </w:r>
            <w:r>
              <w:t xml:space="preserve">for FosLD/FosCD and </w:t>
            </w:r>
            <w:r w:rsidRPr="00B42BBE">
              <w:rPr>
                <w:iCs/>
              </w:rPr>
              <w:t>$</w:t>
            </w:r>
            <w:r w:rsidR="00D657C1" w:rsidRPr="00B42BBE">
              <w:rPr>
                <w:iCs/>
              </w:rPr>
              <w:t>14</w:t>
            </w:r>
            <w:r w:rsidRPr="00B42BBE">
              <w:rPr>
                <w:iCs/>
              </w:rPr>
              <w:t>,</w:t>
            </w:r>
            <w:r w:rsidR="00D657C1" w:rsidRPr="00B42BBE">
              <w:rPr>
                <w:iCs/>
              </w:rPr>
              <w:t>384.59</w:t>
            </w:r>
            <w:r>
              <w:t xml:space="preserve"> for LCIG, respectively. No difference in monitoring and safety costs was assumed.</w:t>
            </w:r>
          </w:p>
          <w:p w14:paraId="1C2BF00D" w14:textId="6A0F14BE" w:rsidR="004F452D" w:rsidRDefault="004F452D" w:rsidP="00313182">
            <w:pPr>
              <w:pStyle w:val="TableText0"/>
            </w:pPr>
            <w:r>
              <w:t xml:space="preserve">The Sponsor stated that they </w:t>
            </w:r>
            <w:r w:rsidRPr="004F452D">
              <w:t>will provide pumps and ancillaries free of charge to all patients on</w:t>
            </w:r>
            <w:r>
              <w:t xml:space="preserve"> FosLD/FosCD and make back-up pumps available in case of malfunction.</w:t>
            </w:r>
          </w:p>
        </w:tc>
      </w:tr>
    </w:tbl>
    <w:p w14:paraId="3C2743C6" w14:textId="77777777" w:rsidR="009A5B6A" w:rsidRPr="009F53E7" w:rsidRDefault="009A5B6A" w:rsidP="009A5B6A">
      <w:pPr>
        <w:pStyle w:val="FooterTableFigure"/>
        <w:rPr>
          <w:szCs w:val="18"/>
        </w:rPr>
      </w:pPr>
      <w:r w:rsidRPr="009F53E7">
        <w:rPr>
          <w:szCs w:val="18"/>
        </w:rPr>
        <w:t>Source: Table 3-1, p98 of the submission.</w:t>
      </w:r>
    </w:p>
    <w:p w14:paraId="495FEA08" w14:textId="6229912F" w:rsidR="009A5B6A" w:rsidRPr="009F53E7" w:rsidRDefault="000F1EE4" w:rsidP="009A5B6A">
      <w:pPr>
        <w:pStyle w:val="FooterTableFigure"/>
        <w:rPr>
          <w:szCs w:val="18"/>
        </w:rPr>
      </w:pPr>
      <w:r>
        <w:rPr>
          <w:szCs w:val="18"/>
        </w:rPr>
        <w:lastRenderedPageBreak/>
        <w:t xml:space="preserve">Abbreviations: </w:t>
      </w:r>
      <w:r w:rsidR="00D657C1" w:rsidRPr="00AA3997">
        <w:rPr>
          <w:szCs w:val="18"/>
        </w:rPr>
        <w:t>FosLD/FosCD = foslevodopa/foscarbidopa</w:t>
      </w:r>
      <w:r w:rsidR="009A5B6A" w:rsidRPr="009F53E7">
        <w:rPr>
          <w:szCs w:val="18"/>
        </w:rPr>
        <w:t>; LCIG</w:t>
      </w:r>
      <w:r w:rsidR="00982218">
        <w:rPr>
          <w:szCs w:val="18"/>
        </w:rPr>
        <w:t xml:space="preserve"> </w:t>
      </w:r>
      <w:r w:rsidR="009A5B6A" w:rsidRPr="009F53E7">
        <w:rPr>
          <w:szCs w:val="18"/>
        </w:rPr>
        <w:t>=</w:t>
      </w:r>
      <w:r w:rsidR="00982218">
        <w:rPr>
          <w:szCs w:val="18"/>
        </w:rPr>
        <w:t xml:space="preserve"> </w:t>
      </w:r>
      <w:r w:rsidR="009A5B6A" w:rsidRPr="009F53E7">
        <w:rPr>
          <w:szCs w:val="18"/>
        </w:rPr>
        <w:t>levodopa carbidopa intestinal gel</w:t>
      </w:r>
    </w:p>
    <w:p w14:paraId="6F358CBE" w14:textId="5AD6A206" w:rsidR="002D4CFC" w:rsidRPr="00B42BBE" w:rsidRDefault="002D4CFC" w:rsidP="003945B8">
      <w:pPr>
        <w:pStyle w:val="3-BodyText"/>
      </w:pPr>
      <w:r w:rsidRPr="00B42BBE">
        <w:t>The submission used an incorrect effective price for LCIG in its CMA</w:t>
      </w:r>
      <w:r w:rsidR="00D73F00" w:rsidRPr="00B42BBE">
        <w:t xml:space="preserve"> ($</w:t>
      </w:r>
      <w:r w:rsidR="004B6FE2" w:rsidRPr="004B6FE2">
        <w:rPr>
          <w:color w:val="000000"/>
          <w:w w:val="60"/>
          <w:shd w:val="solid" w:color="000000" w:fill="000000"/>
          <w:fitText w:val="470" w:id="-930964986"/>
          <w14:textFill>
            <w14:solidFill>
              <w14:srgbClr w14:val="000000">
                <w14:alpha w14:val="100000"/>
              </w14:srgbClr>
            </w14:solidFill>
          </w14:textFill>
        </w:rPr>
        <w:t>|||  ||</w:t>
      </w:r>
      <w:r w:rsidR="004B6FE2" w:rsidRPr="004B6FE2">
        <w:rPr>
          <w:color w:val="000000"/>
          <w:spacing w:val="6"/>
          <w:w w:val="60"/>
          <w:shd w:val="solid" w:color="000000" w:fill="000000"/>
          <w:fitText w:val="470" w:id="-930964986"/>
          <w14:textFill>
            <w14:solidFill>
              <w14:srgbClr w14:val="000000">
                <w14:alpha w14:val="100000"/>
              </w14:srgbClr>
            </w14:solidFill>
          </w14:textFill>
        </w:rPr>
        <w:t>|</w:t>
      </w:r>
      <w:r w:rsidR="00D73F00" w:rsidRPr="00B42BBE">
        <w:t>)</w:t>
      </w:r>
      <w:r w:rsidRPr="00B42BBE">
        <w:t xml:space="preserve"> and this was corrected in the PSCR</w:t>
      </w:r>
      <w:r w:rsidR="00AF59D8" w:rsidRPr="00B42BBE">
        <w:t xml:space="preserve"> )</w:t>
      </w:r>
      <w:r w:rsidRPr="00B42BBE">
        <w:t xml:space="preserve"> to $</w:t>
      </w:r>
      <w:r w:rsidR="004B6FE2" w:rsidRPr="0043339D">
        <w:rPr>
          <w:color w:val="000000"/>
          <w:w w:val="15"/>
          <w:shd w:val="solid" w:color="000000" w:fill="000000"/>
          <w:fitText w:val="-20" w:id="-930964985"/>
          <w14:textFill>
            <w14:solidFill>
              <w14:srgbClr w14:val="000000">
                <w14:alpha w14:val="100000"/>
              </w14:srgbClr>
            </w14:solidFill>
          </w14:textFill>
        </w:rPr>
        <w:t xml:space="preserve">|  </w:t>
      </w:r>
      <w:r w:rsidR="004B6FE2" w:rsidRPr="0043339D">
        <w:rPr>
          <w:color w:val="000000"/>
          <w:spacing w:val="-69"/>
          <w:w w:val="15"/>
          <w:shd w:val="solid" w:color="000000" w:fill="000000"/>
          <w:fitText w:val="-20" w:id="-930964985"/>
          <w14:textFill>
            <w14:solidFill>
              <w14:srgbClr w14:val="000000">
                <w14:alpha w14:val="100000"/>
              </w14:srgbClr>
            </w14:solidFill>
          </w14:textFill>
        </w:rPr>
        <w:t>|</w:t>
      </w:r>
      <w:r w:rsidRPr="003945B8">
        <w:t xml:space="preserve"> </w:t>
      </w:r>
      <w:r w:rsidRPr="00B42BBE">
        <w:t xml:space="preserve">per pack. The </w:t>
      </w:r>
      <w:r w:rsidR="00CE0F43" w:rsidRPr="00B42BBE">
        <w:t>PSCR</w:t>
      </w:r>
      <w:r w:rsidRPr="00B42BBE">
        <w:t xml:space="preserve"> </w:t>
      </w:r>
      <w:r w:rsidR="00AF59D8" w:rsidRPr="00B42BBE">
        <w:t xml:space="preserve"> </w:t>
      </w:r>
      <w:r w:rsidR="00CE0F43" w:rsidRPr="00B42BBE">
        <w:t>updated</w:t>
      </w:r>
      <w:r w:rsidRPr="00B42BBE">
        <w:t xml:space="preserve"> </w:t>
      </w:r>
      <w:r w:rsidR="00110D18" w:rsidRPr="00B42BBE">
        <w:t>the costs for</w:t>
      </w:r>
      <w:r w:rsidR="00CE0F43" w:rsidRPr="00B42BBE">
        <w:t xml:space="preserve"> the AR-DRG codes used for LCIG initiation</w:t>
      </w:r>
      <w:r w:rsidR="00AA61EA" w:rsidRPr="00B42BBE">
        <w:t xml:space="preserve"> (G05A and G05B for surgical insertion of the PEG-J tube)</w:t>
      </w:r>
      <w:r w:rsidR="00CE0F43" w:rsidRPr="00B42BBE">
        <w:t xml:space="preserve"> </w:t>
      </w:r>
      <w:r w:rsidR="00110D18" w:rsidRPr="00B42BBE">
        <w:t xml:space="preserve">with the weighted cost </w:t>
      </w:r>
      <w:r w:rsidR="00110D18" w:rsidRPr="00F5486A">
        <w:t>being</w:t>
      </w:r>
      <w:r w:rsidR="007B0C67" w:rsidRPr="00F5486A">
        <w:t xml:space="preserve"> </w:t>
      </w:r>
      <w:r w:rsidR="00CE0F43" w:rsidRPr="00F5486A">
        <w:t>$14,385, a decrease from the $16,123 applied in the submission. For the initiation</w:t>
      </w:r>
      <w:r w:rsidR="00CE0F43" w:rsidRPr="00B42BBE">
        <w:t xml:space="preserve"> cost for FosL</w:t>
      </w:r>
      <w:r w:rsidR="00AA61EA" w:rsidRPr="00B42BBE">
        <w:t>D</w:t>
      </w:r>
      <w:r w:rsidR="00CE0F43" w:rsidRPr="00B42BBE">
        <w:t xml:space="preserve">/FosCD the submission utilised an older fee for MBS item 105 ($45.40 instead of $46.15) and </w:t>
      </w:r>
      <w:r w:rsidR="00110D18" w:rsidRPr="00B42BBE">
        <w:t xml:space="preserve">with </w:t>
      </w:r>
      <w:r w:rsidR="00CE0F43" w:rsidRPr="00B42BBE">
        <w:t xml:space="preserve">the updated MBS fee, </w:t>
      </w:r>
      <w:r w:rsidR="007B0C67" w:rsidRPr="00B42BBE">
        <w:t xml:space="preserve">the </w:t>
      </w:r>
      <w:r w:rsidR="00CE0F43" w:rsidRPr="00B42BBE">
        <w:t xml:space="preserve">initiation cost </w:t>
      </w:r>
      <w:r w:rsidR="007B0C67" w:rsidRPr="00B42BBE">
        <w:t xml:space="preserve">increased to </w:t>
      </w:r>
      <w:r w:rsidR="00CE0F43" w:rsidRPr="00B42BBE">
        <w:t xml:space="preserve">$110.76 </w:t>
      </w:r>
      <w:r w:rsidR="007B0C67" w:rsidRPr="00B42BBE">
        <w:t>from</w:t>
      </w:r>
      <w:r w:rsidR="00CE0F43" w:rsidRPr="00B42BBE">
        <w:t xml:space="preserve"> $108.96.</w:t>
      </w:r>
      <w:r w:rsidR="00AA61EA" w:rsidRPr="00B42BBE">
        <w:t xml:space="preserve"> </w:t>
      </w:r>
      <w:r w:rsidR="00110D18" w:rsidRPr="00B42BBE">
        <w:t xml:space="preserve">These </w:t>
      </w:r>
      <w:r w:rsidR="00AA61EA" w:rsidRPr="00B42BBE">
        <w:t xml:space="preserve">values have been updated in the CMA, see </w:t>
      </w:r>
      <w:r w:rsidR="00AA61EA" w:rsidRPr="00B42BBE">
        <w:fldChar w:fldCharType="begin"/>
      </w:r>
      <w:r w:rsidR="00AA61EA" w:rsidRPr="00B42BBE">
        <w:instrText xml:space="preserve"> REF _Ref134192143 \h  \* MERGEFORMAT </w:instrText>
      </w:r>
      <w:r w:rsidR="00AA61EA" w:rsidRPr="00B42BBE">
        <w:fldChar w:fldCharType="separate"/>
      </w:r>
      <w:r w:rsidR="0043339D">
        <w:t xml:space="preserve">Table </w:t>
      </w:r>
      <w:r w:rsidR="0043339D">
        <w:rPr>
          <w:noProof/>
        </w:rPr>
        <w:t>10</w:t>
      </w:r>
      <w:r w:rsidR="00AA61EA" w:rsidRPr="00B42BBE">
        <w:fldChar w:fldCharType="end"/>
      </w:r>
      <w:r w:rsidR="00AA61EA" w:rsidRPr="00B42BBE">
        <w:t>.</w:t>
      </w:r>
    </w:p>
    <w:p w14:paraId="5E3CB3D9" w14:textId="4214AB8F" w:rsidR="00E967E8" w:rsidRDefault="00D74FF5" w:rsidP="003945B8">
      <w:pPr>
        <w:pStyle w:val="3-BodyText"/>
      </w:pPr>
      <w:bookmarkStart w:id="48" w:name="_Ref168825314"/>
      <w:r w:rsidRPr="00B42BBE">
        <w:t xml:space="preserve">The </w:t>
      </w:r>
      <w:r w:rsidR="001F0EEF" w:rsidRPr="00B42BBE">
        <w:t>ESC considered that the initiation cost for FosLD/FosCD ($110.76)</w:t>
      </w:r>
      <w:r w:rsidR="00C33FA2" w:rsidRPr="00B42BBE">
        <w:t>, based on an MBS item for physician consults,</w:t>
      </w:r>
      <w:r w:rsidR="001F0EEF" w:rsidRPr="00B42BBE">
        <w:t xml:space="preserve"> was low and likely to be an underestimate</w:t>
      </w:r>
      <w:r w:rsidR="00583368" w:rsidRPr="00B42BBE">
        <w:t xml:space="preserve"> as the training of patients and carers to use the pump and undertake the infusions is resource intensive and the clinicians will need the support of a multidisciplinary team</w:t>
      </w:r>
      <w:r w:rsidR="001F0EEF" w:rsidRPr="00B42BBE">
        <w:t>.</w:t>
      </w:r>
      <w:r w:rsidR="00C45D48">
        <w:t xml:space="preserve"> The Pre-PBAC Response argued the initiation costs were derived from the pivotal trial</w:t>
      </w:r>
      <w:r w:rsidR="000B4F88">
        <w:t xml:space="preserve"> and it was expected that with appropriate training and continued use, the majority of patients would achieve dose optimisation in one visit and therefore the proposed FosLD/FosCD costs were reasonable.</w:t>
      </w:r>
      <w:bookmarkEnd w:id="48"/>
    </w:p>
    <w:p w14:paraId="7FA20C58" w14:textId="6FBDC508" w:rsidR="009A5B6A" w:rsidRPr="004E4F75" w:rsidRDefault="009A5B6A" w:rsidP="003945B8">
      <w:pPr>
        <w:pStyle w:val="3-BodyText"/>
      </w:pPr>
      <w:r w:rsidRPr="001222FC">
        <w:t xml:space="preserve">The </w:t>
      </w:r>
      <w:r>
        <w:t xml:space="preserve">submission, based on the average number of vials/cassettes utilised by patients per day in the M15-736 and the Olanow 2014 studies, established the </w:t>
      </w:r>
      <w:r w:rsidRPr="001222FC">
        <w:t xml:space="preserve">equi-effective doses as </w:t>
      </w:r>
      <w:r>
        <w:t>1.32 vials of FosLD/FosCD per day and 1.10 cassettes of LCIG per day.</w:t>
      </w:r>
      <w:r w:rsidRPr="001222FC">
        <w:t xml:space="preserve"> </w:t>
      </w:r>
      <w:r w:rsidRPr="00C95A87">
        <w:t>If FosLD/FosCD is accepted as non</w:t>
      </w:r>
      <w:r w:rsidR="001B45C7">
        <w:t>-</w:t>
      </w:r>
      <w:r w:rsidRPr="00C95A87">
        <w:t xml:space="preserve">inferior in terms of effectiveness compared with LCIG, </w:t>
      </w:r>
      <w:r w:rsidR="00773ABE">
        <w:t xml:space="preserve">during the evaluation it was considered </w:t>
      </w:r>
      <w:r w:rsidRPr="00C95A87">
        <w:t>the equi-effective doses proposed in the submission appear reasonable.</w:t>
      </w:r>
    </w:p>
    <w:p w14:paraId="138D3054" w14:textId="2AD978AA" w:rsidR="00E967E8" w:rsidRDefault="00FE0D05" w:rsidP="003945B8">
      <w:pPr>
        <w:pStyle w:val="3-BodyText"/>
        <w:rPr>
          <w:iCs/>
        </w:rPr>
      </w:pPr>
      <w:bookmarkStart w:id="49" w:name="_Ref168825489"/>
      <w:r>
        <w:t>T</w:t>
      </w:r>
      <w:r w:rsidR="009A5B6A" w:rsidRPr="00D01F45">
        <w:t xml:space="preserve">he derivation of the costs for surgical insertion of the PEG-J tubes utilising the AR-DRG codes G05A (Minor small and large bowel interventions, major complexity) and G05B (Minor small and large bowel interventions, minor complexity) as in the submission’s CMA were not adequately justified and may be substantially overestimated. </w:t>
      </w:r>
      <w:r w:rsidR="00E319B5" w:rsidRPr="00B42BBE">
        <w:rPr>
          <w:iCs/>
        </w:rPr>
        <w:t>The PSCR stated AR-DRG codes G05A and G05B are considered the most applicable codes for the insertion of the PEG-J tube.</w:t>
      </w:r>
      <w:r w:rsidR="00E319B5">
        <w:t xml:space="preserve"> </w:t>
      </w:r>
      <w:r w:rsidR="006E560B">
        <w:t>The i</w:t>
      </w:r>
      <w:r w:rsidR="009A5B6A" w:rsidRPr="00D01F45">
        <w:t xml:space="preserve">nitiation cost of LCIG </w:t>
      </w:r>
      <w:r>
        <w:t>wa</w:t>
      </w:r>
      <w:r w:rsidRPr="00D01F45">
        <w:t xml:space="preserve">s </w:t>
      </w:r>
      <w:r w:rsidR="009A5B6A" w:rsidRPr="00D01F45">
        <w:t xml:space="preserve">a key driver of the AEMP per pack of FosLD/FosCD. For reference, the MBS item 30481 relating to the initial procedure for percutaneous gastrostomy has a fee of $377.40. The procedure would require going under general anaesthesia (MBS item 20745, $146.65). Thus, utilising the MBS fees for items 30481 and 20745, the total costs for PEG-J insertion and anaesthesia would be less than $1,000 per patient. However, these estimations do not include inpatient stay costs for dose titration. </w:t>
      </w:r>
      <w:r w:rsidR="009B6795" w:rsidRPr="00B42BBE">
        <w:rPr>
          <w:iCs/>
        </w:rPr>
        <w:t>The PSCR considered application of MBS costs to be incorrect as they only account for the professional services components of the procedure and not the entire cost of the hospital stay. The PSCR further stated that the average hospital stay was 5.5 day</w:t>
      </w:r>
      <w:r w:rsidR="00022498" w:rsidRPr="00B42BBE">
        <w:rPr>
          <w:iCs/>
        </w:rPr>
        <w:t>s</w:t>
      </w:r>
      <w:r w:rsidR="001B45C7">
        <w:rPr>
          <w:iCs/>
        </w:rPr>
        <w:t>,</w:t>
      </w:r>
      <w:r w:rsidR="009B6795" w:rsidRPr="00B42BBE">
        <w:rPr>
          <w:iCs/>
        </w:rPr>
        <w:t xml:space="preserve"> which </w:t>
      </w:r>
      <w:r w:rsidR="00E319B5" w:rsidRPr="00B42BBE">
        <w:rPr>
          <w:iCs/>
        </w:rPr>
        <w:t xml:space="preserve">was consistent with the average length of stay weighted across the G05A (3.7 days) and G05B (9.8 days) AR-DRGs (4.9 days). </w:t>
      </w:r>
      <w:r w:rsidR="006E560B" w:rsidRPr="00B42BBE">
        <w:rPr>
          <w:iCs/>
        </w:rPr>
        <w:t>The ESC</w:t>
      </w:r>
      <w:r w:rsidR="00583368" w:rsidRPr="00B42BBE">
        <w:rPr>
          <w:iCs/>
        </w:rPr>
        <w:t xml:space="preserve"> noted </w:t>
      </w:r>
      <w:r w:rsidR="00D34702" w:rsidRPr="00B42BBE">
        <w:rPr>
          <w:iCs/>
        </w:rPr>
        <w:t>the initiation cost of LCIG was a key driver of the AEMP per pack of FosLD/FosCD</w:t>
      </w:r>
      <w:r w:rsidR="006E560B" w:rsidRPr="00B42BBE">
        <w:rPr>
          <w:iCs/>
        </w:rPr>
        <w:t>.</w:t>
      </w:r>
      <w:bookmarkEnd w:id="49"/>
    </w:p>
    <w:p w14:paraId="1C99BEE5" w14:textId="3C129CCD" w:rsidR="00E967E8" w:rsidRDefault="009A5B6A" w:rsidP="003945B8">
      <w:pPr>
        <w:pStyle w:val="3-BodyText"/>
        <w:rPr>
          <w:iCs/>
        </w:rPr>
      </w:pPr>
      <w:bookmarkStart w:id="50" w:name="_Ref168825518"/>
      <w:r>
        <w:lastRenderedPageBreak/>
        <w:t>The CMA utilised a treatment duration of 2 years. Treatment duration was identified as an uncertainty during the evaluation as patients may be on treatment for up to 10</w:t>
      </w:r>
      <w:r w:rsidR="008B0422">
        <w:t> </w:t>
      </w:r>
      <w:r>
        <w:t>years.</w:t>
      </w:r>
      <w:r w:rsidR="00C316AE">
        <w:t xml:space="preserve"> </w:t>
      </w:r>
      <w:r w:rsidR="00C73869" w:rsidRPr="00B42BBE">
        <w:rPr>
          <w:iCs/>
        </w:rPr>
        <w:t>The PSCR asserted that a 10-year treatment duration was not appropriate given that average LCIG treatment persistence was 49.6 months (4.13</w:t>
      </w:r>
      <w:r w:rsidR="008B0422">
        <w:rPr>
          <w:iCs/>
        </w:rPr>
        <w:t> </w:t>
      </w:r>
      <w:r w:rsidR="00C73869" w:rsidRPr="00B42BBE">
        <w:rPr>
          <w:iCs/>
        </w:rPr>
        <w:t>years) based on 10% PBS utilisation data, and patients are on average over 65</w:t>
      </w:r>
      <w:r w:rsidR="008B0422">
        <w:rPr>
          <w:iCs/>
        </w:rPr>
        <w:t> </w:t>
      </w:r>
      <w:r w:rsidR="00C73869" w:rsidRPr="00B42BBE">
        <w:rPr>
          <w:iCs/>
        </w:rPr>
        <w:t>years of age and physically frail.</w:t>
      </w:r>
      <w:r>
        <w:t xml:space="preserve"> </w:t>
      </w:r>
      <w:r w:rsidRPr="00B42BBE">
        <w:rPr>
          <w:iCs/>
        </w:rPr>
        <w:t xml:space="preserve">Sensitivity analyses for treatment durations of </w:t>
      </w:r>
      <w:r w:rsidR="00C73869" w:rsidRPr="00B42BBE">
        <w:rPr>
          <w:iCs/>
        </w:rPr>
        <w:t>4.1</w:t>
      </w:r>
      <w:r w:rsidRPr="00B42BBE">
        <w:rPr>
          <w:iCs/>
        </w:rPr>
        <w:t>3 years, 5 years</w:t>
      </w:r>
      <w:r w:rsidR="00C73869" w:rsidRPr="00B42BBE">
        <w:rPr>
          <w:iCs/>
        </w:rPr>
        <w:t xml:space="preserve">, 7 </w:t>
      </w:r>
      <w:r w:rsidR="000E7DF5" w:rsidRPr="00B42BBE">
        <w:rPr>
          <w:iCs/>
        </w:rPr>
        <w:t>years,</w:t>
      </w:r>
      <w:r w:rsidRPr="00B42BBE">
        <w:rPr>
          <w:iCs/>
        </w:rPr>
        <w:t xml:space="preserve"> and 10 years are </w:t>
      </w:r>
      <w:r w:rsidR="00C316AE" w:rsidRPr="00B42BBE">
        <w:rPr>
          <w:iCs/>
        </w:rPr>
        <w:t xml:space="preserve">included </w:t>
      </w:r>
      <w:r w:rsidRPr="00B42BBE">
        <w:rPr>
          <w:iCs/>
        </w:rPr>
        <w:t xml:space="preserve">in </w:t>
      </w:r>
      <w:r w:rsidR="00C73869" w:rsidRPr="00B42BBE">
        <w:rPr>
          <w:iCs/>
        </w:rPr>
        <w:fldChar w:fldCharType="begin"/>
      </w:r>
      <w:r w:rsidR="00C73869" w:rsidRPr="00B42BBE">
        <w:rPr>
          <w:iCs/>
        </w:rPr>
        <w:instrText xml:space="preserve"> REF _Ref134192150 \h </w:instrText>
      </w:r>
      <w:r w:rsidR="00193B8A" w:rsidRPr="00B42BBE">
        <w:rPr>
          <w:iCs/>
        </w:rPr>
        <w:instrText xml:space="preserve"> \* MERGEFORMAT </w:instrText>
      </w:r>
      <w:r w:rsidR="00C73869" w:rsidRPr="00B42BBE">
        <w:rPr>
          <w:iCs/>
        </w:rPr>
      </w:r>
      <w:r w:rsidR="00C73869" w:rsidRPr="00B42BBE">
        <w:rPr>
          <w:iCs/>
        </w:rPr>
        <w:fldChar w:fldCharType="separate"/>
      </w:r>
      <w:r w:rsidR="0043339D" w:rsidRPr="0043339D">
        <w:rPr>
          <w:iCs/>
        </w:rPr>
        <w:t xml:space="preserve">Table </w:t>
      </w:r>
      <w:r w:rsidR="0043339D" w:rsidRPr="0043339D">
        <w:rPr>
          <w:iCs/>
          <w:noProof/>
        </w:rPr>
        <w:t>11</w:t>
      </w:r>
      <w:r w:rsidR="00C73869" w:rsidRPr="00B42BBE">
        <w:rPr>
          <w:iCs/>
        </w:rPr>
        <w:fldChar w:fldCharType="end"/>
      </w:r>
      <w:r w:rsidRPr="00B42BBE">
        <w:rPr>
          <w:iCs/>
        </w:rPr>
        <w:t>.</w:t>
      </w:r>
      <w:r>
        <w:t xml:space="preserve"> The AEMP per pack for FosLD/FosCD reduces </w:t>
      </w:r>
      <w:r w:rsidR="001B45C7">
        <w:t>with application of</w:t>
      </w:r>
      <w:r>
        <w:t xml:space="preserve"> a longer treatment duration </w:t>
      </w:r>
      <w:r w:rsidR="001B45C7">
        <w:t>as</w:t>
      </w:r>
      <w:r>
        <w:t xml:space="preserve"> the high initiation costs assumed by the submission for LCIG are diluted when longer periods are used. </w:t>
      </w:r>
      <w:r w:rsidR="009614C3" w:rsidRPr="00B42BBE">
        <w:rPr>
          <w:iCs/>
        </w:rPr>
        <w:t>The ESC considered that an appropriate time horizon for the analysis would be 5 years.</w:t>
      </w:r>
      <w:bookmarkEnd w:id="50"/>
    </w:p>
    <w:p w14:paraId="2DDA9347" w14:textId="7C21AD9E" w:rsidR="00E967E8" w:rsidRDefault="009A5B6A" w:rsidP="003945B8">
      <w:pPr>
        <w:pStyle w:val="3-BodyText"/>
      </w:pPr>
      <w:bookmarkStart w:id="51" w:name="_Hlk169002284"/>
      <w:r w:rsidRPr="00C853F1">
        <w:t xml:space="preserve">The results of the CMA are presented in </w:t>
      </w:r>
      <w:r w:rsidRPr="00C853F1">
        <w:fldChar w:fldCharType="begin"/>
      </w:r>
      <w:r w:rsidRPr="00C853F1">
        <w:instrText xml:space="preserve"> REF _Ref134192143 \h  \* MERGEFORMAT </w:instrText>
      </w:r>
      <w:r w:rsidRPr="00C853F1">
        <w:fldChar w:fldCharType="separate"/>
      </w:r>
      <w:r w:rsidR="0043339D">
        <w:t xml:space="preserve">Table </w:t>
      </w:r>
      <w:r w:rsidR="0043339D">
        <w:rPr>
          <w:noProof/>
        </w:rPr>
        <w:t>10</w:t>
      </w:r>
      <w:r w:rsidRPr="00C853F1">
        <w:fldChar w:fldCharType="end"/>
      </w:r>
      <w:r>
        <w:t xml:space="preserve">. The </w:t>
      </w:r>
      <w:r w:rsidRPr="00C853F1">
        <w:t xml:space="preserve">results of the sensitivity analyses </w:t>
      </w:r>
      <w:r>
        <w:t>are</w:t>
      </w:r>
      <w:r w:rsidRPr="00C853F1">
        <w:t xml:space="preserve"> presented in </w:t>
      </w:r>
      <w:r w:rsidRPr="00C853F1">
        <w:fldChar w:fldCharType="begin"/>
      </w:r>
      <w:r w:rsidRPr="00C853F1">
        <w:instrText xml:space="preserve"> REF _Ref134192150 \h  \* MERGEFORMAT </w:instrText>
      </w:r>
      <w:r w:rsidRPr="00C853F1">
        <w:fldChar w:fldCharType="separate"/>
      </w:r>
      <w:r w:rsidR="0043339D">
        <w:t xml:space="preserve">Table </w:t>
      </w:r>
      <w:r w:rsidR="0043339D">
        <w:rPr>
          <w:noProof/>
        </w:rPr>
        <w:t>11</w:t>
      </w:r>
      <w:r w:rsidRPr="00C853F1">
        <w:fldChar w:fldCharType="end"/>
      </w:r>
      <w:r>
        <w:t>.</w:t>
      </w:r>
    </w:p>
    <w:p w14:paraId="568652B1" w14:textId="0010E225" w:rsidR="009A5B6A" w:rsidRDefault="009A5B6A" w:rsidP="009A5B6A">
      <w:pPr>
        <w:pStyle w:val="Caption"/>
      </w:pPr>
      <w:bookmarkStart w:id="52" w:name="_Ref134192143"/>
      <w:bookmarkStart w:id="53" w:name="_Ref133673144"/>
      <w:bookmarkEnd w:id="51"/>
      <w:r>
        <w:t xml:space="preserve">Table </w:t>
      </w:r>
      <w:r w:rsidR="000A217C">
        <w:fldChar w:fldCharType="begin"/>
      </w:r>
      <w:r w:rsidR="000A217C">
        <w:instrText xml:space="preserve"> SEQ Table \* ARABIC </w:instrText>
      </w:r>
      <w:r w:rsidR="000A217C">
        <w:fldChar w:fldCharType="separate"/>
      </w:r>
      <w:r w:rsidR="0043339D">
        <w:rPr>
          <w:noProof/>
        </w:rPr>
        <w:t>10</w:t>
      </w:r>
      <w:r w:rsidR="000A217C">
        <w:rPr>
          <w:noProof/>
        </w:rPr>
        <w:fldChar w:fldCharType="end"/>
      </w:r>
      <w:bookmarkEnd w:id="52"/>
      <w:r>
        <w:t>: Results of the cost-minimisation approach</w:t>
      </w:r>
      <w:r w:rsidR="00773ABE">
        <w:t xml:space="preserve"> (evaluation-corrected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2542"/>
        <w:gridCol w:w="2402"/>
      </w:tblGrid>
      <w:tr w:rsidR="00FE0D05" w:rsidRPr="00383B78" w14:paraId="1ED42F73" w14:textId="77777777" w:rsidTr="0050191F">
        <w:tc>
          <w:tcPr>
            <w:tcW w:w="4072" w:type="dxa"/>
          </w:tcPr>
          <w:p w14:paraId="7A1F3C58" w14:textId="77777777" w:rsidR="009A5B6A" w:rsidRPr="00383B78" w:rsidRDefault="009A5B6A" w:rsidP="00313182">
            <w:pPr>
              <w:pStyle w:val="In-tableHeading"/>
            </w:pPr>
            <w:r>
              <w:t>Component</w:t>
            </w:r>
          </w:p>
        </w:tc>
        <w:tc>
          <w:tcPr>
            <w:tcW w:w="2542" w:type="dxa"/>
          </w:tcPr>
          <w:p w14:paraId="1B5AF954" w14:textId="465E4FAD" w:rsidR="009A5B6A" w:rsidRPr="00383B78" w:rsidRDefault="00FE0D05" w:rsidP="00FE0D05">
            <w:pPr>
              <w:pStyle w:val="In-tableHeading"/>
              <w:jc w:val="center"/>
            </w:pPr>
            <w:r w:rsidRPr="00AA3997">
              <w:rPr>
                <w:szCs w:val="20"/>
                <w:lang w:val="en-GB"/>
              </w:rPr>
              <w:t>FosLD/FosCD</w:t>
            </w:r>
          </w:p>
        </w:tc>
        <w:tc>
          <w:tcPr>
            <w:tcW w:w="2402" w:type="dxa"/>
          </w:tcPr>
          <w:p w14:paraId="0C1BBAA6" w14:textId="108EACBA" w:rsidR="009A5B6A" w:rsidRPr="00383B78" w:rsidRDefault="00FE0D05" w:rsidP="00FE0D05">
            <w:pPr>
              <w:pStyle w:val="In-tableHeading"/>
              <w:jc w:val="center"/>
            </w:pPr>
            <w:r>
              <w:t>LCIG</w:t>
            </w:r>
          </w:p>
        </w:tc>
      </w:tr>
      <w:tr w:rsidR="00FE0D05" w:rsidRPr="00B42BBE" w14:paraId="5AC72594" w14:textId="77777777" w:rsidTr="0050191F">
        <w:tc>
          <w:tcPr>
            <w:tcW w:w="4072" w:type="dxa"/>
          </w:tcPr>
          <w:p w14:paraId="4D2D0AA5" w14:textId="19EDC5B6" w:rsidR="009A5B6A" w:rsidRPr="00B42BBE" w:rsidRDefault="009A5B6A" w:rsidP="00313182">
            <w:pPr>
              <w:pStyle w:val="In-tableHeading"/>
              <w:rPr>
                <w:b w:val="0"/>
              </w:rPr>
            </w:pPr>
            <w:r w:rsidRPr="00B42BBE">
              <w:rPr>
                <w:b w:val="0"/>
              </w:rPr>
              <w:t>Cost per pack (7 units)</w:t>
            </w:r>
            <w:r w:rsidR="0075192C">
              <w:rPr>
                <w:b w:val="0"/>
              </w:rPr>
              <w:t>*</w:t>
            </w:r>
          </w:p>
        </w:tc>
        <w:tc>
          <w:tcPr>
            <w:tcW w:w="2542" w:type="dxa"/>
          </w:tcPr>
          <w:p w14:paraId="53FE3ACD" w14:textId="1655033C" w:rsidR="009A5B6A" w:rsidRPr="00B42BBE" w:rsidRDefault="009A5B6A" w:rsidP="00FE0D05">
            <w:pPr>
              <w:pStyle w:val="In-tableHeading"/>
              <w:jc w:val="center"/>
              <w:rPr>
                <w:b w:val="0"/>
                <w:iCs/>
              </w:rPr>
            </w:pPr>
            <w:r w:rsidRPr="00B42BBE">
              <w:rPr>
                <w:b w:val="0"/>
                <w:iCs/>
              </w:rPr>
              <w:t>$</w:t>
            </w:r>
            <w:r w:rsidR="004B6FE2" w:rsidRPr="004B6FE2">
              <w:rPr>
                <w:b w:val="0"/>
                <w:iCs/>
                <w:color w:val="000000"/>
                <w:shd w:val="solid" w:color="000000" w:fill="000000"/>
                <w14:textFill>
                  <w14:solidFill>
                    <w14:srgbClr w14:val="000000">
                      <w14:alpha w14:val="100000"/>
                    </w14:srgbClr>
                  </w14:solidFill>
                </w14:textFill>
              </w:rPr>
              <w:t>|</w:t>
            </w:r>
          </w:p>
        </w:tc>
        <w:tc>
          <w:tcPr>
            <w:tcW w:w="2402" w:type="dxa"/>
          </w:tcPr>
          <w:p w14:paraId="5B22A2A9" w14:textId="138AD170" w:rsidR="009A5B6A" w:rsidRPr="00B42BBE" w:rsidRDefault="009A5B6A" w:rsidP="00FE0D05">
            <w:pPr>
              <w:pStyle w:val="In-tableHeading"/>
              <w:jc w:val="center"/>
              <w:rPr>
                <w:b w:val="0"/>
                <w:iCs/>
              </w:rPr>
            </w:pPr>
            <w:r w:rsidRPr="00B42BBE">
              <w:rPr>
                <w:b w:val="0"/>
                <w:iCs/>
              </w:rPr>
              <w:t>$</w:t>
            </w:r>
            <w:r w:rsidR="004B6FE2" w:rsidRPr="004B6FE2">
              <w:rPr>
                <w:b w:val="0"/>
                <w:iCs/>
                <w:color w:val="000000"/>
                <w:shd w:val="solid" w:color="000000" w:fill="000000"/>
                <w14:textFill>
                  <w14:solidFill>
                    <w14:srgbClr w14:val="000000">
                      <w14:alpha w14:val="100000"/>
                    </w14:srgbClr>
                  </w14:solidFill>
                </w14:textFill>
              </w:rPr>
              <w:t>|</w:t>
            </w:r>
          </w:p>
        </w:tc>
      </w:tr>
      <w:tr w:rsidR="00FE0D05" w14:paraId="72AF131F" w14:textId="77777777" w:rsidTr="0050191F">
        <w:tc>
          <w:tcPr>
            <w:tcW w:w="4072" w:type="dxa"/>
          </w:tcPr>
          <w:p w14:paraId="24F98618" w14:textId="77777777" w:rsidR="009A5B6A" w:rsidRDefault="009A5B6A" w:rsidP="00313182">
            <w:pPr>
              <w:pStyle w:val="TableText0"/>
            </w:pPr>
            <w:r>
              <w:t xml:space="preserve">Units per day </w:t>
            </w:r>
          </w:p>
        </w:tc>
        <w:tc>
          <w:tcPr>
            <w:tcW w:w="2542" w:type="dxa"/>
          </w:tcPr>
          <w:p w14:paraId="139A0CB4" w14:textId="331F70D0" w:rsidR="009A5B6A" w:rsidRDefault="009A5B6A" w:rsidP="00FE0D05">
            <w:pPr>
              <w:pStyle w:val="TableText0"/>
              <w:jc w:val="center"/>
            </w:pPr>
            <w:r>
              <w:t>1.32</w:t>
            </w:r>
          </w:p>
        </w:tc>
        <w:tc>
          <w:tcPr>
            <w:tcW w:w="2402" w:type="dxa"/>
          </w:tcPr>
          <w:p w14:paraId="17E621E5" w14:textId="77777777" w:rsidR="009A5B6A" w:rsidRDefault="009A5B6A" w:rsidP="00FE0D05">
            <w:pPr>
              <w:pStyle w:val="TableText0"/>
              <w:jc w:val="center"/>
            </w:pPr>
            <w:r>
              <w:t>1.10</w:t>
            </w:r>
          </w:p>
        </w:tc>
      </w:tr>
      <w:tr w:rsidR="00FE0D05" w:rsidRPr="00B42BBE" w14:paraId="346AE72C" w14:textId="77777777" w:rsidTr="0050191F">
        <w:tc>
          <w:tcPr>
            <w:tcW w:w="4072" w:type="dxa"/>
          </w:tcPr>
          <w:p w14:paraId="417D90A9" w14:textId="77777777" w:rsidR="009A5B6A" w:rsidRPr="00B42BBE" w:rsidRDefault="009A5B6A" w:rsidP="00313182">
            <w:pPr>
              <w:pStyle w:val="TableText0"/>
            </w:pPr>
            <w:r w:rsidRPr="00B42BBE">
              <w:t>Cost per unit</w:t>
            </w:r>
          </w:p>
        </w:tc>
        <w:tc>
          <w:tcPr>
            <w:tcW w:w="2542" w:type="dxa"/>
          </w:tcPr>
          <w:p w14:paraId="09237BBD" w14:textId="523FDCBC" w:rsidR="009A5B6A" w:rsidRPr="00B42BBE" w:rsidRDefault="009A5B6A" w:rsidP="00FE0D05">
            <w:pPr>
              <w:pStyle w:val="TableText0"/>
              <w:jc w:val="center"/>
              <w:rPr>
                <w:iCs/>
              </w:rPr>
            </w:pPr>
            <w:r w:rsidRPr="00B42BBE">
              <w:rPr>
                <w:iCs/>
              </w:rPr>
              <w:t>$</w:t>
            </w:r>
            <w:r w:rsidR="004B6FE2" w:rsidRPr="004B6FE2">
              <w:rPr>
                <w:iCs/>
                <w:color w:val="000000"/>
                <w:shd w:val="solid" w:color="000000" w:fill="000000"/>
                <w14:textFill>
                  <w14:solidFill>
                    <w14:srgbClr w14:val="000000">
                      <w14:alpha w14:val="100000"/>
                    </w14:srgbClr>
                  </w14:solidFill>
                </w14:textFill>
              </w:rPr>
              <w:t>|</w:t>
            </w:r>
          </w:p>
        </w:tc>
        <w:tc>
          <w:tcPr>
            <w:tcW w:w="2402" w:type="dxa"/>
          </w:tcPr>
          <w:p w14:paraId="314EBB0E" w14:textId="63B5AE44" w:rsidR="009A5B6A" w:rsidRPr="00B42BBE" w:rsidRDefault="009A5B6A" w:rsidP="00FE0D05">
            <w:pPr>
              <w:pStyle w:val="TableText0"/>
              <w:jc w:val="center"/>
              <w:rPr>
                <w:iCs/>
              </w:rPr>
            </w:pPr>
            <w:r w:rsidRPr="00B42BBE">
              <w:rPr>
                <w:iCs/>
              </w:rPr>
              <w:t>$</w:t>
            </w:r>
            <w:r w:rsidR="004B6FE2" w:rsidRPr="004B6FE2">
              <w:rPr>
                <w:iCs/>
                <w:color w:val="000000"/>
                <w:shd w:val="solid" w:color="000000" w:fill="000000"/>
                <w14:textFill>
                  <w14:solidFill>
                    <w14:srgbClr w14:val="000000">
                      <w14:alpha w14:val="100000"/>
                    </w14:srgbClr>
                  </w14:solidFill>
                </w14:textFill>
              </w:rPr>
              <w:t>|</w:t>
            </w:r>
          </w:p>
        </w:tc>
      </w:tr>
      <w:tr w:rsidR="00FE0D05" w:rsidRPr="00B42BBE" w14:paraId="28980004" w14:textId="77777777" w:rsidTr="0050191F">
        <w:tc>
          <w:tcPr>
            <w:tcW w:w="4072" w:type="dxa"/>
          </w:tcPr>
          <w:p w14:paraId="043349B8" w14:textId="77777777" w:rsidR="009A5B6A" w:rsidRPr="00B42BBE" w:rsidRDefault="009A5B6A" w:rsidP="00313182">
            <w:pPr>
              <w:pStyle w:val="TableText0"/>
            </w:pPr>
            <w:r w:rsidRPr="00B42BBE">
              <w:t>Initiation costs</w:t>
            </w:r>
          </w:p>
        </w:tc>
        <w:tc>
          <w:tcPr>
            <w:tcW w:w="2542" w:type="dxa"/>
          </w:tcPr>
          <w:p w14:paraId="3E9FDD4D" w14:textId="60AA6678" w:rsidR="009A5B6A" w:rsidRPr="00B42BBE" w:rsidRDefault="009A5B6A" w:rsidP="00FE0D05">
            <w:pPr>
              <w:pStyle w:val="TableText0"/>
              <w:jc w:val="center"/>
              <w:rPr>
                <w:iCs/>
              </w:rPr>
            </w:pPr>
            <w:r w:rsidRPr="00B42BBE">
              <w:rPr>
                <w:iCs/>
              </w:rPr>
              <w:t>$1</w:t>
            </w:r>
            <w:r w:rsidR="00234D87" w:rsidRPr="00B42BBE">
              <w:rPr>
                <w:iCs/>
              </w:rPr>
              <w:t>10.76</w:t>
            </w:r>
          </w:p>
        </w:tc>
        <w:tc>
          <w:tcPr>
            <w:tcW w:w="2402" w:type="dxa"/>
          </w:tcPr>
          <w:p w14:paraId="15F9BB6D" w14:textId="0429EBFB" w:rsidR="009A5B6A" w:rsidRPr="00B42BBE" w:rsidRDefault="009A5B6A" w:rsidP="00FE0D05">
            <w:pPr>
              <w:pStyle w:val="TableText0"/>
              <w:jc w:val="center"/>
              <w:rPr>
                <w:iCs/>
              </w:rPr>
            </w:pPr>
            <w:r w:rsidRPr="00B42BBE">
              <w:rPr>
                <w:iCs/>
              </w:rPr>
              <w:t>$</w:t>
            </w:r>
            <w:r w:rsidR="00234D87" w:rsidRPr="00B42BBE">
              <w:rPr>
                <w:iCs/>
              </w:rPr>
              <w:t>14,384.59</w:t>
            </w:r>
          </w:p>
        </w:tc>
      </w:tr>
      <w:tr w:rsidR="00FE0D05" w:rsidRPr="00B42BBE" w14:paraId="767C46AD" w14:textId="77777777" w:rsidTr="0050191F">
        <w:tc>
          <w:tcPr>
            <w:tcW w:w="4072" w:type="dxa"/>
          </w:tcPr>
          <w:p w14:paraId="05A13335" w14:textId="5766F6B9" w:rsidR="009A5B6A" w:rsidRPr="00B42BBE" w:rsidRDefault="009A5B6A" w:rsidP="00313182">
            <w:pPr>
              <w:pStyle w:val="TableText0"/>
              <w:rPr>
                <w:b/>
              </w:rPr>
            </w:pPr>
            <w:r w:rsidRPr="00B42BBE">
              <w:rPr>
                <w:b/>
              </w:rPr>
              <w:t>Total treatment cost per 24 months</w:t>
            </w:r>
            <w:r w:rsidR="00FE0D05" w:rsidRPr="00B42BBE">
              <w:rPr>
                <w:b/>
              </w:rPr>
              <w:t xml:space="preserve"> </w:t>
            </w:r>
            <w:r w:rsidRPr="00B42BBE">
              <w:rPr>
                <w:b/>
              </w:rPr>
              <w:t>(730.5 days)</w:t>
            </w:r>
          </w:p>
        </w:tc>
        <w:tc>
          <w:tcPr>
            <w:tcW w:w="2542" w:type="dxa"/>
          </w:tcPr>
          <w:p w14:paraId="14362178" w14:textId="501C74C2" w:rsidR="009A5B6A" w:rsidRPr="00B42BBE" w:rsidRDefault="009A5B6A" w:rsidP="00FE0D05">
            <w:pPr>
              <w:pStyle w:val="TableText0"/>
              <w:jc w:val="center"/>
              <w:rPr>
                <w:b/>
                <w:iCs/>
              </w:rPr>
            </w:pPr>
            <w:r w:rsidRPr="00B42BBE">
              <w:rPr>
                <w:b/>
                <w:iCs/>
              </w:rPr>
              <w:t>$</w:t>
            </w:r>
            <w:r w:rsidR="004B6FE2" w:rsidRPr="004B6FE2">
              <w:rPr>
                <w:b/>
                <w:iCs/>
                <w:color w:val="000000"/>
                <w:shd w:val="solid" w:color="000000" w:fill="000000"/>
                <w14:textFill>
                  <w14:solidFill>
                    <w14:srgbClr w14:val="000000">
                      <w14:alpha w14:val="100000"/>
                    </w14:srgbClr>
                  </w14:solidFill>
                </w14:textFill>
              </w:rPr>
              <w:t>|</w:t>
            </w:r>
          </w:p>
        </w:tc>
        <w:tc>
          <w:tcPr>
            <w:tcW w:w="2402" w:type="dxa"/>
          </w:tcPr>
          <w:p w14:paraId="7BAEA852" w14:textId="44890139" w:rsidR="009A5B6A" w:rsidRPr="00B42BBE" w:rsidRDefault="009A5B6A" w:rsidP="00FE0D05">
            <w:pPr>
              <w:pStyle w:val="TableText0"/>
              <w:jc w:val="center"/>
              <w:rPr>
                <w:b/>
                <w:iCs/>
              </w:rPr>
            </w:pPr>
            <w:r w:rsidRPr="00B42BBE">
              <w:rPr>
                <w:b/>
                <w:iCs/>
              </w:rPr>
              <w:t>$</w:t>
            </w:r>
            <w:r w:rsidR="004B6FE2" w:rsidRPr="004B6FE2">
              <w:rPr>
                <w:b/>
                <w:iCs/>
                <w:color w:val="000000"/>
                <w:shd w:val="solid" w:color="000000" w:fill="000000"/>
                <w14:textFill>
                  <w14:solidFill>
                    <w14:srgbClr w14:val="000000">
                      <w14:alpha w14:val="100000"/>
                    </w14:srgbClr>
                  </w14:solidFill>
                </w14:textFill>
              </w:rPr>
              <w:t>|</w:t>
            </w:r>
          </w:p>
        </w:tc>
      </w:tr>
      <w:tr w:rsidR="00FE0D05" w14:paraId="5102D6D0" w14:textId="77777777" w:rsidTr="0050191F">
        <w:tc>
          <w:tcPr>
            <w:tcW w:w="4072" w:type="dxa"/>
          </w:tcPr>
          <w:p w14:paraId="18B0427A" w14:textId="77777777" w:rsidR="009A5B6A" w:rsidRDefault="009A5B6A" w:rsidP="00313182">
            <w:pPr>
              <w:pStyle w:val="TableText0"/>
            </w:pPr>
            <w:r>
              <w:t xml:space="preserve">Difference </w:t>
            </w:r>
          </w:p>
        </w:tc>
        <w:tc>
          <w:tcPr>
            <w:tcW w:w="4944" w:type="dxa"/>
            <w:gridSpan w:val="2"/>
          </w:tcPr>
          <w:p w14:paraId="3CF2FDE4" w14:textId="77777777" w:rsidR="009A5B6A" w:rsidRPr="00BF019B" w:rsidRDefault="009A5B6A" w:rsidP="00FE0D05">
            <w:pPr>
              <w:pStyle w:val="TableText0"/>
              <w:jc w:val="center"/>
              <w:rPr>
                <w:b/>
              </w:rPr>
            </w:pPr>
            <w:r w:rsidRPr="00BF019B">
              <w:rPr>
                <w:b/>
              </w:rPr>
              <w:t>$0.00</w:t>
            </w:r>
          </w:p>
        </w:tc>
      </w:tr>
    </w:tbl>
    <w:p w14:paraId="13C063A1" w14:textId="1588C864" w:rsidR="00FE0D05" w:rsidRDefault="0075192C" w:rsidP="009A5B6A">
      <w:pPr>
        <w:pStyle w:val="FooterTableFigure"/>
      </w:pPr>
      <w:r>
        <w:t>*</w:t>
      </w:r>
      <w:r w:rsidR="009A5B6A">
        <w:t xml:space="preserve">Source: Table 3, p5 of the </w:t>
      </w:r>
      <w:r w:rsidR="00234D87">
        <w:t>PSCR</w:t>
      </w:r>
      <w:r w:rsidR="009A5B6A">
        <w:t>.</w:t>
      </w:r>
    </w:p>
    <w:p w14:paraId="2EEEEA19" w14:textId="2EA4DD1F" w:rsidR="009A5B6A" w:rsidRDefault="00CC3805" w:rsidP="009A5B6A">
      <w:pPr>
        <w:pStyle w:val="FooterTableFigure"/>
        <w:rPr>
          <w:vertAlign w:val="superscript"/>
        </w:rPr>
      </w:pPr>
      <w:r>
        <w:rPr>
          <w:szCs w:val="18"/>
        </w:rPr>
        <w:t xml:space="preserve">Abbreviations: </w:t>
      </w:r>
      <w:r w:rsidR="00FE0D05" w:rsidRPr="00AA3997">
        <w:rPr>
          <w:szCs w:val="18"/>
        </w:rPr>
        <w:t>FosLD/FosCD = foslevodopa/foscarbidopa</w:t>
      </w:r>
      <w:r w:rsidR="00FE0D05" w:rsidRPr="009F53E7">
        <w:rPr>
          <w:szCs w:val="18"/>
        </w:rPr>
        <w:t>; LCIG</w:t>
      </w:r>
      <w:r w:rsidR="00FE0D05">
        <w:rPr>
          <w:szCs w:val="18"/>
        </w:rPr>
        <w:t xml:space="preserve"> </w:t>
      </w:r>
      <w:r w:rsidR="00FE0D05" w:rsidRPr="009F53E7">
        <w:rPr>
          <w:szCs w:val="18"/>
        </w:rPr>
        <w:t>=</w:t>
      </w:r>
      <w:r w:rsidR="00FE0D05">
        <w:rPr>
          <w:szCs w:val="18"/>
        </w:rPr>
        <w:t xml:space="preserve"> </w:t>
      </w:r>
      <w:r w:rsidR="00FE0D05" w:rsidRPr="009F53E7">
        <w:rPr>
          <w:szCs w:val="18"/>
        </w:rPr>
        <w:t>levodopa carbidopa intestinal gel</w:t>
      </w:r>
    </w:p>
    <w:p w14:paraId="1E978CC3" w14:textId="2E875287" w:rsidR="009A5B6A" w:rsidRDefault="009A5B6A" w:rsidP="009A5B6A">
      <w:pPr>
        <w:pStyle w:val="Caption"/>
      </w:pPr>
      <w:bookmarkStart w:id="54" w:name="_Ref134192150"/>
      <w:r>
        <w:lastRenderedPageBreak/>
        <w:t xml:space="preserve">Table </w:t>
      </w:r>
      <w:r w:rsidR="000A217C">
        <w:fldChar w:fldCharType="begin"/>
      </w:r>
      <w:r w:rsidR="000A217C">
        <w:instrText xml:space="preserve"> SEQ Table \* ARABIC </w:instrText>
      </w:r>
      <w:r w:rsidR="000A217C">
        <w:fldChar w:fldCharType="separate"/>
      </w:r>
      <w:r w:rsidR="0043339D">
        <w:rPr>
          <w:noProof/>
        </w:rPr>
        <w:t>11</w:t>
      </w:r>
      <w:r w:rsidR="000A217C">
        <w:rPr>
          <w:noProof/>
        </w:rPr>
        <w:fldChar w:fldCharType="end"/>
      </w:r>
      <w:bookmarkEnd w:id="53"/>
      <w:bookmarkEnd w:id="54"/>
      <w:r>
        <w:t xml:space="preserve">: Results of the sensitivity </w:t>
      </w:r>
      <w:r w:rsidR="00165321">
        <w:t>analyses</w:t>
      </w:r>
      <w:r w:rsidR="00773ABE">
        <w:t xml:space="preserve"> (evaluation-corrected base case)</w:t>
      </w:r>
    </w:p>
    <w:tbl>
      <w:tblPr>
        <w:tblStyle w:val="TableGrid"/>
        <w:tblW w:w="5000" w:type="pct"/>
        <w:tblLook w:val="04A0" w:firstRow="1" w:lastRow="0" w:firstColumn="1" w:lastColumn="0" w:noHBand="0" w:noVBand="1"/>
      </w:tblPr>
      <w:tblGrid>
        <w:gridCol w:w="3009"/>
        <w:gridCol w:w="2998"/>
        <w:gridCol w:w="3009"/>
      </w:tblGrid>
      <w:tr w:rsidR="00061304" w:rsidRPr="00C95A87" w14:paraId="282FBCA2" w14:textId="77777777" w:rsidTr="00313182">
        <w:tc>
          <w:tcPr>
            <w:tcW w:w="3009" w:type="dxa"/>
          </w:tcPr>
          <w:p w14:paraId="36FFD9DA" w14:textId="77777777" w:rsidR="00061304" w:rsidRPr="000F6D95" w:rsidRDefault="00061304" w:rsidP="00061304">
            <w:pPr>
              <w:keepNext/>
              <w:jc w:val="left"/>
              <w:rPr>
                <w:rFonts w:ascii="Arial Narrow" w:hAnsi="Arial Narrow"/>
                <w:b/>
                <w:sz w:val="20"/>
                <w:szCs w:val="20"/>
              </w:rPr>
            </w:pPr>
          </w:p>
        </w:tc>
        <w:tc>
          <w:tcPr>
            <w:tcW w:w="2998" w:type="dxa"/>
          </w:tcPr>
          <w:p w14:paraId="10553ED7" w14:textId="7EEE4174" w:rsidR="00061304" w:rsidRPr="00061304" w:rsidRDefault="00061304" w:rsidP="00061304">
            <w:pPr>
              <w:keepNext/>
              <w:jc w:val="center"/>
              <w:rPr>
                <w:rFonts w:ascii="Arial Narrow" w:hAnsi="Arial Narrow"/>
                <w:b/>
                <w:bCs/>
                <w:sz w:val="20"/>
                <w:szCs w:val="20"/>
              </w:rPr>
            </w:pPr>
            <w:r w:rsidRPr="00061304">
              <w:rPr>
                <w:rFonts w:ascii="Arial Narrow" w:hAnsi="Arial Narrow"/>
                <w:b/>
                <w:bCs/>
                <w:sz w:val="20"/>
                <w:szCs w:val="20"/>
                <w:lang w:val="en-GB"/>
              </w:rPr>
              <w:t>FosLD/FosCD</w:t>
            </w:r>
          </w:p>
        </w:tc>
        <w:tc>
          <w:tcPr>
            <w:tcW w:w="3009" w:type="dxa"/>
          </w:tcPr>
          <w:p w14:paraId="31586BE3" w14:textId="0758B24D" w:rsidR="00061304" w:rsidRPr="00061304" w:rsidRDefault="00061304" w:rsidP="00061304">
            <w:pPr>
              <w:keepNext/>
              <w:jc w:val="center"/>
              <w:rPr>
                <w:rFonts w:ascii="Arial Narrow" w:hAnsi="Arial Narrow"/>
                <w:b/>
                <w:bCs/>
                <w:sz w:val="20"/>
                <w:szCs w:val="20"/>
              </w:rPr>
            </w:pPr>
            <w:r w:rsidRPr="00061304">
              <w:rPr>
                <w:rFonts w:ascii="Arial Narrow" w:hAnsi="Arial Narrow"/>
                <w:b/>
                <w:bCs/>
                <w:sz w:val="20"/>
                <w:szCs w:val="20"/>
              </w:rPr>
              <w:t>LCIG</w:t>
            </w:r>
          </w:p>
        </w:tc>
      </w:tr>
      <w:tr w:rsidR="009A5B6A" w:rsidRPr="00D01F45" w14:paraId="0990AB0F" w14:textId="77777777" w:rsidTr="00313182">
        <w:tc>
          <w:tcPr>
            <w:tcW w:w="3009" w:type="dxa"/>
          </w:tcPr>
          <w:p w14:paraId="4A644C2C" w14:textId="5507AC26" w:rsidR="009A5B6A" w:rsidRPr="000F6D95" w:rsidRDefault="009A5B6A" w:rsidP="00313182">
            <w:pPr>
              <w:keepNext/>
              <w:rPr>
                <w:rFonts w:ascii="Arial Narrow" w:hAnsi="Arial Narrow"/>
                <w:b/>
                <w:sz w:val="20"/>
                <w:szCs w:val="20"/>
              </w:rPr>
            </w:pPr>
            <w:r w:rsidRPr="000F6D95">
              <w:rPr>
                <w:rFonts w:ascii="Arial Narrow" w:hAnsi="Arial Narrow"/>
                <w:b/>
                <w:sz w:val="20"/>
                <w:szCs w:val="20"/>
              </w:rPr>
              <w:t>Base case</w:t>
            </w:r>
          </w:p>
        </w:tc>
        <w:tc>
          <w:tcPr>
            <w:tcW w:w="2998" w:type="dxa"/>
          </w:tcPr>
          <w:p w14:paraId="04CB0C1B" w14:textId="77777777" w:rsidR="009A5B6A" w:rsidRPr="00D01F45" w:rsidRDefault="009A5B6A" w:rsidP="00366F97">
            <w:pPr>
              <w:keepNext/>
              <w:jc w:val="center"/>
              <w:rPr>
                <w:rFonts w:ascii="Arial Narrow" w:hAnsi="Arial Narrow"/>
                <w:sz w:val="20"/>
                <w:szCs w:val="20"/>
              </w:rPr>
            </w:pPr>
          </w:p>
        </w:tc>
        <w:tc>
          <w:tcPr>
            <w:tcW w:w="3009" w:type="dxa"/>
          </w:tcPr>
          <w:p w14:paraId="7C9C0C4C" w14:textId="77777777" w:rsidR="009A5B6A" w:rsidRPr="00D01F45" w:rsidRDefault="009A5B6A" w:rsidP="00366F97">
            <w:pPr>
              <w:keepNext/>
              <w:jc w:val="center"/>
              <w:rPr>
                <w:rFonts w:ascii="Arial Narrow" w:hAnsi="Arial Narrow"/>
                <w:sz w:val="20"/>
                <w:szCs w:val="20"/>
              </w:rPr>
            </w:pPr>
          </w:p>
        </w:tc>
      </w:tr>
      <w:tr w:rsidR="009A5B6A" w:rsidRPr="00B42BBE" w14:paraId="693D2EB4" w14:textId="77777777" w:rsidTr="00313182">
        <w:tc>
          <w:tcPr>
            <w:tcW w:w="3009" w:type="dxa"/>
          </w:tcPr>
          <w:p w14:paraId="0DFF2436" w14:textId="77777777" w:rsidR="009A5B6A" w:rsidRPr="00B42BBE" w:rsidRDefault="009A5B6A" w:rsidP="00313182">
            <w:pPr>
              <w:keepNext/>
              <w:rPr>
                <w:rFonts w:ascii="Arial Narrow" w:hAnsi="Arial Narrow"/>
                <w:sz w:val="20"/>
                <w:szCs w:val="20"/>
              </w:rPr>
            </w:pPr>
            <w:r w:rsidRPr="00B42BBE">
              <w:rPr>
                <w:rFonts w:ascii="Arial Narrow" w:hAnsi="Arial Narrow"/>
                <w:sz w:val="20"/>
                <w:szCs w:val="20"/>
                <w:lang w:val="en-US"/>
              </w:rPr>
              <w:t>Cost per unit</w:t>
            </w:r>
          </w:p>
        </w:tc>
        <w:tc>
          <w:tcPr>
            <w:tcW w:w="2998" w:type="dxa"/>
          </w:tcPr>
          <w:p w14:paraId="101CE338" w14:textId="613CA865" w:rsidR="009A5B6A" w:rsidRPr="00B42BBE" w:rsidRDefault="009A5B6A" w:rsidP="00366F97">
            <w:pPr>
              <w:keepNext/>
              <w:jc w:val="center"/>
              <w:rPr>
                <w:rFonts w:ascii="Arial Narrow" w:hAnsi="Arial Narrow"/>
                <w:b/>
                <w:bCs/>
                <w:iCs/>
                <w:sz w:val="20"/>
                <w:szCs w:val="20"/>
                <w:lang w:val="en-US"/>
              </w:rPr>
            </w:pPr>
            <w:r w:rsidRPr="00B42BBE">
              <w:rPr>
                <w:rFonts w:ascii="Arial Narrow" w:hAnsi="Arial Narrow"/>
                <w:b/>
                <w:bCs/>
                <w:iCs/>
                <w:sz w:val="20"/>
                <w:szCs w:val="20"/>
                <w:lang w:val="en-US"/>
              </w:rPr>
              <w:t>$</w:t>
            </w:r>
            <w:r w:rsidR="004B6FE2" w:rsidRPr="004B6FE2">
              <w:rPr>
                <w:rFonts w:ascii="Arial Narrow" w:hAnsi="Arial Narrow"/>
                <w:b/>
                <w:bCs/>
                <w:iCs/>
                <w:color w:val="000000"/>
                <w:sz w:val="20"/>
                <w:szCs w:val="20"/>
                <w:shd w:val="solid" w:color="000000" w:fill="000000"/>
                <w:lang w:val="en-US"/>
                <w14:textFill>
                  <w14:solidFill>
                    <w14:srgbClr w14:val="000000">
                      <w14:alpha w14:val="100000"/>
                    </w14:srgbClr>
                  </w14:solidFill>
                </w14:textFill>
              </w:rPr>
              <w:t>|</w:t>
            </w:r>
          </w:p>
        </w:tc>
        <w:tc>
          <w:tcPr>
            <w:tcW w:w="3009" w:type="dxa"/>
          </w:tcPr>
          <w:p w14:paraId="3F458647" w14:textId="2612209B" w:rsidR="009A5B6A" w:rsidRPr="00B42BBE" w:rsidRDefault="009A5B6A" w:rsidP="00366F97">
            <w:pPr>
              <w:keepNext/>
              <w:jc w:val="center"/>
              <w:rPr>
                <w:rFonts w:ascii="Arial Narrow" w:hAnsi="Arial Narrow"/>
                <w:b/>
                <w:bCs/>
                <w:sz w:val="20"/>
                <w:szCs w:val="20"/>
              </w:rPr>
            </w:pPr>
            <w:r w:rsidRPr="00B42BBE">
              <w:rPr>
                <w:rFonts w:ascii="Arial Narrow" w:hAnsi="Arial Narrow"/>
                <w:b/>
                <w:bCs/>
                <w:sz w:val="20"/>
                <w:szCs w:val="20"/>
                <w:lang w:val="en-US"/>
              </w:rPr>
              <w:t>$</w:t>
            </w:r>
            <w:r w:rsidR="004B6FE2" w:rsidRPr="004B6FE2">
              <w:rPr>
                <w:rFonts w:ascii="Arial Narrow" w:hAnsi="Arial Narrow"/>
                <w:b/>
                <w:bCs/>
                <w:color w:val="000000"/>
                <w:sz w:val="20"/>
                <w:szCs w:val="20"/>
                <w:shd w:val="solid" w:color="000000" w:fill="000000"/>
                <w:lang w:val="en-US"/>
                <w14:textFill>
                  <w14:solidFill>
                    <w14:srgbClr w14:val="000000">
                      <w14:alpha w14:val="100000"/>
                    </w14:srgbClr>
                  </w14:solidFill>
                </w14:textFill>
              </w:rPr>
              <w:t>|</w:t>
            </w:r>
          </w:p>
        </w:tc>
      </w:tr>
      <w:tr w:rsidR="009A5B6A" w:rsidRPr="00B42BBE" w14:paraId="2CDB59D4" w14:textId="77777777" w:rsidTr="00313182">
        <w:tc>
          <w:tcPr>
            <w:tcW w:w="3009" w:type="dxa"/>
          </w:tcPr>
          <w:p w14:paraId="6B359238" w14:textId="77777777" w:rsidR="009A5B6A" w:rsidRPr="00B42BBE" w:rsidRDefault="009A5B6A" w:rsidP="00313182">
            <w:pPr>
              <w:keepNext/>
              <w:rPr>
                <w:rFonts w:ascii="Arial Narrow" w:hAnsi="Arial Narrow"/>
                <w:sz w:val="20"/>
                <w:szCs w:val="20"/>
              </w:rPr>
            </w:pPr>
            <w:r w:rsidRPr="00B42BBE">
              <w:rPr>
                <w:rFonts w:ascii="Arial Narrow" w:hAnsi="Arial Narrow"/>
                <w:sz w:val="20"/>
                <w:szCs w:val="20"/>
                <w:lang w:val="en-US"/>
              </w:rPr>
              <w:t>AEMP per pack</w:t>
            </w:r>
          </w:p>
        </w:tc>
        <w:tc>
          <w:tcPr>
            <w:tcW w:w="2998" w:type="dxa"/>
            <w:vAlign w:val="bottom"/>
          </w:tcPr>
          <w:p w14:paraId="01375E97" w14:textId="0FC431A8" w:rsidR="009A5B6A" w:rsidRPr="00B42BBE" w:rsidRDefault="009A5B6A" w:rsidP="00366F97">
            <w:pPr>
              <w:keepNext/>
              <w:jc w:val="center"/>
              <w:rPr>
                <w:rFonts w:ascii="Arial Narrow" w:hAnsi="Arial Narrow" w:cs="Calibri"/>
                <w:iCs/>
                <w:color w:val="000000"/>
                <w:sz w:val="20"/>
                <w:szCs w:val="20"/>
              </w:rPr>
            </w:pPr>
            <w:r w:rsidRPr="00B42BBE">
              <w:rPr>
                <w:rFonts w:ascii="Arial Narrow" w:hAnsi="Arial Narrow" w:cs="Calibri"/>
                <w:b/>
                <w:iCs/>
                <w:color w:val="000000"/>
                <w:sz w:val="20"/>
                <w:szCs w:val="20"/>
              </w:rPr>
              <w:t>$</w:t>
            </w:r>
            <w:r w:rsidR="004B6FE2" w:rsidRPr="004B6FE2">
              <w:rPr>
                <w:rFonts w:ascii="Arial Narrow" w:hAnsi="Arial Narrow" w:cs="Calibri"/>
                <w:b/>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44347E3A" w14:textId="362878E5" w:rsidR="009A5B6A" w:rsidRPr="00B42BBE" w:rsidRDefault="009A5B6A" w:rsidP="00366F97">
            <w:pPr>
              <w:keepNext/>
              <w:jc w:val="center"/>
              <w:rPr>
                <w:rFonts w:ascii="Arial Narrow" w:hAnsi="Arial Narrow"/>
                <w:b/>
                <w:bCs/>
                <w:sz w:val="20"/>
                <w:szCs w:val="20"/>
              </w:rPr>
            </w:pPr>
            <w:r w:rsidRPr="00B42BBE">
              <w:rPr>
                <w:rFonts w:ascii="Arial Narrow" w:hAnsi="Arial Narrow" w:cs="Calibri"/>
                <w:b/>
                <w:bCs/>
                <w:color w:val="000000"/>
                <w:sz w:val="20"/>
                <w:szCs w:val="20"/>
              </w:rPr>
              <w:t>$</w:t>
            </w:r>
            <w:r w:rsidR="004B6FE2" w:rsidRPr="004B6FE2">
              <w:rPr>
                <w:rFonts w:ascii="Arial Narrow" w:hAnsi="Arial Narrow" w:cs="Calibri"/>
                <w:b/>
                <w:bCs/>
                <w:color w:val="000000"/>
                <w:sz w:val="20"/>
                <w:szCs w:val="20"/>
                <w:shd w:val="solid" w:color="000000" w:fill="000000"/>
                <w14:textFill>
                  <w14:solidFill>
                    <w14:srgbClr w14:val="000000">
                      <w14:alpha w14:val="100000"/>
                    </w14:srgbClr>
                  </w14:solidFill>
                </w14:textFill>
              </w:rPr>
              <w:t>|</w:t>
            </w:r>
          </w:p>
        </w:tc>
      </w:tr>
      <w:tr w:rsidR="009A5B6A" w:rsidRPr="00D01F45" w14:paraId="280D1E05" w14:textId="77777777" w:rsidTr="00313182">
        <w:tc>
          <w:tcPr>
            <w:tcW w:w="9016" w:type="dxa"/>
            <w:gridSpan w:val="3"/>
          </w:tcPr>
          <w:p w14:paraId="7611E863" w14:textId="5F23320C" w:rsidR="009A5B6A" w:rsidRPr="000F6D95" w:rsidRDefault="00114DF1" w:rsidP="00366F97">
            <w:pPr>
              <w:keepNext/>
              <w:jc w:val="left"/>
              <w:rPr>
                <w:rFonts w:ascii="Arial Narrow" w:hAnsi="Arial Narrow" w:cs="Calibri"/>
                <w:b/>
                <w:color w:val="000000"/>
                <w:sz w:val="20"/>
                <w:szCs w:val="20"/>
              </w:rPr>
            </w:pPr>
            <w:r>
              <w:rPr>
                <w:rFonts w:ascii="Arial Narrow" w:hAnsi="Arial Narrow"/>
                <w:b/>
                <w:sz w:val="20"/>
                <w:szCs w:val="20"/>
                <w:lang w:val="en-US"/>
              </w:rPr>
              <w:t>LCIG i</w:t>
            </w:r>
            <w:r w:rsidR="009A5B6A" w:rsidRPr="000F6D95">
              <w:rPr>
                <w:rFonts w:ascii="Arial Narrow" w:hAnsi="Arial Narrow"/>
                <w:b/>
                <w:sz w:val="20"/>
                <w:szCs w:val="20"/>
                <w:lang w:val="en-US"/>
              </w:rPr>
              <w:t>nitiation costs: $1,000</w:t>
            </w:r>
          </w:p>
        </w:tc>
      </w:tr>
      <w:tr w:rsidR="00EC020A" w:rsidRPr="00B42BBE" w14:paraId="7317DE57" w14:textId="77777777" w:rsidTr="00313182">
        <w:tc>
          <w:tcPr>
            <w:tcW w:w="3009" w:type="dxa"/>
          </w:tcPr>
          <w:p w14:paraId="1A4569A1" w14:textId="77777777" w:rsidR="00EC020A" w:rsidRPr="00B42BBE" w:rsidRDefault="00EC020A" w:rsidP="00EC020A">
            <w:pPr>
              <w:keepNext/>
              <w:rPr>
                <w:rFonts w:ascii="Arial Narrow" w:hAnsi="Arial Narrow"/>
                <w:sz w:val="20"/>
                <w:szCs w:val="20"/>
              </w:rPr>
            </w:pPr>
            <w:r w:rsidRPr="00B42BBE">
              <w:rPr>
                <w:rFonts w:ascii="Arial Narrow" w:hAnsi="Arial Narrow"/>
                <w:sz w:val="20"/>
                <w:szCs w:val="20"/>
                <w:lang w:val="en-US"/>
              </w:rPr>
              <w:t>Cost per unit</w:t>
            </w:r>
          </w:p>
        </w:tc>
        <w:tc>
          <w:tcPr>
            <w:tcW w:w="2998" w:type="dxa"/>
          </w:tcPr>
          <w:p w14:paraId="73F207B9" w14:textId="69E86457" w:rsidR="00EC020A" w:rsidRPr="00B42BBE" w:rsidRDefault="00EC020A" w:rsidP="00EC020A">
            <w:pPr>
              <w:keepNext/>
              <w:jc w:val="center"/>
              <w:rPr>
                <w:rFonts w:ascii="Arial Narrow" w:hAnsi="Arial Narrow"/>
                <w:iCs/>
                <w:sz w:val="20"/>
                <w:szCs w:val="20"/>
                <w:lang w:val="en-US"/>
              </w:rPr>
            </w:pPr>
            <w:r w:rsidRPr="00B42BBE">
              <w:rPr>
                <w:rFonts w:ascii="Arial Narrow" w:hAnsi="Arial Narrow"/>
                <w:iCs/>
                <w:sz w:val="20"/>
                <w:szCs w:val="20"/>
              </w:rPr>
              <w:t>$</w:t>
            </w:r>
            <w:r w:rsidR="004B6FE2" w:rsidRPr="004B6FE2">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3009" w:type="dxa"/>
          </w:tcPr>
          <w:p w14:paraId="271F33ED" w14:textId="59824BE7" w:rsidR="00EC020A" w:rsidRPr="00B42BBE" w:rsidRDefault="00EC020A" w:rsidP="00EC020A">
            <w:pPr>
              <w:keepNext/>
              <w:jc w:val="center"/>
              <w:rPr>
                <w:rFonts w:ascii="Arial Narrow" w:hAnsi="Arial Narrow"/>
                <w:sz w:val="20"/>
                <w:szCs w:val="20"/>
              </w:rPr>
            </w:pPr>
            <w:r w:rsidRPr="00B42BBE">
              <w:rPr>
                <w:rFonts w:ascii="Arial Narrow" w:hAnsi="Arial Narrow"/>
                <w:sz w:val="20"/>
                <w:szCs w:val="20"/>
                <w:lang w:val="en-US"/>
              </w:rPr>
              <w:t>$</w:t>
            </w:r>
            <w:r w:rsidR="004B6FE2" w:rsidRPr="004B6FE2">
              <w:rPr>
                <w:rFonts w:ascii="Arial Narrow" w:hAnsi="Arial Narrow"/>
                <w:color w:val="000000"/>
                <w:sz w:val="20"/>
                <w:szCs w:val="20"/>
                <w:shd w:val="solid" w:color="000000" w:fill="000000"/>
                <w:lang w:val="en-US"/>
                <w14:textFill>
                  <w14:solidFill>
                    <w14:srgbClr w14:val="000000">
                      <w14:alpha w14:val="100000"/>
                    </w14:srgbClr>
                  </w14:solidFill>
                </w14:textFill>
              </w:rPr>
              <w:t>|</w:t>
            </w:r>
          </w:p>
        </w:tc>
      </w:tr>
      <w:tr w:rsidR="00EC020A" w:rsidRPr="00B42BBE" w14:paraId="5F3871E4" w14:textId="77777777" w:rsidTr="00313182">
        <w:tc>
          <w:tcPr>
            <w:tcW w:w="3009" w:type="dxa"/>
          </w:tcPr>
          <w:p w14:paraId="75B9A83D" w14:textId="77777777" w:rsidR="00EC020A" w:rsidRPr="00B42BBE" w:rsidRDefault="00EC020A" w:rsidP="00EC020A">
            <w:pPr>
              <w:keepNext/>
              <w:rPr>
                <w:rFonts w:ascii="Arial Narrow" w:hAnsi="Arial Narrow"/>
                <w:sz w:val="20"/>
                <w:szCs w:val="20"/>
              </w:rPr>
            </w:pPr>
            <w:r w:rsidRPr="00B42BBE">
              <w:rPr>
                <w:rFonts w:ascii="Arial Narrow" w:hAnsi="Arial Narrow"/>
                <w:sz w:val="20"/>
                <w:szCs w:val="20"/>
                <w:lang w:val="en-US"/>
              </w:rPr>
              <w:t>AEMP per pack</w:t>
            </w:r>
          </w:p>
        </w:tc>
        <w:tc>
          <w:tcPr>
            <w:tcW w:w="2998" w:type="dxa"/>
          </w:tcPr>
          <w:p w14:paraId="6E781715" w14:textId="4E1226E2" w:rsidR="00EC020A" w:rsidRPr="00B42BBE" w:rsidRDefault="00EC020A" w:rsidP="00EC020A">
            <w:pPr>
              <w:keepNext/>
              <w:jc w:val="center"/>
              <w:rPr>
                <w:rFonts w:ascii="Arial Narrow" w:hAnsi="Arial Narrow" w:cs="Calibri"/>
                <w:bCs/>
                <w:iCs/>
                <w:color w:val="000000"/>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101A6244" w14:textId="1E1686CD" w:rsidR="00EC020A" w:rsidRPr="00B42BBE" w:rsidRDefault="00EC020A" w:rsidP="00EC020A">
            <w:pPr>
              <w:keepNext/>
              <w:jc w:val="center"/>
              <w:rPr>
                <w:rFonts w:ascii="Arial Narrow" w:hAnsi="Arial Narrow"/>
                <w:sz w:val="20"/>
                <w:szCs w:val="20"/>
              </w:rPr>
            </w:pPr>
            <w:r w:rsidRPr="00B42BBE">
              <w:rPr>
                <w:rFonts w:ascii="Arial Narrow" w:hAnsi="Arial Narrow" w:cs="Calibri"/>
                <w:color w:val="000000"/>
                <w:sz w:val="20"/>
                <w:szCs w:val="20"/>
              </w:rPr>
              <w:t>$</w:t>
            </w:r>
            <w:r w:rsidR="004B6FE2" w:rsidRPr="004B6FE2">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9A5B6A" w:rsidRPr="00D01F45" w14:paraId="338DBEEC" w14:textId="77777777" w:rsidTr="00313182">
        <w:tc>
          <w:tcPr>
            <w:tcW w:w="9016" w:type="dxa"/>
            <w:gridSpan w:val="3"/>
          </w:tcPr>
          <w:p w14:paraId="13761198" w14:textId="6443DBE3" w:rsidR="009A5B6A" w:rsidRPr="000F6D95" w:rsidRDefault="00114DF1" w:rsidP="00366F97">
            <w:pPr>
              <w:keepNext/>
              <w:jc w:val="left"/>
              <w:rPr>
                <w:rFonts w:ascii="Arial Narrow" w:hAnsi="Arial Narrow" w:cs="Calibri"/>
                <w:b/>
                <w:color w:val="000000"/>
                <w:sz w:val="20"/>
                <w:szCs w:val="20"/>
              </w:rPr>
            </w:pPr>
            <w:r>
              <w:rPr>
                <w:rFonts w:ascii="Arial Narrow" w:hAnsi="Arial Narrow"/>
                <w:b/>
                <w:sz w:val="20"/>
                <w:szCs w:val="20"/>
                <w:lang w:val="en-US"/>
              </w:rPr>
              <w:t>LCIG i</w:t>
            </w:r>
            <w:r w:rsidR="009A5B6A" w:rsidRPr="000F6D95">
              <w:rPr>
                <w:rFonts w:ascii="Arial Narrow" w:hAnsi="Arial Narrow"/>
                <w:b/>
                <w:sz w:val="20"/>
                <w:szCs w:val="20"/>
                <w:lang w:val="en-US"/>
              </w:rPr>
              <w:t>nitiation costs: $5,000</w:t>
            </w:r>
          </w:p>
        </w:tc>
      </w:tr>
      <w:tr w:rsidR="00EC020A" w:rsidRPr="00B42BBE" w14:paraId="3B77A168" w14:textId="77777777" w:rsidTr="00313182">
        <w:tc>
          <w:tcPr>
            <w:tcW w:w="3009" w:type="dxa"/>
          </w:tcPr>
          <w:p w14:paraId="5FE2413E" w14:textId="77777777" w:rsidR="00EC020A" w:rsidRPr="00B42BBE" w:rsidRDefault="00EC020A" w:rsidP="00EC020A">
            <w:pPr>
              <w:keepNext/>
              <w:rPr>
                <w:rFonts w:ascii="Arial Narrow" w:hAnsi="Arial Narrow"/>
                <w:sz w:val="20"/>
                <w:szCs w:val="20"/>
              </w:rPr>
            </w:pPr>
            <w:r w:rsidRPr="00B42BBE">
              <w:rPr>
                <w:rFonts w:ascii="Arial Narrow" w:hAnsi="Arial Narrow"/>
                <w:sz w:val="20"/>
                <w:szCs w:val="20"/>
                <w:lang w:val="en-US"/>
              </w:rPr>
              <w:t>Cost per unit</w:t>
            </w:r>
          </w:p>
        </w:tc>
        <w:tc>
          <w:tcPr>
            <w:tcW w:w="2998" w:type="dxa"/>
          </w:tcPr>
          <w:p w14:paraId="05EDDBBE" w14:textId="52B26959" w:rsidR="00EC020A" w:rsidRPr="00B42BBE" w:rsidRDefault="00EC020A" w:rsidP="00EC020A">
            <w:pPr>
              <w:keepNext/>
              <w:jc w:val="center"/>
              <w:rPr>
                <w:rFonts w:ascii="Arial Narrow" w:hAnsi="Arial Narrow"/>
                <w:iCs/>
                <w:sz w:val="20"/>
                <w:szCs w:val="20"/>
                <w:lang w:val="en-US"/>
              </w:rPr>
            </w:pPr>
            <w:r w:rsidRPr="00B42BBE">
              <w:rPr>
                <w:rFonts w:ascii="Arial Narrow" w:hAnsi="Arial Narrow"/>
                <w:iCs/>
                <w:sz w:val="20"/>
                <w:szCs w:val="20"/>
              </w:rPr>
              <w:t>$</w:t>
            </w:r>
            <w:r w:rsidR="004B6FE2" w:rsidRPr="004B6FE2">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3009" w:type="dxa"/>
          </w:tcPr>
          <w:p w14:paraId="1113B0F0" w14:textId="6FFD1007" w:rsidR="00EC020A" w:rsidRPr="00B42BBE" w:rsidRDefault="00EC020A" w:rsidP="00EC020A">
            <w:pPr>
              <w:keepNext/>
              <w:jc w:val="center"/>
              <w:rPr>
                <w:rFonts w:ascii="Arial Narrow" w:hAnsi="Arial Narrow" w:cs="Calibri"/>
                <w:color w:val="000000"/>
                <w:sz w:val="20"/>
                <w:szCs w:val="20"/>
              </w:rPr>
            </w:pPr>
            <w:r w:rsidRPr="00B42BBE">
              <w:rPr>
                <w:rFonts w:ascii="Arial Narrow" w:hAnsi="Arial Narrow"/>
                <w:sz w:val="20"/>
                <w:szCs w:val="20"/>
                <w:lang w:val="en-US"/>
              </w:rPr>
              <w:t>$</w:t>
            </w:r>
            <w:r w:rsidR="004B6FE2" w:rsidRPr="004B6FE2">
              <w:rPr>
                <w:rFonts w:ascii="Arial Narrow" w:hAnsi="Arial Narrow"/>
                <w:color w:val="000000"/>
                <w:sz w:val="20"/>
                <w:szCs w:val="20"/>
                <w:shd w:val="solid" w:color="000000" w:fill="000000"/>
                <w:lang w:val="en-US"/>
                <w14:textFill>
                  <w14:solidFill>
                    <w14:srgbClr w14:val="000000">
                      <w14:alpha w14:val="100000"/>
                    </w14:srgbClr>
                  </w14:solidFill>
                </w14:textFill>
              </w:rPr>
              <w:t>|</w:t>
            </w:r>
          </w:p>
        </w:tc>
      </w:tr>
      <w:tr w:rsidR="00EC020A" w:rsidRPr="00B42BBE" w14:paraId="3B029091" w14:textId="77777777" w:rsidTr="00313182">
        <w:tc>
          <w:tcPr>
            <w:tcW w:w="3009" w:type="dxa"/>
          </w:tcPr>
          <w:p w14:paraId="7777F1CA" w14:textId="77777777" w:rsidR="00EC020A" w:rsidRPr="00B42BBE" w:rsidRDefault="00EC020A" w:rsidP="00EC020A">
            <w:pPr>
              <w:keepNext/>
              <w:rPr>
                <w:rFonts w:ascii="Arial Narrow" w:hAnsi="Arial Narrow"/>
                <w:sz w:val="20"/>
                <w:szCs w:val="20"/>
              </w:rPr>
            </w:pPr>
            <w:r w:rsidRPr="00B42BBE">
              <w:rPr>
                <w:rFonts w:ascii="Arial Narrow" w:hAnsi="Arial Narrow"/>
                <w:sz w:val="20"/>
                <w:szCs w:val="20"/>
                <w:lang w:val="en-US"/>
              </w:rPr>
              <w:t>AEMP per pack</w:t>
            </w:r>
          </w:p>
        </w:tc>
        <w:tc>
          <w:tcPr>
            <w:tcW w:w="2998" w:type="dxa"/>
          </w:tcPr>
          <w:p w14:paraId="4F83B882" w14:textId="46ABF5CD" w:rsidR="00EC020A" w:rsidRPr="00B42BBE" w:rsidRDefault="00EC020A" w:rsidP="00EC020A">
            <w:pPr>
              <w:keepNext/>
              <w:jc w:val="center"/>
              <w:rPr>
                <w:rFonts w:ascii="Arial Narrow" w:hAnsi="Arial Narrow" w:cs="Calibri"/>
                <w:bCs/>
                <w:iCs/>
                <w:color w:val="000000"/>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0B4A433F" w14:textId="268AA72D" w:rsidR="00EC020A" w:rsidRPr="00B42BBE" w:rsidRDefault="00EC020A" w:rsidP="00EC020A">
            <w:pPr>
              <w:keepNext/>
              <w:jc w:val="center"/>
              <w:rPr>
                <w:rFonts w:ascii="Arial Narrow" w:hAnsi="Arial Narrow" w:cs="Calibri"/>
                <w:color w:val="000000"/>
                <w:sz w:val="20"/>
                <w:szCs w:val="20"/>
              </w:rPr>
            </w:pPr>
            <w:r w:rsidRPr="00B42BBE">
              <w:rPr>
                <w:rFonts w:ascii="Arial Narrow" w:hAnsi="Arial Narrow" w:cs="Calibri"/>
                <w:color w:val="000000"/>
                <w:sz w:val="20"/>
                <w:szCs w:val="20"/>
              </w:rPr>
              <w:t>$</w:t>
            </w:r>
            <w:r w:rsidR="004B6FE2" w:rsidRPr="004B6FE2">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9A5B6A" w:rsidRPr="00D01F45" w14:paraId="431520F3" w14:textId="77777777" w:rsidTr="00313182">
        <w:tc>
          <w:tcPr>
            <w:tcW w:w="9016" w:type="dxa"/>
            <w:gridSpan w:val="3"/>
          </w:tcPr>
          <w:p w14:paraId="6C70EBDB" w14:textId="1A577207" w:rsidR="009A5B6A" w:rsidRPr="000F6D95" w:rsidRDefault="00114DF1" w:rsidP="00366F97">
            <w:pPr>
              <w:keepNext/>
              <w:jc w:val="left"/>
              <w:rPr>
                <w:rFonts w:ascii="Arial Narrow" w:hAnsi="Arial Narrow" w:cs="Calibri"/>
                <w:b/>
                <w:color w:val="000000"/>
                <w:sz w:val="20"/>
                <w:szCs w:val="20"/>
              </w:rPr>
            </w:pPr>
            <w:r>
              <w:rPr>
                <w:rFonts w:ascii="Arial Narrow" w:hAnsi="Arial Narrow"/>
                <w:b/>
                <w:sz w:val="20"/>
                <w:szCs w:val="20"/>
                <w:lang w:val="en-US"/>
              </w:rPr>
              <w:t>LCIG i</w:t>
            </w:r>
            <w:r w:rsidR="009A5B6A" w:rsidRPr="000F6D95">
              <w:rPr>
                <w:rFonts w:ascii="Arial Narrow" w:hAnsi="Arial Narrow"/>
                <w:b/>
                <w:sz w:val="20"/>
                <w:szCs w:val="20"/>
                <w:lang w:val="en-US"/>
              </w:rPr>
              <w:t>nitiation costs: $10,000</w:t>
            </w:r>
          </w:p>
        </w:tc>
      </w:tr>
      <w:tr w:rsidR="00EC020A" w:rsidRPr="00C95A87" w14:paraId="368E101D" w14:textId="77777777" w:rsidTr="00313182">
        <w:tc>
          <w:tcPr>
            <w:tcW w:w="3009" w:type="dxa"/>
          </w:tcPr>
          <w:p w14:paraId="1C9DF5CD" w14:textId="77777777" w:rsidR="00EC020A" w:rsidRPr="000F6D95" w:rsidRDefault="00EC020A" w:rsidP="00EC020A">
            <w:pPr>
              <w:keepNext/>
              <w:rPr>
                <w:rFonts w:ascii="Arial Narrow" w:hAnsi="Arial Narrow"/>
                <w:sz w:val="20"/>
                <w:szCs w:val="20"/>
              </w:rPr>
            </w:pPr>
            <w:r w:rsidRPr="000F6D95">
              <w:rPr>
                <w:rFonts w:ascii="Arial Narrow" w:hAnsi="Arial Narrow"/>
                <w:sz w:val="20"/>
                <w:szCs w:val="20"/>
                <w:lang w:val="en-US"/>
              </w:rPr>
              <w:t>Cost per unit</w:t>
            </w:r>
          </w:p>
        </w:tc>
        <w:tc>
          <w:tcPr>
            <w:tcW w:w="2998" w:type="dxa"/>
          </w:tcPr>
          <w:p w14:paraId="72EB860C" w14:textId="7EF4D82B" w:rsidR="00EC020A" w:rsidRPr="00B42BBE" w:rsidRDefault="00EC020A" w:rsidP="00EC020A">
            <w:pPr>
              <w:keepNext/>
              <w:jc w:val="center"/>
              <w:rPr>
                <w:rFonts w:ascii="Arial Narrow" w:hAnsi="Arial Narrow"/>
                <w:iCs/>
                <w:sz w:val="20"/>
                <w:szCs w:val="20"/>
                <w:lang w:val="en-US"/>
              </w:rPr>
            </w:pPr>
            <w:r w:rsidRPr="00B42BBE">
              <w:rPr>
                <w:rFonts w:ascii="Arial Narrow" w:hAnsi="Arial Narrow"/>
                <w:iCs/>
                <w:sz w:val="20"/>
                <w:szCs w:val="20"/>
              </w:rPr>
              <w:t>$</w:t>
            </w:r>
            <w:r w:rsidR="004B6FE2" w:rsidRPr="004B6FE2">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3009" w:type="dxa"/>
          </w:tcPr>
          <w:p w14:paraId="50826CA0" w14:textId="40F7C528" w:rsidR="00EC020A" w:rsidRPr="00442520" w:rsidRDefault="00EC020A" w:rsidP="00EC020A">
            <w:pPr>
              <w:keepNext/>
              <w:jc w:val="center"/>
              <w:rPr>
                <w:rFonts w:ascii="Arial Narrow" w:hAnsi="Arial Narrow" w:cs="Calibri"/>
                <w:color w:val="000000"/>
                <w:sz w:val="20"/>
                <w:szCs w:val="20"/>
              </w:rPr>
            </w:pPr>
            <w:r w:rsidRPr="00442520">
              <w:rPr>
                <w:rFonts w:ascii="Arial Narrow" w:hAnsi="Arial Narrow"/>
                <w:sz w:val="20"/>
                <w:szCs w:val="20"/>
                <w:lang w:val="en-US"/>
              </w:rPr>
              <w:t>$</w:t>
            </w:r>
            <w:r w:rsidR="004B6FE2" w:rsidRPr="004B6FE2">
              <w:rPr>
                <w:rFonts w:ascii="Arial Narrow" w:hAnsi="Arial Narrow"/>
                <w:color w:val="000000"/>
                <w:sz w:val="20"/>
                <w:szCs w:val="20"/>
                <w:shd w:val="solid" w:color="000000" w:fill="000000"/>
                <w:lang w:val="en-US"/>
                <w14:textFill>
                  <w14:solidFill>
                    <w14:srgbClr w14:val="000000">
                      <w14:alpha w14:val="100000"/>
                    </w14:srgbClr>
                  </w14:solidFill>
                </w14:textFill>
              </w:rPr>
              <w:t>|</w:t>
            </w:r>
          </w:p>
        </w:tc>
      </w:tr>
      <w:tr w:rsidR="00EC020A" w:rsidRPr="00C95A87" w14:paraId="025D7E18" w14:textId="77777777" w:rsidTr="00313182">
        <w:tc>
          <w:tcPr>
            <w:tcW w:w="3009" w:type="dxa"/>
          </w:tcPr>
          <w:p w14:paraId="030D0826" w14:textId="77777777" w:rsidR="00EC020A" w:rsidRPr="000F6D95" w:rsidRDefault="00EC020A" w:rsidP="00EC020A">
            <w:pPr>
              <w:keepNext/>
              <w:rPr>
                <w:rFonts w:ascii="Arial Narrow" w:hAnsi="Arial Narrow"/>
                <w:sz w:val="20"/>
                <w:szCs w:val="20"/>
              </w:rPr>
            </w:pPr>
            <w:r w:rsidRPr="000F6D95">
              <w:rPr>
                <w:rFonts w:ascii="Arial Narrow" w:hAnsi="Arial Narrow"/>
                <w:sz w:val="20"/>
                <w:szCs w:val="20"/>
                <w:lang w:val="en-US"/>
              </w:rPr>
              <w:t>AEMP per pack</w:t>
            </w:r>
          </w:p>
        </w:tc>
        <w:tc>
          <w:tcPr>
            <w:tcW w:w="2998" w:type="dxa"/>
          </w:tcPr>
          <w:p w14:paraId="25FE4497" w14:textId="687C30AE" w:rsidR="00EC020A" w:rsidRPr="00B42BBE" w:rsidRDefault="00EC020A" w:rsidP="00EC020A">
            <w:pPr>
              <w:keepNext/>
              <w:jc w:val="center"/>
              <w:rPr>
                <w:rFonts w:ascii="Arial Narrow" w:hAnsi="Arial Narrow" w:cs="Calibri"/>
                <w:bCs/>
                <w:iCs/>
                <w:color w:val="000000"/>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269A23D6" w14:textId="0EA5B2DF" w:rsidR="00EC020A" w:rsidRPr="00442520" w:rsidRDefault="00EC020A" w:rsidP="00EC020A">
            <w:pPr>
              <w:keepNext/>
              <w:jc w:val="center"/>
              <w:rPr>
                <w:rFonts w:ascii="Arial Narrow" w:hAnsi="Arial Narrow" w:cs="Calibri"/>
                <w:color w:val="000000"/>
                <w:sz w:val="20"/>
                <w:szCs w:val="20"/>
              </w:rPr>
            </w:pPr>
            <w:r w:rsidRPr="00442520">
              <w:rPr>
                <w:rFonts w:ascii="Arial Narrow" w:hAnsi="Arial Narrow" w:cs="Calibri"/>
                <w:color w:val="000000"/>
                <w:sz w:val="20"/>
                <w:szCs w:val="20"/>
              </w:rPr>
              <w:t>$</w:t>
            </w:r>
            <w:r w:rsidR="004B6FE2" w:rsidRPr="004B6FE2">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165321" w:rsidRPr="00A10563" w14:paraId="402E74C8" w14:textId="77777777" w:rsidTr="00341D40">
        <w:tc>
          <w:tcPr>
            <w:tcW w:w="9016" w:type="dxa"/>
            <w:gridSpan w:val="3"/>
          </w:tcPr>
          <w:p w14:paraId="76233829" w14:textId="327D945C" w:rsidR="00165321" w:rsidRPr="00B42BBE" w:rsidRDefault="00165321" w:rsidP="00366F97">
            <w:pPr>
              <w:keepNext/>
              <w:jc w:val="left"/>
              <w:rPr>
                <w:rFonts w:ascii="Arial Narrow" w:hAnsi="Arial Narrow" w:cs="Calibri"/>
                <w:b/>
                <w:bCs/>
                <w:iCs/>
                <w:color w:val="000000"/>
                <w:sz w:val="20"/>
                <w:szCs w:val="20"/>
              </w:rPr>
            </w:pPr>
            <w:r w:rsidRPr="00B42BBE">
              <w:rPr>
                <w:rFonts w:ascii="Arial Narrow" w:hAnsi="Arial Narrow" w:cs="Calibri"/>
                <w:b/>
                <w:bCs/>
                <w:iCs/>
                <w:color w:val="000000"/>
                <w:sz w:val="20"/>
                <w:szCs w:val="20"/>
              </w:rPr>
              <w:t xml:space="preserve">AR-DRG </w:t>
            </w:r>
            <w:r w:rsidR="007358A0" w:rsidRPr="00B42BBE">
              <w:rPr>
                <w:rFonts w:ascii="Arial Narrow" w:hAnsi="Arial Narrow" w:cs="Calibri"/>
                <w:b/>
                <w:bCs/>
                <w:iCs/>
                <w:color w:val="000000"/>
                <w:sz w:val="20"/>
                <w:szCs w:val="20"/>
              </w:rPr>
              <w:t xml:space="preserve">for LCIG initiation - </w:t>
            </w:r>
            <w:r w:rsidRPr="00B42BBE">
              <w:rPr>
                <w:rFonts w:ascii="Arial Narrow" w:hAnsi="Arial Narrow" w:cs="Calibri"/>
                <w:b/>
                <w:bCs/>
                <w:iCs/>
                <w:color w:val="000000"/>
                <w:sz w:val="20"/>
                <w:szCs w:val="20"/>
              </w:rPr>
              <w:t>minor complexity only</w:t>
            </w:r>
            <w:r w:rsidR="00193B8A" w:rsidRPr="00B42BBE">
              <w:rPr>
                <w:rFonts w:ascii="Arial Narrow" w:hAnsi="Arial Narrow" w:cs="Calibri"/>
                <w:b/>
                <w:bCs/>
                <w:iCs/>
                <w:color w:val="000000"/>
                <w:sz w:val="20"/>
                <w:szCs w:val="20"/>
              </w:rPr>
              <w:t>, $12,178</w:t>
            </w:r>
            <w:r w:rsidRPr="00B42BBE">
              <w:rPr>
                <w:rFonts w:ascii="Arial Narrow" w:hAnsi="Arial Narrow" w:cs="Calibri"/>
                <w:b/>
                <w:bCs/>
                <w:iCs/>
                <w:color w:val="000000"/>
                <w:sz w:val="20"/>
                <w:szCs w:val="20"/>
              </w:rPr>
              <w:t xml:space="preserve"> (</w:t>
            </w:r>
            <w:r w:rsidR="007B0D3C" w:rsidRPr="00B42BBE">
              <w:rPr>
                <w:rFonts w:ascii="Arial Narrow" w:hAnsi="Arial Narrow" w:cs="Calibri"/>
                <w:b/>
                <w:bCs/>
                <w:iCs/>
                <w:color w:val="000000"/>
                <w:sz w:val="20"/>
                <w:szCs w:val="20"/>
              </w:rPr>
              <w:t>base case: AR-DRG for major and minor complexity</w:t>
            </w:r>
            <w:r w:rsidR="00193B8A" w:rsidRPr="00B42BBE">
              <w:rPr>
                <w:rFonts w:ascii="Arial Narrow" w:hAnsi="Arial Narrow" w:cs="Calibri"/>
                <w:b/>
                <w:bCs/>
                <w:iCs/>
                <w:color w:val="000000"/>
                <w:sz w:val="20"/>
                <w:szCs w:val="20"/>
              </w:rPr>
              <w:t>, $14,385</w:t>
            </w:r>
            <w:r w:rsidRPr="00B42BBE">
              <w:rPr>
                <w:rFonts w:ascii="Arial Narrow" w:hAnsi="Arial Narrow" w:cs="Calibri"/>
                <w:b/>
                <w:bCs/>
                <w:iCs/>
                <w:color w:val="000000"/>
                <w:sz w:val="20"/>
                <w:szCs w:val="20"/>
              </w:rPr>
              <w:t>)</w:t>
            </w:r>
          </w:p>
        </w:tc>
      </w:tr>
      <w:tr w:rsidR="00165321" w:rsidRPr="00A10563" w14:paraId="62801D26" w14:textId="77777777" w:rsidTr="007B0D3C">
        <w:tc>
          <w:tcPr>
            <w:tcW w:w="3009" w:type="dxa"/>
          </w:tcPr>
          <w:p w14:paraId="5142E81C" w14:textId="5AFE579F" w:rsidR="00165321" w:rsidRPr="00022498" w:rsidRDefault="00165321" w:rsidP="00165321">
            <w:pPr>
              <w:keepNext/>
              <w:rPr>
                <w:rFonts w:ascii="Arial Narrow" w:hAnsi="Arial Narrow"/>
                <w:i/>
                <w:iCs/>
                <w:sz w:val="20"/>
                <w:szCs w:val="20"/>
                <w:lang w:val="en-US"/>
              </w:rPr>
            </w:pPr>
            <w:r w:rsidRPr="00B42BBE">
              <w:rPr>
                <w:rFonts w:ascii="Arial Narrow" w:hAnsi="Arial Narrow"/>
                <w:iCs/>
                <w:sz w:val="20"/>
                <w:szCs w:val="20"/>
                <w:lang w:val="en-US"/>
              </w:rPr>
              <w:t>Cost per unit</w:t>
            </w:r>
          </w:p>
        </w:tc>
        <w:tc>
          <w:tcPr>
            <w:tcW w:w="2998" w:type="dxa"/>
          </w:tcPr>
          <w:p w14:paraId="0ECF50A4" w14:textId="04B5FA45" w:rsidR="00165321" w:rsidRPr="00022498" w:rsidRDefault="00165321" w:rsidP="00366F97">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tcPr>
          <w:p w14:paraId="42556E95" w14:textId="3EDFB7F4" w:rsidR="00165321" w:rsidRPr="00B42BBE" w:rsidRDefault="00165321" w:rsidP="00366F97">
            <w:pPr>
              <w:keepNext/>
              <w:jc w:val="center"/>
              <w:rPr>
                <w:rFonts w:ascii="Arial Narrow" w:hAnsi="Arial Narrow" w:cs="Calibri"/>
                <w:iCs/>
                <w:color w:val="000000"/>
                <w:sz w:val="20"/>
                <w:szCs w:val="20"/>
              </w:rPr>
            </w:pPr>
            <w:r w:rsidRPr="00B42BBE">
              <w:rPr>
                <w:rFonts w:ascii="Arial Narrow" w:hAnsi="Arial Narrow"/>
                <w:iCs/>
                <w:sz w:val="20"/>
                <w:szCs w:val="20"/>
                <w:lang w:val="en-US"/>
              </w:rPr>
              <w:t>$</w:t>
            </w:r>
            <w:r w:rsidR="004B6FE2" w:rsidRPr="004B6FE2">
              <w:rPr>
                <w:rFonts w:ascii="Arial Narrow" w:hAnsi="Arial Narrow"/>
                <w:iCs/>
                <w:color w:val="000000"/>
                <w:sz w:val="20"/>
                <w:szCs w:val="20"/>
                <w:shd w:val="solid" w:color="000000" w:fill="000000"/>
                <w:lang w:val="en-US"/>
                <w14:textFill>
                  <w14:solidFill>
                    <w14:srgbClr w14:val="000000">
                      <w14:alpha w14:val="100000"/>
                    </w14:srgbClr>
                  </w14:solidFill>
                </w14:textFill>
              </w:rPr>
              <w:t>|</w:t>
            </w:r>
          </w:p>
        </w:tc>
      </w:tr>
      <w:tr w:rsidR="00165321" w:rsidRPr="00A10563" w14:paraId="4330CB2B" w14:textId="77777777" w:rsidTr="00313182">
        <w:tc>
          <w:tcPr>
            <w:tcW w:w="3009" w:type="dxa"/>
          </w:tcPr>
          <w:p w14:paraId="5E077C28" w14:textId="6A745004" w:rsidR="00165321" w:rsidRPr="00022498" w:rsidRDefault="00165321" w:rsidP="00165321">
            <w:pPr>
              <w:keepNext/>
              <w:rPr>
                <w:rFonts w:ascii="Arial Narrow" w:hAnsi="Arial Narrow"/>
                <w:i/>
                <w:iCs/>
                <w:sz w:val="20"/>
                <w:szCs w:val="20"/>
                <w:lang w:val="en-US"/>
              </w:rPr>
            </w:pPr>
            <w:r w:rsidRPr="00B42BBE">
              <w:rPr>
                <w:rFonts w:ascii="Arial Narrow" w:hAnsi="Arial Narrow"/>
                <w:iCs/>
                <w:sz w:val="20"/>
                <w:szCs w:val="20"/>
                <w:lang w:val="en-US"/>
              </w:rPr>
              <w:t>AEMP per pack</w:t>
            </w:r>
          </w:p>
        </w:tc>
        <w:tc>
          <w:tcPr>
            <w:tcW w:w="2998" w:type="dxa"/>
          </w:tcPr>
          <w:p w14:paraId="6033020A" w14:textId="7C6D4489" w:rsidR="00165321" w:rsidRPr="00022498" w:rsidRDefault="00165321" w:rsidP="00366F97">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1FE22EF9" w14:textId="4CD74ECC" w:rsidR="00165321" w:rsidRPr="00B42BBE" w:rsidRDefault="00165321" w:rsidP="00366F97">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w:t>
            </w:r>
            <w:r w:rsidR="004B6FE2" w:rsidRPr="004B6FE2">
              <w:rPr>
                <w:rFonts w:ascii="Arial Narrow" w:hAnsi="Arial Narrow" w:cs="Calibri"/>
                <w:iCs/>
                <w:color w:val="000000"/>
                <w:sz w:val="20"/>
                <w:szCs w:val="20"/>
                <w:shd w:val="solid" w:color="000000" w:fill="000000"/>
                <w14:textFill>
                  <w14:solidFill>
                    <w14:srgbClr w14:val="000000">
                      <w14:alpha w14:val="100000"/>
                    </w14:srgbClr>
                  </w14:solidFill>
                </w14:textFill>
              </w:rPr>
              <w:t>|</w:t>
            </w:r>
          </w:p>
        </w:tc>
      </w:tr>
      <w:tr w:rsidR="00525EB9" w:rsidRPr="00A10563" w14:paraId="27CCC2B1" w14:textId="77777777" w:rsidTr="00923800">
        <w:tc>
          <w:tcPr>
            <w:tcW w:w="9016" w:type="dxa"/>
            <w:gridSpan w:val="3"/>
          </w:tcPr>
          <w:p w14:paraId="21F0A3E8" w14:textId="01A7934F" w:rsidR="00525EB9" w:rsidRPr="00B42BBE" w:rsidRDefault="00525EB9" w:rsidP="00366F97">
            <w:pPr>
              <w:keepNext/>
              <w:jc w:val="left"/>
              <w:rPr>
                <w:rFonts w:ascii="Arial Narrow" w:hAnsi="Arial Narrow" w:cs="Calibri"/>
                <w:b/>
                <w:bCs/>
                <w:iCs/>
                <w:color w:val="000000"/>
                <w:sz w:val="20"/>
                <w:szCs w:val="20"/>
              </w:rPr>
            </w:pPr>
            <w:r w:rsidRPr="00B42BBE">
              <w:rPr>
                <w:rFonts w:ascii="Arial Narrow" w:hAnsi="Arial Narrow" w:cs="Calibri"/>
                <w:b/>
                <w:bCs/>
                <w:iCs/>
                <w:color w:val="000000"/>
                <w:sz w:val="20"/>
                <w:szCs w:val="20"/>
              </w:rPr>
              <w:t>Treatment duration 4.13 years</w:t>
            </w:r>
            <w:r w:rsidR="00B57602" w:rsidRPr="00B42BBE">
              <w:rPr>
                <w:rFonts w:ascii="Arial Narrow" w:hAnsi="Arial Narrow" w:cs="Calibri"/>
                <w:b/>
                <w:bCs/>
                <w:iCs/>
                <w:color w:val="000000"/>
                <w:sz w:val="20"/>
                <w:szCs w:val="20"/>
              </w:rPr>
              <w:t xml:space="preserve"> – </w:t>
            </w:r>
            <w:r w:rsidR="004D2BAE" w:rsidRPr="00B42BBE">
              <w:rPr>
                <w:rFonts w:ascii="Arial Narrow" w:hAnsi="Arial Narrow" w:cs="Calibri"/>
                <w:b/>
                <w:bCs/>
                <w:iCs/>
                <w:color w:val="000000"/>
                <w:sz w:val="20"/>
                <w:szCs w:val="20"/>
              </w:rPr>
              <w:t xml:space="preserve">PSCR stated </w:t>
            </w:r>
            <w:r w:rsidR="00B57602" w:rsidRPr="00B42BBE">
              <w:rPr>
                <w:rFonts w:ascii="Arial Narrow" w:hAnsi="Arial Narrow" w:cs="Calibri"/>
                <w:b/>
                <w:bCs/>
                <w:iCs/>
                <w:color w:val="000000"/>
                <w:sz w:val="20"/>
                <w:szCs w:val="20"/>
              </w:rPr>
              <w:t>average treatment duration for LCIG</w:t>
            </w:r>
            <w:r w:rsidR="004D2BAE" w:rsidRPr="00B42BBE">
              <w:rPr>
                <w:rFonts w:ascii="Arial Narrow" w:hAnsi="Arial Narrow" w:cs="Calibri"/>
                <w:b/>
                <w:bCs/>
                <w:iCs/>
                <w:color w:val="000000"/>
                <w:sz w:val="20"/>
                <w:szCs w:val="20"/>
              </w:rPr>
              <w:t xml:space="preserve"> on PBS</w:t>
            </w:r>
            <w:r w:rsidRPr="00B42BBE">
              <w:rPr>
                <w:rFonts w:ascii="Arial Narrow" w:hAnsi="Arial Narrow" w:cs="Calibri"/>
                <w:b/>
                <w:bCs/>
                <w:iCs/>
                <w:color w:val="000000"/>
                <w:sz w:val="20"/>
                <w:szCs w:val="20"/>
              </w:rPr>
              <w:t xml:space="preserve"> (base case: 2 years)</w:t>
            </w:r>
          </w:p>
        </w:tc>
      </w:tr>
      <w:tr w:rsidR="00525EB9" w:rsidRPr="00A10563" w14:paraId="4521B12E" w14:textId="77777777" w:rsidTr="007B0D3C">
        <w:tc>
          <w:tcPr>
            <w:tcW w:w="3009" w:type="dxa"/>
          </w:tcPr>
          <w:p w14:paraId="7555B7BF" w14:textId="4FCAD9A8" w:rsidR="00525EB9" w:rsidRPr="00022498" w:rsidRDefault="00525EB9" w:rsidP="00525EB9">
            <w:pPr>
              <w:keepNext/>
              <w:rPr>
                <w:rFonts w:ascii="Arial Narrow" w:hAnsi="Arial Narrow"/>
                <w:i/>
                <w:iCs/>
                <w:sz w:val="20"/>
                <w:szCs w:val="20"/>
                <w:lang w:val="en-US"/>
              </w:rPr>
            </w:pPr>
            <w:r w:rsidRPr="00B42BBE">
              <w:rPr>
                <w:rFonts w:ascii="Arial Narrow" w:hAnsi="Arial Narrow"/>
                <w:iCs/>
                <w:sz w:val="20"/>
                <w:szCs w:val="20"/>
                <w:lang w:val="en-US"/>
              </w:rPr>
              <w:t>Cost per unit</w:t>
            </w:r>
          </w:p>
        </w:tc>
        <w:tc>
          <w:tcPr>
            <w:tcW w:w="2998" w:type="dxa"/>
          </w:tcPr>
          <w:p w14:paraId="7477041C" w14:textId="580949C9" w:rsidR="00525EB9" w:rsidRPr="00022498" w:rsidRDefault="00525EB9" w:rsidP="00366F97">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tcPr>
          <w:p w14:paraId="14E58B67" w14:textId="3E4E833D" w:rsidR="00525EB9" w:rsidRPr="00B42BBE" w:rsidRDefault="00525EB9" w:rsidP="00366F97">
            <w:pPr>
              <w:keepNext/>
              <w:jc w:val="center"/>
              <w:rPr>
                <w:rFonts w:ascii="Arial Narrow" w:hAnsi="Arial Narrow" w:cs="Calibri"/>
                <w:iCs/>
                <w:color w:val="000000"/>
                <w:sz w:val="20"/>
                <w:szCs w:val="20"/>
              </w:rPr>
            </w:pPr>
            <w:r w:rsidRPr="00B42BBE">
              <w:rPr>
                <w:rFonts w:ascii="Arial Narrow" w:hAnsi="Arial Narrow"/>
                <w:iCs/>
                <w:sz w:val="20"/>
                <w:szCs w:val="20"/>
                <w:lang w:val="en-US"/>
              </w:rPr>
              <w:t>$</w:t>
            </w:r>
            <w:r w:rsidR="004B6FE2" w:rsidRPr="004B6FE2">
              <w:rPr>
                <w:rFonts w:ascii="Arial Narrow" w:hAnsi="Arial Narrow"/>
                <w:iCs/>
                <w:color w:val="000000"/>
                <w:sz w:val="20"/>
                <w:szCs w:val="20"/>
                <w:shd w:val="solid" w:color="000000" w:fill="000000"/>
                <w:lang w:val="en-US"/>
                <w14:textFill>
                  <w14:solidFill>
                    <w14:srgbClr w14:val="000000">
                      <w14:alpha w14:val="100000"/>
                    </w14:srgbClr>
                  </w14:solidFill>
                </w14:textFill>
              </w:rPr>
              <w:t>|</w:t>
            </w:r>
          </w:p>
        </w:tc>
      </w:tr>
      <w:tr w:rsidR="00525EB9" w:rsidRPr="00A10563" w14:paraId="08383CEF" w14:textId="77777777" w:rsidTr="00313182">
        <w:tc>
          <w:tcPr>
            <w:tcW w:w="3009" w:type="dxa"/>
          </w:tcPr>
          <w:p w14:paraId="3897057B" w14:textId="340CF173" w:rsidR="00525EB9" w:rsidRPr="00022498" w:rsidRDefault="00525EB9" w:rsidP="00525EB9">
            <w:pPr>
              <w:keepNext/>
              <w:rPr>
                <w:rFonts w:ascii="Arial Narrow" w:hAnsi="Arial Narrow"/>
                <w:i/>
                <w:iCs/>
                <w:sz w:val="20"/>
                <w:szCs w:val="20"/>
                <w:lang w:val="en-US"/>
              </w:rPr>
            </w:pPr>
            <w:r w:rsidRPr="00B42BBE">
              <w:rPr>
                <w:rFonts w:ascii="Arial Narrow" w:hAnsi="Arial Narrow"/>
                <w:iCs/>
                <w:sz w:val="20"/>
                <w:szCs w:val="20"/>
                <w:lang w:val="en-US"/>
              </w:rPr>
              <w:t>AEMP per pack</w:t>
            </w:r>
          </w:p>
        </w:tc>
        <w:tc>
          <w:tcPr>
            <w:tcW w:w="2998" w:type="dxa"/>
          </w:tcPr>
          <w:p w14:paraId="14BA1C5F" w14:textId="5B1C5455" w:rsidR="00525EB9" w:rsidRPr="00022498" w:rsidRDefault="00525EB9" w:rsidP="00366F97">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42DF3670" w14:textId="1C28E85F" w:rsidR="00525EB9" w:rsidRPr="00B42BBE" w:rsidRDefault="00525EB9" w:rsidP="00366F97">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w:t>
            </w:r>
            <w:r w:rsidR="004B6FE2" w:rsidRPr="004B6FE2">
              <w:rPr>
                <w:rFonts w:ascii="Arial Narrow" w:hAnsi="Arial Narrow" w:cs="Calibri"/>
                <w:iCs/>
                <w:color w:val="000000"/>
                <w:sz w:val="20"/>
                <w:szCs w:val="20"/>
                <w:shd w:val="solid" w:color="000000" w:fill="000000"/>
                <w14:textFill>
                  <w14:solidFill>
                    <w14:srgbClr w14:val="000000">
                      <w14:alpha w14:val="100000"/>
                    </w14:srgbClr>
                  </w14:solidFill>
                </w14:textFill>
              </w:rPr>
              <w:t>|</w:t>
            </w:r>
          </w:p>
        </w:tc>
      </w:tr>
      <w:tr w:rsidR="00B57602" w:rsidRPr="00A10563" w14:paraId="68517F8A" w14:textId="77777777" w:rsidTr="00A6152C">
        <w:tc>
          <w:tcPr>
            <w:tcW w:w="9016" w:type="dxa"/>
            <w:gridSpan w:val="3"/>
          </w:tcPr>
          <w:p w14:paraId="5707FBBE" w14:textId="4875AF7E" w:rsidR="00B57602" w:rsidRPr="00B42BBE" w:rsidRDefault="00B57602" w:rsidP="00B57602">
            <w:pPr>
              <w:keepNext/>
              <w:jc w:val="left"/>
              <w:rPr>
                <w:rFonts w:ascii="Arial Narrow" w:hAnsi="Arial Narrow" w:cs="Calibri"/>
                <w:b/>
                <w:bCs/>
                <w:iCs/>
                <w:color w:val="000000"/>
                <w:sz w:val="20"/>
                <w:szCs w:val="20"/>
              </w:rPr>
            </w:pPr>
            <w:r w:rsidRPr="00B42BBE">
              <w:rPr>
                <w:rFonts w:ascii="Arial Narrow" w:hAnsi="Arial Narrow" w:cs="Calibri"/>
                <w:b/>
                <w:bCs/>
                <w:iCs/>
                <w:color w:val="000000"/>
                <w:sz w:val="20"/>
                <w:szCs w:val="20"/>
              </w:rPr>
              <w:t>Treatment duration 5 years as recommended by ESC (base case: 2 years)</w:t>
            </w:r>
          </w:p>
        </w:tc>
      </w:tr>
      <w:tr w:rsidR="00B57602" w:rsidRPr="00A10563" w14:paraId="648C2F74" w14:textId="77777777" w:rsidTr="00B57602">
        <w:tc>
          <w:tcPr>
            <w:tcW w:w="3009" w:type="dxa"/>
          </w:tcPr>
          <w:p w14:paraId="1F451F50" w14:textId="6C981E9A" w:rsidR="00B57602" w:rsidRPr="00022498" w:rsidRDefault="00B57602" w:rsidP="00B57602">
            <w:pPr>
              <w:keepNext/>
              <w:rPr>
                <w:rFonts w:ascii="Arial Narrow" w:hAnsi="Arial Narrow"/>
                <w:i/>
                <w:iCs/>
                <w:sz w:val="20"/>
                <w:szCs w:val="20"/>
                <w:lang w:val="en-US"/>
              </w:rPr>
            </w:pPr>
            <w:r w:rsidRPr="00B42BBE">
              <w:rPr>
                <w:rFonts w:ascii="Arial Narrow" w:hAnsi="Arial Narrow"/>
                <w:iCs/>
                <w:sz w:val="20"/>
                <w:szCs w:val="20"/>
                <w:lang w:val="en-US"/>
              </w:rPr>
              <w:t>Cost per unit</w:t>
            </w:r>
          </w:p>
        </w:tc>
        <w:tc>
          <w:tcPr>
            <w:tcW w:w="2998" w:type="dxa"/>
          </w:tcPr>
          <w:p w14:paraId="39CF0B5E" w14:textId="72A15666" w:rsidR="00B57602" w:rsidRPr="00022498" w:rsidRDefault="00B57602" w:rsidP="00B57602">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tcPr>
          <w:p w14:paraId="56F3DDAE" w14:textId="7A062483" w:rsidR="00B57602" w:rsidRPr="00B42BBE" w:rsidRDefault="00B57602" w:rsidP="00B57602">
            <w:pPr>
              <w:keepNext/>
              <w:jc w:val="center"/>
              <w:rPr>
                <w:rFonts w:ascii="Arial Narrow" w:hAnsi="Arial Narrow" w:cs="Calibri"/>
                <w:iCs/>
                <w:color w:val="000000"/>
                <w:sz w:val="20"/>
                <w:szCs w:val="20"/>
              </w:rPr>
            </w:pPr>
            <w:r w:rsidRPr="00B42BBE">
              <w:rPr>
                <w:rFonts w:ascii="Arial Narrow" w:hAnsi="Arial Narrow"/>
                <w:iCs/>
                <w:sz w:val="20"/>
                <w:szCs w:val="20"/>
                <w:lang w:val="en-US"/>
              </w:rPr>
              <w:t>$</w:t>
            </w:r>
            <w:r w:rsidR="004B6FE2" w:rsidRPr="004B6FE2">
              <w:rPr>
                <w:rFonts w:ascii="Arial Narrow" w:hAnsi="Arial Narrow"/>
                <w:iCs/>
                <w:color w:val="000000"/>
                <w:sz w:val="20"/>
                <w:szCs w:val="20"/>
                <w:shd w:val="solid" w:color="000000" w:fill="000000"/>
                <w:lang w:val="en-US"/>
                <w14:textFill>
                  <w14:solidFill>
                    <w14:srgbClr w14:val="000000">
                      <w14:alpha w14:val="100000"/>
                    </w14:srgbClr>
                  </w14:solidFill>
                </w14:textFill>
              </w:rPr>
              <w:t>|</w:t>
            </w:r>
          </w:p>
        </w:tc>
      </w:tr>
      <w:tr w:rsidR="00B57602" w:rsidRPr="00A10563" w14:paraId="2AC52AB0" w14:textId="77777777" w:rsidTr="00313182">
        <w:tc>
          <w:tcPr>
            <w:tcW w:w="3009" w:type="dxa"/>
          </w:tcPr>
          <w:p w14:paraId="1996B0F8" w14:textId="22DAF74E" w:rsidR="00B57602" w:rsidRPr="00022498" w:rsidRDefault="00B57602" w:rsidP="00B57602">
            <w:pPr>
              <w:keepNext/>
              <w:rPr>
                <w:rFonts w:ascii="Arial Narrow" w:hAnsi="Arial Narrow"/>
                <w:i/>
                <w:iCs/>
                <w:sz w:val="20"/>
                <w:szCs w:val="20"/>
                <w:lang w:val="en-US"/>
              </w:rPr>
            </w:pPr>
            <w:r w:rsidRPr="00B42BBE">
              <w:rPr>
                <w:rFonts w:ascii="Arial Narrow" w:hAnsi="Arial Narrow"/>
                <w:iCs/>
                <w:sz w:val="20"/>
                <w:szCs w:val="20"/>
                <w:lang w:val="en-US"/>
              </w:rPr>
              <w:t>AEMP per pack</w:t>
            </w:r>
          </w:p>
        </w:tc>
        <w:tc>
          <w:tcPr>
            <w:tcW w:w="2998" w:type="dxa"/>
          </w:tcPr>
          <w:p w14:paraId="450FD9C8" w14:textId="5BAEE1BB" w:rsidR="00B57602" w:rsidRPr="00022498" w:rsidRDefault="00B57602" w:rsidP="00B57602">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0C22B6A2" w14:textId="77A010B6" w:rsidR="00B57602" w:rsidRPr="00B42BBE" w:rsidRDefault="00B57602" w:rsidP="00B57602">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w:t>
            </w:r>
            <w:r w:rsidR="004B6FE2" w:rsidRPr="004B6FE2">
              <w:rPr>
                <w:rFonts w:ascii="Arial Narrow" w:hAnsi="Arial Narrow" w:cs="Calibri"/>
                <w:iCs/>
                <w:color w:val="000000"/>
                <w:sz w:val="20"/>
                <w:szCs w:val="20"/>
                <w:shd w:val="solid" w:color="000000" w:fill="000000"/>
                <w14:textFill>
                  <w14:solidFill>
                    <w14:srgbClr w14:val="000000">
                      <w14:alpha w14:val="100000"/>
                    </w14:srgbClr>
                  </w14:solidFill>
                </w14:textFill>
              </w:rPr>
              <w:t>|</w:t>
            </w:r>
          </w:p>
        </w:tc>
      </w:tr>
      <w:tr w:rsidR="00EA5E65" w:rsidRPr="00A10563" w14:paraId="307D6430" w14:textId="77777777" w:rsidTr="00CB1E01">
        <w:tc>
          <w:tcPr>
            <w:tcW w:w="9016" w:type="dxa"/>
            <w:gridSpan w:val="3"/>
          </w:tcPr>
          <w:p w14:paraId="21FAE058" w14:textId="57FEC0F8" w:rsidR="00EA5E65" w:rsidRPr="00B42BBE" w:rsidRDefault="00EA5E65" w:rsidP="0050191F">
            <w:pPr>
              <w:keepNext/>
              <w:jc w:val="left"/>
              <w:rPr>
                <w:rFonts w:ascii="Arial Narrow" w:hAnsi="Arial Narrow" w:cs="Calibri"/>
                <w:b/>
                <w:bCs/>
                <w:iCs/>
                <w:color w:val="000000"/>
                <w:sz w:val="20"/>
                <w:szCs w:val="20"/>
              </w:rPr>
            </w:pPr>
            <w:r w:rsidRPr="00B42BBE">
              <w:rPr>
                <w:rFonts w:ascii="Arial Narrow" w:hAnsi="Arial Narrow" w:cs="Calibri"/>
                <w:b/>
                <w:bCs/>
                <w:iCs/>
                <w:color w:val="000000"/>
                <w:sz w:val="20"/>
                <w:szCs w:val="20"/>
              </w:rPr>
              <w:t>Treatment duration 10 years (base case: 2 years)</w:t>
            </w:r>
          </w:p>
        </w:tc>
      </w:tr>
      <w:tr w:rsidR="00652F5F" w:rsidRPr="00A10563" w14:paraId="429588C1" w14:textId="77777777" w:rsidTr="0050191F">
        <w:tc>
          <w:tcPr>
            <w:tcW w:w="3009" w:type="dxa"/>
          </w:tcPr>
          <w:p w14:paraId="577769EF" w14:textId="4BEFF925" w:rsidR="00652F5F" w:rsidRPr="00022498" w:rsidRDefault="00652F5F" w:rsidP="00652F5F">
            <w:pPr>
              <w:keepNext/>
              <w:rPr>
                <w:rFonts w:ascii="Arial Narrow" w:hAnsi="Arial Narrow"/>
                <w:i/>
                <w:iCs/>
                <w:sz w:val="20"/>
                <w:szCs w:val="20"/>
                <w:lang w:val="en-US"/>
              </w:rPr>
            </w:pPr>
            <w:r w:rsidRPr="00B42BBE">
              <w:rPr>
                <w:rFonts w:ascii="Arial Narrow" w:hAnsi="Arial Narrow"/>
                <w:iCs/>
                <w:sz w:val="20"/>
                <w:szCs w:val="20"/>
                <w:lang w:val="en-US"/>
              </w:rPr>
              <w:t>Cost per unit</w:t>
            </w:r>
          </w:p>
        </w:tc>
        <w:tc>
          <w:tcPr>
            <w:tcW w:w="2998" w:type="dxa"/>
          </w:tcPr>
          <w:p w14:paraId="1B27C939" w14:textId="19464B5B" w:rsidR="00652F5F" w:rsidRPr="00022498" w:rsidRDefault="00652F5F" w:rsidP="00652F5F">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tcPr>
          <w:p w14:paraId="605F498D" w14:textId="75C60961" w:rsidR="00652F5F" w:rsidRPr="00B42BBE" w:rsidRDefault="00652F5F" w:rsidP="00652F5F">
            <w:pPr>
              <w:keepNext/>
              <w:jc w:val="center"/>
              <w:rPr>
                <w:rFonts w:ascii="Arial Narrow" w:hAnsi="Arial Narrow" w:cs="Calibri"/>
                <w:iCs/>
                <w:color w:val="000000"/>
                <w:sz w:val="20"/>
                <w:szCs w:val="20"/>
              </w:rPr>
            </w:pPr>
            <w:r w:rsidRPr="00B42BBE">
              <w:rPr>
                <w:rFonts w:ascii="Arial Narrow" w:hAnsi="Arial Narrow"/>
                <w:iCs/>
                <w:sz w:val="20"/>
                <w:szCs w:val="20"/>
                <w:lang w:val="en-US"/>
              </w:rPr>
              <w:t>$</w:t>
            </w:r>
            <w:r w:rsidR="004B6FE2" w:rsidRPr="004B6FE2">
              <w:rPr>
                <w:rFonts w:ascii="Arial Narrow" w:hAnsi="Arial Narrow"/>
                <w:iCs/>
                <w:color w:val="000000"/>
                <w:sz w:val="20"/>
                <w:szCs w:val="20"/>
                <w:shd w:val="solid" w:color="000000" w:fill="000000"/>
                <w:lang w:val="en-US"/>
                <w14:textFill>
                  <w14:solidFill>
                    <w14:srgbClr w14:val="000000">
                      <w14:alpha w14:val="100000"/>
                    </w14:srgbClr>
                  </w14:solidFill>
                </w14:textFill>
              </w:rPr>
              <w:t>|</w:t>
            </w:r>
          </w:p>
        </w:tc>
      </w:tr>
      <w:tr w:rsidR="00652F5F" w:rsidRPr="00A10563" w14:paraId="448AE105" w14:textId="77777777" w:rsidTr="00313182">
        <w:tc>
          <w:tcPr>
            <w:tcW w:w="3009" w:type="dxa"/>
          </w:tcPr>
          <w:p w14:paraId="55796592" w14:textId="5B9C98E7" w:rsidR="00652F5F" w:rsidRPr="00022498" w:rsidRDefault="00652F5F" w:rsidP="00652F5F">
            <w:pPr>
              <w:keepNext/>
              <w:rPr>
                <w:rFonts w:ascii="Arial Narrow" w:hAnsi="Arial Narrow"/>
                <w:i/>
                <w:iCs/>
                <w:sz w:val="20"/>
                <w:szCs w:val="20"/>
                <w:lang w:val="en-US"/>
              </w:rPr>
            </w:pPr>
            <w:r w:rsidRPr="00B42BBE">
              <w:rPr>
                <w:rFonts w:ascii="Arial Narrow" w:hAnsi="Arial Narrow"/>
                <w:iCs/>
                <w:sz w:val="20"/>
                <w:szCs w:val="20"/>
                <w:lang w:val="en-US"/>
              </w:rPr>
              <w:t>AEMP per pack</w:t>
            </w:r>
          </w:p>
        </w:tc>
        <w:tc>
          <w:tcPr>
            <w:tcW w:w="2998" w:type="dxa"/>
          </w:tcPr>
          <w:p w14:paraId="2D3A6D9A" w14:textId="05959870" w:rsidR="00652F5F" w:rsidRPr="00022498" w:rsidRDefault="00652F5F" w:rsidP="00652F5F">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358B8570" w14:textId="2C8EB6D8" w:rsidR="00652F5F" w:rsidRPr="00B42BBE" w:rsidRDefault="00652F5F" w:rsidP="00652F5F">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w:t>
            </w:r>
            <w:r w:rsidR="004B6FE2" w:rsidRPr="004B6FE2">
              <w:rPr>
                <w:rFonts w:ascii="Arial Narrow" w:hAnsi="Arial Narrow" w:cs="Calibri"/>
                <w:iCs/>
                <w:color w:val="000000"/>
                <w:sz w:val="20"/>
                <w:szCs w:val="20"/>
                <w:shd w:val="solid" w:color="000000" w:fill="000000"/>
                <w14:textFill>
                  <w14:solidFill>
                    <w14:srgbClr w14:val="000000">
                      <w14:alpha w14:val="100000"/>
                    </w14:srgbClr>
                  </w14:solidFill>
                </w14:textFill>
              </w:rPr>
              <w:t>|</w:t>
            </w:r>
          </w:p>
        </w:tc>
      </w:tr>
      <w:tr w:rsidR="00652F5F" w:rsidRPr="00A10563" w14:paraId="0B7ADDDD" w14:textId="77777777" w:rsidTr="00720EFF">
        <w:tc>
          <w:tcPr>
            <w:tcW w:w="9016" w:type="dxa"/>
            <w:gridSpan w:val="3"/>
          </w:tcPr>
          <w:p w14:paraId="1401287C" w14:textId="692AAE81" w:rsidR="00652F5F" w:rsidRPr="00B42BBE" w:rsidRDefault="00652F5F" w:rsidP="00652F5F">
            <w:pPr>
              <w:keepNext/>
              <w:jc w:val="left"/>
              <w:rPr>
                <w:rFonts w:ascii="Arial Narrow" w:hAnsi="Arial Narrow" w:cs="Calibri"/>
                <w:b/>
                <w:bCs/>
                <w:iCs/>
                <w:color w:val="000000"/>
                <w:sz w:val="20"/>
                <w:szCs w:val="20"/>
              </w:rPr>
            </w:pPr>
            <w:r w:rsidRPr="00B42BBE">
              <w:rPr>
                <w:rFonts w:ascii="Arial Narrow" w:hAnsi="Arial Narrow" w:cs="Calibri"/>
                <w:b/>
                <w:bCs/>
                <w:iCs/>
                <w:color w:val="000000"/>
                <w:sz w:val="20"/>
                <w:szCs w:val="20"/>
              </w:rPr>
              <w:t>Treatment duration 4.13 years and AR-DRG minor complexity only (base case: 2 years; DRG major + minor)</w:t>
            </w:r>
          </w:p>
        </w:tc>
      </w:tr>
      <w:tr w:rsidR="00652F5F" w:rsidRPr="00A10563" w14:paraId="691435C6" w14:textId="77777777" w:rsidTr="00525EB9">
        <w:tc>
          <w:tcPr>
            <w:tcW w:w="3009" w:type="dxa"/>
          </w:tcPr>
          <w:p w14:paraId="039E1F56" w14:textId="70CD8C8F" w:rsidR="00652F5F" w:rsidRPr="00022498" w:rsidRDefault="00652F5F" w:rsidP="00652F5F">
            <w:pPr>
              <w:keepNext/>
              <w:rPr>
                <w:rFonts w:ascii="Arial Narrow" w:hAnsi="Arial Narrow"/>
                <w:i/>
                <w:iCs/>
                <w:sz w:val="20"/>
                <w:szCs w:val="20"/>
                <w:lang w:val="en-US"/>
              </w:rPr>
            </w:pPr>
            <w:r w:rsidRPr="00B42BBE">
              <w:rPr>
                <w:rFonts w:ascii="Arial Narrow" w:hAnsi="Arial Narrow"/>
                <w:iCs/>
                <w:sz w:val="20"/>
                <w:szCs w:val="20"/>
                <w:lang w:val="en-US"/>
              </w:rPr>
              <w:t>Cost per unit</w:t>
            </w:r>
          </w:p>
        </w:tc>
        <w:tc>
          <w:tcPr>
            <w:tcW w:w="2998" w:type="dxa"/>
          </w:tcPr>
          <w:p w14:paraId="6424D49F" w14:textId="6A2D04C3" w:rsidR="00652F5F" w:rsidRPr="00022498" w:rsidRDefault="00652F5F" w:rsidP="00652F5F">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tcPr>
          <w:p w14:paraId="73FDC24F" w14:textId="2D2B0287" w:rsidR="00652F5F" w:rsidRPr="00B42BBE" w:rsidRDefault="00652F5F" w:rsidP="00652F5F">
            <w:pPr>
              <w:keepNext/>
              <w:jc w:val="center"/>
              <w:rPr>
                <w:rFonts w:ascii="Arial Narrow" w:hAnsi="Arial Narrow" w:cs="Calibri"/>
                <w:iCs/>
                <w:color w:val="000000"/>
                <w:sz w:val="20"/>
                <w:szCs w:val="20"/>
              </w:rPr>
            </w:pPr>
            <w:r w:rsidRPr="00B42BBE">
              <w:rPr>
                <w:rFonts w:ascii="Arial Narrow" w:hAnsi="Arial Narrow"/>
                <w:iCs/>
                <w:sz w:val="20"/>
                <w:szCs w:val="20"/>
                <w:lang w:val="en-US"/>
              </w:rPr>
              <w:t>$</w:t>
            </w:r>
            <w:r w:rsidR="004B6FE2" w:rsidRPr="004B6FE2">
              <w:rPr>
                <w:rFonts w:ascii="Arial Narrow" w:hAnsi="Arial Narrow"/>
                <w:iCs/>
                <w:color w:val="000000"/>
                <w:sz w:val="20"/>
                <w:szCs w:val="20"/>
                <w:shd w:val="solid" w:color="000000" w:fill="000000"/>
                <w:lang w:val="en-US"/>
                <w14:textFill>
                  <w14:solidFill>
                    <w14:srgbClr w14:val="000000">
                      <w14:alpha w14:val="100000"/>
                    </w14:srgbClr>
                  </w14:solidFill>
                </w14:textFill>
              </w:rPr>
              <w:t>|</w:t>
            </w:r>
          </w:p>
        </w:tc>
      </w:tr>
      <w:tr w:rsidR="00652F5F" w:rsidRPr="00A10563" w14:paraId="72B310E9" w14:textId="77777777" w:rsidTr="00313182">
        <w:tc>
          <w:tcPr>
            <w:tcW w:w="3009" w:type="dxa"/>
          </w:tcPr>
          <w:p w14:paraId="475FEE7B" w14:textId="18964030" w:rsidR="00652F5F" w:rsidRPr="00022498" w:rsidRDefault="00652F5F" w:rsidP="00652F5F">
            <w:pPr>
              <w:keepNext/>
              <w:rPr>
                <w:rFonts w:ascii="Arial Narrow" w:hAnsi="Arial Narrow"/>
                <w:i/>
                <w:iCs/>
                <w:sz w:val="20"/>
                <w:szCs w:val="20"/>
                <w:lang w:val="en-US"/>
              </w:rPr>
            </w:pPr>
            <w:r w:rsidRPr="00B42BBE">
              <w:rPr>
                <w:rFonts w:ascii="Arial Narrow" w:hAnsi="Arial Narrow"/>
                <w:iCs/>
                <w:sz w:val="20"/>
                <w:szCs w:val="20"/>
                <w:lang w:val="en-US"/>
              </w:rPr>
              <w:t>AEMP per pack</w:t>
            </w:r>
          </w:p>
        </w:tc>
        <w:tc>
          <w:tcPr>
            <w:tcW w:w="2998" w:type="dxa"/>
          </w:tcPr>
          <w:p w14:paraId="464CC0B2" w14:textId="50763AA5" w:rsidR="00652F5F" w:rsidRPr="00022498" w:rsidRDefault="00652F5F" w:rsidP="00652F5F">
            <w:pPr>
              <w:keepNext/>
              <w:jc w:val="center"/>
              <w:rPr>
                <w:rFonts w:ascii="Arial Narrow" w:hAnsi="Arial Narrow"/>
                <w:bCs/>
                <w:i/>
                <w:iCs/>
                <w:sz w:val="20"/>
                <w:szCs w:val="20"/>
              </w:rPr>
            </w:pPr>
            <w:r w:rsidRPr="00B42BBE">
              <w:rPr>
                <w:rFonts w:ascii="Arial Narrow" w:hAnsi="Arial Narrow"/>
                <w:bCs/>
                <w:iCs/>
                <w:sz w:val="20"/>
                <w:szCs w:val="20"/>
              </w:rPr>
              <w:t>$</w:t>
            </w:r>
            <w:r w:rsidR="004B6FE2" w:rsidRPr="004B6FE2">
              <w:rPr>
                <w:rFonts w:ascii="Arial Narrow" w:hAnsi="Arial Narrow"/>
                <w:bCs/>
                <w:iCs/>
                <w:color w:val="000000"/>
                <w:sz w:val="20"/>
                <w:szCs w:val="20"/>
                <w:shd w:val="solid" w:color="000000" w:fill="000000"/>
                <w14:textFill>
                  <w14:solidFill>
                    <w14:srgbClr w14:val="000000">
                      <w14:alpha w14:val="100000"/>
                    </w14:srgbClr>
                  </w14:solidFill>
                </w14:textFill>
              </w:rPr>
              <w:t>|</w:t>
            </w:r>
          </w:p>
        </w:tc>
        <w:tc>
          <w:tcPr>
            <w:tcW w:w="3009" w:type="dxa"/>
            <w:vAlign w:val="bottom"/>
          </w:tcPr>
          <w:p w14:paraId="0989489B" w14:textId="1F392445" w:rsidR="00652F5F" w:rsidRPr="00B42BBE" w:rsidRDefault="00652F5F" w:rsidP="00652F5F">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w:t>
            </w:r>
            <w:r w:rsidR="004B6FE2" w:rsidRPr="004B6FE2">
              <w:rPr>
                <w:rFonts w:ascii="Arial Narrow" w:hAnsi="Arial Narrow" w:cs="Calibri"/>
                <w:iCs/>
                <w:color w:val="000000"/>
                <w:sz w:val="20"/>
                <w:szCs w:val="20"/>
                <w:shd w:val="solid" w:color="000000" w:fill="000000"/>
                <w14:textFill>
                  <w14:solidFill>
                    <w14:srgbClr w14:val="000000">
                      <w14:alpha w14:val="100000"/>
                    </w14:srgbClr>
                  </w14:solidFill>
                </w14:textFill>
              </w:rPr>
              <w:t>|</w:t>
            </w:r>
          </w:p>
        </w:tc>
      </w:tr>
    </w:tbl>
    <w:p w14:paraId="57BB1EC8" w14:textId="4C0961F5" w:rsidR="009A5B6A" w:rsidRPr="00B42BBE" w:rsidRDefault="009A5B6A" w:rsidP="009A5B6A">
      <w:pPr>
        <w:pStyle w:val="TableFooter"/>
        <w:rPr>
          <w:iCs/>
          <w:lang w:val="en-US"/>
        </w:rPr>
      </w:pPr>
      <w:r w:rsidRPr="002F2B86">
        <w:rPr>
          <w:lang w:val="en-US"/>
        </w:rPr>
        <w:t xml:space="preserve">Source: conducted during </w:t>
      </w:r>
      <w:r w:rsidR="00B57602">
        <w:rPr>
          <w:lang w:val="en-US"/>
        </w:rPr>
        <w:t xml:space="preserve">the </w:t>
      </w:r>
      <w:r w:rsidRPr="002F2B86">
        <w:rPr>
          <w:lang w:val="en-US"/>
        </w:rPr>
        <w:t>evaluation</w:t>
      </w:r>
      <w:r w:rsidR="00193B8A">
        <w:rPr>
          <w:lang w:val="en-US"/>
        </w:rPr>
        <w:t xml:space="preserve"> </w:t>
      </w:r>
      <w:r w:rsidR="00193B8A" w:rsidRPr="00B42BBE">
        <w:rPr>
          <w:iCs/>
          <w:lang w:val="en-US"/>
        </w:rPr>
        <w:t>and during preparation of the ESC Advice</w:t>
      </w:r>
    </w:p>
    <w:p w14:paraId="4098C41D" w14:textId="42CFCC36" w:rsidR="009A5B6A" w:rsidRDefault="00CC3805" w:rsidP="009A5B6A">
      <w:pPr>
        <w:pStyle w:val="TableFooter"/>
        <w:rPr>
          <w:lang w:val="en-US"/>
        </w:rPr>
      </w:pPr>
      <w:r>
        <w:rPr>
          <w:lang w:val="en-US"/>
        </w:rPr>
        <w:t xml:space="preserve">Abbreviations: </w:t>
      </w:r>
      <w:r w:rsidR="009A5B6A" w:rsidRPr="002F2B86">
        <w:rPr>
          <w:lang w:val="en-US"/>
        </w:rPr>
        <w:t>AEMP</w:t>
      </w:r>
      <w:r w:rsidR="00B57602">
        <w:rPr>
          <w:lang w:val="en-US"/>
        </w:rPr>
        <w:t xml:space="preserve"> </w:t>
      </w:r>
      <w:r w:rsidR="009A5B6A" w:rsidRPr="002F2B86">
        <w:rPr>
          <w:lang w:val="en-US"/>
        </w:rPr>
        <w:t>=</w:t>
      </w:r>
      <w:r w:rsidR="00B57602">
        <w:rPr>
          <w:lang w:val="en-US"/>
        </w:rPr>
        <w:t xml:space="preserve"> </w:t>
      </w:r>
      <w:r w:rsidR="009A5B6A" w:rsidRPr="002F2B86">
        <w:rPr>
          <w:lang w:val="en-US"/>
        </w:rPr>
        <w:t xml:space="preserve">approved ex-manufacturer price; </w:t>
      </w:r>
      <w:r w:rsidR="003323F3">
        <w:rPr>
          <w:lang w:val="en-US"/>
        </w:rPr>
        <w:t xml:space="preserve">AR-DRG = Australian Refined Diagnosis Related Groups; </w:t>
      </w:r>
      <w:r w:rsidR="00B57602">
        <w:rPr>
          <w:lang w:val="en-US"/>
        </w:rPr>
        <w:t xml:space="preserve">DPMQ = dispensed price maximum quantity; </w:t>
      </w:r>
      <w:r w:rsidR="00061304" w:rsidRPr="00AA3997">
        <w:rPr>
          <w:szCs w:val="18"/>
        </w:rPr>
        <w:t>FosLD/FosCD = foslevodopa/foscarbidopa</w:t>
      </w:r>
      <w:r w:rsidR="00061304" w:rsidRPr="009F53E7">
        <w:rPr>
          <w:szCs w:val="18"/>
        </w:rPr>
        <w:t xml:space="preserve">; </w:t>
      </w:r>
      <w:r w:rsidR="009A5B6A" w:rsidRPr="002F2B86">
        <w:rPr>
          <w:lang w:val="en-US"/>
        </w:rPr>
        <w:t>LCIG</w:t>
      </w:r>
      <w:r w:rsidR="00B57602">
        <w:rPr>
          <w:lang w:val="en-US"/>
        </w:rPr>
        <w:t xml:space="preserve"> </w:t>
      </w:r>
      <w:r w:rsidR="009A5B6A" w:rsidRPr="002F2B86">
        <w:rPr>
          <w:lang w:val="en-US"/>
        </w:rPr>
        <w:t>=</w:t>
      </w:r>
      <w:r w:rsidR="00B57602">
        <w:rPr>
          <w:lang w:val="en-US"/>
        </w:rPr>
        <w:t xml:space="preserve"> </w:t>
      </w:r>
      <w:r w:rsidR="009A5B6A" w:rsidRPr="002F2B86">
        <w:rPr>
          <w:lang w:val="en-US"/>
        </w:rPr>
        <w:t>levodopa carbidopa intestinal gel</w:t>
      </w:r>
    </w:p>
    <w:p w14:paraId="11A60983" w14:textId="3EC72E52" w:rsidR="001B1F4C" w:rsidRPr="001B1F4C" w:rsidRDefault="001B1F4C" w:rsidP="004F7504">
      <w:pPr>
        <w:pStyle w:val="TableFooter"/>
        <w:tabs>
          <w:tab w:val="left" w:pos="142"/>
        </w:tabs>
        <w:spacing w:after="120"/>
        <w:rPr>
          <w:lang w:val="en-US"/>
        </w:rPr>
      </w:pPr>
      <w:r w:rsidRPr="00CD7938">
        <w:rPr>
          <w:vertAlign w:val="superscript"/>
          <w:lang w:val="en-US"/>
        </w:rPr>
        <w:t>a</w:t>
      </w:r>
      <w:r w:rsidR="00CC3805">
        <w:rPr>
          <w:lang w:val="en-US"/>
        </w:rPr>
        <w:t xml:space="preserve"> </w:t>
      </w:r>
      <w:r w:rsidR="007D7C69">
        <w:rPr>
          <w:lang w:val="en-US"/>
        </w:rPr>
        <w:t>With</w:t>
      </w:r>
      <w:r>
        <w:t xml:space="preserve"> NHCDC Round 24 costs.</w:t>
      </w:r>
    </w:p>
    <w:p w14:paraId="3FA854C4" w14:textId="372A4E20" w:rsidR="009A5B6A" w:rsidRDefault="0075192C" w:rsidP="003945B8">
      <w:pPr>
        <w:pStyle w:val="3-BodyText"/>
      </w:pPr>
      <w:r w:rsidRPr="00C853F1">
        <w:t>The</w:t>
      </w:r>
      <w:r w:rsidRPr="0075192C">
        <w:t xml:space="preserve"> Pre-PBAC Response stated the Sponsor was amenable to accept a revised AEMP of $</w:t>
      </w:r>
      <w:r w:rsidR="004B6FE2" w:rsidRPr="0043339D">
        <w:rPr>
          <w:color w:val="000000"/>
          <w:w w:val="15"/>
          <w:shd w:val="solid" w:color="000000" w:fill="000000"/>
          <w:fitText w:val="-20" w:id="-930964984"/>
          <w14:textFill>
            <w14:solidFill>
              <w14:srgbClr w14:val="000000">
                <w14:alpha w14:val="100000"/>
              </w14:srgbClr>
            </w14:solidFill>
          </w14:textFill>
        </w:rPr>
        <w:t xml:space="preserve">|  </w:t>
      </w:r>
      <w:r w:rsidR="004B6FE2" w:rsidRPr="0043339D">
        <w:rPr>
          <w:color w:val="000000"/>
          <w:spacing w:val="-69"/>
          <w:w w:val="15"/>
          <w:shd w:val="solid" w:color="000000" w:fill="000000"/>
          <w:fitText w:val="-20" w:id="-930964984"/>
          <w14:textFill>
            <w14:solidFill>
              <w14:srgbClr w14:val="000000">
                <w14:alpha w14:val="100000"/>
              </w14:srgbClr>
            </w14:solidFill>
          </w14:textFill>
        </w:rPr>
        <w:t>|</w:t>
      </w:r>
      <w:r w:rsidRPr="0075192C">
        <w:t>, based on the sensitivity scenario in Table 11 with a treatment duration of 4.13 years.</w:t>
      </w:r>
    </w:p>
    <w:p w14:paraId="27470C3F" w14:textId="77777777" w:rsidR="009A5B6A" w:rsidRPr="001244D0" w:rsidRDefault="009A5B6A" w:rsidP="009A5B6A">
      <w:pPr>
        <w:pStyle w:val="4-SubsectionHeading"/>
        <w:rPr>
          <w:iCs/>
        </w:rPr>
      </w:pPr>
      <w:bookmarkStart w:id="55" w:name="_Toc135072008"/>
      <w:r w:rsidRPr="001244D0">
        <w:rPr>
          <w:iCs/>
        </w:rPr>
        <w:t>Drug cost/patient/year</w:t>
      </w:r>
      <w:bookmarkEnd w:id="55"/>
    </w:p>
    <w:p w14:paraId="6BAD9830" w14:textId="74C04E0C" w:rsidR="009A5B6A" w:rsidRDefault="009A5B6A" w:rsidP="003945B8">
      <w:pPr>
        <w:pStyle w:val="3-BodyText"/>
      </w:pPr>
      <w:r>
        <w:t>Using the proposed</w:t>
      </w:r>
      <w:r w:rsidR="009109F6">
        <w:t xml:space="preserve"> base case</w:t>
      </w:r>
      <w:r>
        <w:t xml:space="preserve"> effective price</w:t>
      </w:r>
      <w:r w:rsidR="0074693F">
        <w:t xml:space="preserve"> </w:t>
      </w:r>
      <w:r w:rsidR="009109F6">
        <w:t>(with corrections applied during the evaluation</w:t>
      </w:r>
      <w:r w:rsidR="0075192C">
        <w:t xml:space="preserve"> but not updated based on revised price in the sponsor’s Pre-PBAC Response)</w:t>
      </w:r>
      <w:r>
        <w:t xml:space="preserve">, the drug cost/patient/year was estimated to be </w:t>
      </w:r>
      <w:r w:rsidRPr="00B42BBE">
        <w:rPr>
          <w:iCs/>
        </w:rPr>
        <w:t>$</w:t>
      </w:r>
      <w:r w:rsidR="004B6FE2" w:rsidRPr="0043339D">
        <w:rPr>
          <w:iCs/>
          <w:color w:val="000000"/>
          <w:w w:val="15"/>
          <w:shd w:val="solid" w:color="000000" w:fill="000000"/>
          <w:fitText w:val="-20" w:id="-930964983"/>
          <w14:textFill>
            <w14:solidFill>
              <w14:srgbClr w14:val="000000">
                <w14:alpha w14:val="100000"/>
              </w14:srgbClr>
            </w14:solidFill>
          </w14:textFill>
        </w:rPr>
        <w:t xml:space="preserve">|  </w:t>
      </w:r>
      <w:r w:rsidR="004B6FE2" w:rsidRPr="0043339D">
        <w:rPr>
          <w:iCs/>
          <w:color w:val="000000"/>
          <w:spacing w:val="-69"/>
          <w:w w:val="15"/>
          <w:shd w:val="solid" w:color="000000" w:fill="000000"/>
          <w:fitText w:val="-20" w:id="-930964983"/>
          <w14:textFill>
            <w14:solidFill>
              <w14:srgbClr w14:val="000000">
                <w14:alpha w14:val="100000"/>
              </w14:srgbClr>
            </w14:solidFill>
          </w14:textFill>
        </w:rPr>
        <w:t>|</w:t>
      </w:r>
      <w:r>
        <w:t xml:space="preserve">for </w:t>
      </w:r>
      <w:r w:rsidRPr="002A4B99">
        <w:t xml:space="preserve">FosLD/FosCD </w:t>
      </w:r>
      <w:r w:rsidRPr="00B42BBE">
        <w:rPr>
          <w:iCs/>
        </w:rPr>
        <w:t>($</w:t>
      </w:r>
      <w:r w:rsidR="004B6FE2" w:rsidRPr="0043339D">
        <w:rPr>
          <w:iCs/>
          <w:color w:val="000000"/>
          <w:w w:val="15"/>
          <w:shd w:val="solid" w:color="000000" w:fill="000000"/>
          <w:fitText w:val="-20" w:id="-930964982"/>
          <w14:textFill>
            <w14:solidFill>
              <w14:srgbClr w14:val="000000">
                <w14:alpha w14:val="100000"/>
              </w14:srgbClr>
            </w14:solidFill>
          </w14:textFill>
        </w:rPr>
        <w:t xml:space="preserve">|  </w:t>
      </w:r>
      <w:r w:rsidR="004B6FE2" w:rsidRPr="0043339D">
        <w:rPr>
          <w:iCs/>
          <w:color w:val="000000"/>
          <w:spacing w:val="-69"/>
          <w:w w:val="15"/>
          <w:shd w:val="solid" w:color="000000" w:fill="000000"/>
          <w:fitText w:val="-20" w:id="-930964982"/>
          <w14:textFill>
            <w14:solidFill>
              <w14:srgbClr w14:val="000000">
                <w14:alpha w14:val="100000"/>
              </w14:srgbClr>
            </w14:solidFill>
          </w14:textFill>
        </w:rPr>
        <w:t>|</w:t>
      </w:r>
      <w:r>
        <w:t xml:space="preserve">*365.25*1.32) and </w:t>
      </w:r>
      <w:r w:rsidRPr="00B42BBE">
        <w:rPr>
          <w:iCs/>
        </w:rPr>
        <w:t>$</w:t>
      </w:r>
      <w:r w:rsidR="004B6FE2" w:rsidRPr="0043339D">
        <w:rPr>
          <w:iCs/>
          <w:color w:val="000000"/>
          <w:w w:val="15"/>
          <w:shd w:val="solid" w:color="000000" w:fill="000000"/>
          <w:fitText w:val="-20" w:id="-930964981"/>
          <w14:textFill>
            <w14:solidFill>
              <w14:srgbClr w14:val="000000">
                <w14:alpha w14:val="100000"/>
              </w14:srgbClr>
            </w14:solidFill>
          </w14:textFill>
        </w:rPr>
        <w:t xml:space="preserve">|  </w:t>
      </w:r>
      <w:r w:rsidR="004B6FE2" w:rsidRPr="0043339D">
        <w:rPr>
          <w:iCs/>
          <w:color w:val="000000"/>
          <w:spacing w:val="-69"/>
          <w:w w:val="15"/>
          <w:shd w:val="solid" w:color="000000" w:fill="000000"/>
          <w:fitText w:val="-20" w:id="-930964981"/>
          <w14:textFill>
            <w14:solidFill>
              <w14:srgbClr w14:val="000000">
                <w14:alpha w14:val="100000"/>
              </w14:srgbClr>
            </w14:solidFill>
          </w14:textFill>
        </w:rPr>
        <w:t>|</w:t>
      </w:r>
      <w:r>
        <w:t xml:space="preserve">for LCIG </w:t>
      </w:r>
      <w:r w:rsidRPr="00B42BBE">
        <w:rPr>
          <w:iCs/>
        </w:rPr>
        <w:t>($</w:t>
      </w:r>
      <w:r w:rsidR="004B6FE2" w:rsidRPr="0043339D">
        <w:rPr>
          <w:iCs/>
          <w:color w:val="000000"/>
          <w:w w:val="15"/>
          <w:shd w:val="solid" w:color="000000" w:fill="000000"/>
          <w:fitText w:val="-20" w:id="-930964980"/>
          <w14:textFill>
            <w14:solidFill>
              <w14:srgbClr w14:val="000000">
                <w14:alpha w14:val="100000"/>
              </w14:srgbClr>
            </w14:solidFill>
          </w14:textFill>
        </w:rPr>
        <w:t xml:space="preserve">|  </w:t>
      </w:r>
      <w:r w:rsidR="004B6FE2" w:rsidRPr="0043339D">
        <w:rPr>
          <w:iCs/>
          <w:color w:val="000000"/>
          <w:spacing w:val="-69"/>
          <w:w w:val="15"/>
          <w:shd w:val="solid" w:color="000000" w:fill="000000"/>
          <w:fitText w:val="-20" w:id="-930964980"/>
          <w14:textFill>
            <w14:solidFill>
              <w14:srgbClr w14:val="000000">
                <w14:alpha w14:val="100000"/>
              </w14:srgbClr>
            </w14:solidFill>
          </w14:textFill>
        </w:rPr>
        <w:t>|</w:t>
      </w:r>
      <w:r>
        <w:t>*365.25*1.10).</w:t>
      </w:r>
    </w:p>
    <w:p w14:paraId="7DB45854" w14:textId="277F220C" w:rsidR="009A5B6A" w:rsidRPr="00422DF9" w:rsidRDefault="009A5B6A" w:rsidP="003945B8">
      <w:pPr>
        <w:pStyle w:val="Caption"/>
      </w:pPr>
      <w:r w:rsidRPr="00422DF9">
        <w:lastRenderedPageBreak/>
        <w:t xml:space="preserve">Table </w:t>
      </w:r>
      <w:r w:rsidR="000A217C">
        <w:fldChar w:fldCharType="begin"/>
      </w:r>
      <w:r w:rsidR="000A217C">
        <w:instrText xml:space="preserve"> SEQ Table \* ARABIC </w:instrText>
      </w:r>
      <w:r w:rsidR="000A217C">
        <w:fldChar w:fldCharType="separate"/>
      </w:r>
      <w:r w:rsidR="0043339D">
        <w:rPr>
          <w:noProof/>
        </w:rPr>
        <w:t>12</w:t>
      </w:r>
      <w:r w:rsidR="000A217C">
        <w:rPr>
          <w:noProof/>
        </w:rPr>
        <w:fldChar w:fldCharType="end"/>
      </w:r>
      <w:r w:rsidRPr="00422DF9">
        <w:t xml:space="preserve">: Drug </w:t>
      </w:r>
      <w:r w:rsidRPr="00061304">
        <w:t>cost/patient/year</w:t>
      </w:r>
      <w:r w:rsidR="0074693F">
        <w:t xml:space="preserve"> (</w:t>
      </w:r>
      <w:r w:rsidR="009109F6">
        <w:t>evaluation-corrected base case</w:t>
      </w:r>
      <w:r w:rsidR="0074693F">
        <w:t>)</w:t>
      </w:r>
    </w:p>
    <w:tbl>
      <w:tblPr>
        <w:tblStyle w:val="TableGrid"/>
        <w:tblW w:w="5000" w:type="pct"/>
        <w:tblLayout w:type="fixed"/>
        <w:tblCellMar>
          <w:left w:w="28" w:type="dxa"/>
          <w:right w:w="28" w:type="dxa"/>
        </w:tblCellMar>
        <w:tblLook w:val="04A0" w:firstRow="1" w:lastRow="0" w:firstColumn="1" w:lastColumn="0" w:noHBand="0" w:noVBand="1"/>
      </w:tblPr>
      <w:tblGrid>
        <w:gridCol w:w="1687"/>
        <w:gridCol w:w="1469"/>
        <w:gridCol w:w="1067"/>
        <w:gridCol w:w="1187"/>
        <w:gridCol w:w="10"/>
        <w:gridCol w:w="1197"/>
        <w:gridCol w:w="1066"/>
        <w:gridCol w:w="1333"/>
      </w:tblGrid>
      <w:tr w:rsidR="001A2A6F" w:rsidRPr="00D94CA5" w14:paraId="30C39D3E" w14:textId="77777777" w:rsidTr="0050191F">
        <w:tc>
          <w:tcPr>
            <w:tcW w:w="1696" w:type="dxa"/>
            <w:vMerge w:val="restart"/>
            <w:vAlign w:val="center"/>
          </w:tcPr>
          <w:p w14:paraId="0AAD8821" w14:textId="77777777" w:rsidR="00D94CA5" w:rsidRPr="004F7504" w:rsidRDefault="00D94CA5" w:rsidP="004F7504">
            <w:pPr>
              <w:pStyle w:val="3-BodyText"/>
              <w:keepNext/>
              <w:keepLines/>
              <w:numPr>
                <w:ilvl w:val="0"/>
                <w:numId w:val="0"/>
              </w:numPr>
              <w:spacing w:after="0"/>
              <w:rPr>
                <w:rFonts w:ascii="Arial Narrow" w:hAnsi="Arial Narrow"/>
                <w:sz w:val="20"/>
                <w:szCs w:val="20"/>
              </w:rPr>
            </w:pPr>
          </w:p>
        </w:tc>
        <w:tc>
          <w:tcPr>
            <w:tcW w:w="3754" w:type="dxa"/>
            <w:gridSpan w:val="4"/>
            <w:vAlign w:val="center"/>
          </w:tcPr>
          <w:p w14:paraId="3E4C05F9" w14:textId="1C7923DD"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FosLD/FosCD</w:t>
            </w:r>
          </w:p>
        </w:tc>
        <w:tc>
          <w:tcPr>
            <w:tcW w:w="3617" w:type="dxa"/>
            <w:gridSpan w:val="3"/>
            <w:vAlign w:val="center"/>
          </w:tcPr>
          <w:p w14:paraId="058DECD7" w14:textId="322F6B54"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LCIG</w:t>
            </w:r>
          </w:p>
        </w:tc>
      </w:tr>
      <w:tr w:rsidR="001A2A6F" w:rsidRPr="00D94CA5" w14:paraId="4D9B2C95" w14:textId="77777777" w:rsidTr="00061304">
        <w:tc>
          <w:tcPr>
            <w:tcW w:w="1696" w:type="dxa"/>
            <w:vMerge/>
            <w:vAlign w:val="center"/>
          </w:tcPr>
          <w:p w14:paraId="5B7422A5" w14:textId="77777777" w:rsidR="00D94CA5" w:rsidRPr="004F7504" w:rsidRDefault="00D94CA5" w:rsidP="004F7504">
            <w:pPr>
              <w:pStyle w:val="3-BodyText"/>
              <w:keepNext/>
              <w:keepLines/>
              <w:numPr>
                <w:ilvl w:val="0"/>
                <w:numId w:val="0"/>
              </w:numPr>
              <w:spacing w:after="0"/>
              <w:rPr>
                <w:rFonts w:ascii="Arial Narrow" w:hAnsi="Arial Narrow"/>
                <w:sz w:val="20"/>
                <w:szCs w:val="20"/>
              </w:rPr>
            </w:pPr>
          </w:p>
        </w:tc>
        <w:tc>
          <w:tcPr>
            <w:tcW w:w="1477" w:type="dxa"/>
            <w:vAlign w:val="center"/>
          </w:tcPr>
          <w:p w14:paraId="11620CF4" w14:textId="77777777"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Trial dose and duration</w:t>
            </w:r>
          </w:p>
        </w:tc>
        <w:tc>
          <w:tcPr>
            <w:tcW w:w="1073" w:type="dxa"/>
            <w:vAlign w:val="center"/>
          </w:tcPr>
          <w:p w14:paraId="7997AD86" w14:textId="77777777"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Model</w:t>
            </w:r>
          </w:p>
        </w:tc>
        <w:tc>
          <w:tcPr>
            <w:tcW w:w="1194" w:type="dxa"/>
            <w:vAlign w:val="center"/>
          </w:tcPr>
          <w:p w14:paraId="4AE8F96C" w14:textId="77777777"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Financial estimates</w:t>
            </w:r>
          </w:p>
        </w:tc>
        <w:tc>
          <w:tcPr>
            <w:tcW w:w="1214" w:type="dxa"/>
            <w:gridSpan w:val="2"/>
            <w:vAlign w:val="center"/>
          </w:tcPr>
          <w:p w14:paraId="66B574EE" w14:textId="77777777"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Trial dose and duration</w:t>
            </w:r>
          </w:p>
        </w:tc>
        <w:tc>
          <w:tcPr>
            <w:tcW w:w="1072" w:type="dxa"/>
            <w:vAlign w:val="center"/>
          </w:tcPr>
          <w:p w14:paraId="5A53C05A" w14:textId="77777777"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Model</w:t>
            </w:r>
          </w:p>
        </w:tc>
        <w:tc>
          <w:tcPr>
            <w:tcW w:w="1341" w:type="dxa"/>
            <w:vAlign w:val="center"/>
          </w:tcPr>
          <w:p w14:paraId="5A071A21" w14:textId="77777777" w:rsidR="00D94CA5" w:rsidRPr="004F7504" w:rsidRDefault="00D94CA5"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Financial estimates</w:t>
            </w:r>
          </w:p>
        </w:tc>
      </w:tr>
      <w:tr w:rsidR="001A2A6F" w:rsidRPr="00422DF9" w14:paraId="71CF0463" w14:textId="77777777" w:rsidTr="00061304">
        <w:tc>
          <w:tcPr>
            <w:tcW w:w="1696" w:type="dxa"/>
            <w:vAlign w:val="center"/>
          </w:tcPr>
          <w:p w14:paraId="6B733E31" w14:textId="77777777"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Mean number of vials</w:t>
            </w:r>
          </w:p>
        </w:tc>
        <w:tc>
          <w:tcPr>
            <w:tcW w:w="1477" w:type="dxa"/>
            <w:vAlign w:val="center"/>
          </w:tcPr>
          <w:p w14:paraId="3F25BE02"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1.32</w:t>
            </w:r>
            <w:r w:rsidRPr="004F7504">
              <w:rPr>
                <w:rFonts w:ascii="Arial Narrow" w:hAnsi="Arial Narrow"/>
                <w:sz w:val="20"/>
                <w:szCs w:val="20"/>
                <w:vertAlign w:val="superscript"/>
              </w:rPr>
              <w:t>a</w:t>
            </w:r>
          </w:p>
        </w:tc>
        <w:tc>
          <w:tcPr>
            <w:tcW w:w="1073" w:type="dxa"/>
            <w:vAlign w:val="center"/>
          </w:tcPr>
          <w:p w14:paraId="25F73542" w14:textId="77777777"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1.32</w:t>
            </w:r>
          </w:p>
        </w:tc>
        <w:tc>
          <w:tcPr>
            <w:tcW w:w="1194" w:type="dxa"/>
            <w:vAlign w:val="center"/>
          </w:tcPr>
          <w:p w14:paraId="17C2F959" w14:textId="77777777"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1.32</w:t>
            </w:r>
          </w:p>
        </w:tc>
        <w:tc>
          <w:tcPr>
            <w:tcW w:w="1214" w:type="dxa"/>
            <w:gridSpan w:val="2"/>
            <w:vAlign w:val="center"/>
          </w:tcPr>
          <w:p w14:paraId="2DE4930A"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1.10</w:t>
            </w:r>
            <w:r w:rsidRPr="004F7504">
              <w:rPr>
                <w:rFonts w:ascii="Arial Narrow" w:hAnsi="Arial Narrow"/>
                <w:sz w:val="20"/>
                <w:szCs w:val="20"/>
                <w:vertAlign w:val="superscript"/>
              </w:rPr>
              <w:t>b</w:t>
            </w:r>
          </w:p>
        </w:tc>
        <w:tc>
          <w:tcPr>
            <w:tcW w:w="1072" w:type="dxa"/>
            <w:vAlign w:val="center"/>
          </w:tcPr>
          <w:p w14:paraId="34E9B9F4" w14:textId="77777777"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1.10</w:t>
            </w:r>
          </w:p>
        </w:tc>
        <w:tc>
          <w:tcPr>
            <w:tcW w:w="1341" w:type="dxa"/>
            <w:vAlign w:val="center"/>
          </w:tcPr>
          <w:p w14:paraId="058F9EE2" w14:textId="77777777"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1.10</w:t>
            </w:r>
          </w:p>
        </w:tc>
      </w:tr>
      <w:tr w:rsidR="001A2A6F" w:rsidRPr="00422DF9" w14:paraId="6501A807" w14:textId="77777777" w:rsidTr="00061304">
        <w:tc>
          <w:tcPr>
            <w:tcW w:w="1696" w:type="dxa"/>
            <w:vAlign w:val="center"/>
          </w:tcPr>
          <w:p w14:paraId="2DE84453"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Mean duration</w:t>
            </w:r>
          </w:p>
        </w:tc>
        <w:tc>
          <w:tcPr>
            <w:tcW w:w="1477" w:type="dxa"/>
            <w:vAlign w:val="center"/>
          </w:tcPr>
          <w:p w14:paraId="4291EF75"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62.4 days</w:t>
            </w:r>
            <w:r w:rsidRPr="004F7504">
              <w:rPr>
                <w:rFonts w:ascii="Arial Narrow" w:hAnsi="Arial Narrow"/>
                <w:sz w:val="20"/>
                <w:szCs w:val="20"/>
                <w:vertAlign w:val="superscript"/>
              </w:rPr>
              <w:t>c</w:t>
            </w:r>
          </w:p>
        </w:tc>
        <w:tc>
          <w:tcPr>
            <w:tcW w:w="1073" w:type="dxa"/>
            <w:vAlign w:val="center"/>
          </w:tcPr>
          <w:p w14:paraId="739C2408"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730.5 days</w:t>
            </w:r>
            <w:r w:rsidRPr="004F7504">
              <w:rPr>
                <w:rFonts w:ascii="Arial Narrow" w:hAnsi="Arial Narrow"/>
                <w:sz w:val="20"/>
                <w:szCs w:val="20"/>
                <w:vertAlign w:val="superscript"/>
              </w:rPr>
              <w:t>d</w:t>
            </w:r>
          </w:p>
        </w:tc>
        <w:tc>
          <w:tcPr>
            <w:tcW w:w="1194" w:type="dxa"/>
            <w:vAlign w:val="center"/>
          </w:tcPr>
          <w:p w14:paraId="481F4084"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1,314.9 days</w:t>
            </w:r>
            <w:r w:rsidRPr="004F7504">
              <w:rPr>
                <w:rFonts w:ascii="Arial Narrow" w:hAnsi="Arial Narrow"/>
                <w:sz w:val="20"/>
                <w:szCs w:val="20"/>
                <w:vertAlign w:val="superscript"/>
              </w:rPr>
              <w:t>e</w:t>
            </w:r>
          </w:p>
        </w:tc>
        <w:tc>
          <w:tcPr>
            <w:tcW w:w="1214" w:type="dxa"/>
            <w:gridSpan w:val="2"/>
            <w:vAlign w:val="center"/>
          </w:tcPr>
          <w:p w14:paraId="71FADA4C"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82.3 days</w:t>
            </w:r>
            <w:r w:rsidRPr="004F7504">
              <w:rPr>
                <w:rFonts w:ascii="Arial Narrow" w:hAnsi="Arial Narrow"/>
                <w:sz w:val="20"/>
                <w:szCs w:val="20"/>
                <w:vertAlign w:val="superscript"/>
              </w:rPr>
              <w:t>f</w:t>
            </w:r>
          </w:p>
        </w:tc>
        <w:tc>
          <w:tcPr>
            <w:tcW w:w="1072" w:type="dxa"/>
            <w:vAlign w:val="center"/>
          </w:tcPr>
          <w:p w14:paraId="3F95875A"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730.5 days</w:t>
            </w:r>
            <w:r w:rsidRPr="004F7504">
              <w:rPr>
                <w:rFonts w:ascii="Arial Narrow" w:hAnsi="Arial Narrow"/>
                <w:sz w:val="20"/>
                <w:szCs w:val="20"/>
                <w:vertAlign w:val="superscript"/>
              </w:rPr>
              <w:t>g</w:t>
            </w:r>
          </w:p>
        </w:tc>
        <w:tc>
          <w:tcPr>
            <w:tcW w:w="1341" w:type="dxa"/>
            <w:vAlign w:val="center"/>
          </w:tcPr>
          <w:p w14:paraId="66765758" w14:textId="77777777" w:rsidR="009A5B6A" w:rsidRPr="004F7504" w:rsidRDefault="009A5B6A" w:rsidP="004F7504">
            <w:pPr>
              <w:pStyle w:val="3-BodyText"/>
              <w:keepNext/>
              <w:keepLines/>
              <w:numPr>
                <w:ilvl w:val="0"/>
                <w:numId w:val="0"/>
              </w:numPr>
              <w:spacing w:after="0"/>
              <w:rPr>
                <w:rFonts w:ascii="Arial Narrow" w:hAnsi="Arial Narrow"/>
                <w:sz w:val="20"/>
                <w:szCs w:val="20"/>
                <w:vertAlign w:val="superscript"/>
              </w:rPr>
            </w:pPr>
            <w:r w:rsidRPr="004F7504">
              <w:rPr>
                <w:rFonts w:ascii="Arial Narrow" w:hAnsi="Arial Narrow"/>
                <w:sz w:val="20"/>
                <w:szCs w:val="20"/>
              </w:rPr>
              <w:t>1,607.1 days</w:t>
            </w:r>
            <w:r w:rsidRPr="004F7504">
              <w:rPr>
                <w:rFonts w:ascii="Arial Narrow" w:hAnsi="Arial Narrow"/>
                <w:sz w:val="20"/>
                <w:szCs w:val="20"/>
                <w:vertAlign w:val="superscript"/>
              </w:rPr>
              <w:t>h</w:t>
            </w:r>
          </w:p>
        </w:tc>
      </w:tr>
      <w:tr w:rsidR="001A2A6F" w:rsidRPr="00422DF9" w14:paraId="4BB3ABEA" w14:textId="77777777" w:rsidTr="00061304">
        <w:tc>
          <w:tcPr>
            <w:tcW w:w="1696" w:type="dxa"/>
            <w:vAlign w:val="center"/>
          </w:tcPr>
          <w:p w14:paraId="0B980550" w14:textId="22FBE794"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Cost/patient</w:t>
            </w:r>
            <w:r w:rsidR="00D94CA5" w:rsidRPr="004F7504">
              <w:rPr>
                <w:rFonts w:ascii="Arial Narrow" w:hAnsi="Arial Narrow"/>
                <w:sz w:val="20"/>
                <w:szCs w:val="20"/>
              </w:rPr>
              <w:t xml:space="preserve"> per </w:t>
            </w:r>
            <w:r w:rsidR="00484CD5" w:rsidRPr="004F7504">
              <w:rPr>
                <w:rFonts w:ascii="Arial Narrow" w:hAnsi="Arial Narrow"/>
                <w:sz w:val="20"/>
                <w:szCs w:val="20"/>
              </w:rPr>
              <w:t>28-day</w:t>
            </w:r>
            <w:r w:rsidR="00D94CA5" w:rsidRPr="004F7504">
              <w:rPr>
                <w:rFonts w:ascii="Arial Narrow" w:hAnsi="Arial Narrow"/>
                <w:sz w:val="20"/>
                <w:szCs w:val="20"/>
              </w:rPr>
              <w:t xml:space="preserve"> </w:t>
            </w:r>
            <w:r w:rsidRPr="004F7504">
              <w:rPr>
                <w:rFonts w:ascii="Arial Narrow" w:hAnsi="Arial Narrow"/>
                <w:sz w:val="20"/>
                <w:szCs w:val="20"/>
              </w:rPr>
              <w:t>cycle</w:t>
            </w:r>
            <w:r w:rsidRPr="004F7504">
              <w:rPr>
                <w:rFonts w:ascii="Arial Narrow" w:hAnsi="Arial Narrow"/>
                <w:sz w:val="20"/>
                <w:szCs w:val="20"/>
                <w:vertAlign w:val="superscript"/>
              </w:rPr>
              <w:t>i</w:t>
            </w:r>
            <w:r w:rsidR="00D94CA5" w:rsidRPr="004F7504">
              <w:rPr>
                <w:rFonts w:ascii="Arial Narrow" w:hAnsi="Arial Narrow"/>
                <w:sz w:val="20"/>
                <w:szCs w:val="20"/>
              </w:rPr>
              <w:t xml:space="preserve"> </w:t>
            </w:r>
          </w:p>
        </w:tc>
        <w:tc>
          <w:tcPr>
            <w:tcW w:w="1477" w:type="dxa"/>
            <w:vAlign w:val="center"/>
          </w:tcPr>
          <w:p w14:paraId="62108FB3" w14:textId="0FC40B6B"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979"/>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979"/>
                <w14:textFill>
                  <w14:solidFill>
                    <w14:srgbClr w14:val="000000">
                      <w14:alpha w14:val="100000"/>
                    </w14:srgbClr>
                  </w14:solidFill>
                </w14:textFill>
              </w:rPr>
              <w:t>|</w:t>
            </w:r>
          </w:p>
        </w:tc>
        <w:tc>
          <w:tcPr>
            <w:tcW w:w="1073" w:type="dxa"/>
            <w:vAlign w:val="center"/>
          </w:tcPr>
          <w:p w14:paraId="3065A45D" w14:textId="67BA1517"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978"/>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978"/>
                <w14:textFill>
                  <w14:solidFill>
                    <w14:srgbClr w14:val="000000">
                      <w14:alpha w14:val="100000"/>
                    </w14:srgbClr>
                  </w14:solidFill>
                </w14:textFill>
              </w:rPr>
              <w:t>|</w:t>
            </w:r>
          </w:p>
        </w:tc>
        <w:tc>
          <w:tcPr>
            <w:tcW w:w="1194" w:type="dxa"/>
            <w:vAlign w:val="center"/>
          </w:tcPr>
          <w:p w14:paraId="465F5190" w14:textId="254F5DEE"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6"/>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6"/>
                <w14:textFill>
                  <w14:solidFill>
                    <w14:srgbClr w14:val="000000">
                      <w14:alpha w14:val="100000"/>
                    </w14:srgbClr>
                  </w14:solidFill>
                </w14:textFill>
              </w:rPr>
              <w:t>|</w:t>
            </w:r>
          </w:p>
        </w:tc>
        <w:tc>
          <w:tcPr>
            <w:tcW w:w="1214" w:type="dxa"/>
            <w:gridSpan w:val="2"/>
            <w:vAlign w:val="center"/>
          </w:tcPr>
          <w:p w14:paraId="51C8C99E" w14:textId="5DA6EC58"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5"/>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5"/>
                <w14:textFill>
                  <w14:solidFill>
                    <w14:srgbClr w14:val="000000">
                      <w14:alpha w14:val="100000"/>
                    </w14:srgbClr>
                  </w14:solidFill>
                </w14:textFill>
              </w:rPr>
              <w:t>|</w:t>
            </w:r>
          </w:p>
        </w:tc>
        <w:tc>
          <w:tcPr>
            <w:tcW w:w="1072" w:type="dxa"/>
            <w:vAlign w:val="center"/>
          </w:tcPr>
          <w:p w14:paraId="1EEB971B" w14:textId="43828A96"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4"/>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4"/>
                <w14:textFill>
                  <w14:solidFill>
                    <w14:srgbClr w14:val="000000">
                      <w14:alpha w14:val="100000"/>
                    </w14:srgbClr>
                  </w14:solidFill>
                </w14:textFill>
              </w:rPr>
              <w:t>|</w:t>
            </w:r>
          </w:p>
        </w:tc>
        <w:tc>
          <w:tcPr>
            <w:tcW w:w="1341" w:type="dxa"/>
            <w:vAlign w:val="center"/>
          </w:tcPr>
          <w:p w14:paraId="4F109F14" w14:textId="506933A0"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3"/>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3"/>
                <w14:textFill>
                  <w14:solidFill>
                    <w14:srgbClr w14:val="000000">
                      <w14:alpha w14:val="100000"/>
                    </w14:srgbClr>
                  </w14:solidFill>
                </w14:textFill>
              </w:rPr>
              <w:t>|</w:t>
            </w:r>
          </w:p>
        </w:tc>
      </w:tr>
      <w:tr w:rsidR="001A2A6F" w:rsidRPr="00422DF9" w14:paraId="34AB20BF" w14:textId="77777777" w:rsidTr="00061304">
        <w:tc>
          <w:tcPr>
            <w:tcW w:w="1696" w:type="dxa"/>
            <w:vAlign w:val="center"/>
          </w:tcPr>
          <w:p w14:paraId="46D70E31" w14:textId="77777777"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Cost/patient/course</w:t>
            </w:r>
          </w:p>
        </w:tc>
        <w:tc>
          <w:tcPr>
            <w:tcW w:w="1477" w:type="dxa"/>
            <w:vAlign w:val="center"/>
          </w:tcPr>
          <w:p w14:paraId="43485401" w14:textId="5767527D"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2"/>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2"/>
                <w14:textFill>
                  <w14:solidFill>
                    <w14:srgbClr w14:val="000000">
                      <w14:alpha w14:val="100000"/>
                    </w14:srgbClr>
                  </w14:solidFill>
                </w14:textFill>
              </w:rPr>
              <w:t>|</w:t>
            </w:r>
          </w:p>
        </w:tc>
        <w:tc>
          <w:tcPr>
            <w:tcW w:w="1073" w:type="dxa"/>
            <w:vAlign w:val="center"/>
          </w:tcPr>
          <w:p w14:paraId="48CB7AE9" w14:textId="772B2EB8"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1"/>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1"/>
                <w14:textFill>
                  <w14:solidFill>
                    <w14:srgbClr w14:val="000000">
                      <w14:alpha w14:val="100000"/>
                    </w14:srgbClr>
                  </w14:solidFill>
                </w14:textFill>
              </w:rPr>
              <w:t>|</w:t>
            </w:r>
          </w:p>
        </w:tc>
        <w:tc>
          <w:tcPr>
            <w:tcW w:w="1194" w:type="dxa"/>
            <w:vAlign w:val="center"/>
          </w:tcPr>
          <w:p w14:paraId="41372099" w14:textId="52C0FFAE"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30"/>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30"/>
                <w14:textFill>
                  <w14:solidFill>
                    <w14:srgbClr w14:val="000000">
                      <w14:alpha w14:val="100000"/>
                    </w14:srgbClr>
                  </w14:solidFill>
                </w14:textFill>
              </w:rPr>
              <w:t>|</w:t>
            </w:r>
          </w:p>
        </w:tc>
        <w:tc>
          <w:tcPr>
            <w:tcW w:w="1214" w:type="dxa"/>
            <w:gridSpan w:val="2"/>
            <w:vAlign w:val="center"/>
          </w:tcPr>
          <w:p w14:paraId="7AEA7342" w14:textId="48CCC816"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29"/>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29"/>
                <w14:textFill>
                  <w14:solidFill>
                    <w14:srgbClr w14:val="000000">
                      <w14:alpha w14:val="100000"/>
                    </w14:srgbClr>
                  </w14:solidFill>
                </w14:textFill>
              </w:rPr>
              <w:t>|</w:t>
            </w:r>
          </w:p>
        </w:tc>
        <w:tc>
          <w:tcPr>
            <w:tcW w:w="1072" w:type="dxa"/>
            <w:vAlign w:val="center"/>
          </w:tcPr>
          <w:p w14:paraId="0F54977A" w14:textId="1769FC43" w:rsidR="009A5B6A" w:rsidRPr="004F7504" w:rsidRDefault="009A5B6A" w:rsidP="004F7504">
            <w:pPr>
              <w:pStyle w:val="3-BodyText"/>
              <w:keepNext/>
              <w:keepLines/>
              <w:numPr>
                <w:ilvl w:val="0"/>
                <w:numId w:val="0"/>
              </w:numPr>
              <w:spacing w:after="0"/>
              <w:rPr>
                <w:rFonts w:ascii="Arial Narrow" w:hAnsi="Arial Narrow"/>
                <w:i/>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28"/>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28"/>
                <w14:textFill>
                  <w14:solidFill>
                    <w14:srgbClr w14:val="000000">
                      <w14:alpha w14:val="100000"/>
                    </w14:srgbClr>
                  </w14:solidFill>
                </w14:textFill>
              </w:rPr>
              <w:t>|</w:t>
            </w:r>
          </w:p>
        </w:tc>
        <w:tc>
          <w:tcPr>
            <w:tcW w:w="1341" w:type="dxa"/>
            <w:vAlign w:val="center"/>
          </w:tcPr>
          <w:p w14:paraId="3B43D765" w14:textId="2FBEC21C" w:rsidR="009A5B6A" w:rsidRPr="004F7504" w:rsidRDefault="009A5B6A" w:rsidP="004F7504">
            <w:pPr>
              <w:pStyle w:val="3-BodyText"/>
              <w:keepNext/>
              <w:keepLines/>
              <w:numPr>
                <w:ilvl w:val="0"/>
                <w:numId w:val="0"/>
              </w:numPr>
              <w:spacing w:after="0"/>
              <w:rPr>
                <w:rFonts w:ascii="Arial Narrow" w:hAnsi="Arial Narrow"/>
                <w:sz w:val="20"/>
                <w:szCs w:val="20"/>
              </w:rPr>
            </w:pPr>
            <w:r w:rsidRPr="004F7504">
              <w:rPr>
                <w:rFonts w:ascii="Arial Narrow" w:hAnsi="Arial Narrow"/>
                <w:sz w:val="20"/>
                <w:szCs w:val="20"/>
              </w:rPr>
              <w:t>$</w:t>
            </w:r>
            <w:r w:rsidR="004B6FE2" w:rsidRPr="004B6FE2">
              <w:rPr>
                <w:rFonts w:ascii="Arial Narrow" w:hAnsi="Arial Narrow"/>
                <w:color w:val="000000"/>
                <w:spacing w:val="9"/>
                <w:sz w:val="20"/>
                <w:szCs w:val="20"/>
                <w:shd w:val="solid" w:color="000000" w:fill="000000"/>
                <w:fitText w:val="310" w:id="-930964727"/>
                <w14:textFill>
                  <w14:solidFill>
                    <w14:srgbClr w14:val="000000">
                      <w14:alpha w14:val="100000"/>
                    </w14:srgbClr>
                  </w14:solidFill>
                </w14:textFill>
              </w:rPr>
              <w:t>||  |</w:t>
            </w:r>
            <w:r w:rsidR="004B6FE2" w:rsidRPr="004B6FE2">
              <w:rPr>
                <w:rFonts w:ascii="Arial Narrow" w:hAnsi="Arial Narrow"/>
                <w:color w:val="000000"/>
                <w:spacing w:val="4"/>
                <w:sz w:val="20"/>
                <w:szCs w:val="20"/>
                <w:shd w:val="solid" w:color="000000" w:fill="000000"/>
                <w:fitText w:val="310" w:id="-930964727"/>
                <w14:textFill>
                  <w14:solidFill>
                    <w14:srgbClr w14:val="000000">
                      <w14:alpha w14:val="100000"/>
                    </w14:srgbClr>
                  </w14:solidFill>
                </w14:textFill>
              </w:rPr>
              <w:t>|</w:t>
            </w:r>
          </w:p>
        </w:tc>
      </w:tr>
    </w:tbl>
    <w:p w14:paraId="24141E2C" w14:textId="1DE2587E" w:rsidR="009A5B6A" w:rsidRPr="00C95A87" w:rsidRDefault="009A5B6A" w:rsidP="004F7504">
      <w:pPr>
        <w:pStyle w:val="TableFootnote"/>
        <w:keepNext/>
        <w:keepLines/>
        <w:jc w:val="both"/>
        <w:rPr>
          <w:rFonts w:ascii="Arial Narrow" w:hAnsi="Arial Narrow"/>
          <w:i w:val="0"/>
          <w:sz w:val="18"/>
          <w:szCs w:val="28"/>
        </w:rPr>
      </w:pPr>
      <w:r w:rsidRPr="005F5C6E">
        <w:rPr>
          <w:rFonts w:ascii="Arial Narrow" w:hAnsi="Arial Narrow"/>
          <w:i w:val="0"/>
          <w:sz w:val="18"/>
          <w:szCs w:val="28"/>
        </w:rPr>
        <w:t>Source</w:t>
      </w:r>
      <w:r w:rsidRPr="00C95A87">
        <w:rPr>
          <w:rFonts w:ascii="Arial Narrow" w:hAnsi="Arial Narrow"/>
          <w:i w:val="0"/>
          <w:sz w:val="18"/>
          <w:szCs w:val="28"/>
        </w:rPr>
        <w:t xml:space="preserve">: compiled during </w:t>
      </w:r>
      <w:r w:rsidR="003323F3">
        <w:rPr>
          <w:rFonts w:ascii="Arial Narrow" w:hAnsi="Arial Narrow"/>
          <w:i w:val="0"/>
          <w:sz w:val="18"/>
          <w:szCs w:val="28"/>
        </w:rPr>
        <w:t xml:space="preserve">the </w:t>
      </w:r>
      <w:r w:rsidRPr="00C95A87">
        <w:rPr>
          <w:rFonts w:ascii="Arial Narrow" w:hAnsi="Arial Narrow"/>
          <w:i w:val="0"/>
          <w:sz w:val="18"/>
          <w:szCs w:val="28"/>
        </w:rPr>
        <w:t>evaluation</w:t>
      </w:r>
      <w:r w:rsidR="003323F3">
        <w:rPr>
          <w:rFonts w:ascii="Arial Narrow" w:hAnsi="Arial Narrow"/>
          <w:i w:val="0"/>
          <w:sz w:val="18"/>
          <w:szCs w:val="28"/>
        </w:rPr>
        <w:t>.</w:t>
      </w:r>
    </w:p>
    <w:p w14:paraId="32D64F35" w14:textId="4475B69C" w:rsidR="009A5B6A" w:rsidRPr="005F5C6E" w:rsidRDefault="009A5B6A" w:rsidP="00156AF9">
      <w:pPr>
        <w:pStyle w:val="TableFootnote"/>
        <w:tabs>
          <w:tab w:val="left" w:pos="142"/>
        </w:tabs>
        <w:ind w:left="142" w:hanging="142"/>
        <w:jc w:val="both"/>
        <w:rPr>
          <w:rFonts w:ascii="Arial Narrow" w:hAnsi="Arial Narrow"/>
          <w:i w:val="0"/>
          <w:sz w:val="18"/>
          <w:szCs w:val="28"/>
        </w:rPr>
      </w:pPr>
      <w:r w:rsidRPr="005F5C6E">
        <w:rPr>
          <w:rFonts w:ascii="Arial Narrow" w:hAnsi="Arial Narrow"/>
          <w:i w:val="0"/>
          <w:sz w:val="18"/>
          <w:szCs w:val="28"/>
          <w:vertAlign w:val="superscript"/>
        </w:rPr>
        <w:t>a</w:t>
      </w:r>
      <w:r w:rsidR="00CC3805">
        <w:rPr>
          <w:rFonts w:ascii="Arial Narrow" w:hAnsi="Arial Narrow"/>
          <w:i w:val="0"/>
          <w:sz w:val="18"/>
          <w:szCs w:val="28"/>
        </w:rPr>
        <w:t xml:space="preserve"> </w:t>
      </w:r>
      <w:r w:rsidRPr="005F5C6E">
        <w:rPr>
          <w:rFonts w:ascii="Arial Narrow" w:hAnsi="Arial Narrow"/>
          <w:i w:val="0"/>
          <w:sz w:val="18"/>
          <w:szCs w:val="28"/>
        </w:rPr>
        <w:t>Based on the average number of vials utilised by patients per day from patient diaries enrolled in M15-736 as presented in Table 3-2, p100 of the submission.</w:t>
      </w:r>
    </w:p>
    <w:p w14:paraId="78D649BF" w14:textId="72EB5849" w:rsidR="00E967E8"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 xml:space="preserve">b </w:t>
      </w:r>
      <w:r w:rsidRPr="005F5C6E">
        <w:rPr>
          <w:rFonts w:ascii="Arial Narrow" w:hAnsi="Arial Narrow"/>
          <w:i w:val="0"/>
          <w:sz w:val="18"/>
          <w:szCs w:val="28"/>
        </w:rPr>
        <w:t>Based on the average number of cassettes utilised by patients from the Olanow 2014 study</w:t>
      </w:r>
    </w:p>
    <w:p w14:paraId="33877504" w14:textId="49A6CBA6" w:rsidR="00E967E8"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 xml:space="preserve">c </w:t>
      </w:r>
      <w:r w:rsidRPr="005F5C6E">
        <w:rPr>
          <w:rFonts w:ascii="Arial Narrow" w:hAnsi="Arial Narrow"/>
          <w:i w:val="0"/>
          <w:sz w:val="18"/>
          <w:szCs w:val="28"/>
        </w:rPr>
        <w:t>As presented in Table 2-10, p66 of the submission</w:t>
      </w:r>
    </w:p>
    <w:p w14:paraId="2D41F005" w14:textId="1EDF8522" w:rsidR="00E967E8"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d</w:t>
      </w:r>
      <w:r w:rsidRPr="005F5C6E">
        <w:rPr>
          <w:rFonts w:ascii="Arial Narrow" w:hAnsi="Arial Narrow"/>
          <w:i w:val="0"/>
          <w:sz w:val="18"/>
          <w:szCs w:val="28"/>
        </w:rPr>
        <w:t xml:space="preserve"> Based on a treatment duration of 2 years utilised in the CMA.</w:t>
      </w:r>
    </w:p>
    <w:p w14:paraId="35EDFB50" w14:textId="00033D6D" w:rsidR="00E967E8"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 xml:space="preserve">e </w:t>
      </w:r>
      <w:r w:rsidRPr="005F5C6E">
        <w:rPr>
          <w:rFonts w:ascii="Arial Narrow" w:hAnsi="Arial Narrow"/>
          <w:i w:val="0"/>
          <w:sz w:val="18"/>
          <w:szCs w:val="28"/>
        </w:rPr>
        <w:t>Calculated by applying 65% treatment continuation in Year 1 and 89% for Years 2-6 (average treatment of 3.6 years per patient)</w:t>
      </w:r>
    </w:p>
    <w:p w14:paraId="14C4291B" w14:textId="17582A6F" w:rsidR="009A5B6A" w:rsidRPr="005F5C6E"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f</w:t>
      </w:r>
      <w:r w:rsidRPr="005F5C6E">
        <w:rPr>
          <w:rFonts w:ascii="Arial Narrow" w:hAnsi="Arial Narrow"/>
          <w:i w:val="0"/>
          <w:sz w:val="18"/>
          <w:szCs w:val="28"/>
        </w:rPr>
        <w:t xml:space="preserve"> As presented in Table 2-10, p66 of the submission</w:t>
      </w:r>
    </w:p>
    <w:p w14:paraId="4469BA17" w14:textId="2C60A1C5" w:rsidR="009A5B6A" w:rsidRPr="005F5C6E"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 xml:space="preserve">g </w:t>
      </w:r>
      <w:r w:rsidRPr="005F5C6E">
        <w:rPr>
          <w:rFonts w:ascii="Arial Narrow" w:hAnsi="Arial Narrow"/>
          <w:i w:val="0"/>
          <w:sz w:val="18"/>
          <w:szCs w:val="28"/>
        </w:rPr>
        <w:t>Based on a treatment duration of 2 years utilised in the CMA.</w:t>
      </w:r>
    </w:p>
    <w:p w14:paraId="2714D08F" w14:textId="122AC1C6" w:rsidR="009A5B6A" w:rsidRPr="005F5C6E"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 xml:space="preserve">h </w:t>
      </w:r>
      <w:r w:rsidRPr="005F5C6E">
        <w:rPr>
          <w:rFonts w:ascii="Arial Narrow" w:hAnsi="Arial Narrow"/>
          <w:i w:val="0"/>
          <w:sz w:val="18"/>
          <w:szCs w:val="28"/>
        </w:rPr>
        <w:t>Calculated by applying treatment continuation of 85% (average treatment of 4.4 years per patient).</w:t>
      </w:r>
    </w:p>
    <w:p w14:paraId="732AB4B0" w14:textId="0D58716F" w:rsidR="00E967E8" w:rsidRDefault="009A5B6A" w:rsidP="00156AF9">
      <w:pPr>
        <w:pStyle w:val="TableFootnote"/>
        <w:tabs>
          <w:tab w:val="left" w:pos="142"/>
        </w:tabs>
        <w:jc w:val="both"/>
        <w:rPr>
          <w:rFonts w:ascii="Arial Narrow" w:hAnsi="Arial Narrow"/>
          <w:i w:val="0"/>
          <w:sz w:val="18"/>
          <w:szCs w:val="28"/>
        </w:rPr>
      </w:pPr>
      <w:r w:rsidRPr="005F5C6E">
        <w:rPr>
          <w:rFonts w:ascii="Arial Narrow" w:hAnsi="Arial Narrow"/>
          <w:i w:val="0"/>
          <w:sz w:val="18"/>
          <w:szCs w:val="28"/>
          <w:vertAlign w:val="superscript"/>
        </w:rPr>
        <w:t xml:space="preserve">i </w:t>
      </w:r>
      <w:r w:rsidRPr="005F5C6E">
        <w:rPr>
          <w:rFonts w:ascii="Arial Narrow" w:hAnsi="Arial Narrow"/>
          <w:i w:val="0"/>
          <w:sz w:val="18"/>
          <w:szCs w:val="28"/>
        </w:rPr>
        <w:t xml:space="preserve">Based on a cost per unit of </w:t>
      </w:r>
      <w:r w:rsidRPr="00B42BBE">
        <w:rPr>
          <w:rFonts w:ascii="Arial Narrow" w:hAnsi="Arial Narrow"/>
          <w:i w:val="0"/>
          <w:iCs/>
          <w:sz w:val="18"/>
          <w:szCs w:val="28"/>
        </w:rPr>
        <w:t>$</w:t>
      </w:r>
      <w:r w:rsidR="004B6FE2" w:rsidRPr="004B6FE2">
        <w:rPr>
          <w:rFonts w:ascii="Arial Narrow" w:hAnsi="Arial Narrow"/>
          <w:i w:val="0"/>
          <w:iCs/>
          <w:color w:val="000000"/>
          <w:spacing w:val="40"/>
          <w:sz w:val="18"/>
          <w:szCs w:val="28"/>
          <w:shd w:val="solid" w:color="000000" w:fill="000000"/>
          <w:fitText w:val="280" w:id="-930964726"/>
          <w14:textFill>
            <w14:solidFill>
              <w14:srgbClr w14:val="000000">
                <w14:alpha w14:val="100000"/>
              </w14:srgbClr>
            </w14:solidFill>
          </w14:textFill>
        </w:rPr>
        <w:t xml:space="preserve">|  </w:t>
      </w:r>
      <w:r w:rsidR="004B6FE2" w:rsidRPr="004B6FE2">
        <w:rPr>
          <w:rFonts w:ascii="Arial Narrow" w:hAnsi="Arial Narrow"/>
          <w:i w:val="0"/>
          <w:iCs/>
          <w:color w:val="000000"/>
          <w:spacing w:val="2"/>
          <w:sz w:val="18"/>
          <w:szCs w:val="28"/>
          <w:shd w:val="solid" w:color="000000" w:fill="000000"/>
          <w:fitText w:val="280" w:id="-930964726"/>
          <w14:textFill>
            <w14:solidFill>
              <w14:srgbClr w14:val="000000">
                <w14:alpha w14:val="100000"/>
              </w14:srgbClr>
            </w14:solidFill>
          </w14:textFill>
        </w:rPr>
        <w:t>|</w:t>
      </w:r>
      <w:r w:rsidRPr="005F5C6E">
        <w:rPr>
          <w:rFonts w:ascii="Arial Narrow" w:hAnsi="Arial Narrow"/>
          <w:i w:val="0"/>
          <w:sz w:val="18"/>
          <w:szCs w:val="28"/>
        </w:rPr>
        <w:t xml:space="preserve">for FosLD/FosCD and </w:t>
      </w:r>
      <w:r w:rsidRPr="00B42BBE">
        <w:rPr>
          <w:rFonts w:ascii="Arial Narrow" w:hAnsi="Arial Narrow"/>
          <w:i w:val="0"/>
          <w:iCs/>
          <w:sz w:val="18"/>
          <w:szCs w:val="28"/>
        </w:rPr>
        <w:t>$</w:t>
      </w:r>
      <w:r w:rsidR="004B6FE2" w:rsidRPr="00C22D8D">
        <w:rPr>
          <w:rFonts w:ascii="Arial Narrow" w:hAnsi="Arial Narrow"/>
          <w:i w:val="0"/>
          <w:iCs/>
          <w:color w:val="000000"/>
          <w:spacing w:val="37"/>
          <w:sz w:val="18"/>
          <w:szCs w:val="28"/>
          <w:shd w:val="solid" w:color="000000" w:fill="000000"/>
          <w:fitText w:val="270" w:id="-930964725"/>
          <w14:textFill>
            <w14:solidFill>
              <w14:srgbClr w14:val="000000">
                <w14:alpha w14:val="100000"/>
              </w14:srgbClr>
            </w14:solidFill>
          </w14:textFill>
        </w:rPr>
        <w:t xml:space="preserve">|  </w:t>
      </w:r>
      <w:r w:rsidR="004B6FE2" w:rsidRPr="00C22D8D">
        <w:rPr>
          <w:rFonts w:ascii="Arial Narrow" w:hAnsi="Arial Narrow"/>
          <w:i w:val="0"/>
          <w:iCs/>
          <w:color w:val="000000"/>
          <w:spacing w:val="1"/>
          <w:sz w:val="18"/>
          <w:szCs w:val="28"/>
          <w:shd w:val="solid" w:color="000000" w:fill="000000"/>
          <w:fitText w:val="270" w:id="-930964725"/>
          <w14:textFill>
            <w14:solidFill>
              <w14:srgbClr w14:val="000000">
                <w14:alpha w14:val="100000"/>
              </w14:srgbClr>
            </w14:solidFill>
          </w14:textFill>
        </w:rPr>
        <w:t>|</w:t>
      </w:r>
      <w:r w:rsidRPr="005F5C6E">
        <w:rPr>
          <w:rFonts w:ascii="Arial Narrow" w:hAnsi="Arial Narrow"/>
          <w:i w:val="0"/>
          <w:sz w:val="18"/>
          <w:szCs w:val="28"/>
        </w:rPr>
        <w:t>for LCIG</w:t>
      </w:r>
      <w:r w:rsidR="00E061CF">
        <w:rPr>
          <w:rFonts w:ascii="Arial Narrow" w:hAnsi="Arial Narrow"/>
          <w:i w:val="0"/>
          <w:sz w:val="18"/>
          <w:szCs w:val="28"/>
        </w:rPr>
        <w:t xml:space="preserve"> (as per Table 10)</w:t>
      </w:r>
      <w:r w:rsidRPr="005F5C6E">
        <w:rPr>
          <w:rFonts w:ascii="Arial Narrow" w:hAnsi="Arial Narrow"/>
          <w:i w:val="0"/>
          <w:sz w:val="18"/>
          <w:szCs w:val="28"/>
        </w:rPr>
        <w:t>.</w:t>
      </w:r>
    </w:p>
    <w:p w14:paraId="142BEFC9" w14:textId="05CF0CCC" w:rsidR="0074693F" w:rsidRPr="007D7986" w:rsidRDefault="009A5B6A" w:rsidP="004F7504">
      <w:pPr>
        <w:pStyle w:val="TableFootnote"/>
        <w:tabs>
          <w:tab w:val="left" w:pos="142"/>
        </w:tabs>
        <w:spacing w:after="120"/>
        <w:jc w:val="both"/>
        <w:rPr>
          <w:rFonts w:ascii="Arial Narrow" w:hAnsi="Arial Narrow"/>
          <w:i w:val="0"/>
          <w:sz w:val="18"/>
          <w:szCs w:val="28"/>
        </w:rPr>
      </w:pPr>
      <w:r w:rsidRPr="005F5C6E">
        <w:rPr>
          <w:rFonts w:ascii="Arial Narrow" w:hAnsi="Arial Narrow"/>
          <w:i w:val="0"/>
          <w:sz w:val="18"/>
          <w:szCs w:val="28"/>
        </w:rPr>
        <w:t>Note: the grandfathered patients have not been included to estimate the mean duration of treatment applied in the financial estimations.</w:t>
      </w:r>
    </w:p>
    <w:p w14:paraId="46AAB65C" w14:textId="4DD1D99C" w:rsidR="009A5B6A" w:rsidRPr="001244D0" w:rsidRDefault="009A5B6A" w:rsidP="009A5B6A">
      <w:pPr>
        <w:pStyle w:val="4-SubsectionHeading"/>
        <w:rPr>
          <w:iCs/>
        </w:rPr>
      </w:pPr>
      <w:bookmarkStart w:id="56" w:name="_Toc22897647"/>
      <w:bookmarkStart w:id="57" w:name="_Toc107927633"/>
      <w:bookmarkStart w:id="58" w:name="_Toc135072009"/>
      <w:r w:rsidRPr="001244D0">
        <w:rPr>
          <w:iCs/>
        </w:rPr>
        <w:t xml:space="preserve">Estimated PBS usage </w:t>
      </w:r>
      <w:r w:rsidR="0063477F">
        <w:rPr>
          <w:iCs/>
        </w:rPr>
        <w:t>and</w:t>
      </w:r>
      <w:r w:rsidR="0063477F" w:rsidRPr="001244D0">
        <w:rPr>
          <w:iCs/>
        </w:rPr>
        <w:t xml:space="preserve"> </w:t>
      </w:r>
      <w:r w:rsidRPr="001244D0">
        <w:rPr>
          <w:iCs/>
        </w:rPr>
        <w:t>financial implications</w:t>
      </w:r>
      <w:bookmarkEnd w:id="56"/>
      <w:bookmarkEnd w:id="57"/>
      <w:bookmarkEnd w:id="58"/>
    </w:p>
    <w:p w14:paraId="1E22D053" w14:textId="498EEE62" w:rsidR="009A5B6A" w:rsidRPr="002010D5" w:rsidRDefault="009A5B6A" w:rsidP="003945B8">
      <w:pPr>
        <w:pStyle w:val="3-BodyText"/>
        <w:rPr>
          <w:rFonts w:ascii="Arial Narrow" w:hAnsi="Arial Narrow"/>
          <w:sz w:val="20"/>
        </w:rPr>
      </w:pPr>
      <w:r>
        <w:t>This submission w</w:t>
      </w:r>
      <w:r w:rsidR="00E76B51">
        <w:t>as</w:t>
      </w:r>
      <w:r>
        <w:t xml:space="preserve"> not considered by DUS</w:t>
      </w:r>
      <w:bookmarkStart w:id="59" w:name="_Ref104805262"/>
      <w:r>
        <w:t xml:space="preserve">C. The submission utilised a mixed epidemiological and market-share approach to estimate the extent of use of FosLD/FosCD and the financial impact of listing on the PBS. The key inputs for the financial analysis are summarised in </w:t>
      </w:r>
      <w:r>
        <w:fldChar w:fldCharType="begin"/>
      </w:r>
      <w:r>
        <w:instrText xml:space="preserve"> REF _Ref133675264 \h </w:instrText>
      </w:r>
      <w:r>
        <w:fldChar w:fldCharType="separate"/>
      </w:r>
      <w:r w:rsidR="0043339D" w:rsidRPr="00DF6097">
        <w:t xml:space="preserve">Table </w:t>
      </w:r>
      <w:r w:rsidR="0043339D">
        <w:rPr>
          <w:noProof/>
        </w:rPr>
        <w:t>13</w:t>
      </w:r>
      <w:r>
        <w:fldChar w:fldCharType="end"/>
      </w:r>
      <w:r>
        <w:t>.</w:t>
      </w:r>
      <w:bookmarkEnd w:id="59"/>
    </w:p>
    <w:p w14:paraId="389EBF05" w14:textId="13A5411D" w:rsidR="009A5B6A" w:rsidRPr="001A7819" w:rsidRDefault="009A5B6A" w:rsidP="009A5B6A">
      <w:pPr>
        <w:pStyle w:val="TableFigureHeading"/>
        <w:keepNext w:val="0"/>
      </w:pPr>
      <w:bookmarkStart w:id="60" w:name="_Ref133675264"/>
      <w:r w:rsidRPr="00DF6097">
        <w:t xml:space="preserve">Table </w:t>
      </w:r>
      <w:r w:rsidR="000A217C">
        <w:fldChar w:fldCharType="begin"/>
      </w:r>
      <w:r w:rsidR="000A217C">
        <w:instrText xml:space="preserve"> SEQ Table \* ARABIC </w:instrText>
      </w:r>
      <w:r w:rsidR="000A217C">
        <w:fldChar w:fldCharType="separate"/>
      </w:r>
      <w:r w:rsidR="0043339D">
        <w:rPr>
          <w:noProof/>
        </w:rPr>
        <w:t>13</w:t>
      </w:r>
      <w:r w:rsidR="000A217C">
        <w:rPr>
          <w:noProof/>
        </w:rPr>
        <w:fldChar w:fldCharType="end"/>
      </w:r>
      <w:bookmarkEnd w:id="60"/>
      <w:r w:rsidRPr="00DF6097">
        <w:t>:</w:t>
      </w:r>
      <w:r w:rsidRPr="00DF6097">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276"/>
        <w:gridCol w:w="1984"/>
        <w:gridCol w:w="3351"/>
      </w:tblGrid>
      <w:tr w:rsidR="00061304" w:rsidRPr="00914C77" w14:paraId="495836E9" w14:textId="77777777" w:rsidTr="001B45C7">
        <w:trPr>
          <w:cantSplit/>
          <w:tblHeader/>
        </w:trPr>
        <w:tc>
          <w:tcPr>
            <w:tcW w:w="2405" w:type="dxa"/>
            <w:vAlign w:val="center"/>
          </w:tcPr>
          <w:p w14:paraId="3D12E581" w14:textId="77777777" w:rsidR="009A5B6A" w:rsidRPr="00914C77" w:rsidRDefault="009A5B6A" w:rsidP="00313182">
            <w:pPr>
              <w:pStyle w:val="In-tableHeading"/>
              <w:keepNext w:val="0"/>
              <w:widowControl w:val="0"/>
              <w:jc w:val="center"/>
            </w:pPr>
            <w:r w:rsidRPr="00914C77">
              <w:t>Data</w:t>
            </w:r>
          </w:p>
        </w:tc>
        <w:tc>
          <w:tcPr>
            <w:tcW w:w="1276" w:type="dxa"/>
            <w:vAlign w:val="center"/>
          </w:tcPr>
          <w:p w14:paraId="18FB52AB" w14:textId="77777777" w:rsidR="009A5B6A" w:rsidRPr="00914C77" w:rsidRDefault="009A5B6A" w:rsidP="00313182">
            <w:pPr>
              <w:pStyle w:val="In-tableHeading"/>
              <w:keepNext w:val="0"/>
              <w:widowControl w:val="0"/>
              <w:jc w:val="center"/>
            </w:pPr>
            <w:r w:rsidRPr="00914C77">
              <w:t>Value</w:t>
            </w:r>
          </w:p>
        </w:tc>
        <w:tc>
          <w:tcPr>
            <w:tcW w:w="1984" w:type="dxa"/>
            <w:vAlign w:val="center"/>
          </w:tcPr>
          <w:p w14:paraId="7C9F2490" w14:textId="77777777" w:rsidR="009A5B6A" w:rsidRPr="00914C77" w:rsidRDefault="009A5B6A" w:rsidP="00313182">
            <w:pPr>
              <w:pStyle w:val="In-tableHeading"/>
              <w:keepNext w:val="0"/>
              <w:widowControl w:val="0"/>
              <w:jc w:val="center"/>
            </w:pPr>
            <w:r w:rsidRPr="00914C77">
              <w:t>Source</w:t>
            </w:r>
          </w:p>
        </w:tc>
        <w:tc>
          <w:tcPr>
            <w:tcW w:w="3351" w:type="dxa"/>
            <w:vAlign w:val="center"/>
          </w:tcPr>
          <w:p w14:paraId="004A9C3B" w14:textId="77777777" w:rsidR="009A5B6A" w:rsidRPr="00914C77" w:rsidRDefault="009A5B6A" w:rsidP="00313182">
            <w:pPr>
              <w:pStyle w:val="In-tableHeading"/>
              <w:keepNext w:val="0"/>
              <w:widowControl w:val="0"/>
              <w:jc w:val="center"/>
            </w:pPr>
            <w:r w:rsidRPr="00914C77">
              <w:t>Comment</w:t>
            </w:r>
          </w:p>
        </w:tc>
      </w:tr>
      <w:tr w:rsidR="009A5B6A" w14:paraId="1178BD34" w14:textId="77777777" w:rsidTr="00061304">
        <w:trPr>
          <w:cantSplit/>
        </w:trPr>
        <w:tc>
          <w:tcPr>
            <w:tcW w:w="9016" w:type="dxa"/>
            <w:gridSpan w:val="4"/>
            <w:vAlign w:val="center"/>
          </w:tcPr>
          <w:p w14:paraId="583F5A51" w14:textId="77777777" w:rsidR="009A5B6A" w:rsidRPr="00914C77" w:rsidRDefault="009A5B6A" w:rsidP="00313182">
            <w:pPr>
              <w:pStyle w:val="In-tableHeading"/>
              <w:keepNext w:val="0"/>
              <w:widowControl w:val="0"/>
            </w:pPr>
            <w:r w:rsidRPr="00914C77">
              <w:t>Eligible population</w:t>
            </w:r>
          </w:p>
        </w:tc>
      </w:tr>
      <w:tr w:rsidR="00061304" w14:paraId="478D3765" w14:textId="77777777" w:rsidTr="001B45C7">
        <w:trPr>
          <w:cantSplit/>
        </w:trPr>
        <w:tc>
          <w:tcPr>
            <w:tcW w:w="2405" w:type="dxa"/>
            <w:vAlign w:val="center"/>
          </w:tcPr>
          <w:p w14:paraId="5FFF3D52" w14:textId="77777777" w:rsidR="009A5B6A" w:rsidRDefault="009A5B6A" w:rsidP="00313182">
            <w:pPr>
              <w:pStyle w:val="TableText0"/>
              <w:keepNext w:val="0"/>
              <w:widowControl w:val="0"/>
            </w:pPr>
            <w:r>
              <w:t>Prevalent aPD patients</w:t>
            </w:r>
          </w:p>
          <w:p w14:paraId="5DE04CED" w14:textId="77777777" w:rsidR="009A5B6A" w:rsidRDefault="009A5B6A" w:rsidP="00313182">
            <w:pPr>
              <w:pStyle w:val="TableText0"/>
              <w:keepNext w:val="0"/>
              <w:widowControl w:val="0"/>
            </w:pPr>
            <w:r>
              <w:t xml:space="preserve">(patients taking </w:t>
            </w:r>
            <w:r>
              <w:rPr>
                <w:rFonts w:cs="Calibri"/>
              </w:rPr>
              <w:t xml:space="preserve">≥5 LD tablets per day) </w:t>
            </w:r>
          </w:p>
        </w:tc>
        <w:tc>
          <w:tcPr>
            <w:tcW w:w="1276" w:type="dxa"/>
            <w:vAlign w:val="center"/>
          </w:tcPr>
          <w:p w14:paraId="00F40DA6" w14:textId="77777777" w:rsidR="009A5B6A" w:rsidRDefault="009A5B6A" w:rsidP="00313182">
            <w:pPr>
              <w:pStyle w:val="TableText0"/>
              <w:keepNext w:val="0"/>
              <w:widowControl w:val="0"/>
            </w:pPr>
            <w:r>
              <w:t>Yr 1: 25,374</w:t>
            </w:r>
          </w:p>
          <w:p w14:paraId="2DBC3BD9" w14:textId="77777777" w:rsidR="009A5B6A" w:rsidRDefault="009A5B6A" w:rsidP="00313182">
            <w:pPr>
              <w:pStyle w:val="TableText0"/>
              <w:keepNext w:val="0"/>
              <w:widowControl w:val="0"/>
            </w:pPr>
            <w:r>
              <w:t>Yr 2: 26,666</w:t>
            </w:r>
          </w:p>
          <w:p w14:paraId="2950C38F" w14:textId="77777777" w:rsidR="009A5B6A" w:rsidRDefault="009A5B6A" w:rsidP="00313182">
            <w:pPr>
              <w:pStyle w:val="TableText0"/>
              <w:keepNext w:val="0"/>
              <w:widowControl w:val="0"/>
            </w:pPr>
            <w:r>
              <w:t>Yr 3: 28,024</w:t>
            </w:r>
          </w:p>
          <w:p w14:paraId="1A6B0E1F" w14:textId="77777777" w:rsidR="009A5B6A" w:rsidRDefault="009A5B6A" w:rsidP="00313182">
            <w:pPr>
              <w:pStyle w:val="TableText0"/>
              <w:keepNext w:val="0"/>
              <w:widowControl w:val="0"/>
            </w:pPr>
            <w:r>
              <w:t>Yr 4: 29,451</w:t>
            </w:r>
          </w:p>
          <w:p w14:paraId="180969D5" w14:textId="77777777" w:rsidR="009A5B6A" w:rsidRDefault="009A5B6A" w:rsidP="00313182">
            <w:pPr>
              <w:pStyle w:val="TableText0"/>
              <w:keepNext w:val="0"/>
              <w:widowControl w:val="0"/>
            </w:pPr>
            <w:r>
              <w:t>Yr 5: 30,950</w:t>
            </w:r>
          </w:p>
          <w:p w14:paraId="3C2DD2CE" w14:textId="77777777" w:rsidR="009A5B6A" w:rsidRDefault="009A5B6A" w:rsidP="00313182">
            <w:pPr>
              <w:pStyle w:val="TableText0"/>
              <w:keepNext w:val="0"/>
              <w:widowControl w:val="0"/>
            </w:pPr>
            <w:r>
              <w:t>Yr 6: 32,526</w:t>
            </w:r>
          </w:p>
        </w:tc>
        <w:tc>
          <w:tcPr>
            <w:tcW w:w="1984" w:type="dxa"/>
            <w:vAlign w:val="center"/>
          </w:tcPr>
          <w:p w14:paraId="44FCF06E" w14:textId="77777777" w:rsidR="009A5B6A" w:rsidRDefault="009A5B6A" w:rsidP="00313182">
            <w:pPr>
              <w:pStyle w:val="TableText0"/>
              <w:keepNext w:val="0"/>
              <w:widowControl w:val="0"/>
            </w:pPr>
            <w:r>
              <w:t xml:space="preserve">10% PBS linkable data </w:t>
            </w:r>
          </w:p>
        </w:tc>
        <w:tc>
          <w:tcPr>
            <w:tcW w:w="3351" w:type="dxa"/>
            <w:vAlign w:val="center"/>
          </w:tcPr>
          <w:p w14:paraId="36A087F9" w14:textId="391496EB" w:rsidR="009A5B6A" w:rsidRPr="00B42BBE" w:rsidRDefault="00523024" w:rsidP="00E967E8">
            <w:pPr>
              <w:pStyle w:val="TableText0"/>
              <w:widowControl w:val="0"/>
            </w:pPr>
            <w:r w:rsidRPr="00D01F45">
              <w:t xml:space="preserve">This </w:t>
            </w:r>
            <w:r w:rsidR="00524347">
              <w:t xml:space="preserve">approach </w:t>
            </w:r>
            <w:r w:rsidRPr="00D01F45">
              <w:t>was</w:t>
            </w:r>
            <w:r w:rsidR="009A5B6A" w:rsidRPr="00D01F45">
              <w:t xml:space="preserve"> reasonable</w:t>
            </w:r>
            <w:r w:rsidRPr="00D01F45">
              <w:t>, although the data used to estimate the prevalent aPD patients could not be verified.</w:t>
            </w:r>
          </w:p>
        </w:tc>
      </w:tr>
      <w:tr w:rsidR="00061304" w:rsidRPr="00D01F45" w14:paraId="01E30756" w14:textId="77777777" w:rsidTr="001B45C7">
        <w:trPr>
          <w:cantSplit/>
        </w:trPr>
        <w:tc>
          <w:tcPr>
            <w:tcW w:w="2405" w:type="dxa"/>
            <w:vAlign w:val="center"/>
          </w:tcPr>
          <w:p w14:paraId="0F92F2AA" w14:textId="38AC2C25" w:rsidR="009A5B6A" w:rsidRPr="00D01F45" w:rsidRDefault="009A5B6A" w:rsidP="00313182">
            <w:pPr>
              <w:pStyle w:val="TableText0"/>
              <w:keepNext w:val="0"/>
              <w:widowControl w:val="0"/>
            </w:pPr>
            <w:r w:rsidRPr="00D01F45">
              <w:t>Patients meeting the 5-2-1 criteria despite high dose oral Tx (20%) (i.e.</w:t>
            </w:r>
            <w:r w:rsidR="00131C26">
              <w:t>,</w:t>
            </w:r>
            <w:r w:rsidRPr="00D01F45">
              <w:t xml:space="preserve"> taking </w:t>
            </w:r>
            <w:r w:rsidRPr="00D01F45">
              <w:rPr>
                <w:rFonts w:cs="Calibri"/>
              </w:rPr>
              <w:t xml:space="preserve">≥5 tablets of </w:t>
            </w:r>
            <w:r w:rsidR="00D51FA3">
              <w:rPr>
                <w:rFonts w:cs="Calibri"/>
              </w:rPr>
              <w:t>LD</w:t>
            </w:r>
            <w:r w:rsidRPr="00D01F45">
              <w:rPr>
                <w:rFonts w:cs="Calibri"/>
              </w:rPr>
              <w:t xml:space="preserve"> per day; having at least 2 hours of the day with “Off” symptoms and at least 1 hour of troublesome dyskinesia)</w:t>
            </w:r>
          </w:p>
        </w:tc>
        <w:tc>
          <w:tcPr>
            <w:tcW w:w="1276" w:type="dxa"/>
            <w:vAlign w:val="center"/>
          </w:tcPr>
          <w:p w14:paraId="1374167D" w14:textId="77777777" w:rsidR="009A5B6A" w:rsidRPr="00D01F45" w:rsidRDefault="009A5B6A" w:rsidP="00313182">
            <w:pPr>
              <w:pStyle w:val="TableText0"/>
              <w:keepNext w:val="0"/>
              <w:widowControl w:val="0"/>
            </w:pPr>
            <w:r w:rsidRPr="00D01F45">
              <w:t>Yr 1: 5,075</w:t>
            </w:r>
          </w:p>
          <w:p w14:paraId="678F6BC3" w14:textId="77777777" w:rsidR="009A5B6A" w:rsidRPr="00D01F45" w:rsidRDefault="009A5B6A" w:rsidP="00313182">
            <w:pPr>
              <w:pStyle w:val="TableText0"/>
              <w:keepNext w:val="0"/>
              <w:widowControl w:val="0"/>
            </w:pPr>
            <w:r w:rsidRPr="00D01F45">
              <w:t>Yr 2: 5,333</w:t>
            </w:r>
          </w:p>
          <w:p w14:paraId="0425F415" w14:textId="77777777" w:rsidR="009A5B6A" w:rsidRPr="00D01F45" w:rsidRDefault="009A5B6A" w:rsidP="00313182">
            <w:pPr>
              <w:pStyle w:val="TableText0"/>
              <w:keepNext w:val="0"/>
              <w:widowControl w:val="0"/>
            </w:pPr>
            <w:r w:rsidRPr="00D01F45">
              <w:t>Yr 3: 5,605</w:t>
            </w:r>
          </w:p>
          <w:p w14:paraId="3F116DBF" w14:textId="77777777" w:rsidR="009A5B6A" w:rsidRPr="00D01F45" w:rsidRDefault="009A5B6A" w:rsidP="00313182">
            <w:pPr>
              <w:pStyle w:val="TableText0"/>
              <w:keepNext w:val="0"/>
              <w:widowControl w:val="0"/>
            </w:pPr>
            <w:r w:rsidRPr="00D01F45">
              <w:t>Yr 4: 5,890</w:t>
            </w:r>
          </w:p>
          <w:p w14:paraId="1AAC00FF" w14:textId="77777777" w:rsidR="009A5B6A" w:rsidRPr="00D01F45" w:rsidRDefault="009A5B6A" w:rsidP="00313182">
            <w:pPr>
              <w:pStyle w:val="TableText0"/>
              <w:keepNext w:val="0"/>
              <w:widowControl w:val="0"/>
            </w:pPr>
            <w:r w:rsidRPr="00D01F45">
              <w:t>Yr 5: 6,190</w:t>
            </w:r>
          </w:p>
          <w:p w14:paraId="53AEEA7C" w14:textId="77777777" w:rsidR="009A5B6A" w:rsidRPr="00D01F45" w:rsidRDefault="009A5B6A" w:rsidP="00313182">
            <w:pPr>
              <w:pStyle w:val="TableText0"/>
              <w:keepNext w:val="0"/>
              <w:widowControl w:val="0"/>
            </w:pPr>
            <w:r w:rsidRPr="00D01F45">
              <w:t>Yr 6: 6,505</w:t>
            </w:r>
          </w:p>
        </w:tc>
        <w:tc>
          <w:tcPr>
            <w:tcW w:w="1984" w:type="dxa"/>
            <w:vAlign w:val="center"/>
          </w:tcPr>
          <w:p w14:paraId="78668B8F" w14:textId="4026507F" w:rsidR="009A5B6A" w:rsidRPr="00D01F45" w:rsidRDefault="009A5B6A" w:rsidP="00313182">
            <w:pPr>
              <w:pStyle w:val="TableText0"/>
              <w:keepNext w:val="0"/>
              <w:widowControl w:val="0"/>
            </w:pPr>
            <w:r w:rsidRPr="00D01F45">
              <w:t>Aldred 2020</w:t>
            </w:r>
            <w:r w:rsidRPr="00D01F45">
              <w:rPr>
                <w:rStyle w:val="FootnoteReference"/>
              </w:rPr>
              <w:footnoteReference w:id="8"/>
            </w:r>
          </w:p>
        </w:tc>
        <w:tc>
          <w:tcPr>
            <w:tcW w:w="3351" w:type="dxa"/>
            <w:vAlign w:val="center"/>
          </w:tcPr>
          <w:p w14:paraId="1104D81A" w14:textId="361161A6" w:rsidR="009A5B6A" w:rsidRPr="00D01F45" w:rsidRDefault="009A5B6A" w:rsidP="00313182">
            <w:pPr>
              <w:pStyle w:val="TableText0"/>
              <w:keepNext w:val="0"/>
              <w:widowControl w:val="0"/>
            </w:pPr>
            <w:r w:rsidRPr="00D01F45">
              <w:t xml:space="preserve">This </w:t>
            </w:r>
            <w:r w:rsidR="00A152CC">
              <w:t>wa</w:t>
            </w:r>
            <w:r w:rsidR="00A152CC" w:rsidRPr="00D01F45">
              <w:t xml:space="preserve">s </w:t>
            </w:r>
            <w:r w:rsidR="00524347">
              <w:t>consistent with</w:t>
            </w:r>
            <w:r w:rsidRPr="00D01F45">
              <w:t xml:space="preserve"> 20% of all patients in the study met all three of the 5-2-1 criteria and is consistent with the proposed restriction. </w:t>
            </w:r>
          </w:p>
        </w:tc>
      </w:tr>
      <w:tr w:rsidR="00061304" w:rsidRPr="00D01F45" w14:paraId="4B9C37B0" w14:textId="77777777" w:rsidTr="001B45C7">
        <w:trPr>
          <w:cantSplit/>
        </w:trPr>
        <w:tc>
          <w:tcPr>
            <w:tcW w:w="2405" w:type="dxa"/>
            <w:vAlign w:val="center"/>
          </w:tcPr>
          <w:p w14:paraId="7D9D0FF5" w14:textId="77777777" w:rsidR="009A5B6A" w:rsidRPr="00D01F45" w:rsidRDefault="009A5B6A" w:rsidP="00313182">
            <w:pPr>
              <w:pStyle w:val="TableText0"/>
              <w:keepNext w:val="0"/>
              <w:widowControl w:val="0"/>
            </w:pPr>
            <w:r w:rsidRPr="00D01F45">
              <w:t>Patients eligible for treatment via LCIG or FosLD/FosCD</w:t>
            </w:r>
          </w:p>
          <w:p w14:paraId="0D7A202C" w14:textId="77777777" w:rsidR="009A5B6A" w:rsidRPr="00D01F45" w:rsidRDefault="009A5B6A" w:rsidP="00313182">
            <w:pPr>
              <w:pStyle w:val="TableText0"/>
              <w:keepNext w:val="0"/>
              <w:widowControl w:val="0"/>
            </w:pPr>
            <w:r w:rsidRPr="00D01F45">
              <w:t>(60%)</w:t>
            </w:r>
          </w:p>
        </w:tc>
        <w:tc>
          <w:tcPr>
            <w:tcW w:w="1276" w:type="dxa"/>
            <w:vAlign w:val="center"/>
          </w:tcPr>
          <w:p w14:paraId="2130ED43" w14:textId="77777777" w:rsidR="009A5B6A" w:rsidRPr="00D01F45" w:rsidRDefault="009A5B6A" w:rsidP="00313182">
            <w:pPr>
              <w:pStyle w:val="TableText0"/>
              <w:keepNext w:val="0"/>
              <w:widowControl w:val="0"/>
            </w:pPr>
            <w:r w:rsidRPr="00D01F45">
              <w:t>Yr 1: 3,045</w:t>
            </w:r>
          </w:p>
          <w:p w14:paraId="6D0ADC6F" w14:textId="77777777" w:rsidR="009A5B6A" w:rsidRPr="00D01F45" w:rsidRDefault="009A5B6A" w:rsidP="00313182">
            <w:pPr>
              <w:pStyle w:val="TableText0"/>
              <w:keepNext w:val="0"/>
              <w:widowControl w:val="0"/>
            </w:pPr>
            <w:r w:rsidRPr="00D01F45">
              <w:t>Yr 2: 3,200</w:t>
            </w:r>
          </w:p>
          <w:p w14:paraId="54B777E6" w14:textId="77777777" w:rsidR="009A5B6A" w:rsidRPr="00D01F45" w:rsidRDefault="009A5B6A" w:rsidP="00313182">
            <w:pPr>
              <w:pStyle w:val="TableText0"/>
              <w:keepNext w:val="0"/>
              <w:widowControl w:val="0"/>
            </w:pPr>
            <w:r w:rsidRPr="00D01F45">
              <w:t>Yr 3: 3,363</w:t>
            </w:r>
          </w:p>
          <w:p w14:paraId="1D7F89D9" w14:textId="77777777" w:rsidR="009A5B6A" w:rsidRPr="00D01F45" w:rsidRDefault="009A5B6A" w:rsidP="00313182">
            <w:pPr>
              <w:pStyle w:val="TableText0"/>
              <w:keepNext w:val="0"/>
              <w:widowControl w:val="0"/>
            </w:pPr>
            <w:r w:rsidRPr="00D01F45">
              <w:t>Yr 4: 3,534</w:t>
            </w:r>
          </w:p>
          <w:p w14:paraId="40D814C3" w14:textId="77777777" w:rsidR="009A5B6A" w:rsidRPr="00D01F45" w:rsidRDefault="009A5B6A" w:rsidP="00313182">
            <w:pPr>
              <w:pStyle w:val="TableText0"/>
              <w:keepNext w:val="0"/>
              <w:widowControl w:val="0"/>
            </w:pPr>
            <w:r w:rsidRPr="00D01F45">
              <w:t>Yr 5: 3,714</w:t>
            </w:r>
          </w:p>
          <w:p w14:paraId="3CA148E5" w14:textId="77777777" w:rsidR="009A5B6A" w:rsidRPr="00D01F45" w:rsidRDefault="009A5B6A" w:rsidP="00313182">
            <w:pPr>
              <w:pStyle w:val="TableText0"/>
              <w:keepNext w:val="0"/>
              <w:widowControl w:val="0"/>
            </w:pPr>
            <w:r w:rsidRPr="00D01F45">
              <w:t>Yr 6: 3,903</w:t>
            </w:r>
          </w:p>
        </w:tc>
        <w:tc>
          <w:tcPr>
            <w:tcW w:w="1984" w:type="dxa"/>
            <w:vAlign w:val="center"/>
          </w:tcPr>
          <w:p w14:paraId="12763AAF" w14:textId="18EAF5CD" w:rsidR="009A5B6A" w:rsidRPr="00D01F45" w:rsidRDefault="009A5B6A" w:rsidP="00313182">
            <w:pPr>
              <w:pStyle w:val="TableText0"/>
              <w:keepNext w:val="0"/>
              <w:widowControl w:val="0"/>
            </w:pPr>
            <w:r w:rsidRPr="00D01F45">
              <w:t>Weintraub 2018</w:t>
            </w:r>
            <w:r w:rsidRPr="00D01F45">
              <w:rPr>
                <w:rStyle w:val="FootnoteReference"/>
              </w:rPr>
              <w:footnoteReference w:id="9"/>
            </w:r>
          </w:p>
        </w:tc>
        <w:tc>
          <w:tcPr>
            <w:tcW w:w="3351" w:type="dxa"/>
            <w:vAlign w:val="center"/>
          </w:tcPr>
          <w:p w14:paraId="5CB5F59C" w14:textId="77777777" w:rsidR="009A5B6A" w:rsidRPr="00D01F45" w:rsidRDefault="009A5B6A" w:rsidP="00313182">
            <w:pPr>
              <w:pStyle w:val="TableText0"/>
              <w:keepNext w:val="0"/>
              <w:widowControl w:val="0"/>
            </w:pPr>
            <w:r w:rsidRPr="00D01F45">
              <w:t>The prevalence of cognitive impairment in PD patients ranges between 9% and 64%.</w:t>
            </w:r>
            <w:r w:rsidRPr="00D01F45">
              <w:rPr>
                <w:rStyle w:val="FootnoteReference"/>
              </w:rPr>
              <w:footnoteReference w:id="10"/>
            </w:r>
            <w:r w:rsidRPr="00D01F45">
              <w:t xml:space="preserve"> Thus, excluding 40% of patients for treatment with LCIG or FosLD/FosCD falls within a reasonable range but remains highly uncertain. </w:t>
            </w:r>
          </w:p>
        </w:tc>
      </w:tr>
      <w:tr w:rsidR="00061304" w:rsidRPr="00D01F45" w14:paraId="54B40E9B" w14:textId="77777777" w:rsidTr="001B45C7">
        <w:trPr>
          <w:cantSplit/>
        </w:trPr>
        <w:tc>
          <w:tcPr>
            <w:tcW w:w="2405" w:type="dxa"/>
            <w:vAlign w:val="center"/>
          </w:tcPr>
          <w:p w14:paraId="431148DC" w14:textId="77777777" w:rsidR="009A5B6A" w:rsidRPr="00D01F45" w:rsidRDefault="009A5B6A" w:rsidP="00313182">
            <w:pPr>
              <w:pStyle w:val="TableText0"/>
              <w:keepNext w:val="0"/>
              <w:widowControl w:val="0"/>
            </w:pPr>
            <w:r w:rsidRPr="00D01F45">
              <w:lastRenderedPageBreak/>
              <w:t>Total patients initiating LCIG</w:t>
            </w:r>
          </w:p>
          <w:p w14:paraId="0924E54F" w14:textId="2B72AB4F" w:rsidR="009A5B6A" w:rsidRPr="00D01F45" w:rsidRDefault="009A5B6A" w:rsidP="00313182">
            <w:pPr>
              <w:pStyle w:val="TableText0"/>
              <w:keepNext w:val="0"/>
              <w:widowControl w:val="0"/>
            </w:pPr>
            <w:r w:rsidRPr="00D01F45">
              <w:t>(</w:t>
            </w:r>
            <w:r w:rsidR="004B6FE2" w:rsidRPr="004B6FE2">
              <w:rPr>
                <w:color w:val="000000"/>
                <w:spacing w:val="53"/>
                <w:shd w:val="solid" w:color="000000" w:fill="000000"/>
                <w:fitText w:val="330" w:id="-930964724"/>
                <w14:textFill>
                  <w14:solidFill>
                    <w14:srgbClr w14:val="000000">
                      <w14:alpha w14:val="100000"/>
                    </w14:srgbClr>
                  </w14:solidFill>
                </w14:textFill>
              </w:rPr>
              <w:t>|||</w:t>
            </w:r>
            <w:r w:rsidR="004B6FE2" w:rsidRPr="004B6FE2">
              <w:rPr>
                <w:color w:val="000000"/>
                <w:spacing w:val="1"/>
                <w:shd w:val="solid" w:color="000000" w:fill="000000"/>
                <w:fitText w:val="330" w:id="-930964724"/>
                <w14:textFill>
                  <w14:solidFill>
                    <w14:srgbClr w14:val="000000">
                      <w14:alpha w14:val="100000"/>
                    </w14:srgbClr>
                  </w14:solidFill>
                </w14:textFill>
              </w:rPr>
              <w:t>|</w:t>
            </w:r>
            <w:r w:rsidRPr="00D01F45">
              <w:t>% of all eligible patients)</w:t>
            </w:r>
          </w:p>
        </w:tc>
        <w:tc>
          <w:tcPr>
            <w:tcW w:w="1276" w:type="dxa"/>
            <w:vAlign w:val="center"/>
          </w:tcPr>
          <w:p w14:paraId="677DC2D1" w14:textId="733B71B8" w:rsidR="009A5B6A" w:rsidRPr="00D01F45" w:rsidRDefault="009A5B6A" w:rsidP="00313182">
            <w:pPr>
              <w:pStyle w:val="TableText0"/>
              <w:keepNext w:val="0"/>
              <w:widowControl w:val="0"/>
            </w:pPr>
            <w:r w:rsidRPr="00D01F45">
              <w:t xml:space="preserve">Yr 1: </w:t>
            </w:r>
            <w:r w:rsidR="004B6FE2" w:rsidRPr="004B6FE2">
              <w:rPr>
                <w:color w:val="000000"/>
                <w:spacing w:val="53"/>
                <w:shd w:val="solid" w:color="000000" w:fill="000000"/>
                <w:fitText w:val="330" w:id="-930964723"/>
                <w14:textFill>
                  <w14:solidFill>
                    <w14:srgbClr w14:val="000000">
                      <w14:alpha w14:val="100000"/>
                    </w14:srgbClr>
                  </w14:solidFill>
                </w14:textFill>
              </w:rPr>
              <w:t>|||</w:t>
            </w:r>
            <w:r w:rsidR="004B6FE2" w:rsidRPr="004B6FE2">
              <w:rPr>
                <w:color w:val="000000"/>
                <w:spacing w:val="1"/>
                <w:shd w:val="solid" w:color="000000" w:fill="000000"/>
                <w:fitText w:val="330" w:id="-930964723"/>
                <w14:textFill>
                  <w14:solidFill>
                    <w14:srgbClr w14:val="000000">
                      <w14:alpha w14:val="100000"/>
                    </w14:srgbClr>
                  </w14:solidFill>
                </w14:textFill>
              </w:rPr>
              <w:t>|</w:t>
            </w:r>
            <w:r w:rsidR="00B15BA1">
              <w:rPr>
                <w:vertAlign w:val="superscript"/>
              </w:rPr>
              <w:t>1</w:t>
            </w:r>
          </w:p>
          <w:p w14:paraId="5EA7B1D4" w14:textId="35DDB9A7" w:rsidR="009A5B6A" w:rsidRPr="00D01F45" w:rsidRDefault="009A5B6A" w:rsidP="00313182">
            <w:pPr>
              <w:pStyle w:val="TableText0"/>
              <w:keepNext w:val="0"/>
              <w:widowControl w:val="0"/>
            </w:pPr>
            <w:r w:rsidRPr="00D01F45">
              <w:t xml:space="preserve">Yr 2: </w:t>
            </w:r>
            <w:r w:rsidR="004B6FE2" w:rsidRPr="004B6FE2">
              <w:rPr>
                <w:color w:val="000000"/>
                <w:spacing w:val="53"/>
                <w:shd w:val="solid" w:color="000000" w:fill="000000"/>
                <w:fitText w:val="330" w:id="-930964722"/>
                <w14:textFill>
                  <w14:solidFill>
                    <w14:srgbClr w14:val="000000">
                      <w14:alpha w14:val="100000"/>
                    </w14:srgbClr>
                  </w14:solidFill>
                </w14:textFill>
              </w:rPr>
              <w:t>|||</w:t>
            </w:r>
            <w:r w:rsidR="004B6FE2" w:rsidRPr="004B6FE2">
              <w:rPr>
                <w:color w:val="000000"/>
                <w:spacing w:val="1"/>
                <w:shd w:val="solid" w:color="000000" w:fill="000000"/>
                <w:fitText w:val="330" w:id="-930964722"/>
                <w14:textFill>
                  <w14:solidFill>
                    <w14:srgbClr w14:val="000000">
                      <w14:alpha w14:val="100000"/>
                    </w14:srgbClr>
                  </w14:solidFill>
                </w14:textFill>
              </w:rPr>
              <w:t>|</w:t>
            </w:r>
            <w:r w:rsidR="00B15BA1">
              <w:rPr>
                <w:vertAlign w:val="superscript"/>
              </w:rPr>
              <w:t>1</w:t>
            </w:r>
          </w:p>
          <w:p w14:paraId="625DED0D" w14:textId="31E5882D" w:rsidR="009A5B6A" w:rsidRPr="00D01F45" w:rsidRDefault="009A5B6A" w:rsidP="00313182">
            <w:pPr>
              <w:pStyle w:val="TableText0"/>
              <w:keepNext w:val="0"/>
              <w:widowControl w:val="0"/>
            </w:pPr>
            <w:r w:rsidRPr="00D01F45">
              <w:t xml:space="preserve">Yr 3: </w:t>
            </w:r>
            <w:r w:rsidR="004B6FE2" w:rsidRPr="004B6FE2">
              <w:rPr>
                <w:color w:val="000000"/>
                <w:spacing w:val="53"/>
                <w:shd w:val="solid" w:color="000000" w:fill="000000"/>
                <w:fitText w:val="330" w:id="-930964721"/>
                <w14:textFill>
                  <w14:solidFill>
                    <w14:srgbClr w14:val="000000">
                      <w14:alpha w14:val="100000"/>
                    </w14:srgbClr>
                  </w14:solidFill>
                </w14:textFill>
              </w:rPr>
              <w:t>|||</w:t>
            </w:r>
            <w:r w:rsidR="004B6FE2" w:rsidRPr="004B6FE2">
              <w:rPr>
                <w:color w:val="000000"/>
                <w:spacing w:val="1"/>
                <w:shd w:val="solid" w:color="000000" w:fill="000000"/>
                <w:fitText w:val="330" w:id="-930964721"/>
                <w14:textFill>
                  <w14:solidFill>
                    <w14:srgbClr w14:val="000000">
                      <w14:alpha w14:val="100000"/>
                    </w14:srgbClr>
                  </w14:solidFill>
                </w14:textFill>
              </w:rPr>
              <w:t>|</w:t>
            </w:r>
            <w:r w:rsidR="00B15BA1">
              <w:rPr>
                <w:vertAlign w:val="superscript"/>
              </w:rPr>
              <w:t>1</w:t>
            </w:r>
          </w:p>
          <w:p w14:paraId="485C0029" w14:textId="70045D78" w:rsidR="009A5B6A" w:rsidRPr="00D01F45" w:rsidRDefault="009A5B6A" w:rsidP="00313182">
            <w:pPr>
              <w:pStyle w:val="TableText0"/>
              <w:keepNext w:val="0"/>
              <w:widowControl w:val="0"/>
            </w:pPr>
            <w:r w:rsidRPr="00D01F45">
              <w:t xml:space="preserve">Yr 4: </w:t>
            </w:r>
            <w:r w:rsidR="004B6FE2" w:rsidRPr="004B6FE2">
              <w:rPr>
                <w:color w:val="000000"/>
                <w:spacing w:val="53"/>
                <w:shd w:val="solid" w:color="000000" w:fill="000000"/>
                <w:fitText w:val="330" w:id="-930964720"/>
                <w14:textFill>
                  <w14:solidFill>
                    <w14:srgbClr w14:val="000000">
                      <w14:alpha w14:val="100000"/>
                    </w14:srgbClr>
                  </w14:solidFill>
                </w14:textFill>
              </w:rPr>
              <w:t>|||</w:t>
            </w:r>
            <w:r w:rsidR="004B6FE2" w:rsidRPr="004B6FE2">
              <w:rPr>
                <w:color w:val="000000"/>
                <w:spacing w:val="1"/>
                <w:shd w:val="solid" w:color="000000" w:fill="000000"/>
                <w:fitText w:val="330" w:id="-930964720"/>
                <w14:textFill>
                  <w14:solidFill>
                    <w14:srgbClr w14:val="000000">
                      <w14:alpha w14:val="100000"/>
                    </w14:srgbClr>
                  </w14:solidFill>
                </w14:textFill>
              </w:rPr>
              <w:t>|</w:t>
            </w:r>
            <w:r w:rsidR="00B15BA1">
              <w:rPr>
                <w:vertAlign w:val="superscript"/>
              </w:rPr>
              <w:t>1</w:t>
            </w:r>
          </w:p>
          <w:p w14:paraId="0C7F0914" w14:textId="703BEC2C" w:rsidR="009A5B6A" w:rsidRPr="00D01F45" w:rsidRDefault="009A5B6A" w:rsidP="00313182">
            <w:pPr>
              <w:pStyle w:val="TableText0"/>
              <w:keepNext w:val="0"/>
              <w:widowControl w:val="0"/>
            </w:pPr>
            <w:r w:rsidRPr="00D01F45">
              <w:t xml:space="preserve">Yr 5: </w:t>
            </w:r>
            <w:r w:rsidR="004B6FE2" w:rsidRPr="004B6FE2">
              <w:rPr>
                <w:color w:val="000000"/>
                <w:spacing w:val="53"/>
                <w:shd w:val="solid" w:color="000000" w:fill="000000"/>
                <w:fitText w:val="330" w:id="-930964736"/>
                <w14:textFill>
                  <w14:solidFill>
                    <w14:srgbClr w14:val="000000">
                      <w14:alpha w14:val="100000"/>
                    </w14:srgbClr>
                  </w14:solidFill>
                </w14:textFill>
              </w:rPr>
              <w:t>|||</w:t>
            </w:r>
            <w:r w:rsidR="004B6FE2" w:rsidRPr="004B6FE2">
              <w:rPr>
                <w:color w:val="000000"/>
                <w:spacing w:val="1"/>
                <w:shd w:val="solid" w:color="000000" w:fill="000000"/>
                <w:fitText w:val="330" w:id="-930964736"/>
                <w14:textFill>
                  <w14:solidFill>
                    <w14:srgbClr w14:val="000000">
                      <w14:alpha w14:val="100000"/>
                    </w14:srgbClr>
                  </w14:solidFill>
                </w14:textFill>
              </w:rPr>
              <w:t>|</w:t>
            </w:r>
            <w:r w:rsidR="00B15BA1">
              <w:rPr>
                <w:vertAlign w:val="superscript"/>
              </w:rPr>
              <w:t>1</w:t>
            </w:r>
          </w:p>
          <w:p w14:paraId="008BF220" w14:textId="6CC7ABA9" w:rsidR="009A5B6A" w:rsidRPr="00D01F45" w:rsidRDefault="009A5B6A" w:rsidP="00313182">
            <w:pPr>
              <w:pStyle w:val="TableText0"/>
              <w:keepNext w:val="0"/>
              <w:widowControl w:val="0"/>
            </w:pPr>
            <w:r w:rsidRPr="00D01F45">
              <w:t xml:space="preserve">Yr 6: </w:t>
            </w:r>
            <w:r w:rsidR="004B6FE2" w:rsidRPr="004B6FE2">
              <w:rPr>
                <w:color w:val="000000"/>
                <w:spacing w:val="53"/>
                <w:shd w:val="solid" w:color="000000" w:fill="000000"/>
                <w:fitText w:val="330" w:id="-930964735"/>
                <w14:textFill>
                  <w14:solidFill>
                    <w14:srgbClr w14:val="000000">
                      <w14:alpha w14:val="100000"/>
                    </w14:srgbClr>
                  </w14:solidFill>
                </w14:textFill>
              </w:rPr>
              <w:t>|||</w:t>
            </w:r>
            <w:r w:rsidR="004B6FE2" w:rsidRPr="004B6FE2">
              <w:rPr>
                <w:color w:val="000000"/>
                <w:spacing w:val="1"/>
                <w:shd w:val="solid" w:color="000000" w:fill="000000"/>
                <w:fitText w:val="330" w:id="-930964735"/>
                <w14:textFill>
                  <w14:solidFill>
                    <w14:srgbClr w14:val="000000">
                      <w14:alpha w14:val="100000"/>
                    </w14:srgbClr>
                  </w14:solidFill>
                </w14:textFill>
              </w:rPr>
              <w:t>|</w:t>
            </w:r>
            <w:r w:rsidR="00B15BA1">
              <w:rPr>
                <w:vertAlign w:val="superscript"/>
              </w:rPr>
              <w:t>1</w:t>
            </w:r>
          </w:p>
        </w:tc>
        <w:tc>
          <w:tcPr>
            <w:tcW w:w="1984" w:type="dxa"/>
            <w:vAlign w:val="center"/>
          </w:tcPr>
          <w:p w14:paraId="13D46F66" w14:textId="02623FDA" w:rsidR="009A5B6A" w:rsidRPr="00D01F45" w:rsidRDefault="009A5B6A" w:rsidP="00313182">
            <w:pPr>
              <w:pStyle w:val="TableText0"/>
              <w:keepNext w:val="0"/>
              <w:widowControl w:val="0"/>
            </w:pPr>
            <w:r w:rsidRPr="00D01F45">
              <w:t>Based on ‘commercial insights’ of the average LCIG initiation rate between 2018 and 2022.</w:t>
            </w:r>
          </w:p>
        </w:tc>
        <w:tc>
          <w:tcPr>
            <w:tcW w:w="3351" w:type="dxa"/>
            <w:vAlign w:val="center"/>
          </w:tcPr>
          <w:p w14:paraId="57C25141" w14:textId="0A918C75" w:rsidR="009A5B6A" w:rsidRPr="00D01F45" w:rsidRDefault="009A5B6A" w:rsidP="00313182">
            <w:pPr>
              <w:pStyle w:val="TableText0"/>
              <w:keepNext w:val="0"/>
              <w:widowControl w:val="0"/>
            </w:pPr>
            <w:r w:rsidRPr="00D01F45">
              <w:t>This was generally comparable with the average growth rate of LCIG use between 2018 and 2022 based on the PBS utilisation data (around 4.75%).</w:t>
            </w:r>
          </w:p>
        </w:tc>
      </w:tr>
      <w:tr w:rsidR="00061304" w:rsidRPr="00D01F45" w14:paraId="4B9219FA" w14:textId="77777777" w:rsidTr="001B45C7">
        <w:trPr>
          <w:cantSplit/>
        </w:trPr>
        <w:tc>
          <w:tcPr>
            <w:tcW w:w="2405" w:type="dxa"/>
            <w:vAlign w:val="center"/>
          </w:tcPr>
          <w:p w14:paraId="1AA12654" w14:textId="77777777" w:rsidR="009A5B6A" w:rsidRPr="00D01F45" w:rsidRDefault="009A5B6A" w:rsidP="00313182">
            <w:pPr>
              <w:pStyle w:val="TableText0"/>
              <w:keepNext w:val="0"/>
              <w:widowControl w:val="0"/>
            </w:pPr>
            <w:r w:rsidRPr="00D01F45">
              <w:t>Grandfathered patients</w:t>
            </w:r>
          </w:p>
        </w:tc>
        <w:tc>
          <w:tcPr>
            <w:tcW w:w="1276" w:type="dxa"/>
            <w:vAlign w:val="center"/>
          </w:tcPr>
          <w:p w14:paraId="33482C13" w14:textId="03559D1B" w:rsidR="009A5B6A" w:rsidRPr="00D01F45" w:rsidRDefault="004B6FE2" w:rsidP="00313182">
            <w:pPr>
              <w:pStyle w:val="TableText0"/>
              <w:keepNext w:val="0"/>
              <w:widowControl w:val="0"/>
            </w:pPr>
            <w:r w:rsidRPr="004B6FE2">
              <w:rPr>
                <w:color w:val="000000"/>
                <w:spacing w:val="53"/>
                <w:shd w:val="solid" w:color="000000" w:fill="000000"/>
                <w:fitText w:val="330" w:id="-930964734"/>
                <w14:textFill>
                  <w14:solidFill>
                    <w14:srgbClr w14:val="000000">
                      <w14:alpha w14:val="100000"/>
                    </w14:srgbClr>
                  </w14:solidFill>
                </w14:textFill>
              </w:rPr>
              <w:t>|||</w:t>
            </w:r>
            <w:r w:rsidRPr="004B6FE2">
              <w:rPr>
                <w:color w:val="000000"/>
                <w:spacing w:val="1"/>
                <w:shd w:val="solid" w:color="000000" w:fill="000000"/>
                <w:fitText w:val="330" w:id="-930964734"/>
                <w14:textFill>
                  <w14:solidFill>
                    <w14:srgbClr w14:val="000000">
                      <w14:alpha w14:val="100000"/>
                    </w14:srgbClr>
                  </w14:solidFill>
                </w14:textFill>
              </w:rPr>
              <w:t>|</w:t>
            </w:r>
            <w:r w:rsidR="00F5486A">
              <w:rPr>
                <w:vertAlign w:val="superscript"/>
              </w:rPr>
              <w:t>1</w:t>
            </w:r>
            <w:r w:rsidR="009A5B6A" w:rsidRPr="00D01F45">
              <w:t xml:space="preserve"> </w:t>
            </w:r>
          </w:p>
        </w:tc>
        <w:tc>
          <w:tcPr>
            <w:tcW w:w="1984" w:type="dxa"/>
            <w:vAlign w:val="center"/>
          </w:tcPr>
          <w:p w14:paraId="72CF9A48" w14:textId="60859AB3" w:rsidR="009A5B6A" w:rsidRPr="00D01F45" w:rsidRDefault="009A5B6A" w:rsidP="00313182">
            <w:pPr>
              <w:pStyle w:val="TableText0"/>
              <w:keepNext w:val="0"/>
              <w:widowControl w:val="0"/>
            </w:pPr>
            <w:r w:rsidRPr="00D01F45">
              <w:t xml:space="preserve">Based on </w:t>
            </w:r>
            <w:r w:rsidR="004B6FE2" w:rsidRPr="004B6FE2">
              <w:rPr>
                <w:color w:val="000000"/>
                <w:spacing w:val="53"/>
                <w:shd w:val="solid" w:color="000000" w:fill="000000"/>
                <w:fitText w:val="330" w:id="-930964733"/>
                <w14:textFill>
                  <w14:solidFill>
                    <w14:srgbClr w14:val="000000">
                      <w14:alpha w14:val="100000"/>
                    </w14:srgbClr>
                  </w14:solidFill>
                </w14:textFill>
              </w:rPr>
              <w:t>|||</w:t>
            </w:r>
            <w:r w:rsidR="004B6FE2" w:rsidRPr="004B6FE2">
              <w:rPr>
                <w:color w:val="000000"/>
                <w:spacing w:val="1"/>
                <w:shd w:val="solid" w:color="000000" w:fill="000000"/>
                <w:fitText w:val="330" w:id="-930964733"/>
                <w14:textFill>
                  <w14:solidFill>
                    <w14:srgbClr w14:val="000000">
                      <w14:alpha w14:val="100000"/>
                    </w14:srgbClr>
                  </w14:solidFill>
                </w14:textFill>
              </w:rPr>
              <w:t>|</w:t>
            </w:r>
            <w:r w:rsidR="00B15BA1">
              <w:rPr>
                <w:vertAlign w:val="superscript"/>
              </w:rPr>
              <w:t>1</w:t>
            </w:r>
            <w:r w:rsidR="00B15BA1" w:rsidRPr="00D01F45">
              <w:t xml:space="preserve"> </w:t>
            </w:r>
            <w:r w:rsidRPr="00D01F45">
              <w:t xml:space="preserve">patients enrolled in the Patient Familiarisation Program and </w:t>
            </w:r>
            <w:r w:rsidR="004B6FE2" w:rsidRPr="004B6FE2">
              <w:rPr>
                <w:color w:val="000000"/>
                <w:spacing w:val="53"/>
                <w:shd w:val="solid" w:color="000000" w:fill="000000"/>
                <w:fitText w:val="330" w:id="-930964732"/>
                <w14:textFill>
                  <w14:solidFill>
                    <w14:srgbClr w14:val="000000">
                      <w14:alpha w14:val="100000"/>
                    </w14:srgbClr>
                  </w14:solidFill>
                </w14:textFill>
              </w:rPr>
              <w:t>|||</w:t>
            </w:r>
            <w:r w:rsidR="004B6FE2" w:rsidRPr="004B6FE2">
              <w:rPr>
                <w:color w:val="000000"/>
                <w:spacing w:val="1"/>
                <w:shd w:val="solid" w:color="000000" w:fill="000000"/>
                <w:fitText w:val="330" w:id="-930964732"/>
                <w14:textFill>
                  <w14:solidFill>
                    <w14:srgbClr w14:val="000000">
                      <w14:alpha w14:val="100000"/>
                    </w14:srgbClr>
                  </w14:solidFill>
                </w14:textFill>
              </w:rPr>
              <w:t>|</w:t>
            </w:r>
            <w:r w:rsidR="00B15BA1">
              <w:rPr>
                <w:vertAlign w:val="superscript"/>
              </w:rPr>
              <w:t>1</w:t>
            </w:r>
            <w:r w:rsidR="00B15BA1" w:rsidRPr="00D01F45">
              <w:t xml:space="preserve"> </w:t>
            </w:r>
            <w:r w:rsidRPr="00D01F45">
              <w:t xml:space="preserve">patients from the long-term extension phase of the FosLD/FosCD trials. </w:t>
            </w:r>
          </w:p>
        </w:tc>
        <w:tc>
          <w:tcPr>
            <w:tcW w:w="3351" w:type="dxa"/>
            <w:vAlign w:val="center"/>
          </w:tcPr>
          <w:p w14:paraId="215EC401" w14:textId="71377D33" w:rsidR="009A5B6A" w:rsidRPr="00D01F45" w:rsidRDefault="009A5B6A" w:rsidP="00313182">
            <w:pPr>
              <w:pStyle w:val="TableText0"/>
              <w:keepNext w:val="0"/>
              <w:widowControl w:val="0"/>
            </w:pPr>
          </w:p>
        </w:tc>
      </w:tr>
      <w:tr w:rsidR="009A5B6A" w14:paraId="4EB127F8" w14:textId="77777777" w:rsidTr="00061304">
        <w:trPr>
          <w:cantSplit/>
        </w:trPr>
        <w:tc>
          <w:tcPr>
            <w:tcW w:w="9016" w:type="dxa"/>
            <w:gridSpan w:val="4"/>
            <w:vAlign w:val="center"/>
          </w:tcPr>
          <w:p w14:paraId="3EFB6DD4" w14:textId="77777777" w:rsidR="009A5B6A" w:rsidRPr="00914C77" w:rsidRDefault="009A5B6A" w:rsidP="00313182">
            <w:pPr>
              <w:pStyle w:val="TableText0"/>
              <w:keepNext w:val="0"/>
              <w:widowControl w:val="0"/>
              <w:rPr>
                <w:b/>
              </w:rPr>
            </w:pPr>
            <w:r w:rsidRPr="00914C77">
              <w:rPr>
                <w:b/>
              </w:rPr>
              <w:t>Treatment utilisation</w:t>
            </w:r>
          </w:p>
        </w:tc>
      </w:tr>
      <w:tr w:rsidR="00061304" w:rsidRPr="00D01F45" w14:paraId="5530762C" w14:textId="77777777" w:rsidTr="001B45C7">
        <w:trPr>
          <w:cantSplit/>
        </w:trPr>
        <w:tc>
          <w:tcPr>
            <w:tcW w:w="2405" w:type="dxa"/>
            <w:vAlign w:val="center"/>
          </w:tcPr>
          <w:p w14:paraId="7D5739A5" w14:textId="77777777" w:rsidR="009A5B6A" w:rsidRPr="00D01F45" w:rsidRDefault="009A5B6A" w:rsidP="00313182">
            <w:pPr>
              <w:pStyle w:val="TableText0"/>
              <w:keepNext w:val="0"/>
              <w:widowControl w:val="0"/>
            </w:pPr>
            <w:r w:rsidRPr="00D01F45">
              <w:t>Uptake rate in the LCIG substitution group</w:t>
            </w:r>
          </w:p>
        </w:tc>
        <w:tc>
          <w:tcPr>
            <w:tcW w:w="1276" w:type="dxa"/>
            <w:vAlign w:val="center"/>
          </w:tcPr>
          <w:p w14:paraId="164B6601" w14:textId="77777777" w:rsidR="009A5B6A" w:rsidRPr="00D01F45" w:rsidRDefault="009A5B6A" w:rsidP="00313182">
            <w:pPr>
              <w:pStyle w:val="TableText0"/>
              <w:keepNext w:val="0"/>
              <w:widowControl w:val="0"/>
            </w:pPr>
            <w:r w:rsidRPr="00D01F45">
              <w:t>Yr 1: 20%</w:t>
            </w:r>
          </w:p>
          <w:p w14:paraId="6594FFF7" w14:textId="77777777" w:rsidR="009A5B6A" w:rsidRPr="00D01F45" w:rsidRDefault="009A5B6A" w:rsidP="00313182">
            <w:pPr>
              <w:pStyle w:val="TableText0"/>
              <w:keepNext w:val="0"/>
              <w:widowControl w:val="0"/>
            </w:pPr>
            <w:r w:rsidRPr="00D01F45">
              <w:t>Yr 2: 40%</w:t>
            </w:r>
          </w:p>
          <w:p w14:paraId="202C8B23" w14:textId="77777777" w:rsidR="009A5B6A" w:rsidRPr="00D01F45" w:rsidRDefault="009A5B6A" w:rsidP="00313182">
            <w:pPr>
              <w:pStyle w:val="TableText0"/>
              <w:keepNext w:val="0"/>
              <w:widowControl w:val="0"/>
            </w:pPr>
            <w:r w:rsidRPr="00D01F45">
              <w:t>Yr 3: 40%</w:t>
            </w:r>
          </w:p>
          <w:p w14:paraId="67E28079" w14:textId="77777777" w:rsidR="009A5B6A" w:rsidRPr="00D01F45" w:rsidRDefault="009A5B6A" w:rsidP="00313182">
            <w:pPr>
              <w:pStyle w:val="TableText0"/>
              <w:keepNext w:val="0"/>
              <w:widowControl w:val="0"/>
            </w:pPr>
            <w:r w:rsidRPr="00D01F45">
              <w:t>Yr 4: 45%</w:t>
            </w:r>
          </w:p>
          <w:p w14:paraId="77679C16" w14:textId="77777777" w:rsidR="009A5B6A" w:rsidRPr="00D01F45" w:rsidRDefault="009A5B6A" w:rsidP="00313182">
            <w:pPr>
              <w:pStyle w:val="TableText0"/>
              <w:keepNext w:val="0"/>
              <w:widowControl w:val="0"/>
            </w:pPr>
            <w:r w:rsidRPr="00D01F45">
              <w:t>Yr 5: 50%</w:t>
            </w:r>
          </w:p>
          <w:p w14:paraId="5CDBFB0A" w14:textId="77777777" w:rsidR="009A5B6A" w:rsidRPr="00D01F45" w:rsidRDefault="009A5B6A" w:rsidP="00313182">
            <w:pPr>
              <w:pStyle w:val="TableText0"/>
              <w:keepNext w:val="0"/>
              <w:widowControl w:val="0"/>
            </w:pPr>
            <w:r w:rsidRPr="00D01F45">
              <w:t>Yr 6: 50%</w:t>
            </w:r>
          </w:p>
        </w:tc>
        <w:tc>
          <w:tcPr>
            <w:tcW w:w="1984" w:type="dxa"/>
            <w:vAlign w:val="center"/>
          </w:tcPr>
          <w:p w14:paraId="7E3AA2FE" w14:textId="77777777" w:rsidR="009A5B6A" w:rsidRPr="00D01F45" w:rsidRDefault="009A5B6A" w:rsidP="00313182">
            <w:pPr>
              <w:pStyle w:val="TableText0"/>
              <w:keepNext w:val="0"/>
              <w:widowControl w:val="0"/>
            </w:pPr>
            <w:r w:rsidRPr="00D01F45">
              <w:t>Assumption</w:t>
            </w:r>
          </w:p>
        </w:tc>
        <w:tc>
          <w:tcPr>
            <w:tcW w:w="3351" w:type="dxa"/>
            <w:vAlign w:val="center"/>
          </w:tcPr>
          <w:p w14:paraId="2A8BEDD9" w14:textId="03902462" w:rsidR="009A5B6A" w:rsidRPr="00D01F45" w:rsidRDefault="009A5B6A" w:rsidP="00313182">
            <w:pPr>
              <w:pStyle w:val="TableText0"/>
              <w:keepNext w:val="0"/>
              <w:widowControl w:val="0"/>
            </w:pPr>
            <w:r w:rsidRPr="00D01F45">
              <w:t>Owing to FosLD/FosCD’s more convenient mode of administration (subcutaneous infusion) compared with LCIG (surgical insertion), the uptake of FosLD/FosCD (50% in year 6) may be an underestimation.</w:t>
            </w:r>
            <w:r w:rsidR="00BD40D6">
              <w:t xml:space="preserve"> </w:t>
            </w:r>
            <w:r w:rsidR="00BD40D6" w:rsidRPr="00B42BBE">
              <w:rPr>
                <w:iCs/>
              </w:rPr>
              <w:t>The ESC noted there may also be a small percentage of patients treated with LCIG who will switch to FosLD/FosCD.</w:t>
            </w:r>
            <w:r w:rsidRPr="00D01F45">
              <w:t xml:space="preserve"> </w:t>
            </w:r>
            <w:r w:rsidR="0054283B">
              <w:t xml:space="preserve">The Pre-PBAC Response stated that consultation with advisory boards stated that switching from LCIG was unlikely, however a small number of patients (&lt;5%) may have PEG tube-associated infections that may warrant switching. </w:t>
            </w:r>
          </w:p>
        </w:tc>
      </w:tr>
      <w:tr w:rsidR="00061304" w:rsidRPr="00D01F45" w14:paraId="4139B069" w14:textId="77777777" w:rsidTr="001B45C7">
        <w:trPr>
          <w:cantSplit/>
        </w:trPr>
        <w:tc>
          <w:tcPr>
            <w:tcW w:w="2405" w:type="dxa"/>
            <w:vAlign w:val="center"/>
          </w:tcPr>
          <w:p w14:paraId="3F3255BE" w14:textId="77777777" w:rsidR="009A5B6A" w:rsidRPr="00D01F45" w:rsidRDefault="009A5B6A" w:rsidP="00313182">
            <w:pPr>
              <w:pStyle w:val="TableText0"/>
              <w:keepNext w:val="0"/>
              <w:widowControl w:val="0"/>
            </w:pPr>
            <w:r w:rsidRPr="00D01F45">
              <w:t>Uptake rate in the non-LCIG substitution group</w:t>
            </w:r>
          </w:p>
        </w:tc>
        <w:tc>
          <w:tcPr>
            <w:tcW w:w="1276" w:type="dxa"/>
            <w:vAlign w:val="center"/>
          </w:tcPr>
          <w:p w14:paraId="0910391C" w14:textId="77777777" w:rsidR="009A5B6A" w:rsidRPr="00D01F45" w:rsidRDefault="009A5B6A" w:rsidP="00313182">
            <w:pPr>
              <w:pStyle w:val="TableText0"/>
              <w:keepNext w:val="0"/>
              <w:widowControl w:val="0"/>
            </w:pPr>
            <w:r w:rsidRPr="00D01F45">
              <w:t>Yr 1: 0.1%</w:t>
            </w:r>
          </w:p>
          <w:p w14:paraId="4E6BADE7" w14:textId="77777777" w:rsidR="009A5B6A" w:rsidRPr="00D01F45" w:rsidRDefault="009A5B6A" w:rsidP="00313182">
            <w:pPr>
              <w:pStyle w:val="TableText0"/>
              <w:keepNext w:val="0"/>
              <w:widowControl w:val="0"/>
            </w:pPr>
            <w:r w:rsidRPr="00D01F45">
              <w:t>Yr 2: 0.5%</w:t>
            </w:r>
          </w:p>
          <w:p w14:paraId="13FB62BE" w14:textId="77777777" w:rsidR="009A5B6A" w:rsidRPr="00D01F45" w:rsidRDefault="009A5B6A" w:rsidP="00313182">
            <w:pPr>
              <w:pStyle w:val="TableText0"/>
              <w:keepNext w:val="0"/>
              <w:widowControl w:val="0"/>
            </w:pPr>
            <w:r w:rsidRPr="00D01F45">
              <w:t>Yr 3: 1.5%</w:t>
            </w:r>
          </w:p>
          <w:p w14:paraId="2E07D51D" w14:textId="77777777" w:rsidR="009A5B6A" w:rsidRPr="00D01F45" w:rsidRDefault="009A5B6A" w:rsidP="00313182">
            <w:pPr>
              <w:pStyle w:val="TableText0"/>
              <w:keepNext w:val="0"/>
              <w:widowControl w:val="0"/>
            </w:pPr>
            <w:r w:rsidRPr="00D01F45">
              <w:t>Yr 4: 3.5%</w:t>
            </w:r>
          </w:p>
          <w:p w14:paraId="7D8774F3" w14:textId="77777777" w:rsidR="009A5B6A" w:rsidRPr="00D01F45" w:rsidRDefault="009A5B6A" w:rsidP="00313182">
            <w:pPr>
              <w:pStyle w:val="TableText0"/>
              <w:keepNext w:val="0"/>
              <w:widowControl w:val="0"/>
            </w:pPr>
            <w:r w:rsidRPr="00D01F45">
              <w:t>Yr 5: 4.5%</w:t>
            </w:r>
          </w:p>
          <w:p w14:paraId="509E900D" w14:textId="77777777" w:rsidR="009A5B6A" w:rsidRPr="00D01F45" w:rsidRDefault="009A5B6A" w:rsidP="00313182">
            <w:pPr>
              <w:pStyle w:val="TableText0"/>
              <w:keepNext w:val="0"/>
              <w:widowControl w:val="0"/>
            </w:pPr>
            <w:r w:rsidRPr="00D01F45">
              <w:t>Yr 6: 5.0%</w:t>
            </w:r>
          </w:p>
        </w:tc>
        <w:tc>
          <w:tcPr>
            <w:tcW w:w="1984" w:type="dxa"/>
            <w:vAlign w:val="center"/>
          </w:tcPr>
          <w:p w14:paraId="6E0933A3" w14:textId="77777777" w:rsidR="009A5B6A" w:rsidRPr="00D01F45" w:rsidRDefault="009A5B6A" w:rsidP="00313182">
            <w:pPr>
              <w:pStyle w:val="TableText0"/>
              <w:keepNext w:val="0"/>
              <w:widowControl w:val="0"/>
            </w:pPr>
            <w:r w:rsidRPr="00D01F45">
              <w:t>Assumption</w:t>
            </w:r>
          </w:p>
        </w:tc>
        <w:tc>
          <w:tcPr>
            <w:tcW w:w="3351" w:type="dxa"/>
            <w:vAlign w:val="center"/>
          </w:tcPr>
          <w:p w14:paraId="720EEA26" w14:textId="221C3A02" w:rsidR="009A5B6A" w:rsidRPr="00D01F45" w:rsidRDefault="009A5B6A" w:rsidP="00313182">
            <w:pPr>
              <w:pStyle w:val="TableText0"/>
              <w:keepNext w:val="0"/>
              <w:widowControl w:val="0"/>
            </w:pPr>
            <w:r w:rsidRPr="00D01F45">
              <w:t xml:space="preserve">These estimates </w:t>
            </w:r>
            <w:r w:rsidR="00131C26">
              <w:t>we</w:t>
            </w:r>
            <w:r w:rsidRPr="00D01F45">
              <w:t xml:space="preserve">re based on </w:t>
            </w:r>
            <w:r w:rsidR="00131C26">
              <w:t>the sponsor’s</w:t>
            </w:r>
            <w:r w:rsidRPr="00D01F45">
              <w:t xml:space="preserve"> commercial insights and are highly uncertain. </w:t>
            </w:r>
            <w:r w:rsidR="00842FCF">
              <w:t>During the evaluation it was noted that i</w:t>
            </w:r>
            <w:r w:rsidRPr="00D01F45">
              <w:t xml:space="preserve">f FosLD/FosCD is perceived to be less invasive, uptake in patients receiving oral therapies who were unwilling to receive LCIG may be substantially higher. </w:t>
            </w:r>
            <w:r w:rsidR="00842FCF">
              <w:t xml:space="preserve">The PBAC considered the </w:t>
            </w:r>
            <w:r w:rsidR="008035C0">
              <w:t>uptake in this patient population to be uncertain, and AEs such as hallucinations may temper uptake.</w:t>
            </w:r>
          </w:p>
        </w:tc>
      </w:tr>
      <w:tr w:rsidR="00061304" w:rsidRPr="00D01F45" w14:paraId="0E7FAA85" w14:textId="77777777" w:rsidTr="001B45C7">
        <w:trPr>
          <w:cantSplit/>
        </w:trPr>
        <w:tc>
          <w:tcPr>
            <w:tcW w:w="2405" w:type="dxa"/>
            <w:vAlign w:val="center"/>
          </w:tcPr>
          <w:p w14:paraId="5D3188AE" w14:textId="77777777" w:rsidR="009A5B6A" w:rsidRPr="00D01F45" w:rsidRDefault="009A5B6A" w:rsidP="00313182">
            <w:pPr>
              <w:pStyle w:val="TableText0"/>
              <w:keepNext w:val="0"/>
              <w:widowControl w:val="0"/>
              <w:rPr>
                <w:b/>
                <w:bCs w:val="0"/>
              </w:rPr>
            </w:pPr>
            <w:r w:rsidRPr="00D01F45">
              <w:rPr>
                <w:b/>
                <w:bCs w:val="0"/>
              </w:rPr>
              <w:t>Treatment continuation</w:t>
            </w:r>
          </w:p>
          <w:p w14:paraId="50556190" w14:textId="77777777" w:rsidR="009A5B6A" w:rsidRPr="00D01F45" w:rsidRDefault="009A5B6A" w:rsidP="00313182">
            <w:pPr>
              <w:pStyle w:val="TableText0"/>
              <w:keepNext w:val="0"/>
              <w:widowControl w:val="0"/>
            </w:pPr>
          </w:p>
          <w:p w14:paraId="10A6A3D8" w14:textId="77777777" w:rsidR="00E967E8" w:rsidRDefault="009A5B6A" w:rsidP="00313182">
            <w:pPr>
              <w:pStyle w:val="TableText0"/>
              <w:keepNext w:val="0"/>
              <w:widowControl w:val="0"/>
            </w:pPr>
            <w:r w:rsidRPr="00D01F45">
              <w:t>LCIG patients</w:t>
            </w:r>
          </w:p>
          <w:p w14:paraId="0E4100D3" w14:textId="4862C830" w:rsidR="009A5B6A" w:rsidRPr="00D01F45" w:rsidRDefault="009A5B6A" w:rsidP="00313182">
            <w:pPr>
              <w:pStyle w:val="TableText0"/>
              <w:keepNext w:val="0"/>
              <w:widowControl w:val="0"/>
            </w:pPr>
          </w:p>
          <w:p w14:paraId="63628524" w14:textId="77777777" w:rsidR="00E967E8" w:rsidRDefault="009A5B6A" w:rsidP="00313182">
            <w:pPr>
              <w:pStyle w:val="TableText0"/>
              <w:keepNext w:val="0"/>
              <w:widowControl w:val="0"/>
            </w:pPr>
            <w:r w:rsidRPr="00D01F45">
              <w:t>FosLD/FosCD patients</w:t>
            </w:r>
          </w:p>
          <w:p w14:paraId="3E4377EF" w14:textId="63E8571B" w:rsidR="009A5B6A" w:rsidRPr="00D01F45" w:rsidRDefault="009A5B6A" w:rsidP="00313182">
            <w:pPr>
              <w:pStyle w:val="TableText0"/>
              <w:keepNext w:val="0"/>
              <w:widowControl w:val="0"/>
            </w:pPr>
          </w:p>
          <w:p w14:paraId="3D5CE391" w14:textId="77777777" w:rsidR="009A5B6A" w:rsidRPr="00D01F45" w:rsidRDefault="009A5B6A" w:rsidP="00313182">
            <w:pPr>
              <w:pStyle w:val="TableText0"/>
              <w:keepNext w:val="0"/>
              <w:widowControl w:val="0"/>
            </w:pPr>
          </w:p>
          <w:p w14:paraId="2F93000D" w14:textId="77777777" w:rsidR="009A5B6A" w:rsidRPr="00D01F45" w:rsidRDefault="009A5B6A" w:rsidP="00313182">
            <w:pPr>
              <w:pStyle w:val="TableText0"/>
              <w:keepNext w:val="0"/>
              <w:widowControl w:val="0"/>
            </w:pPr>
            <w:r w:rsidRPr="00D01F45">
              <w:t xml:space="preserve">Grandfathered patients </w:t>
            </w:r>
          </w:p>
        </w:tc>
        <w:tc>
          <w:tcPr>
            <w:tcW w:w="1276" w:type="dxa"/>
            <w:vAlign w:val="center"/>
          </w:tcPr>
          <w:p w14:paraId="3575CC6A" w14:textId="77777777" w:rsidR="009A5B6A" w:rsidRPr="00D01F45" w:rsidRDefault="009A5B6A" w:rsidP="00313182">
            <w:pPr>
              <w:pStyle w:val="TableText0"/>
              <w:keepNext w:val="0"/>
              <w:widowControl w:val="0"/>
            </w:pPr>
          </w:p>
          <w:p w14:paraId="032FC23F" w14:textId="77777777" w:rsidR="009A5B6A" w:rsidRPr="00D01F45" w:rsidRDefault="009A5B6A" w:rsidP="00313182">
            <w:pPr>
              <w:pStyle w:val="TableText0"/>
              <w:keepNext w:val="0"/>
              <w:widowControl w:val="0"/>
            </w:pPr>
          </w:p>
          <w:p w14:paraId="2980EEA7" w14:textId="77777777" w:rsidR="00E967E8" w:rsidRDefault="009A5B6A" w:rsidP="00313182">
            <w:pPr>
              <w:pStyle w:val="TableText0"/>
              <w:keepNext w:val="0"/>
              <w:widowControl w:val="0"/>
            </w:pPr>
            <w:r w:rsidRPr="00D01F45">
              <w:t>85%</w:t>
            </w:r>
          </w:p>
          <w:p w14:paraId="3D621A03" w14:textId="559AAA37" w:rsidR="009A5B6A" w:rsidRPr="00D01F45" w:rsidRDefault="009A5B6A" w:rsidP="00313182">
            <w:pPr>
              <w:pStyle w:val="TableText0"/>
              <w:keepNext w:val="0"/>
              <w:widowControl w:val="0"/>
            </w:pPr>
          </w:p>
          <w:p w14:paraId="778CA886" w14:textId="77777777" w:rsidR="009A5B6A" w:rsidRPr="00D01F45" w:rsidRDefault="009A5B6A" w:rsidP="00313182">
            <w:pPr>
              <w:pStyle w:val="TableText0"/>
              <w:keepNext w:val="0"/>
              <w:widowControl w:val="0"/>
            </w:pPr>
            <w:r w:rsidRPr="00D01F45">
              <w:t>65% in year 1, 89% in years 2-6</w:t>
            </w:r>
          </w:p>
          <w:p w14:paraId="6A2A08CD" w14:textId="77777777" w:rsidR="009A5B6A" w:rsidRPr="00D01F45" w:rsidRDefault="009A5B6A" w:rsidP="00313182">
            <w:pPr>
              <w:pStyle w:val="TableText0"/>
              <w:keepNext w:val="0"/>
              <w:widowControl w:val="0"/>
            </w:pPr>
          </w:p>
          <w:p w14:paraId="69A07E81" w14:textId="77777777" w:rsidR="009A5B6A" w:rsidRPr="00D01F45" w:rsidRDefault="009A5B6A" w:rsidP="00313182">
            <w:pPr>
              <w:pStyle w:val="TableText0"/>
              <w:keepNext w:val="0"/>
              <w:widowControl w:val="0"/>
            </w:pPr>
            <w:r w:rsidRPr="00D01F45">
              <w:t xml:space="preserve">65% </w:t>
            </w:r>
          </w:p>
        </w:tc>
        <w:tc>
          <w:tcPr>
            <w:tcW w:w="1984" w:type="dxa"/>
            <w:vAlign w:val="center"/>
          </w:tcPr>
          <w:p w14:paraId="4D22197E" w14:textId="77777777" w:rsidR="009A5B6A" w:rsidRPr="00D01F45" w:rsidRDefault="009A5B6A" w:rsidP="00313182">
            <w:pPr>
              <w:pStyle w:val="TableText0"/>
              <w:keepNext w:val="0"/>
              <w:widowControl w:val="0"/>
            </w:pPr>
            <w:r w:rsidRPr="00D01F45">
              <w:t xml:space="preserve">Derived from the M15-736 trial and Olanow 2014 study. </w:t>
            </w:r>
          </w:p>
        </w:tc>
        <w:tc>
          <w:tcPr>
            <w:tcW w:w="3351" w:type="dxa"/>
            <w:vAlign w:val="center"/>
          </w:tcPr>
          <w:p w14:paraId="3038CF91" w14:textId="622CD1EF" w:rsidR="009A5B6A" w:rsidRPr="00D01F45" w:rsidRDefault="009A5B6A" w:rsidP="00313182">
            <w:pPr>
              <w:pStyle w:val="TableText0"/>
              <w:keepNext w:val="0"/>
              <w:widowControl w:val="0"/>
            </w:pPr>
            <w:r w:rsidRPr="00D01F45">
              <w:t xml:space="preserve">While the treatment continuation rates have been derived from the clinical trials for FosLD/FosCD and LCIG, treatment continuation was not an input in the CMA. </w:t>
            </w:r>
            <w:r w:rsidR="00131C26">
              <w:t>T</w:t>
            </w:r>
            <w:r w:rsidRPr="00D01F45">
              <w:t xml:space="preserve">reatment continuation rates across all patients for all years </w:t>
            </w:r>
            <w:r w:rsidR="00131C26">
              <w:t>were</w:t>
            </w:r>
            <w:r w:rsidRPr="00D01F45">
              <w:t xml:space="preserve"> applied in a sensitivity analysis. </w:t>
            </w:r>
          </w:p>
        </w:tc>
      </w:tr>
      <w:tr w:rsidR="00061304" w:rsidRPr="00D01F45" w14:paraId="2FCFB5F8" w14:textId="77777777" w:rsidTr="001B45C7">
        <w:trPr>
          <w:cantSplit/>
        </w:trPr>
        <w:tc>
          <w:tcPr>
            <w:tcW w:w="2405" w:type="dxa"/>
            <w:vAlign w:val="center"/>
          </w:tcPr>
          <w:p w14:paraId="52BD76AC" w14:textId="77777777" w:rsidR="009A5B6A" w:rsidRPr="00D01F45" w:rsidRDefault="009A5B6A" w:rsidP="00313182">
            <w:pPr>
              <w:pStyle w:val="TableText0"/>
              <w:keepNext w:val="0"/>
              <w:widowControl w:val="0"/>
            </w:pPr>
            <w:r w:rsidRPr="00D01F45">
              <w:t>Number treated</w:t>
            </w:r>
          </w:p>
        </w:tc>
        <w:tc>
          <w:tcPr>
            <w:tcW w:w="1276" w:type="dxa"/>
            <w:vAlign w:val="center"/>
          </w:tcPr>
          <w:p w14:paraId="497E93D4" w14:textId="3D83EB7E" w:rsidR="009A5B6A" w:rsidRPr="00D01F45" w:rsidRDefault="009A5B6A" w:rsidP="00313182">
            <w:pPr>
              <w:pStyle w:val="TableText0"/>
              <w:keepNext w:val="0"/>
              <w:widowControl w:val="0"/>
            </w:pPr>
            <w:r w:rsidRPr="00D01F45">
              <w:t xml:space="preserve">Yr 1: </w:t>
            </w:r>
            <w:r w:rsidR="004B6FE2" w:rsidRPr="004B6FE2">
              <w:rPr>
                <w:color w:val="000000"/>
                <w:spacing w:val="53"/>
                <w:shd w:val="solid" w:color="000000" w:fill="000000"/>
                <w:fitText w:val="330" w:id="-930964731"/>
                <w14:textFill>
                  <w14:solidFill>
                    <w14:srgbClr w14:val="000000">
                      <w14:alpha w14:val="100000"/>
                    </w14:srgbClr>
                  </w14:solidFill>
                </w14:textFill>
              </w:rPr>
              <w:t>|||</w:t>
            </w:r>
            <w:r w:rsidR="004B6FE2" w:rsidRPr="004B6FE2">
              <w:rPr>
                <w:color w:val="000000"/>
                <w:spacing w:val="1"/>
                <w:shd w:val="solid" w:color="000000" w:fill="000000"/>
                <w:fitText w:val="330" w:id="-930964731"/>
                <w14:textFill>
                  <w14:solidFill>
                    <w14:srgbClr w14:val="000000">
                      <w14:alpha w14:val="100000"/>
                    </w14:srgbClr>
                  </w14:solidFill>
                </w14:textFill>
              </w:rPr>
              <w:t>|</w:t>
            </w:r>
            <w:r w:rsidR="00F5486A">
              <w:rPr>
                <w:vertAlign w:val="superscript"/>
              </w:rPr>
              <w:t>1</w:t>
            </w:r>
          </w:p>
          <w:p w14:paraId="0075380B" w14:textId="77777777" w:rsidR="00C22D8D" w:rsidRDefault="009A5B6A" w:rsidP="00313182">
            <w:pPr>
              <w:pStyle w:val="TableText0"/>
              <w:keepNext w:val="0"/>
              <w:widowControl w:val="0"/>
              <w:rPr>
                <w:vertAlign w:val="superscript"/>
              </w:rPr>
            </w:pPr>
            <w:r w:rsidRPr="00D01F45">
              <w:t xml:space="preserve">Yr 2: </w:t>
            </w:r>
            <w:r w:rsidR="004B6FE2" w:rsidRPr="00C22D8D">
              <w:rPr>
                <w:color w:val="000000"/>
                <w:spacing w:val="101"/>
                <w:shd w:val="solid" w:color="000000" w:fill="000000"/>
                <w:fitText w:val="330" w:id="-930964730"/>
                <w14:textFill>
                  <w14:solidFill>
                    <w14:srgbClr w14:val="000000">
                      <w14:alpha w14:val="100000"/>
                    </w14:srgbClr>
                  </w14:solidFill>
                </w14:textFill>
              </w:rPr>
              <w:t>||</w:t>
            </w:r>
            <w:r w:rsidR="004B6FE2" w:rsidRPr="00C22D8D">
              <w:rPr>
                <w:color w:val="000000"/>
                <w:spacing w:val="1"/>
                <w:shd w:val="solid" w:color="000000" w:fill="000000"/>
                <w:fitText w:val="330" w:id="-930964730"/>
                <w14:textFill>
                  <w14:solidFill>
                    <w14:srgbClr w14:val="000000">
                      <w14:alpha w14:val="100000"/>
                    </w14:srgbClr>
                  </w14:solidFill>
                </w14:textFill>
              </w:rPr>
              <w:t>|</w:t>
            </w:r>
            <w:r w:rsidR="00F5486A">
              <w:rPr>
                <w:vertAlign w:val="superscript"/>
              </w:rPr>
              <w:t>1</w:t>
            </w:r>
          </w:p>
          <w:p w14:paraId="3E4B47DF" w14:textId="77777777" w:rsidR="00C22D8D" w:rsidRDefault="009A5B6A" w:rsidP="00313182">
            <w:pPr>
              <w:pStyle w:val="TableText0"/>
              <w:keepNext w:val="0"/>
              <w:widowControl w:val="0"/>
              <w:rPr>
                <w:vertAlign w:val="superscript"/>
              </w:rPr>
            </w:pPr>
            <w:r w:rsidRPr="00D01F45">
              <w:t xml:space="preserve">Yr 3: </w:t>
            </w:r>
            <w:r w:rsidR="004B6FE2" w:rsidRPr="004B6FE2">
              <w:rPr>
                <w:color w:val="000000"/>
                <w:spacing w:val="53"/>
                <w:shd w:val="solid" w:color="000000" w:fill="000000"/>
                <w:fitText w:val="330" w:id="-930964728"/>
                <w14:textFill>
                  <w14:solidFill>
                    <w14:srgbClr w14:val="000000">
                      <w14:alpha w14:val="100000"/>
                    </w14:srgbClr>
                  </w14:solidFill>
                </w14:textFill>
              </w:rPr>
              <w:t>|||</w:t>
            </w:r>
            <w:r w:rsidR="004B6FE2" w:rsidRPr="004B6FE2">
              <w:rPr>
                <w:color w:val="000000"/>
                <w:spacing w:val="1"/>
                <w:shd w:val="solid" w:color="000000" w:fill="000000"/>
                <w:fitText w:val="330" w:id="-930964728"/>
                <w14:textFill>
                  <w14:solidFill>
                    <w14:srgbClr w14:val="000000">
                      <w14:alpha w14:val="100000"/>
                    </w14:srgbClr>
                  </w14:solidFill>
                </w14:textFill>
              </w:rPr>
              <w:t>|</w:t>
            </w:r>
            <w:r w:rsidR="00F5486A">
              <w:rPr>
                <w:vertAlign w:val="superscript"/>
              </w:rPr>
              <w:t>1</w:t>
            </w:r>
          </w:p>
          <w:p w14:paraId="4D4D756A" w14:textId="2BF3AD47" w:rsidR="009A5B6A" w:rsidRPr="00D01F45" w:rsidRDefault="009A5B6A" w:rsidP="00313182">
            <w:pPr>
              <w:pStyle w:val="TableText0"/>
              <w:keepNext w:val="0"/>
              <w:widowControl w:val="0"/>
            </w:pPr>
            <w:r w:rsidRPr="00D01F45">
              <w:t xml:space="preserve">Yr 4: </w:t>
            </w:r>
            <w:r w:rsidR="004B6FE2" w:rsidRPr="004B6FE2">
              <w:rPr>
                <w:color w:val="000000"/>
                <w:spacing w:val="53"/>
                <w:shd w:val="solid" w:color="000000" w:fill="000000"/>
                <w:fitText w:val="330" w:id="-930964726"/>
                <w14:textFill>
                  <w14:solidFill>
                    <w14:srgbClr w14:val="000000">
                      <w14:alpha w14:val="100000"/>
                    </w14:srgbClr>
                  </w14:solidFill>
                </w14:textFill>
              </w:rPr>
              <w:t>|||</w:t>
            </w:r>
            <w:r w:rsidR="004B6FE2" w:rsidRPr="004B6FE2">
              <w:rPr>
                <w:color w:val="000000"/>
                <w:spacing w:val="1"/>
                <w:shd w:val="solid" w:color="000000" w:fill="000000"/>
                <w:fitText w:val="330" w:id="-930964726"/>
                <w14:textFill>
                  <w14:solidFill>
                    <w14:srgbClr w14:val="000000">
                      <w14:alpha w14:val="100000"/>
                    </w14:srgbClr>
                  </w14:solidFill>
                </w14:textFill>
              </w:rPr>
              <w:t>|</w:t>
            </w:r>
            <w:r w:rsidR="00F5486A">
              <w:rPr>
                <w:vertAlign w:val="superscript"/>
              </w:rPr>
              <w:t>1</w:t>
            </w:r>
          </w:p>
          <w:p w14:paraId="2F9E4870" w14:textId="0AF4323C" w:rsidR="009A5B6A" w:rsidRPr="00D01F45" w:rsidRDefault="009A5B6A" w:rsidP="00313182">
            <w:pPr>
              <w:pStyle w:val="TableText0"/>
              <w:keepNext w:val="0"/>
              <w:widowControl w:val="0"/>
            </w:pPr>
            <w:r w:rsidRPr="00D01F45">
              <w:t xml:space="preserve">Yr 5: </w:t>
            </w:r>
            <w:r w:rsidR="004B6FE2" w:rsidRPr="004B6FE2">
              <w:rPr>
                <w:color w:val="000000"/>
                <w:spacing w:val="53"/>
                <w:shd w:val="solid" w:color="000000" w:fill="000000"/>
                <w:fitText w:val="330" w:id="-930964725"/>
                <w14:textFill>
                  <w14:solidFill>
                    <w14:srgbClr w14:val="000000">
                      <w14:alpha w14:val="100000"/>
                    </w14:srgbClr>
                  </w14:solidFill>
                </w14:textFill>
              </w:rPr>
              <w:t>|||</w:t>
            </w:r>
            <w:r w:rsidR="004B6FE2" w:rsidRPr="004B6FE2">
              <w:rPr>
                <w:color w:val="000000"/>
                <w:spacing w:val="1"/>
                <w:shd w:val="solid" w:color="000000" w:fill="000000"/>
                <w:fitText w:val="330" w:id="-930964725"/>
                <w14:textFill>
                  <w14:solidFill>
                    <w14:srgbClr w14:val="000000">
                      <w14:alpha w14:val="100000"/>
                    </w14:srgbClr>
                  </w14:solidFill>
                </w14:textFill>
              </w:rPr>
              <w:t>|</w:t>
            </w:r>
            <w:r w:rsidR="00F5486A">
              <w:rPr>
                <w:vertAlign w:val="superscript"/>
              </w:rPr>
              <w:t>2</w:t>
            </w:r>
          </w:p>
          <w:p w14:paraId="664DBDDD" w14:textId="3A324DDF" w:rsidR="009A5B6A" w:rsidRPr="00D01F45" w:rsidRDefault="009A5B6A" w:rsidP="00313182">
            <w:pPr>
              <w:pStyle w:val="TableText0"/>
              <w:keepNext w:val="0"/>
              <w:widowControl w:val="0"/>
            </w:pPr>
            <w:r w:rsidRPr="00D01F45">
              <w:t xml:space="preserve">Yr 6: </w:t>
            </w:r>
            <w:r w:rsidR="004B6FE2" w:rsidRPr="004B6FE2">
              <w:rPr>
                <w:color w:val="000000"/>
                <w:spacing w:val="53"/>
                <w:shd w:val="solid" w:color="000000" w:fill="000000"/>
                <w:fitText w:val="330" w:id="-930964724"/>
                <w14:textFill>
                  <w14:solidFill>
                    <w14:srgbClr w14:val="000000">
                      <w14:alpha w14:val="100000"/>
                    </w14:srgbClr>
                  </w14:solidFill>
                </w14:textFill>
              </w:rPr>
              <w:t>|||</w:t>
            </w:r>
            <w:r w:rsidR="004B6FE2" w:rsidRPr="004B6FE2">
              <w:rPr>
                <w:color w:val="000000"/>
                <w:spacing w:val="1"/>
                <w:shd w:val="solid" w:color="000000" w:fill="000000"/>
                <w:fitText w:val="330" w:id="-930964724"/>
                <w14:textFill>
                  <w14:solidFill>
                    <w14:srgbClr w14:val="000000">
                      <w14:alpha w14:val="100000"/>
                    </w14:srgbClr>
                  </w14:solidFill>
                </w14:textFill>
              </w:rPr>
              <w:t>|</w:t>
            </w:r>
            <w:r w:rsidR="00F5486A">
              <w:rPr>
                <w:vertAlign w:val="superscript"/>
              </w:rPr>
              <w:t>2</w:t>
            </w:r>
          </w:p>
        </w:tc>
        <w:tc>
          <w:tcPr>
            <w:tcW w:w="1984" w:type="dxa"/>
            <w:vAlign w:val="center"/>
          </w:tcPr>
          <w:p w14:paraId="4F79A492" w14:textId="28F70E50" w:rsidR="009A5B6A" w:rsidRPr="00D01F45" w:rsidRDefault="009A5B6A" w:rsidP="00313182">
            <w:pPr>
              <w:pStyle w:val="TableText0"/>
              <w:keepNext w:val="0"/>
              <w:widowControl w:val="0"/>
            </w:pPr>
            <w:r w:rsidRPr="00D01F45">
              <w:t>Based on uptake rates of 20%-50% in the LCIG substitution group and uptake rates of 0.1% - 5.0% in the non-LCIG substitution group.</w:t>
            </w:r>
          </w:p>
        </w:tc>
        <w:tc>
          <w:tcPr>
            <w:tcW w:w="3351" w:type="dxa"/>
            <w:vAlign w:val="center"/>
          </w:tcPr>
          <w:p w14:paraId="08AB545A" w14:textId="1BDE01EF" w:rsidR="009A5B6A" w:rsidRPr="00D01F45" w:rsidRDefault="00FF2AF8" w:rsidP="00313182">
            <w:pPr>
              <w:pStyle w:val="TableText0"/>
              <w:keepNext w:val="0"/>
              <w:widowControl w:val="0"/>
            </w:pPr>
            <w:r>
              <w:t>During the evaluation it was considered the u</w:t>
            </w:r>
            <w:r w:rsidR="009A5B6A" w:rsidRPr="00D01F45">
              <w:t xml:space="preserve">ptake rates in both groups are likely to be an underestimation of the true uptake in practice. </w:t>
            </w:r>
            <w:r w:rsidR="008035C0">
              <w:t>The PBAC considered uptake to be uncertain.</w:t>
            </w:r>
          </w:p>
        </w:tc>
      </w:tr>
      <w:tr w:rsidR="00061304" w:rsidRPr="00D01F45" w14:paraId="3BCA4D2E" w14:textId="77777777" w:rsidTr="001B45C7">
        <w:trPr>
          <w:cantSplit/>
        </w:trPr>
        <w:tc>
          <w:tcPr>
            <w:tcW w:w="2405" w:type="dxa"/>
            <w:vAlign w:val="center"/>
          </w:tcPr>
          <w:p w14:paraId="4E84CA8D" w14:textId="77777777" w:rsidR="009A5B6A" w:rsidRPr="00D01F45" w:rsidRDefault="009A5B6A" w:rsidP="00313182">
            <w:pPr>
              <w:pStyle w:val="TableText0"/>
              <w:keepNext w:val="0"/>
              <w:widowControl w:val="0"/>
            </w:pPr>
            <w:r w:rsidRPr="00D01F45">
              <w:lastRenderedPageBreak/>
              <w:t>Scripts dispensed</w:t>
            </w:r>
          </w:p>
        </w:tc>
        <w:tc>
          <w:tcPr>
            <w:tcW w:w="1276" w:type="dxa"/>
            <w:vAlign w:val="center"/>
          </w:tcPr>
          <w:p w14:paraId="575B6CCC" w14:textId="5FC0EABD" w:rsidR="009A5B6A" w:rsidRPr="00D01F45" w:rsidRDefault="009A5B6A" w:rsidP="00313182">
            <w:pPr>
              <w:pStyle w:val="TableText0"/>
              <w:keepNext w:val="0"/>
              <w:widowControl w:val="0"/>
            </w:pPr>
            <w:r w:rsidRPr="00D01F45">
              <w:t xml:space="preserve">Yr 1: </w:t>
            </w:r>
            <w:r w:rsidR="004B6FE2" w:rsidRPr="004B6FE2">
              <w:rPr>
                <w:color w:val="000000"/>
                <w:spacing w:val="53"/>
                <w:shd w:val="solid" w:color="000000" w:fill="000000"/>
                <w:fitText w:val="330" w:id="-930964723"/>
                <w14:textFill>
                  <w14:solidFill>
                    <w14:srgbClr w14:val="000000">
                      <w14:alpha w14:val="100000"/>
                    </w14:srgbClr>
                  </w14:solidFill>
                </w14:textFill>
              </w:rPr>
              <w:t>|||</w:t>
            </w:r>
            <w:r w:rsidR="004B6FE2" w:rsidRPr="004B6FE2">
              <w:rPr>
                <w:color w:val="000000"/>
                <w:spacing w:val="1"/>
                <w:shd w:val="solid" w:color="000000" w:fill="000000"/>
                <w:fitText w:val="330" w:id="-930964723"/>
                <w14:textFill>
                  <w14:solidFill>
                    <w14:srgbClr w14:val="000000">
                      <w14:alpha w14:val="100000"/>
                    </w14:srgbClr>
                  </w14:solidFill>
                </w14:textFill>
              </w:rPr>
              <w:t>|</w:t>
            </w:r>
            <w:r w:rsidR="00F5486A">
              <w:rPr>
                <w:vertAlign w:val="superscript"/>
              </w:rPr>
              <w:t>2</w:t>
            </w:r>
          </w:p>
          <w:p w14:paraId="6969A553" w14:textId="76BD14F9" w:rsidR="009A5B6A" w:rsidRPr="00D01F45" w:rsidRDefault="009A5B6A" w:rsidP="00313182">
            <w:pPr>
              <w:pStyle w:val="TableText0"/>
              <w:keepNext w:val="0"/>
              <w:widowControl w:val="0"/>
            </w:pPr>
            <w:r w:rsidRPr="00D01F45">
              <w:t xml:space="preserve">Yr 2: </w:t>
            </w:r>
            <w:r w:rsidR="004B6FE2" w:rsidRPr="004B6FE2">
              <w:rPr>
                <w:color w:val="000000"/>
                <w:spacing w:val="53"/>
                <w:shd w:val="solid" w:color="000000" w:fill="000000"/>
                <w:fitText w:val="330" w:id="-930964722"/>
                <w14:textFill>
                  <w14:solidFill>
                    <w14:srgbClr w14:val="000000">
                      <w14:alpha w14:val="100000"/>
                    </w14:srgbClr>
                  </w14:solidFill>
                </w14:textFill>
              </w:rPr>
              <w:t>|||</w:t>
            </w:r>
            <w:r w:rsidR="004B6FE2" w:rsidRPr="004B6FE2">
              <w:rPr>
                <w:color w:val="000000"/>
                <w:spacing w:val="1"/>
                <w:shd w:val="solid" w:color="000000" w:fill="000000"/>
                <w:fitText w:val="330" w:id="-930964722"/>
                <w14:textFill>
                  <w14:solidFill>
                    <w14:srgbClr w14:val="000000">
                      <w14:alpha w14:val="100000"/>
                    </w14:srgbClr>
                  </w14:solidFill>
                </w14:textFill>
              </w:rPr>
              <w:t>|</w:t>
            </w:r>
            <w:r w:rsidR="00F5486A">
              <w:rPr>
                <w:vertAlign w:val="superscript"/>
              </w:rPr>
              <w:t>2</w:t>
            </w:r>
          </w:p>
          <w:p w14:paraId="14F84B7B" w14:textId="121D0683" w:rsidR="009A5B6A" w:rsidRPr="00D01F45" w:rsidRDefault="009A5B6A" w:rsidP="00313182">
            <w:pPr>
              <w:pStyle w:val="TableText0"/>
              <w:keepNext w:val="0"/>
              <w:widowControl w:val="0"/>
            </w:pPr>
            <w:r w:rsidRPr="00D01F45">
              <w:t xml:space="preserve">Yr 3: </w:t>
            </w:r>
            <w:r w:rsidR="004B6FE2" w:rsidRPr="004B6FE2">
              <w:rPr>
                <w:color w:val="000000"/>
                <w:spacing w:val="53"/>
                <w:shd w:val="solid" w:color="000000" w:fill="000000"/>
                <w:fitText w:val="330" w:id="-930964721"/>
                <w14:textFill>
                  <w14:solidFill>
                    <w14:srgbClr w14:val="000000">
                      <w14:alpha w14:val="100000"/>
                    </w14:srgbClr>
                  </w14:solidFill>
                </w14:textFill>
              </w:rPr>
              <w:t>|||</w:t>
            </w:r>
            <w:r w:rsidR="004B6FE2" w:rsidRPr="004B6FE2">
              <w:rPr>
                <w:color w:val="000000"/>
                <w:spacing w:val="1"/>
                <w:shd w:val="solid" w:color="000000" w:fill="000000"/>
                <w:fitText w:val="330" w:id="-930964721"/>
                <w14:textFill>
                  <w14:solidFill>
                    <w14:srgbClr w14:val="000000">
                      <w14:alpha w14:val="100000"/>
                    </w14:srgbClr>
                  </w14:solidFill>
                </w14:textFill>
              </w:rPr>
              <w:t>|</w:t>
            </w:r>
            <w:r w:rsidR="00F5486A">
              <w:rPr>
                <w:vertAlign w:val="superscript"/>
              </w:rPr>
              <w:t>2</w:t>
            </w:r>
          </w:p>
          <w:p w14:paraId="1474577F" w14:textId="2999F369" w:rsidR="009A5B6A" w:rsidRPr="00D01F45" w:rsidRDefault="009A5B6A" w:rsidP="00313182">
            <w:pPr>
              <w:pStyle w:val="TableText0"/>
              <w:keepNext w:val="0"/>
              <w:widowControl w:val="0"/>
            </w:pPr>
            <w:r w:rsidRPr="00D01F45">
              <w:t xml:space="preserve">Yr 4: </w:t>
            </w:r>
            <w:r w:rsidR="004B6FE2" w:rsidRPr="004B6FE2">
              <w:rPr>
                <w:color w:val="000000"/>
                <w:spacing w:val="53"/>
                <w:shd w:val="solid" w:color="000000" w:fill="000000"/>
                <w:fitText w:val="330" w:id="-930964720"/>
                <w14:textFill>
                  <w14:solidFill>
                    <w14:srgbClr w14:val="000000">
                      <w14:alpha w14:val="100000"/>
                    </w14:srgbClr>
                  </w14:solidFill>
                </w14:textFill>
              </w:rPr>
              <w:t>|||</w:t>
            </w:r>
            <w:r w:rsidR="004B6FE2" w:rsidRPr="004B6FE2">
              <w:rPr>
                <w:color w:val="000000"/>
                <w:spacing w:val="1"/>
                <w:shd w:val="solid" w:color="000000" w:fill="000000"/>
                <w:fitText w:val="330" w:id="-930964720"/>
                <w14:textFill>
                  <w14:solidFill>
                    <w14:srgbClr w14:val="000000">
                      <w14:alpha w14:val="100000"/>
                    </w14:srgbClr>
                  </w14:solidFill>
                </w14:textFill>
              </w:rPr>
              <w:t>|</w:t>
            </w:r>
            <w:r w:rsidR="00F5486A">
              <w:rPr>
                <w:vertAlign w:val="superscript"/>
              </w:rPr>
              <w:t>2</w:t>
            </w:r>
          </w:p>
          <w:p w14:paraId="4E4D6440" w14:textId="44CF94BD" w:rsidR="009A5B6A" w:rsidRPr="00D01F45" w:rsidRDefault="009A5B6A" w:rsidP="00313182">
            <w:pPr>
              <w:pStyle w:val="TableText0"/>
              <w:keepNext w:val="0"/>
              <w:widowControl w:val="0"/>
            </w:pPr>
            <w:r w:rsidRPr="00D01F45">
              <w:t xml:space="preserve">Yr 5: </w:t>
            </w:r>
            <w:r w:rsidR="004B6FE2" w:rsidRPr="004B6FE2">
              <w:rPr>
                <w:color w:val="000000"/>
                <w:spacing w:val="53"/>
                <w:shd w:val="solid" w:color="000000" w:fill="000000"/>
                <w:fitText w:val="330" w:id="-930964736"/>
                <w14:textFill>
                  <w14:solidFill>
                    <w14:srgbClr w14:val="000000">
                      <w14:alpha w14:val="100000"/>
                    </w14:srgbClr>
                  </w14:solidFill>
                </w14:textFill>
              </w:rPr>
              <w:t>|||</w:t>
            </w:r>
            <w:r w:rsidR="004B6FE2" w:rsidRPr="004B6FE2">
              <w:rPr>
                <w:color w:val="000000"/>
                <w:spacing w:val="1"/>
                <w:shd w:val="solid" w:color="000000" w:fill="000000"/>
                <w:fitText w:val="330" w:id="-930964736"/>
                <w14:textFill>
                  <w14:solidFill>
                    <w14:srgbClr w14:val="000000">
                      <w14:alpha w14:val="100000"/>
                    </w14:srgbClr>
                  </w14:solidFill>
                </w14:textFill>
              </w:rPr>
              <w:t>|</w:t>
            </w:r>
            <w:r w:rsidR="00F5486A">
              <w:rPr>
                <w:vertAlign w:val="superscript"/>
              </w:rPr>
              <w:t>3</w:t>
            </w:r>
          </w:p>
          <w:p w14:paraId="0A0BBF2C" w14:textId="31E115B1" w:rsidR="009A5B6A" w:rsidRPr="00D01F45" w:rsidRDefault="009A5B6A" w:rsidP="00313182">
            <w:pPr>
              <w:pStyle w:val="TableText0"/>
              <w:keepNext w:val="0"/>
              <w:widowControl w:val="0"/>
            </w:pPr>
            <w:r w:rsidRPr="00D01F45">
              <w:t xml:space="preserve">Yr 6: </w:t>
            </w:r>
            <w:r w:rsidR="004B6FE2" w:rsidRPr="004B6FE2">
              <w:rPr>
                <w:color w:val="000000"/>
                <w:spacing w:val="53"/>
                <w:shd w:val="solid" w:color="000000" w:fill="000000"/>
                <w:fitText w:val="330" w:id="-930964735"/>
                <w14:textFill>
                  <w14:solidFill>
                    <w14:srgbClr w14:val="000000">
                      <w14:alpha w14:val="100000"/>
                    </w14:srgbClr>
                  </w14:solidFill>
                </w14:textFill>
              </w:rPr>
              <w:t>|||</w:t>
            </w:r>
            <w:r w:rsidR="004B6FE2" w:rsidRPr="004B6FE2">
              <w:rPr>
                <w:color w:val="000000"/>
                <w:spacing w:val="1"/>
                <w:shd w:val="solid" w:color="000000" w:fill="000000"/>
                <w:fitText w:val="330" w:id="-930964735"/>
                <w14:textFill>
                  <w14:solidFill>
                    <w14:srgbClr w14:val="000000">
                      <w14:alpha w14:val="100000"/>
                    </w14:srgbClr>
                  </w14:solidFill>
                </w14:textFill>
              </w:rPr>
              <w:t>|</w:t>
            </w:r>
            <w:r w:rsidR="00F5486A">
              <w:rPr>
                <w:vertAlign w:val="superscript"/>
              </w:rPr>
              <w:t>3</w:t>
            </w:r>
          </w:p>
        </w:tc>
        <w:tc>
          <w:tcPr>
            <w:tcW w:w="1984" w:type="dxa"/>
            <w:vAlign w:val="center"/>
          </w:tcPr>
          <w:p w14:paraId="7FB1BF3E" w14:textId="77777777" w:rsidR="009A5B6A" w:rsidRPr="00D01F45" w:rsidRDefault="009A5B6A" w:rsidP="00313182">
            <w:pPr>
              <w:pStyle w:val="TableText0"/>
              <w:keepNext w:val="0"/>
              <w:widowControl w:val="0"/>
            </w:pPr>
            <w:r w:rsidRPr="00D01F45">
              <w:t xml:space="preserve">Based on an average of 1.32 vials per patient per day and 13.04 scripts per patient per year. </w:t>
            </w:r>
          </w:p>
        </w:tc>
        <w:tc>
          <w:tcPr>
            <w:tcW w:w="3351" w:type="dxa"/>
            <w:vAlign w:val="center"/>
          </w:tcPr>
          <w:p w14:paraId="61029991" w14:textId="6C60A3B9" w:rsidR="009A5B6A" w:rsidRPr="00D01F45" w:rsidRDefault="009A5B6A" w:rsidP="00313182">
            <w:pPr>
              <w:pStyle w:val="TableText0"/>
              <w:keepNext w:val="0"/>
              <w:widowControl w:val="0"/>
            </w:pPr>
          </w:p>
        </w:tc>
      </w:tr>
      <w:tr w:rsidR="009A5B6A" w14:paraId="209E7D79" w14:textId="77777777" w:rsidTr="00061304">
        <w:trPr>
          <w:cantSplit/>
        </w:trPr>
        <w:tc>
          <w:tcPr>
            <w:tcW w:w="9016" w:type="dxa"/>
            <w:gridSpan w:val="4"/>
            <w:vAlign w:val="center"/>
          </w:tcPr>
          <w:p w14:paraId="5AFFC111" w14:textId="77777777" w:rsidR="009A5B6A" w:rsidRPr="00CF0F32" w:rsidRDefault="009A5B6A" w:rsidP="00313182">
            <w:pPr>
              <w:pStyle w:val="TableText0"/>
              <w:keepNext w:val="0"/>
              <w:widowControl w:val="0"/>
              <w:rPr>
                <w:b/>
              </w:rPr>
            </w:pPr>
            <w:r w:rsidRPr="00CF0F32">
              <w:rPr>
                <w:b/>
              </w:rPr>
              <w:t>Costs</w:t>
            </w:r>
          </w:p>
        </w:tc>
      </w:tr>
      <w:tr w:rsidR="00061304" w14:paraId="16A92633" w14:textId="77777777" w:rsidTr="001B45C7">
        <w:trPr>
          <w:cantSplit/>
        </w:trPr>
        <w:tc>
          <w:tcPr>
            <w:tcW w:w="2405" w:type="dxa"/>
            <w:vAlign w:val="center"/>
          </w:tcPr>
          <w:p w14:paraId="7B404BB1" w14:textId="77777777" w:rsidR="009A5B6A" w:rsidRPr="00CF0F32" w:rsidRDefault="009A5B6A" w:rsidP="00313182">
            <w:pPr>
              <w:pStyle w:val="TableText0"/>
              <w:keepNext w:val="0"/>
              <w:widowControl w:val="0"/>
            </w:pPr>
            <w:r w:rsidRPr="00CF0F32">
              <w:t>Foslevodopa/Foscarbidopa</w:t>
            </w:r>
          </w:p>
          <w:p w14:paraId="6CA4C31A" w14:textId="77777777" w:rsidR="009A5B6A" w:rsidRPr="00CF0F32" w:rsidRDefault="009A5B6A" w:rsidP="00313182">
            <w:pPr>
              <w:pStyle w:val="TableText0"/>
              <w:keepNext w:val="0"/>
              <w:widowControl w:val="0"/>
            </w:pPr>
          </w:p>
          <w:p w14:paraId="07DDBBC1" w14:textId="77777777" w:rsidR="009A5B6A" w:rsidRPr="00CF0F32" w:rsidRDefault="009A5B6A" w:rsidP="00313182">
            <w:pPr>
              <w:pStyle w:val="TableText0"/>
              <w:keepNext w:val="0"/>
              <w:widowControl w:val="0"/>
            </w:pPr>
            <w:r w:rsidRPr="00CF0F32">
              <w:t>56 vials, General Schedule</w:t>
            </w:r>
          </w:p>
          <w:p w14:paraId="60787F9A" w14:textId="77777777" w:rsidR="009A5B6A" w:rsidRPr="00CF0F32" w:rsidRDefault="009A5B6A" w:rsidP="00313182">
            <w:pPr>
              <w:pStyle w:val="TableText0"/>
              <w:keepNext w:val="0"/>
              <w:widowControl w:val="0"/>
            </w:pPr>
            <w:r w:rsidRPr="00CF0F32">
              <w:t>56 vials, s100 Public</w:t>
            </w:r>
          </w:p>
          <w:p w14:paraId="09C42265" w14:textId="77777777" w:rsidR="009A5B6A" w:rsidRPr="00CF0F32" w:rsidRDefault="009A5B6A" w:rsidP="00313182">
            <w:pPr>
              <w:pStyle w:val="TableText0"/>
              <w:keepNext w:val="0"/>
              <w:widowControl w:val="0"/>
            </w:pPr>
            <w:r w:rsidRPr="00CF0F32">
              <w:t>56 vials, s100 Private</w:t>
            </w:r>
          </w:p>
          <w:p w14:paraId="4468424D" w14:textId="77777777" w:rsidR="009A5B6A" w:rsidRPr="00CF0F32" w:rsidRDefault="009A5B6A" w:rsidP="00313182">
            <w:pPr>
              <w:pStyle w:val="TableText0"/>
              <w:keepNext w:val="0"/>
              <w:widowControl w:val="0"/>
            </w:pPr>
            <w:r w:rsidRPr="00CF0F32">
              <w:t>28 vials, General Schedule</w:t>
            </w:r>
          </w:p>
          <w:p w14:paraId="6EC453FE" w14:textId="77777777" w:rsidR="009A5B6A" w:rsidRPr="00CF0F32" w:rsidRDefault="009A5B6A" w:rsidP="00313182">
            <w:pPr>
              <w:pStyle w:val="TableText0"/>
              <w:keepNext w:val="0"/>
              <w:widowControl w:val="0"/>
            </w:pPr>
            <w:r w:rsidRPr="00CF0F32">
              <w:t>28 vials, s100 Public</w:t>
            </w:r>
          </w:p>
          <w:p w14:paraId="7CD7372C" w14:textId="77777777" w:rsidR="009A5B6A" w:rsidRPr="00CF0F32" w:rsidRDefault="009A5B6A" w:rsidP="00313182">
            <w:pPr>
              <w:pStyle w:val="TableText0"/>
              <w:keepNext w:val="0"/>
              <w:widowControl w:val="0"/>
            </w:pPr>
            <w:r w:rsidRPr="00CF0F32">
              <w:t xml:space="preserve">28 vials, s100 Private </w:t>
            </w:r>
          </w:p>
        </w:tc>
        <w:tc>
          <w:tcPr>
            <w:tcW w:w="1276" w:type="dxa"/>
            <w:vAlign w:val="center"/>
          </w:tcPr>
          <w:p w14:paraId="676C9595" w14:textId="77777777" w:rsidR="009A5B6A" w:rsidRPr="00CF0F32" w:rsidRDefault="009A5B6A" w:rsidP="00313182">
            <w:pPr>
              <w:pStyle w:val="TableText0"/>
              <w:keepNext w:val="0"/>
              <w:widowControl w:val="0"/>
            </w:pPr>
          </w:p>
          <w:p w14:paraId="4BB3660C" w14:textId="77777777" w:rsidR="009A5B6A" w:rsidRPr="00CF0F32" w:rsidRDefault="009A5B6A" w:rsidP="00313182">
            <w:pPr>
              <w:pStyle w:val="TableText0"/>
              <w:keepNext w:val="0"/>
              <w:widowControl w:val="0"/>
            </w:pPr>
          </w:p>
          <w:p w14:paraId="3C5EA9EF" w14:textId="0280F338"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34"/>
                <w14:textFill>
                  <w14:solidFill>
                    <w14:srgbClr w14:val="000000">
                      <w14:alpha w14:val="100000"/>
                    </w14:srgbClr>
                  </w14:solidFill>
                </w14:textFill>
              </w:rPr>
              <w:t>|||</w:t>
            </w:r>
            <w:r w:rsidR="004B6FE2" w:rsidRPr="004B6FE2">
              <w:rPr>
                <w:iCs/>
                <w:color w:val="000000"/>
                <w:spacing w:val="1"/>
                <w:shd w:val="solid" w:color="000000" w:fill="000000"/>
                <w:fitText w:val="330" w:id="-930964734"/>
                <w14:textFill>
                  <w14:solidFill>
                    <w14:srgbClr w14:val="000000">
                      <w14:alpha w14:val="100000"/>
                    </w14:srgbClr>
                  </w14:solidFill>
                </w14:textFill>
              </w:rPr>
              <w:t>|</w:t>
            </w:r>
          </w:p>
          <w:p w14:paraId="16AA0BEB" w14:textId="4C5E1793"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33"/>
                <w14:textFill>
                  <w14:solidFill>
                    <w14:srgbClr w14:val="000000">
                      <w14:alpha w14:val="100000"/>
                    </w14:srgbClr>
                  </w14:solidFill>
                </w14:textFill>
              </w:rPr>
              <w:t>|||</w:t>
            </w:r>
            <w:r w:rsidR="004B6FE2" w:rsidRPr="004B6FE2">
              <w:rPr>
                <w:iCs/>
                <w:color w:val="000000"/>
                <w:spacing w:val="1"/>
                <w:shd w:val="solid" w:color="000000" w:fill="000000"/>
                <w:fitText w:val="330" w:id="-930964733"/>
                <w14:textFill>
                  <w14:solidFill>
                    <w14:srgbClr w14:val="000000">
                      <w14:alpha w14:val="100000"/>
                    </w14:srgbClr>
                  </w14:solidFill>
                </w14:textFill>
              </w:rPr>
              <w:t>|</w:t>
            </w:r>
          </w:p>
          <w:p w14:paraId="149804E6" w14:textId="44FAB618"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32"/>
                <w14:textFill>
                  <w14:solidFill>
                    <w14:srgbClr w14:val="000000">
                      <w14:alpha w14:val="100000"/>
                    </w14:srgbClr>
                  </w14:solidFill>
                </w14:textFill>
              </w:rPr>
              <w:t>|||</w:t>
            </w:r>
            <w:r w:rsidR="004B6FE2" w:rsidRPr="004B6FE2">
              <w:rPr>
                <w:iCs/>
                <w:color w:val="000000"/>
                <w:spacing w:val="1"/>
                <w:shd w:val="solid" w:color="000000" w:fill="000000"/>
                <w:fitText w:val="330" w:id="-930964732"/>
                <w14:textFill>
                  <w14:solidFill>
                    <w14:srgbClr w14:val="000000">
                      <w14:alpha w14:val="100000"/>
                    </w14:srgbClr>
                  </w14:solidFill>
                </w14:textFill>
              </w:rPr>
              <w:t>|</w:t>
            </w:r>
          </w:p>
          <w:p w14:paraId="2700ACD2" w14:textId="0A1EB72B"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31"/>
                <w14:textFill>
                  <w14:solidFill>
                    <w14:srgbClr w14:val="000000">
                      <w14:alpha w14:val="100000"/>
                    </w14:srgbClr>
                  </w14:solidFill>
                </w14:textFill>
              </w:rPr>
              <w:t>|||</w:t>
            </w:r>
            <w:r w:rsidR="004B6FE2" w:rsidRPr="004B6FE2">
              <w:rPr>
                <w:iCs/>
                <w:color w:val="000000"/>
                <w:spacing w:val="1"/>
                <w:shd w:val="solid" w:color="000000" w:fill="000000"/>
                <w:fitText w:val="330" w:id="-930964731"/>
                <w14:textFill>
                  <w14:solidFill>
                    <w14:srgbClr w14:val="000000">
                      <w14:alpha w14:val="100000"/>
                    </w14:srgbClr>
                  </w14:solidFill>
                </w14:textFill>
              </w:rPr>
              <w:t>|</w:t>
            </w:r>
          </w:p>
          <w:p w14:paraId="5FF2AFC8" w14:textId="0FE944C8"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30"/>
                <w14:textFill>
                  <w14:solidFill>
                    <w14:srgbClr w14:val="000000">
                      <w14:alpha w14:val="100000"/>
                    </w14:srgbClr>
                  </w14:solidFill>
                </w14:textFill>
              </w:rPr>
              <w:t>|||</w:t>
            </w:r>
            <w:r w:rsidR="004B6FE2" w:rsidRPr="004B6FE2">
              <w:rPr>
                <w:iCs/>
                <w:color w:val="000000"/>
                <w:spacing w:val="1"/>
                <w:shd w:val="solid" w:color="000000" w:fill="000000"/>
                <w:fitText w:val="330" w:id="-930964730"/>
                <w14:textFill>
                  <w14:solidFill>
                    <w14:srgbClr w14:val="000000">
                      <w14:alpha w14:val="100000"/>
                    </w14:srgbClr>
                  </w14:solidFill>
                </w14:textFill>
              </w:rPr>
              <w:t>|</w:t>
            </w:r>
          </w:p>
          <w:p w14:paraId="7C4E6E09" w14:textId="535494EB" w:rsidR="009A5B6A" w:rsidRPr="00CF0F32" w:rsidRDefault="009A5B6A" w:rsidP="00313182">
            <w:pPr>
              <w:pStyle w:val="TableText0"/>
              <w:keepNext w:val="0"/>
              <w:widowControl w:val="0"/>
            </w:pPr>
            <w:r w:rsidRPr="00B42BBE">
              <w:rPr>
                <w:iCs/>
              </w:rPr>
              <w:t>$</w:t>
            </w:r>
            <w:r w:rsidR="004B6FE2" w:rsidRPr="004B6FE2">
              <w:rPr>
                <w:iCs/>
                <w:color w:val="000000"/>
                <w:spacing w:val="53"/>
                <w:shd w:val="solid" w:color="000000" w:fill="000000"/>
                <w:fitText w:val="330" w:id="-930964729"/>
                <w14:textFill>
                  <w14:solidFill>
                    <w14:srgbClr w14:val="000000">
                      <w14:alpha w14:val="100000"/>
                    </w14:srgbClr>
                  </w14:solidFill>
                </w14:textFill>
              </w:rPr>
              <w:t>|||</w:t>
            </w:r>
            <w:r w:rsidR="004B6FE2" w:rsidRPr="004B6FE2">
              <w:rPr>
                <w:iCs/>
                <w:color w:val="000000"/>
                <w:spacing w:val="1"/>
                <w:shd w:val="solid" w:color="000000" w:fill="000000"/>
                <w:fitText w:val="330" w:id="-930964729"/>
                <w14:textFill>
                  <w14:solidFill>
                    <w14:srgbClr w14:val="000000">
                      <w14:alpha w14:val="100000"/>
                    </w14:srgbClr>
                  </w14:solidFill>
                </w14:textFill>
              </w:rPr>
              <w:t>|</w:t>
            </w:r>
          </w:p>
        </w:tc>
        <w:tc>
          <w:tcPr>
            <w:tcW w:w="1984" w:type="dxa"/>
            <w:vAlign w:val="center"/>
          </w:tcPr>
          <w:p w14:paraId="67E03C10" w14:textId="77777777" w:rsidR="009A5B6A" w:rsidRPr="00CF0F32" w:rsidRDefault="009A5B6A" w:rsidP="00313182">
            <w:pPr>
              <w:pStyle w:val="TableText0"/>
              <w:keepNext w:val="0"/>
              <w:widowControl w:val="0"/>
            </w:pPr>
            <w:r w:rsidRPr="00CF0F32">
              <w:t>Requested effective price</w:t>
            </w:r>
          </w:p>
        </w:tc>
        <w:tc>
          <w:tcPr>
            <w:tcW w:w="3351" w:type="dxa"/>
            <w:vAlign w:val="center"/>
          </w:tcPr>
          <w:p w14:paraId="206D2820" w14:textId="234E0885" w:rsidR="009A5B6A" w:rsidRPr="00CF0F32" w:rsidRDefault="009A5B6A" w:rsidP="00313182">
            <w:pPr>
              <w:pStyle w:val="TableText0"/>
              <w:keepNext w:val="0"/>
              <w:widowControl w:val="0"/>
            </w:pPr>
            <w:r w:rsidRPr="00CF0F32">
              <w:t xml:space="preserve">Derived using a cost-minimisation approach against LCIG. </w:t>
            </w:r>
            <w:r w:rsidR="00D73F00" w:rsidRPr="00B42BBE">
              <w:rPr>
                <w:iCs/>
              </w:rPr>
              <w:t>All prices have been updated based on updated AEMP for LCIG and initiation costs (see para 6.</w:t>
            </w:r>
            <w:r w:rsidR="00E061CF">
              <w:rPr>
                <w:iCs/>
              </w:rPr>
              <w:t>4</w:t>
            </w:r>
            <w:r w:rsidR="00376BB9">
              <w:rPr>
                <w:iCs/>
              </w:rPr>
              <w:t>0 and 6.41</w:t>
            </w:r>
            <w:r w:rsidR="00D73F00" w:rsidRPr="00B42BBE">
              <w:rPr>
                <w:iCs/>
              </w:rPr>
              <w:t>)</w:t>
            </w:r>
            <w:r w:rsidR="00CE58C5">
              <w:rPr>
                <w:iCs/>
              </w:rPr>
              <w:t>, but not updated using the revised price proposed in the Pre-PBAC Response</w:t>
            </w:r>
            <w:r w:rsidR="00E061CF">
              <w:rPr>
                <w:iCs/>
              </w:rPr>
              <w:t xml:space="preserve"> (see para 6.4</w:t>
            </w:r>
            <w:r w:rsidR="00DC7723">
              <w:rPr>
                <w:iCs/>
              </w:rPr>
              <w:t>6</w:t>
            </w:r>
            <w:r w:rsidR="00E061CF">
              <w:rPr>
                <w:iCs/>
              </w:rPr>
              <w:t>)</w:t>
            </w:r>
            <w:r w:rsidR="00D73F00" w:rsidRPr="00B42BBE">
              <w:rPr>
                <w:iCs/>
              </w:rPr>
              <w:t>.</w:t>
            </w:r>
            <w:r w:rsidRPr="00B42BBE">
              <w:rPr>
                <w:iCs/>
              </w:rPr>
              <w:t xml:space="preserve"> </w:t>
            </w:r>
          </w:p>
        </w:tc>
      </w:tr>
      <w:tr w:rsidR="00061304" w14:paraId="178C4608" w14:textId="77777777" w:rsidTr="001B45C7">
        <w:trPr>
          <w:cantSplit/>
        </w:trPr>
        <w:tc>
          <w:tcPr>
            <w:tcW w:w="2405" w:type="dxa"/>
            <w:vAlign w:val="center"/>
          </w:tcPr>
          <w:p w14:paraId="722B2C72" w14:textId="77777777" w:rsidR="009A5B6A" w:rsidRDefault="009A5B6A" w:rsidP="00313182">
            <w:pPr>
              <w:pStyle w:val="TableText0"/>
              <w:keepNext w:val="0"/>
              <w:widowControl w:val="0"/>
            </w:pPr>
            <w:r>
              <w:t>LCIG</w:t>
            </w:r>
          </w:p>
          <w:p w14:paraId="7D54FAE9" w14:textId="77777777" w:rsidR="009A5B6A" w:rsidRDefault="009A5B6A" w:rsidP="00313182">
            <w:pPr>
              <w:pStyle w:val="TableText0"/>
              <w:keepNext w:val="0"/>
              <w:widowControl w:val="0"/>
            </w:pPr>
          </w:p>
          <w:p w14:paraId="402AB342" w14:textId="77777777" w:rsidR="009A5B6A" w:rsidRDefault="009A5B6A" w:rsidP="00313182">
            <w:pPr>
              <w:pStyle w:val="TableText0"/>
              <w:keepNext w:val="0"/>
              <w:widowControl w:val="0"/>
            </w:pPr>
            <w:r>
              <w:t>8970D</w:t>
            </w:r>
          </w:p>
          <w:p w14:paraId="412BB322" w14:textId="77777777" w:rsidR="009A5B6A" w:rsidRDefault="009A5B6A" w:rsidP="00313182">
            <w:pPr>
              <w:pStyle w:val="TableText0"/>
              <w:keepNext w:val="0"/>
              <w:widowControl w:val="0"/>
            </w:pPr>
            <w:r>
              <w:t>9743T</w:t>
            </w:r>
          </w:p>
          <w:p w14:paraId="4483F61E" w14:textId="77777777" w:rsidR="009A5B6A" w:rsidRDefault="009A5B6A" w:rsidP="00313182">
            <w:pPr>
              <w:pStyle w:val="TableText0"/>
              <w:keepNext w:val="0"/>
              <w:widowControl w:val="0"/>
            </w:pPr>
            <w:r>
              <w:t>9744W</w:t>
            </w:r>
          </w:p>
          <w:p w14:paraId="1585C3C7" w14:textId="77777777" w:rsidR="009A5B6A" w:rsidRDefault="009A5B6A" w:rsidP="00313182">
            <w:pPr>
              <w:pStyle w:val="TableText0"/>
              <w:keepNext w:val="0"/>
              <w:widowControl w:val="0"/>
            </w:pPr>
            <w:r>
              <w:t>11919H</w:t>
            </w:r>
          </w:p>
          <w:p w14:paraId="47B46BD4" w14:textId="77777777" w:rsidR="009A5B6A" w:rsidRDefault="009A5B6A" w:rsidP="00313182">
            <w:pPr>
              <w:pStyle w:val="TableText0"/>
              <w:keepNext w:val="0"/>
              <w:widowControl w:val="0"/>
            </w:pPr>
            <w:r>
              <w:t>11913B</w:t>
            </w:r>
          </w:p>
          <w:p w14:paraId="6F99893E" w14:textId="77777777" w:rsidR="009A5B6A" w:rsidRDefault="009A5B6A" w:rsidP="00313182">
            <w:pPr>
              <w:pStyle w:val="TableText0"/>
              <w:keepNext w:val="0"/>
              <w:widowControl w:val="0"/>
            </w:pPr>
            <w:r>
              <w:t>11910W</w:t>
            </w:r>
          </w:p>
        </w:tc>
        <w:tc>
          <w:tcPr>
            <w:tcW w:w="1276" w:type="dxa"/>
            <w:vAlign w:val="center"/>
          </w:tcPr>
          <w:p w14:paraId="7032F892" w14:textId="77777777" w:rsidR="009A5B6A" w:rsidRDefault="009A5B6A" w:rsidP="00313182">
            <w:pPr>
              <w:pStyle w:val="TableText0"/>
              <w:keepNext w:val="0"/>
              <w:widowControl w:val="0"/>
            </w:pPr>
          </w:p>
          <w:p w14:paraId="6E76EC5A" w14:textId="77777777" w:rsidR="009A5B6A" w:rsidRDefault="009A5B6A" w:rsidP="00313182">
            <w:pPr>
              <w:pStyle w:val="TableText0"/>
              <w:keepNext w:val="0"/>
              <w:widowControl w:val="0"/>
            </w:pPr>
          </w:p>
          <w:p w14:paraId="63562783" w14:textId="0CAD34FE"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28"/>
                <w14:textFill>
                  <w14:solidFill>
                    <w14:srgbClr w14:val="000000">
                      <w14:alpha w14:val="100000"/>
                    </w14:srgbClr>
                  </w14:solidFill>
                </w14:textFill>
              </w:rPr>
              <w:t>|||</w:t>
            </w:r>
            <w:r w:rsidR="004B6FE2" w:rsidRPr="004B6FE2">
              <w:rPr>
                <w:iCs/>
                <w:color w:val="000000"/>
                <w:spacing w:val="1"/>
                <w:shd w:val="solid" w:color="000000" w:fill="000000"/>
                <w:fitText w:val="330" w:id="-930964728"/>
                <w14:textFill>
                  <w14:solidFill>
                    <w14:srgbClr w14:val="000000">
                      <w14:alpha w14:val="100000"/>
                    </w14:srgbClr>
                  </w14:solidFill>
                </w14:textFill>
              </w:rPr>
              <w:t>|</w:t>
            </w:r>
          </w:p>
          <w:p w14:paraId="7B36BF4D" w14:textId="51A8263E"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27"/>
                <w14:textFill>
                  <w14:solidFill>
                    <w14:srgbClr w14:val="000000">
                      <w14:alpha w14:val="100000"/>
                    </w14:srgbClr>
                  </w14:solidFill>
                </w14:textFill>
              </w:rPr>
              <w:t>|||</w:t>
            </w:r>
            <w:r w:rsidR="004B6FE2" w:rsidRPr="004B6FE2">
              <w:rPr>
                <w:iCs/>
                <w:color w:val="000000"/>
                <w:spacing w:val="1"/>
                <w:shd w:val="solid" w:color="000000" w:fill="000000"/>
                <w:fitText w:val="330" w:id="-930964727"/>
                <w14:textFill>
                  <w14:solidFill>
                    <w14:srgbClr w14:val="000000">
                      <w14:alpha w14:val="100000"/>
                    </w14:srgbClr>
                  </w14:solidFill>
                </w14:textFill>
              </w:rPr>
              <w:t>|</w:t>
            </w:r>
          </w:p>
          <w:p w14:paraId="7E55F0B1" w14:textId="65ED94C6"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26"/>
                <w14:textFill>
                  <w14:solidFill>
                    <w14:srgbClr w14:val="000000">
                      <w14:alpha w14:val="100000"/>
                    </w14:srgbClr>
                  </w14:solidFill>
                </w14:textFill>
              </w:rPr>
              <w:t>|||</w:t>
            </w:r>
            <w:r w:rsidR="004B6FE2" w:rsidRPr="004B6FE2">
              <w:rPr>
                <w:iCs/>
                <w:color w:val="000000"/>
                <w:spacing w:val="1"/>
                <w:shd w:val="solid" w:color="000000" w:fill="000000"/>
                <w:fitText w:val="330" w:id="-930964726"/>
                <w14:textFill>
                  <w14:solidFill>
                    <w14:srgbClr w14:val="000000">
                      <w14:alpha w14:val="100000"/>
                    </w14:srgbClr>
                  </w14:solidFill>
                </w14:textFill>
              </w:rPr>
              <w:t>|</w:t>
            </w:r>
          </w:p>
          <w:p w14:paraId="41FFC317" w14:textId="53118848"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25"/>
                <w14:textFill>
                  <w14:solidFill>
                    <w14:srgbClr w14:val="000000">
                      <w14:alpha w14:val="100000"/>
                    </w14:srgbClr>
                  </w14:solidFill>
                </w14:textFill>
              </w:rPr>
              <w:t>|||</w:t>
            </w:r>
            <w:r w:rsidR="004B6FE2" w:rsidRPr="004B6FE2">
              <w:rPr>
                <w:iCs/>
                <w:color w:val="000000"/>
                <w:spacing w:val="1"/>
                <w:shd w:val="solid" w:color="000000" w:fill="000000"/>
                <w:fitText w:val="330" w:id="-930964725"/>
                <w14:textFill>
                  <w14:solidFill>
                    <w14:srgbClr w14:val="000000">
                      <w14:alpha w14:val="100000"/>
                    </w14:srgbClr>
                  </w14:solidFill>
                </w14:textFill>
              </w:rPr>
              <w:t>|</w:t>
            </w:r>
          </w:p>
          <w:p w14:paraId="0BEC2EE3" w14:textId="282B3C99" w:rsidR="009A5B6A" w:rsidRPr="00B42BBE" w:rsidRDefault="009A5B6A" w:rsidP="00313182">
            <w:pPr>
              <w:pStyle w:val="TableText0"/>
              <w:keepNext w:val="0"/>
              <w:widowControl w:val="0"/>
              <w:rPr>
                <w:iCs/>
              </w:rPr>
            </w:pPr>
            <w:r w:rsidRPr="00B42BBE">
              <w:rPr>
                <w:iCs/>
              </w:rPr>
              <w:t>$</w:t>
            </w:r>
            <w:r w:rsidR="004B6FE2" w:rsidRPr="004B6FE2">
              <w:rPr>
                <w:iCs/>
                <w:color w:val="000000"/>
                <w:spacing w:val="53"/>
                <w:shd w:val="solid" w:color="000000" w:fill="000000"/>
                <w:fitText w:val="330" w:id="-930964724"/>
                <w14:textFill>
                  <w14:solidFill>
                    <w14:srgbClr w14:val="000000">
                      <w14:alpha w14:val="100000"/>
                    </w14:srgbClr>
                  </w14:solidFill>
                </w14:textFill>
              </w:rPr>
              <w:t>|||</w:t>
            </w:r>
            <w:r w:rsidR="004B6FE2" w:rsidRPr="004B6FE2">
              <w:rPr>
                <w:iCs/>
                <w:color w:val="000000"/>
                <w:spacing w:val="1"/>
                <w:shd w:val="solid" w:color="000000" w:fill="000000"/>
                <w:fitText w:val="330" w:id="-930964724"/>
                <w14:textFill>
                  <w14:solidFill>
                    <w14:srgbClr w14:val="000000">
                      <w14:alpha w14:val="100000"/>
                    </w14:srgbClr>
                  </w14:solidFill>
                </w14:textFill>
              </w:rPr>
              <w:t>|</w:t>
            </w:r>
          </w:p>
          <w:p w14:paraId="7ECF72A8" w14:textId="293CE54B" w:rsidR="009A5B6A" w:rsidRDefault="009A5B6A" w:rsidP="00313182">
            <w:pPr>
              <w:pStyle w:val="TableText0"/>
              <w:keepNext w:val="0"/>
              <w:widowControl w:val="0"/>
            </w:pPr>
            <w:r w:rsidRPr="00B42BBE">
              <w:rPr>
                <w:iCs/>
              </w:rPr>
              <w:t>$</w:t>
            </w:r>
            <w:r w:rsidR="004B6FE2" w:rsidRPr="004B6FE2">
              <w:rPr>
                <w:iCs/>
                <w:color w:val="000000"/>
                <w:spacing w:val="53"/>
                <w:shd w:val="solid" w:color="000000" w:fill="000000"/>
                <w:fitText w:val="330" w:id="-930964723"/>
                <w14:textFill>
                  <w14:solidFill>
                    <w14:srgbClr w14:val="000000">
                      <w14:alpha w14:val="100000"/>
                    </w14:srgbClr>
                  </w14:solidFill>
                </w14:textFill>
              </w:rPr>
              <w:t>|||</w:t>
            </w:r>
            <w:r w:rsidR="004B6FE2" w:rsidRPr="004B6FE2">
              <w:rPr>
                <w:iCs/>
                <w:color w:val="000000"/>
                <w:spacing w:val="1"/>
                <w:shd w:val="solid" w:color="000000" w:fill="000000"/>
                <w:fitText w:val="330" w:id="-930964723"/>
                <w14:textFill>
                  <w14:solidFill>
                    <w14:srgbClr w14:val="000000">
                      <w14:alpha w14:val="100000"/>
                    </w14:srgbClr>
                  </w14:solidFill>
                </w14:textFill>
              </w:rPr>
              <w:t>|</w:t>
            </w:r>
          </w:p>
        </w:tc>
        <w:tc>
          <w:tcPr>
            <w:tcW w:w="1984" w:type="dxa"/>
            <w:vAlign w:val="center"/>
          </w:tcPr>
          <w:p w14:paraId="776EA012" w14:textId="5DE7E8B2" w:rsidR="009A5B6A" w:rsidRDefault="009A5B6A" w:rsidP="00313182">
            <w:pPr>
              <w:pStyle w:val="TableText0"/>
              <w:keepNext w:val="0"/>
              <w:widowControl w:val="0"/>
            </w:pPr>
            <w:r>
              <w:t xml:space="preserve">Dispensed prices calculated based on sponsor’s </w:t>
            </w:r>
            <w:r w:rsidR="001E74F3">
              <w:t xml:space="preserve">updated </w:t>
            </w:r>
            <w:r>
              <w:t xml:space="preserve">effective AEMP of </w:t>
            </w:r>
            <w:r w:rsidRPr="004E4977">
              <w:rPr>
                <w:lang w:val="en-US"/>
              </w:rPr>
              <w:t>$</w:t>
            </w:r>
            <w:r w:rsidR="004B6FE2" w:rsidRPr="004B6FE2">
              <w:rPr>
                <w:color w:val="000000"/>
                <w:spacing w:val="53"/>
                <w:shd w:val="solid" w:color="000000" w:fill="000000"/>
                <w:fitText w:val="330" w:id="-930964722"/>
                <w:lang w:val="en-US"/>
                <w14:textFill>
                  <w14:solidFill>
                    <w14:srgbClr w14:val="000000">
                      <w14:alpha w14:val="100000"/>
                    </w14:srgbClr>
                  </w14:solidFill>
                </w14:textFill>
              </w:rPr>
              <w:t>|||</w:t>
            </w:r>
            <w:r w:rsidR="004B6FE2" w:rsidRPr="004B6FE2">
              <w:rPr>
                <w:color w:val="000000"/>
                <w:spacing w:val="1"/>
                <w:shd w:val="solid" w:color="000000" w:fill="000000"/>
                <w:fitText w:val="330" w:id="-930964722"/>
                <w:lang w:val="en-US"/>
                <w14:textFill>
                  <w14:solidFill>
                    <w14:srgbClr w14:val="000000">
                      <w14:alpha w14:val="100000"/>
                    </w14:srgbClr>
                  </w14:solidFill>
                </w14:textFill>
              </w:rPr>
              <w:t>|</w:t>
            </w:r>
            <w:r>
              <w:rPr>
                <w:lang w:val="en-US"/>
              </w:rPr>
              <w:t xml:space="preserve"> per pack of 7 vials</w:t>
            </w:r>
          </w:p>
        </w:tc>
        <w:tc>
          <w:tcPr>
            <w:tcW w:w="3351" w:type="dxa"/>
            <w:vAlign w:val="center"/>
          </w:tcPr>
          <w:p w14:paraId="69FFDB48" w14:textId="275C78CC" w:rsidR="009A5B6A" w:rsidRDefault="00BF2393" w:rsidP="00313182">
            <w:pPr>
              <w:pStyle w:val="TableText0"/>
              <w:keepNext w:val="0"/>
              <w:widowControl w:val="0"/>
            </w:pPr>
            <w:r w:rsidRPr="00B42BBE">
              <w:rPr>
                <w:iCs/>
              </w:rPr>
              <w:t>The</w:t>
            </w:r>
            <w:r w:rsidR="009A5B6A" w:rsidRPr="00B42BBE">
              <w:rPr>
                <w:iCs/>
              </w:rPr>
              <w:t xml:space="preserve"> </w:t>
            </w:r>
            <w:r w:rsidR="001E74F3" w:rsidRPr="00B42BBE">
              <w:rPr>
                <w:iCs/>
              </w:rPr>
              <w:t>AEMP was updated from the</w:t>
            </w:r>
            <w:r w:rsidR="009A5B6A" w:rsidRPr="00B42BBE">
              <w:rPr>
                <w:iCs/>
              </w:rPr>
              <w:t xml:space="preserve"> $</w:t>
            </w:r>
            <w:r w:rsidR="004B6FE2" w:rsidRPr="004B6FE2">
              <w:rPr>
                <w:iCs/>
                <w:color w:val="000000"/>
                <w:spacing w:val="53"/>
                <w:shd w:val="solid" w:color="000000" w:fill="000000"/>
                <w:fitText w:val="330" w:id="-930964721"/>
                <w14:textFill>
                  <w14:solidFill>
                    <w14:srgbClr w14:val="000000">
                      <w14:alpha w14:val="100000"/>
                    </w14:srgbClr>
                  </w14:solidFill>
                </w14:textFill>
              </w:rPr>
              <w:t>|||</w:t>
            </w:r>
            <w:r w:rsidR="004B6FE2" w:rsidRPr="004B6FE2">
              <w:rPr>
                <w:iCs/>
                <w:color w:val="000000"/>
                <w:spacing w:val="1"/>
                <w:shd w:val="solid" w:color="000000" w:fill="000000"/>
                <w:fitText w:val="330" w:id="-930964721"/>
                <w14:textFill>
                  <w14:solidFill>
                    <w14:srgbClr w14:val="000000">
                      <w14:alpha w14:val="100000"/>
                    </w14:srgbClr>
                  </w14:solidFill>
                </w14:textFill>
              </w:rPr>
              <w:t>|</w:t>
            </w:r>
            <w:r w:rsidR="009A5B6A" w:rsidRPr="00B42BBE">
              <w:rPr>
                <w:iCs/>
              </w:rPr>
              <w:t xml:space="preserve"> </w:t>
            </w:r>
            <w:r w:rsidR="001E74F3" w:rsidRPr="00B42BBE">
              <w:rPr>
                <w:iCs/>
              </w:rPr>
              <w:t>used in the submission</w:t>
            </w:r>
            <w:r w:rsidR="009A5B6A" w:rsidRPr="00C95A87">
              <w:t>.</w:t>
            </w:r>
          </w:p>
        </w:tc>
      </w:tr>
      <w:tr w:rsidR="00061304" w14:paraId="36512A95" w14:textId="77777777" w:rsidTr="001B45C7">
        <w:trPr>
          <w:cantSplit/>
        </w:trPr>
        <w:tc>
          <w:tcPr>
            <w:tcW w:w="2405" w:type="dxa"/>
            <w:vAlign w:val="center"/>
          </w:tcPr>
          <w:p w14:paraId="7B675175" w14:textId="77777777" w:rsidR="009A5B6A" w:rsidRDefault="009A5B6A" w:rsidP="00313182">
            <w:pPr>
              <w:pStyle w:val="TableText0"/>
              <w:keepNext w:val="0"/>
              <w:widowControl w:val="0"/>
            </w:pPr>
            <w:r>
              <w:t>Patient co-payment</w:t>
            </w:r>
          </w:p>
        </w:tc>
        <w:tc>
          <w:tcPr>
            <w:tcW w:w="1276" w:type="dxa"/>
            <w:vAlign w:val="center"/>
          </w:tcPr>
          <w:p w14:paraId="45ACEA51" w14:textId="77777777" w:rsidR="009A5B6A" w:rsidRDefault="009A5B6A" w:rsidP="00313182">
            <w:pPr>
              <w:pStyle w:val="TableText0"/>
              <w:keepNext w:val="0"/>
              <w:widowControl w:val="0"/>
            </w:pPr>
            <w:r>
              <w:t>PBS: $8.73</w:t>
            </w:r>
          </w:p>
          <w:p w14:paraId="15A60629" w14:textId="77777777" w:rsidR="009A5B6A" w:rsidRDefault="009A5B6A" w:rsidP="00313182">
            <w:pPr>
              <w:pStyle w:val="TableText0"/>
              <w:keepNext w:val="0"/>
              <w:widowControl w:val="0"/>
            </w:pPr>
            <w:r>
              <w:t>RPBS: $4.00</w:t>
            </w:r>
          </w:p>
        </w:tc>
        <w:tc>
          <w:tcPr>
            <w:tcW w:w="1984" w:type="dxa"/>
            <w:vAlign w:val="center"/>
          </w:tcPr>
          <w:p w14:paraId="1D47197B" w14:textId="77777777" w:rsidR="009A5B6A" w:rsidRDefault="009A5B6A" w:rsidP="00313182">
            <w:pPr>
              <w:pStyle w:val="TableText0"/>
              <w:keepNext w:val="0"/>
              <w:widowControl w:val="0"/>
            </w:pPr>
            <w:r>
              <w:t>PBS statistics for items: 11910W, 11913B, 11919H, 8970D, 9743T, 9744W in calendar year 2022.</w:t>
            </w:r>
          </w:p>
        </w:tc>
        <w:tc>
          <w:tcPr>
            <w:tcW w:w="3351" w:type="dxa"/>
            <w:vAlign w:val="center"/>
          </w:tcPr>
          <w:p w14:paraId="4BA93B34" w14:textId="5275EACA" w:rsidR="009A5B6A" w:rsidRPr="00CF0F32" w:rsidRDefault="009A5B6A" w:rsidP="00313182">
            <w:pPr>
              <w:pStyle w:val="TableText0"/>
              <w:keepNext w:val="0"/>
              <w:widowControl w:val="0"/>
            </w:pPr>
          </w:p>
        </w:tc>
      </w:tr>
      <w:tr w:rsidR="00061304" w14:paraId="41A5D49E" w14:textId="77777777" w:rsidTr="001B45C7">
        <w:trPr>
          <w:cantSplit/>
        </w:trPr>
        <w:tc>
          <w:tcPr>
            <w:tcW w:w="2405" w:type="dxa"/>
            <w:vAlign w:val="center"/>
          </w:tcPr>
          <w:p w14:paraId="62DB7729" w14:textId="77777777" w:rsidR="009A5B6A" w:rsidRDefault="009A5B6A" w:rsidP="00313182">
            <w:pPr>
              <w:pStyle w:val="TableText0"/>
              <w:keepNext w:val="0"/>
              <w:widowControl w:val="0"/>
            </w:pPr>
            <w:r>
              <w:t xml:space="preserve">PBS/RPBS split </w:t>
            </w:r>
          </w:p>
        </w:tc>
        <w:tc>
          <w:tcPr>
            <w:tcW w:w="1276" w:type="dxa"/>
            <w:vAlign w:val="center"/>
          </w:tcPr>
          <w:p w14:paraId="1877425A" w14:textId="77777777" w:rsidR="009A5B6A" w:rsidRDefault="009A5B6A" w:rsidP="00313182">
            <w:pPr>
              <w:pStyle w:val="TableText0"/>
              <w:keepNext w:val="0"/>
              <w:widowControl w:val="0"/>
            </w:pPr>
            <w:r>
              <w:t>PBS: 97.17%</w:t>
            </w:r>
          </w:p>
          <w:p w14:paraId="32394419" w14:textId="77777777" w:rsidR="009A5B6A" w:rsidRDefault="009A5B6A" w:rsidP="00313182">
            <w:pPr>
              <w:pStyle w:val="TableText0"/>
              <w:keepNext w:val="0"/>
              <w:widowControl w:val="0"/>
            </w:pPr>
            <w:r>
              <w:t>RPBS: 2.83%</w:t>
            </w:r>
          </w:p>
        </w:tc>
        <w:tc>
          <w:tcPr>
            <w:tcW w:w="1984" w:type="dxa"/>
            <w:vAlign w:val="center"/>
          </w:tcPr>
          <w:p w14:paraId="59F63EE9" w14:textId="77777777" w:rsidR="009A5B6A" w:rsidRDefault="009A5B6A" w:rsidP="00313182">
            <w:pPr>
              <w:pStyle w:val="TableText0"/>
              <w:keepNext w:val="0"/>
              <w:widowControl w:val="0"/>
            </w:pPr>
            <w:r>
              <w:t xml:space="preserve">PBS statistics for items: 11910W, 11913B, 11919H, 8970D, 9743T, 9744W in calendar year 2022. </w:t>
            </w:r>
          </w:p>
        </w:tc>
        <w:tc>
          <w:tcPr>
            <w:tcW w:w="3351" w:type="dxa"/>
            <w:vAlign w:val="center"/>
          </w:tcPr>
          <w:p w14:paraId="56D84397" w14:textId="10BD2785" w:rsidR="009A5B6A" w:rsidRPr="00CF0F32" w:rsidRDefault="009A5B6A" w:rsidP="00313182">
            <w:pPr>
              <w:pStyle w:val="TableText0"/>
              <w:keepNext w:val="0"/>
              <w:widowControl w:val="0"/>
            </w:pPr>
          </w:p>
        </w:tc>
      </w:tr>
      <w:tr w:rsidR="00061304" w14:paraId="590868A7" w14:textId="77777777" w:rsidTr="001B45C7">
        <w:trPr>
          <w:cantSplit/>
        </w:trPr>
        <w:tc>
          <w:tcPr>
            <w:tcW w:w="2405" w:type="dxa"/>
            <w:vAlign w:val="center"/>
          </w:tcPr>
          <w:p w14:paraId="11DA864C" w14:textId="77777777" w:rsidR="009A5B6A" w:rsidRDefault="009A5B6A" w:rsidP="00313182">
            <w:pPr>
              <w:pStyle w:val="TableText0"/>
              <w:keepNext w:val="0"/>
              <w:widowControl w:val="0"/>
            </w:pPr>
            <w:r>
              <w:t>MBS costs</w:t>
            </w:r>
          </w:p>
          <w:p w14:paraId="075EBD5F" w14:textId="77777777" w:rsidR="009A5B6A" w:rsidRDefault="009A5B6A" w:rsidP="00313182">
            <w:pPr>
              <w:pStyle w:val="TableText0"/>
              <w:keepNext w:val="0"/>
              <w:widowControl w:val="0"/>
            </w:pPr>
            <w:r>
              <w:t xml:space="preserve">(applied to FosLD/FosCD patients) </w:t>
            </w:r>
          </w:p>
        </w:tc>
        <w:tc>
          <w:tcPr>
            <w:tcW w:w="1276" w:type="dxa"/>
            <w:vAlign w:val="center"/>
          </w:tcPr>
          <w:p w14:paraId="58939BFC" w14:textId="3FF9D387" w:rsidR="009A5B6A" w:rsidRDefault="009A5B6A" w:rsidP="00313182">
            <w:pPr>
              <w:pStyle w:val="TableText0"/>
              <w:keepNext w:val="0"/>
              <w:widowControl w:val="0"/>
            </w:pPr>
            <w:r w:rsidRPr="00B42BBE">
              <w:rPr>
                <w:iCs/>
              </w:rPr>
              <w:t>$4</w:t>
            </w:r>
            <w:r w:rsidR="00B4110A" w:rsidRPr="00B42BBE">
              <w:rPr>
                <w:iCs/>
              </w:rPr>
              <w:t>6.15</w:t>
            </w:r>
            <w:r>
              <w:t xml:space="preserve"> per service</w:t>
            </w:r>
          </w:p>
        </w:tc>
        <w:tc>
          <w:tcPr>
            <w:tcW w:w="1984" w:type="dxa"/>
            <w:vAlign w:val="center"/>
          </w:tcPr>
          <w:p w14:paraId="31D3EE69" w14:textId="77777777" w:rsidR="009A5B6A" w:rsidRDefault="009A5B6A" w:rsidP="00313182">
            <w:pPr>
              <w:pStyle w:val="TableText0"/>
              <w:keepNext w:val="0"/>
              <w:widowControl w:val="0"/>
            </w:pPr>
            <w:r>
              <w:t>MBS item 105</w:t>
            </w:r>
          </w:p>
        </w:tc>
        <w:tc>
          <w:tcPr>
            <w:tcW w:w="3351" w:type="dxa"/>
            <w:vAlign w:val="center"/>
          </w:tcPr>
          <w:p w14:paraId="2A6E0026" w14:textId="79EA49D2" w:rsidR="009A5B6A" w:rsidRPr="00CF0F32" w:rsidRDefault="009A5B6A" w:rsidP="00313182">
            <w:pPr>
              <w:pStyle w:val="TableText0"/>
              <w:keepNext w:val="0"/>
              <w:widowControl w:val="0"/>
            </w:pPr>
            <w:r w:rsidRPr="00CF0F32">
              <w:t>The cost of 2.4 clinic visits was applied in the CMA for dose titration for patients initiating treatment with FosLD/FosCD.</w:t>
            </w:r>
          </w:p>
        </w:tc>
      </w:tr>
    </w:tbl>
    <w:p w14:paraId="1F2859FB" w14:textId="77777777" w:rsidR="007D7986" w:rsidRDefault="009A5B6A" w:rsidP="009A5B6A">
      <w:pPr>
        <w:pStyle w:val="FooterTableFigure"/>
        <w:rPr>
          <w:iCs/>
        </w:rPr>
      </w:pPr>
      <w:r>
        <w:t>Source: tabulated during evaluation from Tables 4-1, 4-2, 4-3 and 4-4 of the submission</w:t>
      </w:r>
      <w:r w:rsidR="00B4110A">
        <w:t xml:space="preserve">; </w:t>
      </w:r>
      <w:r w:rsidR="00B4110A" w:rsidRPr="00B42BBE">
        <w:rPr>
          <w:iCs/>
        </w:rPr>
        <w:t>updated AEMP for LCIG sourced from the PSCR</w:t>
      </w:r>
      <w:r w:rsidRPr="00B42BBE">
        <w:rPr>
          <w:iCs/>
        </w:rPr>
        <w:t>.</w:t>
      </w:r>
    </w:p>
    <w:p w14:paraId="4B4AD77C" w14:textId="580804C8" w:rsidR="009A5B6A" w:rsidRDefault="00CC3805" w:rsidP="009A5B6A">
      <w:pPr>
        <w:pStyle w:val="FooterTableFigure"/>
      </w:pPr>
      <w:r>
        <w:t xml:space="preserve">Abbreviations: </w:t>
      </w:r>
      <w:r w:rsidR="009A5B6A">
        <w:t>aPD</w:t>
      </w:r>
      <w:r w:rsidR="00B4110A">
        <w:t xml:space="preserve"> </w:t>
      </w:r>
      <w:r w:rsidR="009A5B6A">
        <w:t>=</w:t>
      </w:r>
      <w:r w:rsidR="00B4110A">
        <w:t xml:space="preserve"> </w:t>
      </w:r>
      <w:r w:rsidR="009A5B6A">
        <w:t xml:space="preserve">advanced Parkinson’s disease; </w:t>
      </w:r>
      <w:r w:rsidR="00B4110A" w:rsidRPr="00AA3997">
        <w:rPr>
          <w:szCs w:val="18"/>
        </w:rPr>
        <w:t>FosLD/FosCD = foslevodopa/foscarbidopa</w:t>
      </w:r>
      <w:r w:rsidR="009A5B6A">
        <w:t>; LCIG</w:t>
      </w:r>
      <w:r w:rsidR="00B4110A">
        <w:t xml:space="preserve"> </w:t>
      </w:r>
      <w:r w:rsidR="009A5B6A">
        <w:t>=</w:t>
      </w:r>
      <w:r w:rsidR="00B4110A">
        <w:t xml:space="preserve"> </w:t>
      </w:r>
      <w:r w:rsidR="009A5B6A">
        <w:t>levodopa carbidopa intestinal gel; LD</w:t>
      </w:r>
      <w:r w:rsidR="00B4110A">
        <w:t xml:space="preserve"> </w:t>
      </w:r>
      <w:r w:rsidR="009A5B6A">
        <w:t>=</w:t>
      </w:r>
      <w:r w:rsidR="00B4110A">
        <w:t xml:space="preserve"> </w:t>
      </w:r>
      <w:r w:rsidR="009A5B6A">
        <w:t>levodopa; MBS</w:t>
      </w:r>
      <w:r w:rsidR="00B4110A">
        <w:t xml:space="preserve"> </w:t>
      </w:r>
      <w:r w:rsidR="009A5B6A">
        <w:t>=</w:t>
      </w:r>
      <w:r w:rsidR="00B4110A">
        <w:t xml:space="preserve"> </w:t>
      </w:r>
      <w:r w:rsidR="009A5B6A">
        <w:t>Medicare Benefits Schedule; PBS</w:t>
      </w:r>
      <w:r w:rsidR="00B4110A">
        <w:t xml:space="preserve"> </w:t>
      </w:r>
      <w:r w:rsidR="009A5B6A">
        <w:t>=</w:t>
      </w:r>
      <w:r w:rsidR="00B4110A">
        <w:t xml:space="preserve"> </w:t>
      </w:r>
      <w:r w:rsidR="009A5B6A">
        <w:t>Pharmaceuticals Benefits Scheme; RPBS</w:t>
      </w:r>
      <w:r w:rsidR="00B4110A">
        <w:t xml:space="preserve"> </w:t>
      </w:r>
      <w:r w:rsidR="009A5B6A">
        <w:t>=</w:t>
      </w:r>
      <w:r w:rsidR="00B4110A">
        <w:t xml:space="preserve"> </w:t>
      </w:r>
      <w:r w:rsidR="009A5B6A">
        <w:t>Repatriation Pharmaceuticals Benefits Scheme; Tx</w:t>
      </w:r>
      <w:r w:rsidR="00B4110A">
        <w:t xml:space="preserve"> </w:t>
      </w:r>
      <w:r w:rsidR="009A5B6A">
        <w:t>=</w:t>
      </w:r>
      <w:r w:rsidR="00B4110A">
        <w:t xml:space="preserve"> </w:t>
      </w:r>
      <w:r w:rsidR="009A5B6A">
        <w:t>treatments</w:t>
      </w:r>
    </w:p>
    <w:p w14:paraId="29C14C74" w14:textId="5C3A95C7" w:rsidR="00F5486A" w:rsidRPr="004F7504" w:rsidRDefault="00F5486A" w:rsidP="009A5B6A">
      <w:pPr>
        <w:pStyle w:val="FooterTableFigure"/>
        <w:rPr>
          <w:i/>
          <w:iCs/>
        </w:rPr>
      </w:pPr>
      <w:r w:rsidRPr="004F7504">
        <w:rPr>
          <w:i/>
          <w:iCs/>
        </w:rPr>
        <w:t>The redacted values correspond to the following ranges:</w:t>
      </w:r>
    </w:p>
    <w:p w14:paraId="35287B8E" w14:textId="698689B8" w:rsidR="00F5486A" w:rsidRPr="004F7504" w:rsidRDefault="00F5486A" w:rsidP="009A5B6A">
      <w:pPr>
        <w:pStyle w:val="FooterTableFigure"/>
        <w:rPr>
          <w:i/>
          <w:iCs/>
        </w:rPr>
      </w:pPr>
      <w:r w:rsidRPr="004F7504">
        <w:rPr>
          <w:i/>
          <w:iCs/>
          <w:vertAlign w:val="superscript"/>
        </w:rPr>
        <w:t>1</w:t>
      </w:r>
      <w:r w:rsidRPr="004F7504">
        <w:rPr>
          <w:i/>
          <w:iCs/>
        </w:rPr>
        <w:t xml:space="preserve"> &lt; 500</w:t>
      </w:r>
    </w:p>
    <w:p w14:paraId="27B8AFDA" w14:textId="2D8ABE32" w:rsidR="00F5486A" w:rsidRPr="004F7504" w:rsidRDefault="00F5486A" w:rsidP="009A5B6A">
      <w:pPr>
        <w:pStyle w:val="FooterTableFigure"/>
        <w:rPr>
          <w:i/>
          <w:iCs/>
        </w:rPr>
      </w:pPr>
      <w:r w:rsidRPr="004F7504">
        <w:rPr>
          <w:i/>
          <w:iCs/>
          <w:vertAlign w:val="superscript"/>
        </w:rPr>
        <w:t>2</w:t>
      </w:r>
      <w:r w:rsidRPr="004F7504">
        <w:rPr>
          <w:i/>
          <w:iCs/>
        </w:rPr>
        <w:t xml:space="preserve"> 500 &lt; 5,000</w:t>
      </w:r>
    </w:p>
    <w:p w14:paraId="517D78FC" w14:textId="092079F8" w:rsidR="00F5486A" w:rsidRPr="004F7504" w:rsidRDefault="00F5486A" w:rsidP="009A5B6A">
      <w:pPr>
        <w:pStyle w:val="FooterTableFigure"/>
        <w:rPr>
          <w:i/>
          <w:iCs/>
        </w:rPr>
      </w:pPr>
      <w:r w:rsidRPr="004F7504">
        <w:rPr>
          <w:i/>
          <w:iCs/>
          <w:vertAlign w:val="superscript"/>
        </w:rPr>
        <w:t>3</w:t>
      </w:r>
      <w:r w:rsidRPr="004F7504">
        <w:rPr>
          <w:i/>
          <w:iCs/>
        </w:rPr>
        <w:t xml:space="preserve"> 5,000 to &lt; 10,000</w:t>
      </w:r>
    </w:p>
    <w:p w14:paraId="11398F22" w14:textId="6A10AC53" w:rsidR="009A5B6A" w:rsidRDefault="009A5B6A" w:rsidP="003945B8">
      <w:pPr>
        <w:pStyle w:val="3-BodyText"/>
      </w:pPr>
      <w:r>
        <w:t xml:space="preserve">The submission utilised an epidemiological approach to capture the number of Parkinson’s disease patients receiving any form of pharmacological PD treatment in the 10% PBS linkable data. The average annual growth in patients receiving PD treatment was calculated to be 3.4%. The number of patients on levodopa-based treatment were then captured and estimated to grow at an average annual rate of 2.5%. </w:t>
      </w:r>
      <w:r w:rsidRPr="00824FEE">
        <w:t xml:space="preserve">From this data, the number of patients taking </w:t>
      </w:r>
      <w:bookmarkStart w:id="61" w:name="_Hlk134445321"/>
      <w:r w:rsidRPr="00824FEE">
        <w:rPr>
          <w:rFonts w:cstheme="minorHAnsi"/>
        </w:rPr>
        <w:t>≥</w:t>
      </w:r>
      <w:r w:rsidRPr="00824FEE">
        <w:t xml:space="preserve"> 5 oral levodopa tablets </w:t>
      </w:r>
      <w:bookmarkEnd w:id="61"/>
      <w:r w:rsidRPr="00824FEE">
        <w:t xml:space="preserve">were captured and an average annual growth rate of </w:t>
      </w:r>
      <w:r>
        <w:t>5</w:t>
      </w:r>
      <w:r w:rsidRPr="00824FEE">
        <w:t>% in a</w:t>
      </w:r>
      <w:r>
        <w:t xml:space="preserve">dvanced </w:t>
      </w:r>
      <w:r w:rsidRPr="00824FEE">
        <w:t xml:space="preserve">PD was calculated and used to forecast the prevalent </w:t>
      </w:r>
      <w:r>
        <w:t>advanced PD</w:t>
      </w:r>
      <w:r w:rsidRPr="00824FEE">
        <w:t xml:space="preserve"> patients between 2024 and 2029.</w:t>
      </w:r>
      <w:r w:rsidRPr="00CF0F32">
        <w:rPr>
          <w:iCs/>
        </w:rPr>
        <w:t xml:space="preserve"> The </w:t>
      </w:r>
      <w:r w:rsidRPr="00CF0F32">
        <w:rPr>
          <w:iCs/>
        </w:rPr>
        <w:lastRenderedPageBreak/>
        <w:t xml:space="preserve">prevalent patients receiving any form of PD treatment and taking levodopa-based treatment were utilised to capture the number of patients who meet the advanced PD criteria, i.e., patients who take </w:t>
      </w:r>
      <w:r w:rsidRPr="00CF0F32">
        <w:rPr>
          <w:rFonts w:cstheme="minorHAnsi"/>
          <w:iCs/>
        </w:rPr>
        <w:t>≥</w:t>
      </w:r>
      <w:r w:rsidRPr="00CF0F32">
        <w:rPr>
          <w:iCs/>
        </w:rPr>
        <w:t xml:space="preserve"> 5 oral levodopa tablets per day.</w:t>
      </w:r>
    </w:p>
    <w:p w14:paraId="6834D215" w14:textId="2C0854F2" w:rsidR="009A5B6A" w:rsidRDefault="009A5B6A" w:rsidP="003945B8">
      <w:pPr>
        <w:pStyle w:val="3-BodyText"/>
      </w:pPr>
      <w:r>
        <w:t xml:space="preserve">From the advanced PD patients pool, </w:t>
      </w:r>
      <w:r w:rsidR="004B6FE2" w:rsidRPr="00797DA1">
        <w:rPr>
          <w:color w:val="000000"/>
          <w:w w:val="60"/>
          <w:shd w:val="solid" w:color="000000" w:fill="000000"/>
          <w:fitText w:val="470" w:id="-930964720"/>
          <w14:textFill>
            <w14:solidFill>
              <w14:srgbClr w14:val="000000">
                <w14:alpha w14:val="100000"/>
              </w14:srgbClr>
            </w14:solidFill>
          </w14:textFill>
        </w:rPr>
        <w:t>|||  ||</w:t>
      </w:r>
      <w:r w:rsidR="004B6FE2" w:rsidRPr="00797DA1">
        <w:rPr>
          <w:color w:val="000000"/>
          <w:spacing w:val="6"/>
          <w:w w:val="60"/>
          <w:shd w:val="solid" w:color="000000" w:fill="000000"/>
          <w:fitText w:val="470" w:id="-930964720"/>
          <w14:textFill>
            <w14:solidFill>
              <w14:srgbClr w14:val="000000">
                <w14:alpha w14:val="100000"/>
              </w14:srgbClr>
            </w14:solidFill>
          </w14:textFill>
        </w:rPr>
        <w:t>|</w:t>
      </w:r>
      <w:r w:rsidRPr="00824FEE">
        <w:t xml:space="preserve">% were assumed to initiate treatment with LCIG based on </w:t>
      </w:r>
      <w:r w:rsidR="001B45C7">
        <w:t>the sponsor’s</w:t>
      </w:r>
      <w:r w:rsidRPr="00824FEE">
        <w:t xml:space="preserve"> </w:t>
      </w:r>
      <w:r>
        <w:t>‘</w:t>
      </w:r>
      <w:r w:rsidRPr="00824FEE">
        <w:t>commercial insights</w:t>
      </w:r>
      <w:r>
        <w:t>’</w:t>
      </w:r>
      <w:r w:rsidRPr="00824FEE">
        <w:t xml:space="preserve">, and thus, be eligible for treatment initiation with </w:t>
      </w:r>
      <w:r w:rsidR="0054283B">
        <w:t>FosCD/FosLD</w:t>
      </w:r>
      <w:r w:rsidRPr="00824FEE">
        <w:t>.</w:t>
      </w:r>
      <w:r>
        <w:t xml:space="preserve"> </w:t>
      </w:r>
      <w:r w:rsidRPr="00C95A87">
        <w:t xml:space="preserve">The initiation rate of </w:t>
      </w:r>
      <w:r w:rsidR="004B6FE2" w:rsidRPr="0043339D">
        <w:rPr>
          <w:color w:val="000000"/>
          <w:w w:val="15"/>
          <w:shd w:val="solid" w:color="000000" w:fill="000000"/>
          <w:fitText w:val="-20" w:id="-930964736"/>
          <w14:textFill>
            <w14:solidFill>
              <w14:srgbClr w14:val="000000">
                <w14:alpha w14:val="100000"/>
              </w14:srgbClr>
            </w14:solidFill>
          </w14:textFill>
        </w:rPr>
        <w:t xml:space="preserve">|  </w:t>
      </w:r>
      <w:r w:rsidR="004B6FE2" w:rsidRPr="0043339D">
        <w:rPr>
          <w:color w:val="000000"/>
          <w:spacing w:val="-69"/>
          <w:w w:val="15"/>
          <w:shd w:val="solid" w:color="000000" w:fill="000000"/>
          <w:fitText w:val="-20" w:id="-930964736"/>
          <w14:textFill>
            <w14:solidFill>
              <w14:srgbClr w14:val="000000">
                <w14:alpha w14:val="100000"/>
              </w14:srgbClr>
            </w14:solidFill>
          </w14:textFill>
        </w:rPr>
        <w:t>|</w:t>
      </w:r>
      <w:r w:rsidRPr="00C95A87">
        <w:t>% applied in the submission was consistent with the growth rate estimated based on the Medicare PBS script statistics on LCIG between 2018 and 2022 (around 4.75%) and was</w:t>
      </w:r>
      <w:r w:rsidR="00247F82">
        <w:t xml:space="preserve"> </w:t>
      </w:r>
      <w:r w:rsidRPr="00C95A87">
        <w:t xml:space="preserve">reasonable. </w:t>
      </w:r>
      <w:r>
        <w:t xml:space="preserve">The </w:t>
      </w:r>
      <w:r w:rsidR="00A21222">
        <w:t>S</w:t>
      </w:r>
      <w:r>
        <w:t xml:space="preserve">ponsor included a provision for </w:t>
      </w:r>
      <w:r w:rsidR="000A217C">
        <w:t xml:space="preserve">&lt; 500 </w:t>
      </w:r>
      <w:r>
        <w:t xml:space="preserve">grandfathered patients, </w:t>
      </w:r>
      <w:r w:rsidR="000A217C">
        <w:t xml:space="preserve">&lt; 500 </w:t>
      </w:r>
      <w:r>
        <w:t xml:space="preserve">from patients enrolled in a Patient Familiarisation Program and </w:t>
      </w:r>
      <w:r w:rsidR="000A217C">
        <w:t xml:space="preserve">&lt; 500 </w:t>
      </w:r>
      <w:r>
        <w:t>from the long-term extension phase of the FosLD/FosCD trials.</w:t>
      </w:r>
    </w:p>
    <w:p w14:paraId="4D6C5B73" w14:textId="6AF36C4B" w:rsidR="009A5B6A" w:rsidRDefault="009A5B6A" w:rsidP="003945B8">
      <w:pPr>
        <w:pStyle w:val="3-BodyText"/>
      </w:pPr>
      <w:r>
        <w:t xml:space="preserve">The submission applied uptake rates up to 50% to estimate the number of patients who would </w:t>
      </w:r>
      <w:r w:rsidR="00334CE0">
        <w:t>replace</w:t>
      </w:r>
      <w:r>
        <w:t xml:space="preserve"> LCIG </w:t>
      </w:r>
      <w:r w:rsidR="00334CE0">
        <w:t xml:space="preserve">with </w:t>
      </w:r>
      <w:r>
        <w:t xml:space="preserve">FosLD/FosCD. Uptake rates of 20% in year 1 and 50% in year 6 were applied to estimate the total number of patients who would initiate treatment with FosLD/FosCD. From the patients who continued to receive treatment via oral levodopa, uptake rates of 0.1% in year 1 and 5% in year 6 were applied. </w:t>
      </w:r>
      <w:r w:rsidRPr="00C95A87">
        <w:t xml:space="preserve">Owing to </w:t>
      </w:r>
      <w:r w:rsidR="00F92BDE">
        <w:t>FosLD/FosCD</w:t>
      </w:r>
      <w:r w:rsidRPr="00C95A87">
        <w:t xml:space="preserve">’s more convenient mode of administration, </w:t>
      </w:r>
      <w:r w:rsidR="000E35F4">
        <w:t xml:space="preserve">during the evaluation it was considered </w:t>
      </w:r>
      <w:r w:rsidRPr="00C95A87">
        <w:t>the uptake rates utilised in the submission may not reflect the true extent of use of FosLD/FosCD in practice.</w:t>
      </w:r>
    </w:p>
    <w:p w14:paraId="2B03BA18" w14:textId="05BF61F3" w:rsidR="007F1DFF" w:rsidRPr="00B42BBE" w:rsidRDefault="007F1DFF" w:rsidP="003945B8">
      <w:pPr>
        <w:pStyle w:val="3-BodyText"/>
      </w:pPr>
      <w:r w:rsidRPr="00B42BBE">
        <w:t xml:space="preserve">The ESC noted that </w:t>
      </w:r>
      <w:r w:rsidR="00334CE0" w:rsidRPr="00B42BBE">
        <w:t>the approach</w:t>
      </w:r>
      <w:r w:rsidRPr="00B42BBE">
        <w:t xml:space="preserve"> to the financial estimates appeared reasonable, although some </w:t>
      </w:r>
      <w:r w:rsidR="00F02270" w:rsidRPr="00B42BBE">
        <w:t xml:space="preserve">inputs </w:t>
      </w:r>
      <w:r w:rsidRPr="00B42BBE">
        <w:t>were highly uncertain or underestimates, e.g.</w:t>
      </w:r>
      <w:r w:rsidR="007360EA" w:rsidRPr="00B42BBE">
        <w:t>,</w:t>
      </w:r>
      <w:r w:rsidRPr="00B42BBE">
        <w:t xml:space="preserve"> the uptake rate</w:t>
      </w:r>
      <w:r w:rsidR="00F02270" w:rsidRPr="00B42BBE">
        <w:t>s</w:t>
      </w:r>
      <w:r w:rsidRPr="00B42BBE">
        <w:t xml:space="preserve">, </w:t>
      </w:r>
      <w:r w:rsidR="00F02270" w:rsidRPr="00B42BBE">
        <w:t xml:space="preserve">and </w:t>
      </w:r>
      <w:r w:rsidRPr="00B42BBE">
        <w:t>the continuation rates.</w:t>
      </w:r>
    </w:p>
    <w:p w14:paraId="50FD333A" w14:textId="792BCD31" w:rsidR="009A5B6A" w:rsidRPr="003264EC" w:rsidRDefault="009A5B6A" w:rsidP="003945B8">
      <w:pPr>
        <w:pStyle w:val="3-BodyText"/>
      </w:pPr>
      <w:r>
        <w:t xml:space="preserve">The total number of scripts was calculated as 13.04 per patient per year for patients initiating treatment with FosLD/FosCD and 7.2 scripts per patient per year for patients initiating treatment with LCIG. The total number of patients and prescriptions are presented in </w:t>
      </w:r>
      <w:r>
        <w:fldChar w:fldCharType="begin"/>
      </w:r>
      <w:r>
        <w:instrText xml:space="preserve"> REF _Ref133678810 \h </w:instrText>
      </w:r>
      <w:r>
        <w:fldChar w:fldCharType="separate"/>
      </w:r>
      <w:r w:rsidR="0043339D">
        <w:t xml:space="preserve">Table </w:t>
      </w:r>
      <w:r w:rsidR="0043339D">
        <w:rPr>
          <w:noProof/>
        </w:rPr>
        <w:t>14</w:t>
      </w:r>
      <w:r>
        <w:fldChar w:fldCharType="end"/>
      </w:r>
      <w:r>
        <w:t>.</w:t>
      </w:r>
    </w:p>
    <w:p w14:paraId="1CA319DB" w14:textId="3AF2C8DD" w:rsidR="009A5B6A" w:rsidRPr="00990741" w:rsidRDefault="009A5B6A" w:rsidP="009A5B6A">
      <w:pPr>
        <w:pStyle w:val="Caption"/>
        <w:jc w:val="left"/>
      </w:pPr>
      <w:bookmarkStart w:id="62" w:name="_Ref133678810"/>
      <w:r>
        <w:lastRenderedPageBreak/>
        <w:t xml:space="preserve">Table </w:t>
      </w:r>
      <w:r w:rsidR="000A217C">
        <w:fldChar w:fldCharType="begin"/>
      </w:r>
      <w:r w:rsidR="000A217C">
        <w:instrText xml:space="preserve"> SEQ Table \* ARABIC </w:instrText>
      </w:r>
      <w:r w:rsidR="000A217C">
        <w:fldChar w:fldCharType="separate"/>
      </w:r>
      <w:r w:rsidR="0043339D">
        <w:rPr>
          <w:noProof/>
        </w:rPr>
        <w:t>14</w:t>
      </w:r>
      <w:r w:rsidR="000A217C">
        <w:rPr>
          <w:noProof/>
        </w:rPr>
        <w:fldChar w:fldCharType="end"/>
      </w:r>
      <w:bookmarkEnd w:id="62"/>
      <w:r>
        <w:t>:</w:t>
      </w:r>
      <w:r w:rsidRPr="000A6039">
        <w:t xml:space="preserve"> Estimation of number of treated patients and prescriptions</w:t>
      </w:r>
    </w:p>
    <w:tbl>
      <w:tblPr>
        <w:tblStyle w:val="TableGrid"/>
        <w:tblW w:w="5000" w:type="pct"/>
        <w:tblLayout w:type="fixed"/>
        <w:tblCellMar>
          <w:left w:w="28" w:type="dxa"/>
          <w:right w:w="28" w:type="dxa"/>
        </w:tblCellMar>
        <w:tblLook w:val="04A0" w:firstRow="1" w:lastRow="0" w:firstColumn="1" w:lastColumn="0" w:noHBand="0" w:noVBand="1"/>
      </w:tblPr>
      <w:tblGrid>
        <w:gridCol w:w="280"/>
        <w:gridCol w:w="2125"/>
        <w:gridCol w:w="1133"/>
        <w:gridCol w:w="912"/>
        <w:gridCol w:w="914"/>
        <w:gridCol w:w="912"/>
        <w:gridCol w:w="914"/>
        <w:gridCol w:w="912"/>
        <w:gridCol w:w="914"/>
      </w:tblGrid>
      <w:tr w:rsidR="009A5B6A" w:rsidRPr="00ED5E6C" w14:paraId="556CF941" w14:textId="77777777" w:rsidTr="004C64A3">
        <w:trPr>
          <w:cantSplit/>
          <w:tblHeader/>
        </w:trPr>
        <w:tc>
          <w:tcPr>
            <w:tcW w:w="155" w:type="pct"/>
            <w:vAlign w:val="center"/>
          </w:tcPr>
          <w:p w14:paraId="38239B9C" w14:textId="77777777" w:rsidR="009A5B6A" w:rsidRPr="00F15AAB" w:rsidRDefault="009A5B6A" w:rsidP="00313182">
            <w:pPr>
              <w:keepNext/>
              <w:rPr>
                <w:rFonts w:ascii="Arial Narrow" w:hAnsi="Arial Narrow"/>
                <w:color w:val="3366FF"/>
                <w:sz w:val="20"/>
                <w:szCs w:val="20"/>
              </w:rPr>
            </w:pPr>
          </w:p>
        </w:tc>
        <w:tc>
          <w:tcPr>
            <w:tcW w:w="1178" w:type="pct"/>
            <w:vAlign w:val="center"/>
          </w:tcPr>
          <w:p w14:paraId="49157A3A" w14:textId="77777777" w:rsidR="009A5B6A" w:rsidRPr="00F15AAB" w:rsidRDefault="009A5B6A" w:rsidP="00313182">
            <w:pPr>
              <w:keepNext/>
              <w:rPr>
                <w:rFonts w:ascii="Arial Narrow" w:hAnsi="Arial Narrow"/>
                <w:color w:val="3366FF"/>
                <w:sz w:val="20"/>
                <w:szCs w:val="20"/>
              </w:rPr>
            </w:pPr>
          </w:p>
        </w:tc>
        <w:tc>
          <w:tcPr>
            <w:tcW w:w="628" w:type="pct"/>
            <w:vAlign w:val="center"/>
          </w:tcPr>
          <w:p w14:paraId="57FED2A5" w14:textId="77777777" w:rsidR="009A5B6A" w:rsidRPr="00F15AAB" w:rsidRDefault="009A5B6A" w:rsidP="00313182">
            <w:pPr>
              <w:keepNext/>
              <w:rPr>
                <w:rFonts w:ascii="Arial Narrow" w:hAnsi="Arial Narrow"/>
                <w:b/>
                <w:color w:val="3366FF"/>
                <w:sz w:val="20"/>
                <w:szCs w:val="20"/>
              </w:rPr>
            </w:pPr>
          </w:p>
        </w:tc>
        <w:tc>
          <w:tcPr>
            <w:tcW w:w="506" w:type="pct"/>
            <w:shd w:val="clear" w:color="auto" w:fill="auto"/>
            <w:vAlign w:val="center"/>
          </w:tcPr>
          <w:p w14:paraId="65E3DA08" w14:textId="77777777" w:rsidR="009A5B6A" w:rsidRPr="00F15AAB" w:rsidRDefault="009A5B6A" w:rsidP="007B2BB9">
            <w:pPr>
              <w:pStyle w:val="TableFigureHeading"/>
              <w:jc w:val="center"/>
              <w:rPr>
                <w:szCs w:val="20"/>
              </w:rPr>
            </w:pPr>
            <w:r w:rsidRPr="00F15AAB">
              <w:rPr>
                <w:szCs w:val="20"/>
              </w:rPr>
              <w:t>Year 1</w:t>
            </w:r>
          </w:p>
        </w:tc>
        <w:tc>
          <w:tcPr>
            <w:tcW w:w="507" w:type="pct"/>
            <w:shd w:val="clear" w:color="auto" w:fill="auto"/>
            <w:vAlign w:val="center"/>
          </w:tcPr>
          <w:p w14:paraId="713059CB" w14:textId="77777777" w:rsidR="009A5B6A" w:rsidRPr="00F15AAB" w:rsidRDefault="009A5B6A" w:rsidP="007B2BB9">
            <w:pPr>
              <w:pStyle w:val="TableFigureHeading"/>
              <w:jc w:val="center"/>
              <w:rPr>
                <w:szCs w:val="20"/>
              </w:rPr>
            </w:pPr>
            <w:r w:rsidRPr="00F15AAB">
              <w:rPr>
                <w:szCs w:val="20"/>
              </w:rPr>
              <w:t>Year 2</w:t>
            </w:r>
          </w:p>
        </w:tc>
        <w:tc>
          <w:tcPr>
            <w:tcW w:w="506" w:type="pct"/>
            <w:shd w:val="clear" w:color="auto" w:fill="auto"/>
            <w:vAlign w:val="center"/>
          </w:tcPr>
          <w:p w14:paraId="66F1A85F" w14:textId="77777777" w:rsidR="009A5B6A" w:rsidRPr="00F15AAB" w:rsidRDefault="009A5B6A" w:rsidP="007B2BB9">
            <w:pPr>
              <w:pStyle w:val="TableFigureHeading"/>
              <w:jc w:val="center"/>
              <w:rPr>
                <w:szCs w:val="20"/>
              </w:rPr>
            </w:pPr>
            <w:r w:rsidRPr="00F15AAB">
              <w:rPr>
                <w:szCs w:val="20"/>
              </w:rPr>
              <w:t>Year 3</w:t>
            </w:r>
          </w:p>
        </w:tc>
        <w:tc>
          <w:tcPr>
            <w:tcW w:w="507" w:type="pct"/>
            <w:shd w:val="clear" w:color="auto" w:fill="auto"/>
            <w:vAlign w:val="center"/>
          </w:tcPr>
          <w:p w14:paraId="5FD52671" w14:textId="77777777" w:rsidR="009A5B6A" w:rsidRPr="00F15AAB" w:rsidRDefault="009A5B6A" w:rsidP="007B2BB9">
            <w:pPr>
              <w:pStyle w:val="TableFigureHeading"/>
              <w:jc w:val="center"/>
              <w:rPr>
                <w:szCs w:val="20"/>
              </w:rPr>
            </w:pPr>
            <w:r w:rsidRPr="00F15AAB">
              <w:rPr>
                <w:szCs w:val="20"/>
              </w:rPr>
              <w:t>Year 4</w:t>
            </w:r>
          </w:p>
        </w:tc>
        <w:tc>
          <w:tcPr>
            <w:tcW w:w="506" w:type="pct"/>
            <w:shd w:val="clear" w:color="auto" w:fill="auto"/>
            <w:vAlign w:val="center"/>
          </w:tcPr>
          <w:p w14:paraId="0F30A667" w14:textId="77777777" w:rsidR="009A5B6A" w:rsidRPr="00F15AAB" w:rsidRDefault="009A5B6A" w:rsidP="007B2BB9">
            <w:pPr>
              <w:pStyle w:val="TableFigureHeading"/>
              <w:jc w:val="center"/>
              <w:rPr>
                <w:szCs w:val="20"/>
              </w:rPr>
            </w:pPr>
            <w:r w:rsidRPr="00F15AAB">
              <w:rPr>
                <w:szCs w:val="20"/>
              </w:rPr>
              <w:t>Year 5</w:t>
            </w:r>
          </w:p>
        </w:tc>
        <w:tc>
          <w:tcPr>
            <w:tcW w:w="507" w:type="pct"/>
            <w:shd w:val="clear" w:color="auto" w:fill="auto"/>
            <w:vAlign w:val="center"/>
          </w:tcPr>
          <w:p w14:paraId="586C7FBA" w14:textId="77777777" w:rsidR="009A5B6A" w:rsidRPr="00F15AAB" w:rsidRDefault="009A5B6A" w:rsidP="007B2BB9">
            <w:pPr>
              <w:pStyle w:val="TableFigureHeading"/>
              <w:jc w:val="center"/>
              <w:rPr>
                <w:szCs w:val="20"/>
              </w:rPr>
            </w:pPr>
            <w:r w:rsidRPr="00F15AAB">
              <w:rPr>
                <w:szCs w:val="20"/>
              </w:rPr>
              <w:t>Year 6</w:t>
            </w:r>
          </w:p>
        </w:tc>
      </w:tr>
      <w:tr w:rsidR="009A5B6A" w:rsidRPr="00ED5E6C" w14:paraId="1D123858" w14:textId="77777777" w:rsidTr="004C64A3">
        <w:trPr>
          <w:cantSplit/>
          <w:tblHeader/>
        </w:trPr>
        <w:tc>
          <w:tcPr>
            <w:tcW w:w="155" w:type="pct"/>
            <w:vAlign w:val="center"/>
          </w:tcPr>
          <w:p w14:paraId="50A32806" w14:textId="77777777" w:rsidR="009A5B6A" w:rsidRPr="00F15AAB" w:rsidRDefault="009A5B6A" w:rsidP="00313182">
            <w:pPr>
              <w:pStyle w:val="TableText0"/>
              <w:rPr>
                <w:szCs w:val="20"/>
              </w:rPr>
            </w:pPr>
            <w:r w:rsidRPr="00F15AAB">
              <w:rPr>
                <w:szCs w:val="20"/>
              </w:rPr>
              <w:t>A</w:t>
            </w:r>
          </w:p>
        </w:tc>
        <w:tc>
          <w:tcPr>
            <w:tcW w:w="1178" w:type="pct"/>
            <w:vAlign w:val="center"/>
          </w:tcPr>
          <w:p w14:paraId="1E436039" w14:textId="77777777" w:rsidR="009A5B6A" w:rsidRPr="00F15AAB" w:rsidRDefault="009A5B6A" w:rsidP="00313182">
            <w:pPr>
              <w:pStyle w:val="TableText0"/>
              <w:rPr>
                <w:szCs w:val="20"/>
              </w:rPr>
            </w:pPr>
            <w:r w:rsidRPr="00F15AAB">
              <w:rPr>
                <w:szCs w:val="20"/>
              </w:rPr>
              <w:t xml:space="preserve">Patients on PD treatment </w:t>
            </w:r>
          </w:p>
        </w:tc>
        <w:tc>
          <w:tcPr>
            <w:tcW w:w="628" w:type="pct"/>
            <w:vAlign w:val="center"/>
          </w:tcPr>
          <w:p w14:paraId="19CF2FB8" w14:textId="77777777" w:rsidR="009A5B6A" w:rsidRPr="00F15AAB" w:rsidRDefault="009A5B6A" w:rsidP="00313182">
            <w:pPr>
              <w:pStyle w:val="TableText0"/>
              <w:rPr>
                <w:szCs w:val="20"/>
              </w:rPr>
            </w:pPr>
            <w:r>
              <w:rPr>
                <w:szCs w:val="20"/>
              </w:rPr>
              <w:t>3.4% growth rate</w:t>
            </w:r>
          </w:p>
        </w:tc>
        <w:tc>
          <w:tcPr>
            <w:tcW w:w="506" w:type="pct"/>
            <w:vAlign w:val="center"/>
          </w:tcPr>
          <w:p w14:paraId="3C66647C" w14:textId="6A25F44F"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35"/>
                <w14:textFill>
                  <w14:solidFill>
                    <w14:srgbClr w14:val="000000">
                      <w14:alpha w14:val="100000"/>
                    </w14:srgbClr>
                  </w14:solidFill>
                </w14:textFill>
              </w:rPr>
              <w:t xml:space="preserve">　</w:t>
            </w:r>
            <w:r w:rsidRPr="00A0676B">
              <w:rPr>
                <w:color w:val="000000"/>
                <w:w w:val="33"/>
                <w:szCs w:val="20"/>
                <w:shd w:val="solid" w:color="000000" w:fill="000000"/>
                <w:fitText w:val="150" w:id="-930964735"/>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5"/>
                <w14:textFill>
                  <w14:solidFill>
                    <w14:srgbClr w14:val="000000">
                      <w14:alpha w14:val="100000"/>
                    </w14:srgbClr>
                  </w14:solidFill>
                </w14:textFill>
              </w:rPr>
              <w:t xml:space="preserve">　</w:t>
            </w:r>
            <w:r w:rsidR="00F5486A">
              <w:rPr>
                <w:vertAlign w:val="superscript"/>
              </w:rPr>
              <w:t>1</w:t>
            </w:r>
          </w:p>
        </w:tc>
        <w:tc>
          <w:tcPr>
            <w:tcW w:w="507" w:type="pct"/>
            <w:vAlign w:val="center"/>
          </w:tcPr>
          <w:p w14:paraId="3F29BD31" w14:textId="779435A8"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34"/>
                <w14:textFill>
                  <w14:solidFill>
                    <w14:srgbClr w14:val="000000">
                      <w14:alpha w14:val="100000"/>
                    </w14:srgbClr>
                  </w14:solidFill>
                </w14:textFill>
              </w:rPr>
              <w:t xml:space="preserve">　</w:t>
            </w:r>
            <w:r w:rsidRPr="00A0676B">
              <w:rPr>
                <w:color w:val="000000"/>
                <w:w w:val="33"/>
                <w:szCs w:val="20"/>
                <w:shd w:val="solid" w:color="000000" w:fill="000000"/>
                <w:fitText w:val="150" w:id="-930964734"/>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4"/>
                <w14:textFill>
                  <w14:solidFill>
                    <w14:srgbClr w14:val="000000">
                      <w14:alpha w14:val="100000"/>
                    </w14:srgbClr>
                  </w14:solidFill>
                </w14:textFill>
              </w:rPr>
              <w:t xml:space="preserve">　</w:t>
            </w:r>
            <w:r w:rsidR="00F5486A">
              <w:rPr>
                <w:vertAlign w:val="superscript"/>
              </w:rPr>
              <w:t>1</w:t>
            </w:r>
          </w:p>
        </w:tc>
        <w:tc>
          <w:tcPr>
            <w:tcW w:w="506" w:type="pct"/>
            <w:vAlign w:val="center"/>
          </w:tcPr>
          <w:p w14:paraId="3F4BD9F7" w14:textId="11873BF4"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33"/>
                <w14:textFill>
                  <w14:solidFill>
                    <w14:srgbClr w14:val="000000">
                      <w14:alpha w14:val="100000"/>
                    </w14:srgbClr>
                  </w14:solidFill>
                </w14:textFill>
              </w:rPr>
              <w:t xml:space="preserve">　</w:t>
            </w:r>
            <w:r w:rsidRPr="00A0676B">
              <w:rPr>
                <w:color w:val="000000"/>
                <w:w w:val="33"/>
                <w:szCs w:val="20"/>
                <w:shd w:val="solid" w:color="000000" w:fill="000000"/>
                <w:fitText w:val="150" w:id="-930964733"/>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3"/>
                <w14:textFill>
                  <w14:solidFill>
                    <w14:srgbClr w14:val="000000">
                      <w14:alpha w14:val="100000"/>
                    </w14:srgbClr>
                  </w14:solidFill>
                </w14:textFill>
              </w:rPr>
              <w:t xml:space="preserve">　</w:t>
            </w:r>
            <w:r w:rsidR="00F5486A">
              <w:rPr>
                <w:vertAlign w:val="superscript"/>
              </w:rPr>
              <w:t>1</w:t>
            </w:r>
          </w:p>
        </w:tc>
        <w:tc>
          <w:tcPr>
            <w:tcW w:w="507" w:type="pct"/>
            <w:vAlign w:val="center"/>
          </w:tcPr>
          <w:p w14:paraId="5BF5B86A" w14:textId="7CEF341D"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32"/>
                <w14:textFill>
                  <w14:solidFill>
                    <w14:srgbClr w14:val="000000">
                      <w14:alpha w14:val="100000"/>
                    </w14:srgbClr>
                  </w14:solidFill>
                </w14:textFill>
              </w:rPr>
              <w:t xml:space="preserve">　</w:t>
            </w:r>
            <w:r w:rsidRPr="00A0676B">
              <w:rPr>
                <w:color w:val="000000"/>
                <w:w w:val="33"/>
                <w:szCs w:val="20"/>
                <w:shd w:val="solid" w:color="000000" w:fill="000000"/>
                <w:fitText w:val="150" w:id="-930964732"/>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2"/>
                <w14:textFill>
                  <w14:solidFill>
                    <w14:srgbClr w14:val="000000">
                      <w14:alpha w14:val="100000"/>
                    </w14:srgbClr>
                  </w14:solidFill>
                </w14:textFill>
              </w:rPr>
              <w:t xml:space="preserve">　</w:t>
            </w:r>
            <w:r w:rsidR="00F5486A">
              <w:rPr>
                <w:vertAlign w:val="superscript"/>
              </w:rPr>
              <w:t>1</w:t>
            </w:r>
          </w:p>
        </w:tc>
        <w:tc>
          <w:tcPr>
            <w:tcW w:w="506" w:type="pct"/>
            <w:vAlign w:val="center"/>
          </w:tcPr>
          <w:p w14:paraId="7CB0929F" w14:textId="7AB453DE"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31"/>
                <w14:textFill>
                  <w14:solidFill>
                    <w14:srgbClr w14:val="000000">
                      <w14:alpha w14:val="100000"/>
                    </w14:srgbClr>
                  </w14:solidFill>
                </w14:textFill>
              </w:rPr>
              <w:t xml:space="preserve">　</w:t>
            </w:r>
            <w:r w:rsidRPr="00A0676B">
              <w:rPr>
                <w:color w:val="000000"/>
                <w:w w:val="33"/>
                <w:szCs w:val="20"/>
                <w:shd w:val="solid" w:color="000000" w:fill="000000"/>
                <w:fitText w:val="150" w:id="-930964731"/>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1"/>
                <w14:textFill>
                  <w14:solidFill>
                    <w14:srgbClr w14:val="000000">
                      <w14:alpha w14:val="100000"/>
                    </w14:srgbClr>
                  </w14:solidFill>
                </w14:textFill>
              </w:rPr>
              <w:t xml:space="preserve">　</w:t>
            </w:r>
            <w:r w:rsidR="00F5486A">
              <w:rPr>
                <w:vertAlign w:val="superscript"/>
              </w:rPr>
              <w:t>1</w:t>
            </w:r>
          </w:p>
        </w:tc>
        <w:tc>
          <w:tcPr>
            <w:tcW w:w="507" w:type="pct"/>
            <w:vAlign w:val="center"/>
          </w:tcPr>
          <w:p w14:paraId="1CF5CEFB" w14:textId="5AC1D8BD"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30"/>
                <w14:textFill>
                  <w14:solidFill>
                    <w14:srgbClr w14:val="000000">
                      <w14:alpha w14:val="100000"/>
                    </w14:srgbClr>
                  </w14:solidFill>
                </w14:textFill>
              </w:rPr>
              <w:t xml:space="preserve">　</w:t>
            </w:r>
            <w:r w:rsidRPr="00A0676B">
              <w:rPr>
                <w:color w:val="000000"/>
                <w:w w:val="33"/>
                <w:szCs w:val="20"/>
                <w:shd w:val="solid" w:color="000000" w:fill="000000"/>
                <w:fitText w:val="150" w:id="-930964730"/>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0"/>
                <w14:textFill>
                  <w14:solidFill>
                    <w14:srgbClr w14:val="000000">
                      <w14:alpha w14:val="100000"/>
                    </w14:srgbClr>
                  </w14:solidFill>
                </w14:textFill>
              </w:rPr>
              <w:t xml:space="preserve">　</w:t>
            </w:r>
            <w:r w:rsidR="00F5486A">
              <w:rPr>
                <w:vertAlign w:val="superscript"/>
              </w:rPr>
              <w:t>1</w:t>
            </w:r>
          </w:p>
        </w:tc>
      </w:tr>
      <w:tr w:rsidR="009A5B6A" w:rsidRPr="00ED5E6C" w14:paraId="6A787E79" w14:textId="77777777" w:rsidTr="004C64A3">
        <w:trPr>
          <w:cantSplit/>
          <w:tblHeader/>
        </w:trPr>
        <w:tc>
          <w:tcPr>
            <w:tcW w:w="155" w:type="pct"/>
            <w:vAlign w:val="center"/>
          </w:tcPr>
          <w:p w14:paraId="5F08548B" w14:textId="77777777" w:rsidR="009A5B6A" w:rsidRPr="00F15AAB" w:rsidRDefault="009A5B6A" w:rsidP="00313182">
            <w:pPr>
              <w:pStyle w:val="TableText0"/>
              <w:rPr>
                <w:szCs w:val="20"/>
              </w:rPr>
            </w:pPr>
            <w:r w:rsidRPr="00F15AAB">
              <w:rPr>
                <w:szCs w:val="20"/>
              </w:rPr>
              <w:t>B</w:t>
            </w:r>
          </w:p>
        </w:tc>
        <w:tc>
          <w:tcPr>
            <w:tcW w:w="1178" w:type="pct"/>
            <w:vAlign w:val="center"/>
          </w:tcPr>
          <w:p w14:paraId="5DA04AC3" w14:textId="77777777" w:rsidR="009A5B6A" w:rsidRPr="00F15AAB" w:rsidRDefault="009A5B6A" w:rsidP="00313182">
            <w:pPr>
              <w:pStyle w:val="TableText0"/>
              <w:rPr>
                <w:szCs w:val="20"/>
              </w:rPr>
            </w:pPr>
            <w:r w:rsidRPr="00F15AAB">
              <w:rPr>
                <w:szCs w:val="20"/>
              </w:rPr>
              <w:t>Patients on LD-based PD Tx</w:t>
            </w:r>
          </w:p>
        </w:tc>
        <w:tc>
          <w:tcPr>
            <w:tcW w:w="628" w:type="pct"/>
            <w:vAlign w:val="center"/>
          </w:tcPr>
          <w:p w14:paraId="6960F4C0" w14:textId="77777777" w:rsidR="009A5B6A" w:rsidRPr="00F15AAB" w:rsidRDefault="009A5B6A" w:rsidP="00313182">
            <w:pPr>
              <w:pStyle w:val="TableText0"/>
              <w:rPr>
                <w:szCs w:val="20"/>
              </w:rPr>
            </w:pPr>
            <w:r>
              <w:rPr>
                <w:szCs w:val="20"/>
              </w:rPr>
              <w:t>2.5% growth rate</w:t>
            </w:r>
          </w:p>
        </w:tc>
        <w:tc>
          <w:tcPr>
            <w:tcW w:w="506" w:type="pct"/>
            <w:vAlign w:val="center"/>
          </w:tcPr>
          <w:p w14:paraId="479A68C1" w14:textId="4FDC4F99"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9"/>
                <w14:textFill>
                  <w14:solidFill>
                    <w14:srgbClr w14:val="000000">
                      <w14:alpha w14:val="100000"/>
                    </w14:srgbClr>
                  </w14:solidFill>
                </w14:textFill>
              </w:rPr>
              <w:t xml:space="preserve">　</w:t>
            </w:r>
            <w:r w:rsidRPr="00A0676B">
              <w:rPr>
                <w:color w:val="000000"/>
                <w:w w:val="33"/>
                <w:szCs w:val="20"/>
                <w:shd w:val="solid" w:color="000000" w:fill="000000"/>
                <w:fitText w:val="150" w:id="-930964729"/>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9"/>
                <w14:textFill>
                  <w14:solidFill>
                    <w14:srgbClr w14:val="000000">
                      <w14:alpha w14:val="100000"/>
                    </w14:srgbClr>
                  </w14:solidFill>
                </w14:textFill>
              </w:rPr>
              <w:t xml:space="preserve">　</w:t>
            </w:r>
            <w:r w:rsidR="00F5486A">
              <w:rPr>
                <w:vertAlign w:val="superscript"/>
              </w:rPr>
              <w:t>2</w:t>
            </w:r>
          </w:p>
        </w:tc>
        <w:tc>
          <w:tcPr>
            <w:tcW w:w="507" w:type="pct"/>
            <w:vAlign w:val="center"/>
          </w:tcPr>
          <w:p w14:paraId="09B18963" w14:textId="18C41758"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8"/>
                <w14:textFill>
                  <w14:solidFill>
                    <w14:srgbClr w14:val="000000">
                      <w14:alpha w14:val="100000"/>
                    </w14:srgbClr>
                  </w14:solidFill>
                </w14:textFill>
              </w:rPr>
              <w:t xml:space="preserve">　</w:t>
            </w:r>
            <w:r w:rsidRPr="00A0676B">
              <w:rPr>
                <w:color w:val="000000"/>
                <w:w w:val="33"/>
                <w:szCs w:val="20"/>
                <w:shd w:val="solid" w:color="000000" w:fill="000000"/>
                <w:fitText w:val="150" w:id="-930964728"/>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8"/>
                <w14:textFill>
                  <w14:solidFill>
                    <w14:srgbClr w14:val="000000">
                      <w14:alpha w14:val="100000"/>
                    </w14:srgbClr>
                  </w14:solidFill>
                </w14:textFill>
              </w:rPr>
              <w:t xml:space="preserve">　</w:t>
            </w:r>
            <w:r w:rsidR="00F5486A">
              <w:rPr>
                <w:vertAlign w:val="superscript"/>
              </w:rPr>
              <w:t>2</w:t>
            </w:r>
          </w:p>
        </w:tc>
        <w:tc>
          <w:tcPr>
            <w:tcW w:w="506" w:type="pct"/>
            <w:vAlign w:val="center"/>
          </w:tcPr>
          <w:p w14:paraId="7AF04333" w14:textId="64E1F9F0"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7"/>
                <w14:textFill>
                  <w14:solidFill>
                    <w14:srgbClr w14:val="000000">
                      <w14:alpha w14:val="100000"/>
                    </w14:srgbClr>
                  </w14:solidFill>
                </w14:textFill>
              </w:rPr>
              <w:t xml:space="preserve">　</w:t>
            </w:r>
            <w:r w:rsidRPr="00A0676B">
              <w:rPr>
                <w:color w:val="000000"/>
                <w:w w:val="33"/>
                <w:szCs w:val="20"/>
                <w:shd w:val="solid" w:color="000000" w:fill="000000"/>
                <w:fitText w:val="150" w:id="-930964727"/>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7"/>
                <w14:textFill>
                  <w14:solidFill>
                    <w14:srgbClr w14:val="000000">
                      <w14:alpha w14:val="100000"/>
                    </w14:srgbClr>
                  </w14:solidFill>
                </w14:textFill>
              </w:rPr>
              <w:t xml:space="preserve">　</w:t>
            </w:r>
            <w:r w:rsidR="00F5486A">
              <w:rPr>
                <w:vertAlign w:val="superscript"/>
              </w:rPr>
              <w:t>2</w:t>
            </w:r>
          </w:p>
        </w:tc>
        <w:tc>
          <w:tcPr>
            <w:tcW w:w="507" w:type="pct"/>
            <w:vAlign w:val="center"/>
          </w:tcPr>
          <w:p w14:paraId="6E4EEA1E" w14:textId="0B32DC73"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6"/>
                <w14:textFill>
                  <w14:solidFill>
                    <w14:srgbClr w14:val="000000">
                      <w14:alpha w14:val="100000"/>
                    </w14:srgbClr>
                  </w14:solidFill>
                </w14:textFill>
              </w:rPr>
              <w:t xml:space="preserve">　</w:t>
            </w:r>
            <w:r w:rsidRPr="00A0676B">
              <w:rPr>
                <w:color w:val="000000"/>
                <w:w w:val="33"/>
                <w:szCs w:val="20"/>
                <w:shd w:val="solid" w:color="000000" w:fill="000000"/>
                <w:fitText w:val="150" w:id="-930964726"/>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6"/>
                <w14:textFill>
                  <w14:solidFill>
                    <w14:srgbClr w14:val="000000">
                      <w14:alpha w14:val="100000"/>
                    </w14:srgbClr>
                  </w14:solidFill>
                </w14:textFill>
              </w:rPr>
              <w:t xml:space="preserve">　</w:t>
            </w:r>
            <w:r w:rsidR="00F5486A">
              <w:rPr>
                <w:vertAlign w:val="superscript"/>
              </w:rPr>
              <w:t>2</w:t>
            </w:r>
          </w:p>
        </w:tc>
        <w:tc>
          <w:tcPr>
            <w:tcW w:w="506" w:type="pct"/>
            <w:vAlign w:val="center"/>
          </w:tcPr>
          <w:p w14:paraId="647884FF" w14:textId="256DEC04"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5"/>
                <w14:textFill>
                  <w14:solidFill>
                    <w14:srgbClr w14:val="000000">
                      <w14:alpha w14:val="100000"/>
                    </w14:srgbClr>
                  </w14:solidFill>
                </w14:textFill>
              </w:rPr>
              <w:t xml:space="preserve">　</w:t>
            </w:r>
            <w:r w:rsidRPr="00A0676B">
              <w:rPr>
                <w:color w:val="000000"/>
                <w:w w:val="33"/>
                <w:szCs w:val="20"/>
                <w:shd w:val="solid" w:color="000000" w:fill="000000"/>
                <w:fitText w:val="150" w:id="-930964725"/>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5"/>
                <w14:textFill>
                  <w14:solidFill>
                    <w14:srgbClr w14:val="000000">
                      <w14:alpha w14:val="100000"/>
                    </w14:srgbClr>
                  </w14:solidFill>
                </w14:textFill>
              </w:rPr>
              <w:t xml:space="preserve">　</w:t>
            </w:r>
            <w:r w:rsidR="00F5486A">
              <w:rPr>
                <w:vertAlign w:val="superscript"/>
              </w:rPr>
              <w:t>3</w:t>
            </w:r>
          </w:p>
        </w:tc>
        <w:tc>
          <w:tcPr>
            <w:tcW w:w="507" w:type="pct"/>
            <w:vAlign w:val="center"/>
          </w:tcPr>
          <w:p w14:paraId="7E930D77" w14:textId="34FC2AEF"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4"/>
                <w14:textFill>
                  <w14:solidFill>
                    <w14:srgbClr w14:val="000000">
                      <w14:alpha w14:val="100000"/>
                    </w14:srgbClr>
                  </w14:solidFill>
                </w14:textFill>
              </w:rPr>
              <w:t xml:space="preserve">　</w:t>
            </w:r>
            <w:r w:rsidRPr="00A0676B">
              <w:rPr>
                <w:color w:val="000000"/>
                <w:w w:val="33"/>
                <w:szCs w:val="20"/>
                <w:shd w:val="solid" w:color="000000" w:fill="000000"/>
                <w:fitText w:val="150" w:id="-930964724"/>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4"/>
                <w14:textFill>
                  <w14:solidFill>
                    <w14:srgbClr w14:val="000000">
                      <w14:alpha w14:val="100000"/>
                    </w14:srgbClr>
                  </w14:solidFill>
                </w14:textFill>
              </w:rPr>
              <w:t xml:space="preserve">　</w:t>
            </w:r>
            <w:r w:rsidR="00F5486A">
              <w:rPr>
                <w:vertAlign w:val="superscript"/>
              </w:rPr>
              <w:t>3</w:t>
            </w:r>
          </w:p>
        </w:tc>
      </w:tr>
      <w:tr w:rsidR="009A5B6A" w:rsidRPr="00ED5E6C" w14:paraId="12D07561" w14:textId="77777777" w:rsidTr="004C64A3">
        <w:trPr>
          <w:cantSplit/>
          <w:tblHeader/>
        </w:trPr>
        <w:tc>
          <w:tcPr>
            <w:tcW w:w="155" w:type="pct"/>
            <w:vAlign w:val="center"/>
          </w:tcPr>
          <w:p w14:paraId="2B98C5B2" w14:textId="77777777" w:rsidR="009A5B6A" w:rsidRPr="00F15AAB" w:rsidRDefault="009A5B6A" w:rsidP="00313182">
            <w:pPr>
              <w:pStyle w:val="TableText0"/>
              <w:rPr>
                <w:szCs w:val="20"/>
              </w:rPr>
            </w:pPr>
            <w:r w:rsidRPr="00F15AAB">
              <w:rPr>
                <w:szCs w:val="20"/>
              </w:rPr>
              <w:t>C</w:t>
            </w:r>
          </w:p>
        </w:tc>
        <w:tc>
          <w:tcPr>
            <w:tcW w:w="1178" w:type="pct"/>
            <w:vAlign w:val="center"/>
          </w:tcPr>
          <w:p w14:paraId="1EE4FA0F" w14:textId="77777777" w:rsidR="009A5B6A" w:rsidRPr="00F15AAB" w:rsidRDefault="009A5B6A" w:rsidP="00313182">
            <w:pPr>
              <w:pStyle w:val="TableText0"/>
              <w:rPr>
                <w:szCs w:val="20"/>
              </w:rPr>
            </w:pPr>
            <w:r w:rsidRPr="00F15AAB">
              <w:rPr>
                <w:szCs w:val="20"/>
              </w:rPr>
              <w:t>Patients on 5+ LD-based tablets</w:t>
            </w:r>
          </w:p>
        </w:tc>
        <w:tc>
          <w:tcPr>
            <w:tcW w:w="628" w:type="pct"/>
            <w:vAlign w:val="center"/>
          </w:tcPr>
          <w:p w14:paraId="5159D45C" w14:textId="77777777" w:rsidR="009A5B6A" w:rsidRPr="00F15AAB" w:rsidRDefault="009A5B6A" w:rsidP="00313182">
            <w:pPr>
              <w:pStyle w:val="TableText0"/>
              <w:rPr>
                <w:szCs w:val="20"/>
              </w:rPr>
            </w:pPr>
            <w:r w:rsidRPr="00F15AAB">
              <w:rPr>
                <w:szCs w:val="20"/>
              </w:rPr>
              <w:t>5% growth rate</w:t>
            </w:r>
          </w:p>
        </w:tc>
        <w:tc>
          <w:tcPr>
            <w:tcW w:w="506" w:type="pct"/>
            <w:vAlign w:val="center"/>
          </w:tcPr>
          <w:p w14:paraId="7E34AF20" w14:textId="2DABC251"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23"/>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23"/>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23"/>
                <w:lang w:val="en-US"/>
                <w14:textFill>
                  <w14:solidFill>
                    <w14:schemeClr w14:val="tx1">
                      <w14:alpha w14:val="100000"/>
                    </w14:schemeClr>
                  </w14:solidFill>
                </w14:textFill>
              </w:rPr>
              <w:t xml:space="preserve">　</w:t>
            </w:r>
            <w:r w:rsidR="00F5486A">
              <w:rPr>
                <w:vertAlign w:val="superscript"/>
              </w:rPr>
              <w:t>4</w:t>
            </w:r>
          </w:p>
        </w:tc>
        <w:tc>
          <w:tcPr>
            <w:tcW w:w="507" w:type="pct"/>
            <w:vAlign w:val="center"/>
          </w:tcPr>
          <w:p w14:paraId="462F596F" w14:textId="677BB1FB"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22"/>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22"/>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22"/>
                <w:lang w:val="en-US"/>
                <w14:textFill>
                  <w14:solidFill>
                    <w14:schemeClr w14:val="tx1">
                      <w14:alpha w14:val="100000"/>
                    </w14:schemeClr>
                  </w14:solidFill>
                </w14:textFill>
              </w:rPr>
              <w:t xml:space="preserve">　</w:t>
            </w:r>
            <w:r w:rsidR="00F5486A">
              <w:rPr>
                <w:vertAlign w:val="superscript"/>
              </w:rPr>
              <w:t>4</w:t>
            </w:r>
          </w:p>
        </w:tc>
        <w:tc>
          <w:tcPr>
            <w:tcW w:w="506" w:type="pct"/>
            <w:vAlign w:val="center"/>
          </w:tcPr>
          <w:p w14:paraId="2186C613" w14:textId="41D1F484"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21"/>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21"/>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21"/>
                <w:lang w:val="en-US"/>
                <w14:textFill>
                  <w14:solidFill>
                    <w14:schemeClr w14:val="tx1">
                      <w14:alpha w14:val="100000"/>
                    </w14:schemeClr>
                  </w14:solidFill>
                </w14:textFill>
              </w:rPr>
              <w:t xml:space="preserve">　</w:t>
            </w:r>
            <w:r w:rsidR="00F5486A">
              <w:rPr>
                <w:vertAlign w:val="superscript"/>
              </w:rPr>
              <w:t>4</w:t>
            </w:r>
          </w:p>
        </w:tc>
        <w:tc>
          <w:tcPr>
            <w:tcW w:w="507" w:type="pct"/>
            <w:vAlign w:val="center"/>
          </w:tcPr>
          <w:p w14:paraId="4A699D12" w14:textId="15AEFAE0"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20"/>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20"/>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20"/>
                <w:lang w:val="en-US"/>
                <w14:textFill>
                  <w14:solidFill>
                    <w14:schemeClr w14:val="tx1">
                      <w14:alpha w14:val="100000"/>
                    </w14:schemeClr>
                  </w14:solidFill>
                </w14:textFill>
              </w:rPr>
              <w:t xml:space="preserve">　</w:t>
            </w:r>
            <w:r w:rsidR="00F5486A">
              <w:rPr>
                <w:vertAlign w:val="superscript"/>
              </w:rPr>
              <w:t>4</w:t>
            </w:r>
          </w:p>
        </w:tc>
        <w:tc>
          <w:tcPr>
            <w:tcW w:w="506" w:type="pct"/>
            <w:vAlign w:val="center"/>
          </w:tcPr>
          <w:p w14:paraId="50BB9108" w14:textId="6FA37E3E"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36"/>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36"/>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36"/>
                <w:lang w:val="en-US"/>
                <w14:textFill>
                  <w14:solidFill>
                    <w14:schemeClr w14:val="tx1">
                      <w14:alpha w14:val="100000"/>
                    </w14:schemeClr>
                  </w14:solidFill>
                </w14:textFill>
              </w:rPr>
              <w:t xml:space="preserve">　</w:t>
            </w:r>
            <w:r w:rsidR="00F5486A">
              <w:rPr>
                <w:vertAlign w:val="superscript"/>
              </w:rPr>
              <w:t>5</w:t>
            </w:r>
          </w:p>
        </w:tc>
        <w:tc>
          <w:tcPr>
            <w:tcW w:w="507" w:type="pct"/>
            <w:vAlign w:val="center"/>
          </w:tcPr>
          <w:p w14:paraId="46B7C369" w14:textId="6C896CBD"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35"/>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35"/>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35"/>
                <w:lang w:val="en-US"/>
                <w14:textFill>
                  <w14:solidFill>
                    <w14:schemeClr w14:val="tx1">
                      <w14:alpha w14:val="100000"/>
                    </w14:schemeClr>
                  </w14:solidFill>
                </w14:textFill>
              </w:rPr>
              <w:t xml:space="preserve">　</w:t>
            </w:r>
            <w:r w:rsidR="00F5486A">
              <w:rPr>
                <w:vertAlign w:val="superscript"/>
              </w:rPr>
              <w:t>5</w:t>
            </w:r>
          </w:p>
        </w:tc>
      </w:tr>
      <w:tr w:rsidR="009A5B6A" w:rsidRPr="00ED5E6C" w14:paraId="09D5A120" w14:textId="77777777" w:rsidTr="004C64A3">
        <w:trPr>
          <w:cantSplit/>
          <w:tblHeader/>
        </w:trPr>
        <w:tc>
          <w:tcPr>
            <w:tcW w:w="155" w:type="pct"/>
            <w:vAlign w:val="center"/>
          </w:tcPr>
          <w:p w14:paraId="6233C2BC" w14:textId="77777777" w:rsidR="009A5B6A" w:rsidRPr="00F15AAB" w:rsidRDefault="009A5B6A" w:rsidP="00313182">
            <w:pPr>
              <w:pStyle w:val="TableText0"/>
              <w:rPr>
                <w:szCs w:val="20"/>
              </w:rPr>
            </w:pPr>
            <w:r w:rsidRPr="00F15AAB">
              <w:rPr>
                <w:szCs w:val="20"/>
              </w:rPr>
              <w:t>D</w:t>
            </w:r>
          </w:p>
        </w:tc>
        <w:tc>
          <w:tcPr>
            <w:tcW w:w="1178" w:type="pct"/>
            <w:vAlign w:val="center"/>
          </w:tcPr>
          <w:p w14:paraId="76C27E7C" w14:textId="77777777" w:rsidR="009A5B6A" w:rsidRPr="00F15AAB" w:rsidRDefault="009A5B6A" w:rsidP="00313182">
            <w:pPr>
              <w:pStyle w:val="TableText0"/>
              <w:rPr>
                <w:szCs w:val="20"/>
              </w:rPr>
            </w:pPr>
            <w:r w:rsidRPr="00F15AAB">
              <w:rPr>
                <w:szCs w:val="20"/>
              </w:rPr>
              <w:t>Patients with severe disabling motor fluctuation</w:t>
            </w:r>
          </w:p>
        </w:tc>
        <w:tc>
          <w:tcPr>
            <w:tcW w:w="628" w:type="pct"/>
            <w:vAlign w:val="center"/>
          </w:tcPr>
          <w:p w14:paraId="1E7B533C" w14:textId="77777777" w:rsidR="009A5B6A" w:rsidRPr="00F15AAB" w:rsidRDefault="009A5B6A" w:rsidP="00313182">
            <w:pPr>
              <w:pStyle w:val="TableText0"/>
              <w:rPr>
                <w:szCs w:val="20"/>
              </w:rPr>
            </w:pPr>
            <w:r w:rsidRPr="00F15AAB">
              <w:rPr>
                <w:szCs w:val="20"/>
              </w:rPr>
              <w:t>69%</w:t>
            </w:r>
          </w:p>
          <w:p w14:paraId="7C34E5C2" w14:textId="4F97FD79" w:rsidR="009A5B6A" w:rsidRPr="00F15AAB" w:rsidRDefault="009A5B6A" w:rsidP="00313182">
            <w:pPr>
              <w:pStyle w:val="TableText0"/>
              <w:rPr>
                <w:szCs w:val="20"/>
              </w:rPr>
            </w:pPr>
            <w:r w:rsidRPr="00F15AAB">
              <w:rPr>
                <w:szCs w:val="20"/>
              </w:rPr>
              <w:t xml:space="preserve">(C </w:t>
            </w:r>
            <w:r w:rsidR="00E02881">
              <w:rPr>
                <w:szCs w:val="20"/>
              </w:rPr>
              <w:t>×</w:t>
            </w:r>
            <w:r w:rsidRPr="00F15AAB">
              <w:rPr>
                <w:szCs w:val="20"/>
              </w:rPr>
              <w:t xml:space="preserve"> 69%)</w:t>
            </w:r>
          </w:p>
        </w:tc>
        <w:tc>
          <w:tcPr>
            <w:tcW w:w="506" w:type="pct"/>
            <w:vAlign w:val="center"/>
          </w:tcPr>
          <w:p w14:paraId="145F2FD3" w14:textId="2D886DCC"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34"/>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34"/>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34"/>
                <w:lang w:val="en-US"/>
                <w14:textFill>
                  <w14:solidFill>
                    <w14:schemeClr w14:val="tx1">
                      <w14:alpha w14:val="100000"/>
                    </w14:schemeClr>
                  </w14:solidFill>
                </w14:textFill>
              </w:rPr>
              <w:t xml:space="preserve">　</w:t>
            </w:r>
            <w:r w:rsidR="00F5486A">
              <w:rPr>
                <w:vertAlign w:val="superscript"/>
              </w:rPr>
              <w:t>6</w:t>
            </w:r>
          </w:p>
        </w:tc>
        <w:tc>
          <w:tcPr>
            <w:tcW w:w="507" w:type="pct"/>
            <w:vAlign w:val="center"/>
          </w:tcPr>
          <w:p w14:paraId="22BA7E4E" w14:textId="0FE4DAF3"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33"/>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33"/>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33"/>
                <w:lang w:val="en-US"/>
                <w14:textFill>
                  <w14:solidFill>
                    <w14:schemeClr w14:val="tx1">
                      <w14:alpha w14:val="100000"/>
                    </w14:schemeClr>
                  </w14:solidFill>
                </w14:textFill>
              </w:rPr>
              <w:t xml:space="preserve">　</w:t>
            </w:r>
            <w:r w:rsidR="00F5486A">
              <w:rPr>
                <w:vertAlign w:val="superscript"/>
              </w:rPr>
              <w:t>6</w:t>
            </w:r>
          </w:p>
        </w:tc>
        <w:tc>
          <w:tcPr>
            <w:tcW w:w="506" w:type="pct"/>
            <w:vAlign w:val="center"/>
          </w:tcPr>
          <w:p w14:paraId="678C4934" w14:textId="22C83602"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32"/>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32"/>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32"/>
                <w:lang w:val="en-US"/>
                <w14:textFill>
                  <w14:solidFill>
                    <w14:schemeClr w14:val="tx1">
                      <w14:alpha w14:val="100000"/>
                    </w14:schemeClr>
                  </w14:solidFill>
                </w14:textFill>
              </w:rPr>
              <w:t xml:space="preserve">　</w:t>
            </w:r>
            <w:r w:rsidR="00F5486A">
              <w:rPr>
                <w:vertAlign w:val="superscript"/>
              </w:rPr>
              <w:t>6</w:t>
            </w:r>
          </w:p>
        </w:tc>
        <w:tc>
          <w:tcPr>
            <w:tcW w:w="507" w:type="pct"/>
            <w:vAlign w:val="center"/>
          </w:tcPr>
          <w:p w14:paraId="0BE14C0D" w14:textId="7688B9DF" w:rsidR="009A5B6A" w:rsidRPr="004F7504" w:rsidRDefault="004B6FE2" w:rsidP="007B2BB9">
            <w:pPr>
              <w:pStyle w:val="TableText0"/>
              <w:jc w:val="center"/>
              <w:rPr>
                <w:szCs w:val="20"/>
                <w:highlight w:val="darkGray"/>
              </w:rPr>
            </w:pPr>
            <w:r w:rsidRPr="00A0676B">
              <w:rPr>
                <w:rFonts w:eastAsia="Times New Roman" w:cs="Calibri" w:hint="eastAsia"/>
                <w:color w:val="000000" w:themeColor="text1"/>
                <w:w w:val="33"/>
                <w:szCs w:val="20"/>
                <w:shd w:val="solid" w:color="000000" w:fill="000000"/>
                <w:fitText w:val="150" w:id="-930964731"/>
                <w:lang w:val="en-US"/>
                <w14:textFill>
                  <w14:solidFill>
                    <w14:schemeClr w14:val="tx1">
                      <w14:alpha w14:val="100000"/>
                    </w14:schemeClr>
                  </w14:solidFill>
                </w14:textFill>
              </w:rPr>
              <w:t xml:space="preserve">　</w:t>
            </w:r>
            <w:r w:rsidRPr="00A0676B">
              <w:rPr>
                <w:rFonts w:eastAsia="Times New Roman" w:cs="Calibri"/>
                <w:color w:val="000000" w:themeColor="text1"/>
                <w:w w:val="33"/>
                <w:szCs w:val="20"/>
                <w:shd w:val="solid" w:color="000000" w:fill="000000"/>
                <w:fitText w:val="150" w:id="-930964731"/>
                <w:lang w:val="en-US"/>
                <w14:textFill>
                  <w14:solidFill>
                    <w14:schemeClr w14:val="tx1">
                      <w14:alpha w14:val="100000"/>
                    </w14:schemeClr>
                  </w14:solidFill>
                </w14:textFill>
              </w:rPr>
              <w:t>|</w:t>
            </w:r>
            <w:r w:rsidRPr="00A0676B">
              <w:rPr>
                <w:rFonts w:eastAsia="Times New Roman" w:cs="Calibri" w:hint="eastAsia"/>
                <w:color w:val="000000" w:themeColor="text1"/>
                <w:spacing w:val="14"/>
                <w:w w:val="33"/>
                <w:szCs w:val="20"/>
                <w:shd w:val="solid" w:color="000000" w:fill="000000"/>
                <w:fitText w:val="150" w:id="-930964731"/>
                <w:lang w:val="en-US"/>
                <w14:textFill>
                  <w14:solidFill>
                    <w14:schemeClr w14:val="tx1">
                      <w14:alpha w14:val="100000"/>
                    </w14:schemeClr>
                  </w14:solidFill>
                </w14:textFill>
              </w:rPr>
              <w:t xml:space="preserve">　</w:t>
            </w:r>
            <w:r w:rsidR="00F5486A">
              <w:rPr>
                <w:vertAlign w:val="superscript"/>
              </w:rPr>
              <w:t>6</w:t>
            </w:r>
          </w:p>
        </w:tc>
        <w:tc>
          <w:tcPr>
            <w:tcW w:w="506" w:type="pct"/>
            <w:vAlign w:val="center"/>
          </w:tcPr>
          <w:p w14:paraId="5D2F415F" w14:textId="73F88FF9" w:rsidR="009A5B6A" w:rsidRPr="004F7504" w:rsidRDefault="004B6FE2" w:rsidP="007B2BB9">
            <w:pPr>
              <w:pStyle w:val="TableText0"/>
              <w:jc w:val="center"/>
              <w:rPr>
                <w:szCs w:val="20"/>
                <w:highlight w:val="darkGray"/>
              </w:rPr>
            </w:pPr>
            <w:r w:rsidRPr="00A0676B">
              <w:rPr>
                <w:rFonts w:eastAsia="Times New Roman" w:cs="Calibri" w:hint="eastAsia"/>
                <w:color w:val="000000"/>
                <w:w w:val="33"/>
                <w:szCs w:val="20"/>
                <w:shd w:val="solid" w:color="000000" w:fill="000000"/>
                <w:fitText w:val="150" w:id="-930964730"/>
                <w:lang w:val="en-US"/>
                <w14:textFill>
                  <w14:solidFill>
                    <w14:srgbClr w14:val="000000">
                      <w14:alpha w14:val="100000"/>
                    </w14:srgbClr>
                  </w14:solidFill>
                </w14:textFill>
              </w:rPr>
              <w:t xml:space="preserve">　</w:t>
            </w:r>
            <w:r w:rsidRPr="00A0676B">
              <w:rPr>
                <w:rFonts w:eastAsia="Times New Roman" w:cs="Calibri"/>
                <w:color w:val="000000"/>
                <w:w w:val="33"/>
                <w:szCs w:val="20"/>
                <w:shd w:val="solid" w:color="000000" w:fill="000000"/>
                <w:fitText w:val="150" w:id="-930964730"/>
                <w:lang w:val="en-US"/>
                <w14:textFill>
                  <w14:solidFill>
                    <w14:srgbClr w14:val="000000">
                      <w14:alpha w14:val="100000"/>
                    </w14:srgbClr>
                  </w14:solidFill>
                </w14:textFill>
              </w:rPr>
              <w:t>|</w:t>
            </w:r>
            <w:r w:rsidRPr="00A0676B">
              <w:rPr>
                <w:rFonts w:eastAsia="Times New Roman" w:cs="Calibri" w:hint="eastAsia"/>
                <w:color w:val="000000"/>
                <w:spacing w:val="14"/>
                <w:w w:val="33"/>
                <w:szCs w:val="20"/>
                <w:shd w:val="solid" w:color="000000" w:fill="000000"/>
                <w:fitText w:val="150" w:id="-930964730"/>
                <w:lang w:val="en-US"/>
                <w14:textFill>
                  <w14:solidFill>
                    <w14:srgbClr w14:val="000000">
                      <w14:alpha w14:val="100000"/>
                    </w14:srgbClr>
                  </w14:solidFill>
                </w14:textFill>
              </w:rPr>
              <w:t xml:space="preserve">　</w:t>
            </w:r>
            <w:r w:rsidR="00F5486A">
              <w:rPr>
                <w:vertAlign w:val="superscript"/>
              </w:rPr>
              <w:t>6</w:t>
            </w:r>
          </w:p>
        </w:tc>
        <w:tc>
          <w:tcPr>
            <w:tcW w:w="507" w:type="pct"/>
            <w:vAlign w:val="center"/>
          </w:tcPr>
          <w:p w14:paraId="78EBD19E" w14:textId="5644A6F3" w:rsidR="009A5B6A" w:rsidRPr="004F7504" w:rsidRDefault="004B6FE2" w:rsidP="007B2BB9">
            <w:pPr>
              <w:pStyle w:val="TableText0"/>
              <w:jc w:val="center"/>
              <w:rPr>
                <w:szCs w:val="20"/>
                <w:highlight w:val="darkGray"/>
              </w:rPr>
            </w:pPr>
            <w:r w:rsidRPr="00A0676B">
              <w:rPr>
                <w:rFonts w:eastAsia="Times New Roman" w:cs="Calibri" w:hint="eastAsia"/>
                <w:color w:val="000000"/>
                <w:w w:val="33"/>
                <w:szCs w:val="20"/>
                <w:shd w:val="solid" w:color="000000" w:fill="000000"/>
                <w:fitText w:val="150" w:id="-930964729"/>
                <w:lang w:val="en-US"/>
                <w14:textFill>
                  <w14:solidFill>
                    <w14:srgbClr w14:val="000000">
                      <w14:alpha w14:val="100000"/>
                    </w14:srgbClr>
                  </w14:solidFill>
                </w14:textFill>
              </w:rPr>
              <w:t xml:space="preserve">　</w:t>
            </w:r>
            <w:r w:rsidRPr="00A0676B">
              <w:rPr>
                <w:rFonts w:eastAsia="Times New Roman" w:cs="Calibri"/>
                <w:color w:val="000000"/>
                <w:w w:val="33"/>
                <w:szCs w:val="20"/>
                <w:shd w:val="solid" w:color="000000" w:fill="000000"/>
                <w:fitText w:val="150" w:id="-930964729"/>
                <w:lang w:val="en-US"/>
                <w14:textFill>
                  <w14:solidFill>
                    <w14:srgbClr w14:val="000000">
                      <w14:alpha w14:val="100000"/>
                    </w14:srgbClr>
                  </w14:solidFill>
                </w14:textFill>
              </w:rPr>
              <w:t>|</w:t>
            </w:r>
            <w:r w:rsidRPr="00A0676B">
              <w:rPr>
                <w:rFonts w:eastAsia="Times New Roman" w:cs="Calibri" w:hint="eastAsia"/>
                <w:color w:val="000000"/>
                <w:spacing w:val="14"/>
                <w:w w:val="33"/>
                <w:szCs w:val="20"/>
                <w:shd w:val="solid" w:color="000000" w:fill="000000"/>
                <w:fitText w:val="150" w:id="-930964729"/>
                <w:lang w:val="en-US"/>
                <w14:textFill>
                  <w14:solidFill>
                    <w14:srgbClr w14:val="000000">
                      <w14:alpha w14:val="100000"/>
                    </w14:srgbClr>
                  </w14:solidFill>
                </w14:textFill>
              </w:rPr>
              <w:t xml:space="preserve">　</w:t>
            </w:r>
            <w:r w:rsidR="00F5486A">
              <w:rPr>
                <w:vertAlign w:val="superscript"/>
              </w:rPr>
              <w:t>6</w:t>
            </w:r>
          </w:p>
        </w:tc>
      </w:tr>
      <w:tr w:rsidR="009A5B6A" w:rsidRPr="00ED5E6C" w14:paraId="70C96D73" w14:textId="77777777" w:rsidTr="004C64A3">
        <w:trPr>
          <w:cantSplit/>
          <w:tblHeader/>
        </w:trPr>
        <w:tc>
          <w:tcPr>
            <w:tcW w:w="155" w:type="pct"/>
            <w:vAlign w:val="center"/>
          </w:tcPr>
          <w:p w14:paraId="6392EC84" w14:textId="77777777" w:rsidR="009A5B6A" w:rsidRPr="00F15AAB" w:rsidRDefault="009A5B6A" w:rsidP="00313182">
            <w:pPr>
              <w:pStyle w:val="TableText0"/>
              <w:rPr>
                <w:szCs w:val="20"/>
              </w:rPr>
            </w:pPr>
            <w:r w:rsidRPr="00F15AAB">
              <w:rPr>
                <w:szCs w:val="20"/>
              </w:rPr>
              <w:t>E</w:t>
            </w:r>
          </w:p>
        </w:tc>
        <w:tc>
          <w:tcPr>
            <w:tcW w:w="1178" w:type="pct"/>
            <w:vAlign w:val="center"/>
          </w:tcPr>
          <w:p w14:paraId="16885E05" w14:textId="77777777" w:rsidR="009A5B6A" w:rsidRPr="00F15AAB" w:rsidRDefault="009A5B6A" w:rsidP="00313182">
            <w:pPr>
              <w:pStyle w:val="TableText0"/>
              <w:rPr>
                <w:szCs w:val="20"/>
              </w:rPr>
            </w:pPr>
            <w:r w:rsidRPr="00F15AAB">
              <w:rPr>
                <w:szCs w:val="20"/>
              </w:rPr>
              <w:t>Patients remaining on orals</w:t>
            </w:r>
          </w:p>
        </w:tc>
        <w:tc>
          <w:tcPr>
            <w:tcW w:w="628" w:type="pct"/>
            <w:vAlign w:val="center"/>
          </w:tcPr>
          <w:p w14:paraId="088BA609" w14:textId="77777777" w:rsidR="009A5B6A" w:rsidRPr="00F15AAB" w:rsidRDefault="009A5B6A" w:rsidP="00313182">
            <w:pPr>
              <w:pStyle w:val="TableText0"/>
              <w:rPr>
                <w:szCs w:val="20"/>
              </w:rPr>
            </w:pPr>
            <w:r w:rsidRPr="00F15AAB">
              <w:rPr>
                <w:szCs w:val="20"/>
              </w:rPr>
              <w:t>40%</w:t>
            </w:r>
          </w:p>
          <w:p w14:paraId="706D4DEE" w14:textId="40A79D3B" w:rsidR="009A5B6A" w:rsidRPr="00F15AAB" w:rsidRDefault="009A5B6A" w:rsidP="00313182">
            <w:pPr>
              <w:pStyle w:val="TableText0"/>
              <w:rPr>
                <w:szCs w:val="20"/>
              </w:rPr>
            </w:pPr>
            <w:r w:rsidRPr="00F15AAB">
              <w:rPr>
                <w:szCs w:val="20"/>
              </w:rPr>
              <w:t xml:space="preserve">(D </w:t>
            </w:r>
            <w:r w:rsidR="00E02881">
              <w:rPr>
                <w:szCs w:val="20"/>
              </w:rPr>
              <w:t>×</w:t>
            </w:r>
            <w:r w:rsidRPr="00F15AAB">
              <w:rPr>
                <w:szCs w:val="20"/>
              </w:rPr>
              <w:t xml:space="preserve"> 40%)</w:t>
            </w:r>
          </w:p>
        </w:tc>
        <w:tc>
          <w:tcPr>
            <w:tcW w:w="506" w:type="pct"/>
            <w:vAlign w:val="center"/>
          </w:tcPr>
          <w:p w14:paraId="2C53992D" w14:textId="730DD531"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8"/>
                <w14:textFill>
                  <w14:solidFill>
                    <w14:srgbClr w14:val="000000">
                      <w14:alpha w14:val="100000"/>
                    </w14:srgbClr>
                  </w14:solidFill>
                </w14:textFill>
              </w:rPr>
              <w:t xml:space="preserve">　</w:t>
            </w:r>
            <w:r w:rsidRPr="00A0676B">
              <w:rPr>
                <w:color w:val="000000"/>
                <w:w w:val="33"/>
                <w:szCs w:val="20"/>
                <w:shd w:val="solid" w:color="000000" w:fill="000000"/>
                <w:fitText w:val="150" w:id="-930964728"/>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8"/>
                <w14:textFill>
                  <w14:solidFill>
                    <w14:srgbClr w14:val="000000">
                      <w14:alpha w14:val="100000"/>
                    </w14:srgbClr>
                  </w14:solidFill>
                </w14:textFill>
              </w:rPr>
              <w:t xml:space="preserve">　</w:t>
            </w:r>
            <w:r w:rsidR="00F5486A">
              <w:rPr>
                <w:vertAlign w:val="superscript"/>
              </w:rPr>
              <w:t>7</w:t>
            </w:r>
          </w:p>
        </w:tc>
        <w:tc>
          <w:tcPr>
            <w:tcW w:w="507" w:type="pct"/>
            <w:vAlign w:val="center"/>
          </w:tcPr>
          <w:p w14:paraId="1E28149D" w14:textId="621390C6"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7"/>
                <w14:textFill>
                  <w14:solidFill>
                    <w14:srgbClr w14:val="000000">
                      <w14:alpha w14:val="100000"/>
                    </w14:srgbClr>
                  </w14:solidFill>
                </w14:textFill>
              </w:rPr>
              <w:t xml:space="preserve">　</w:t>
            </w:r>
            <w:r w:rsidRPr="00A0676B">
              <w:rPr>
                <w:color w:val="000000"/>
                <w:w w:val="33"/>
                <w:szCs w:val="20"/>
                <w:shd w:val="solid" w:color="000000" w:fill="000000"/>
                <w:fitText w:val="150" w:id="-930964727"/>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7"/>
                <w14:textFill>
                  <w14:solidFill>
                    <w14:srgbClr w14:val="000000">
                      <w14:alpha w14:val="100000"/>
                    </w14:srgbClr>
                  </w14:solidFill>
                </w14:textFill>
              </w:rPr>
              <w:t xml:space="preserve">　</w:t>
            </w:r>
            <w:r w:rsidR="00F5486A">
              <w:rPr>
                <w:vertAlign w:val="superscript"/>
              </w:rPr>
              <w:t>7</w:t>
            </w:r>
          </w:p>
        </w:tc>
        <w:tc>
          <w:tcPr>
            <w:tcW w:w="506" w:type="pct"/>
            <w:vAlign w:val="center"/>
          </w:tcPr>
          <w:p w14:paraId="02AB8688" w14:textId="3902FFBA"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6"/>
                <w14:textFill>
                  <w14:solidFill>
                    <w14:srgbClr w14:val="000000">
                      <w14:alpha w14:val="100000"/>
                    </w14:srgbClr>
                  </w14:solidFill>
                </w14:textFill>
              </w:rPr>
              <w:t xml:space="preserve">　</w:t>
            </w:r>
            <w:r w:rsidRPr="00A0676B">
              <w:rPr>
                <w:color w:val="000000"/>
                <w:w w:val="33"/>
                <w:szCs w:val="20"/>
                <w:shd w:val="solid" w:color="000000" w:fill="000000"/>
                <w:fitText w:val="150" w:id="-930964726"/>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6"/>
                <w14:textFill>
                  <w14:solidFill>
                    <w14:srgbClr w14:val="000000">
                      <w14:alpha w14:val="100000"/>
                    </w14:srgbClr>
                  </w14:solidFill>
                </w14:textFill>
              </w:rPr>
              <w:t xml:space="preserve">　</w:t>
            </w:r>
            <w:r w:rsidR="00F5486A">
              <w:rPr>
                <w:vertAlign w:val="superscript"/>
              </w:rPr>
              <w:t>7</w:t>
            </w:r>
          </w:p>
        </w:tc>
        <w:tc>
          <w:tcPr>
            <w:tcW w:w="507" w:type="pct"/>
            <w:vAlign w:val="center"/>
          </w:tcPr>
          <w:p w14:paraId="0954CB6D" w14:textId="70E484B5"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5"/>
                <w14:textFill>
                  <w14:solidFill>
                    <w14:srgbClr w14:val="000000">
                      <w14:alpha w14:val="100000"/>
                    </w14:srgbClr>
                  </w14:solidFill>
                </w14:textFill>
              </w:rPr>
              <w:t xml:space="preserve">　</w:t>
            </w:r>
            <w:r w:rsidRPr="00A0676B">
              <w:rPr>
                <w:color w:val="000000"/>
                <w:w w:val="33"/>
                <w:szCs w:val="20"/>
                <w:shd w:val="solid" w:color="000000" w:fill="000000"/>
                <w:fitText w:val="150" w:id="-930964725"/>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5"/>
                <w14:textFill>
                  <w14:solidFill>
                    <w14:srgbClr w14:val="000000">
                      <w14:alpha w14:val="100000"/>
                    </w14:srgbClr>
                  </w14:solidFill>
                </w14:textFill>
              </w:rPr>
              <w:t xml:space="preserve">　</w:t>
            </w:r>
            <w:r w:rsidR="00F5486A">
              <w:rPr>
                <w:vertAlign w:val="superscript"/>
              </w:rPr>
              <w:t>7</w:t>
            </w:r>
          </w:p>
        </w:tc>
        <w:tc>
          <w:tcPr>
            <w:tcW w:w="506" w:type="pct"/>
            <w:vAlign w:val="center"/>
          </w:tcPr>
          <w:p w14:paraId="150CDB09" w14:textId="14119131"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4"/>
                <w14:textFill>
                  <w14:solidFill>
                    <w14:srgbClr w14:val="000000">
                      <w14:alpha w14:val="100000"/>
                    </w14:srgbClr>
                  </w14:solidFill>
                </w14:textFill>
              </w:rPr>
              <w:t xml:space="preserve">　</w:t>
            </w:r>
            <w:r w:rsidRPr="00A0676B">
              <w:rPr>
                <w:color w:val="000000"/>
                <w:w w:val="33"/>
                <w:szCs w:val="20"/>
                <w:shd w:val="solid" w:color="000000" w:fill="000000"/>
                <w:fitText w:val="150" w:id="-930964724"/>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4"/>
                <w14:textFill>
                  <w14:solidFill>
                    <w14:srgbClr w14:val="000000">
                      <w14:alpha w14:val="100000"/>
                    </w14:srgbClr>
                  </w14:solidFill>
                </w14:textFill>
              </w:rPr>
              <w:t xml:space="preserve">　</w:t>
            </w:r>
            <w:r w:rsidR="00F5486A">
              <w:rPr>
                <w:vertAlign w:val="superscript"/>
              </w:rPr>
              <w:t>7</w:t>
            </w:r>
          </w:p>
        </w:tc>
        <w:tc>
          <w:tcPr>
            <w:tcW w:w="507" w:type="pct"/>
            <w:vAlign w:val="center"/>
          </w:tcPr>
          <w:p w14:paraId="293BA8DA" w14:textId="58106B14"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3"/>
                <w14:textFill>
                  <w14:solidFill>
                    <w14:srgbClr w14:val="000000">
                      <w14:alpha w14:val="100000"/>
                    </w14:srgbClr>
                  </w14:solidFill>
                </w14:textFill>
              </w:rPr>
              <w:t xml:space="preserve">　</w:t>
            </w:r>
            <w:r w:rsidRPr="00A0676B">
              <w:rPr>
                <w:color w:val="000000"/>
                <w:w w:val="33"/>
                <w:szCs w:val="20"/>
                <w:shd w:val="solid" w:color="000000" w:fill="000000"/>
                <w:fitText w:val="150" w:id="-930964723"/>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3"/>
                <w14:textFill>
                  <w14:solidFill>
                    <w14:srgbClr w14:val="000000">
                      <w14:alpha w14:val="100000"/>
                    </w14:srgbClr>
                  </w14:solidFill>
                </w14:textFill>
              </w:rPr>
              <w:t xml:space="preserve">　</w:t>
            </w:r>
            <w:r w:rsidR="00F5486A">
              <w:rPr>
                <w:vertAlign w:val="superscript"/>
              </w:rPr>
              <w:t>7</w:t>
            </w:r>
          </w:p>
        </w:tc>
      </w:tr>
      <w:tr w:rsidR="009A5B6A" w:rsidRPr="00ED5E6C" w14:paraId="4421B48B" w14:textId="77777777" w:rsidTr="004C64A3">
        <w:trPr>
          <w:cantSplit/>
          <w:tblHeader/>
        </w:trPr>
        <w:tc>
          <w:tcPr>
            <w:tcW w:w="155" w:type="pct"/>
            <w:vAlign w:val="center"/>
          </w:tcPr>
          <w:p w14:paraId="7A78CA73" w14:textId="77777777" w:rsidR="009A5B6A" w:rsidRPr="00F15AAB" w:rsidRDefault="009A5B6A" w:rsidP="00313182">
            <w:pPr>
              <w:pStyle w:val="TableText0"/>
              <w:rPr>
                <w:szCs w:val="20"/>
              </w:rPr>
            </w:pPr>
            <w:r w:rsidRPr="00F15AAB">
              <w:rPr>
                <w:szCs w:val="20"/>
              </w:rPr>
              <w:t>F</w:t>
            </w:r>
          </w:p>
        </w:tc>
        <w:tc>
          <w:tcPr>
            <w:tcW w:w="1178" w:type="pct"/>
            <w:vAlign w:val="center"/>
          </w:tcPr>
          <w:p w14:paraId="06FB9524" w14:textId="77777777" w:rsidR="009A5B6A" w:rsidRPr="00F15AAB" w:rsidRDefault="009A5B6A" w:rsidP="00313182">
            <w:pPr>
              <w:pStyle w:val="TableText0"/>
              <w:rPr>
                <w:szCs w:val="20"/>
              </w:rPr>
            </w:pPr>
            <w:r w:rsidRPr="00F15AAB">
              <w:rPr>
                <w:szCs w:val="20"/>
              </w:rPr>
              <w:t xml:space="preserve">Eligible patients to commence LCIG or </w:t>
            </w:r>
            <w:r w:rsidRPr="00535972">
              <w:rPr>
                <w:szCs w:val="20"/>
              </w:rPr>
              <w:t>FosLD/FosCD</w:t>
            </w:r>
          </w:p>
        </w:tc>
        <w:tc>
          <w:tcPr>
            <w:tcW w:w="628" w:type="pct"/>
            <w:vAlign w:val="center"/>
          </w:tcPr>
          <w:p w14:paraId="6AF49A5C" w14:textId="77777777" w:rsidR="00E967E8" w:rsidRDefault="009A5B6A" w:rsidP="00313182">
            <w:pPr>
              <w:pStyle w:val="TableText0"/>
              <w:rPr>
                <w:szCs w:val="20"/>
              </w:rPr>
            </w:pPr>
            <w:r w:rsidRPr="00F15AAB">
              <w:rPr>
                <w:szCs w:val="20"/>
              </w:rPr>
              <w:t>60%</w:t>
            </w:r>
          </w:p>
          <w:p w14:paraId="05D8F6B9" w14:textId="52503B02" w:rsidR="009A5B6A" w:rsidRPr="00F15AAB" w:rsidRDefault="009A5B6A" w:rsidP="00313182">
            <w:pPr>
              <w:pStyle w:val="TableText0"/>
              <w:rPr>
                <w:szCs w:val="20"/>
              </w:rPr>
            </w:pPr>
            <w:r w:rsidRPr="00F15AAB">
              <w:rPr>
                <w:szCs w:val="20"/>
              </w:rPr>
              <w:t xml:space="preserve">(D </w:t>
            </w:r>
            <w:r w:rsidR="00E02881">
              <w:rPr>
                <w:szCs w:val="20"/>
              </w:rPr>
              <w:t>×</w:t>
            </w:r>
            <w:r w:rsidRPr="00F15AAB">
              <w:rPr>
                <w:szCs w:val="20"/>
              </w:rPr>
              <w:t xml:space="preserve"> 60%)</w:t>
            </w:r>
          </w:p>
        </w:tc>
        <w:tc>
          <w:tcPr>
            <w:tcW w:w="506" w:type="pct"/>
            <w:vAlign w:val="center"/>
          </w:tcPr>
          <w:p w14:paraId="6F7DDB77" w14:textId="1533A8F0"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2"/>
                <w14:textFill>
                  <w14:solidFill>
                    <w14:srgbClr w14:val="000000">
                      <w14:alpha w14:val="100000"/>
                    </w14:srgbClr>
                  </w14:solidFill>
                </w14:textFill>
              </w:rPr>
              <w:t xml:space="preserve">　</w:t>
            </w:r>
            <w:r w:rsidRPr="00A0676B">
              <w:rPr>
                <w:color w:val="000000"/>
                <w:w w:val="33"/>
                <w:szCs w:val="20"/>
                <w:shd w:val="solid" w:color="000000" w:fill="000000"/>
                <w:fitText w:val="150" w:id="-930964722"/>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2"/>
                <w14:textFill>
                  <w14:solidFill>
                    <w14:srgbClr w14:val="000000">
                      <w14:alpha w14:val="100000"/>
                    </w14:srgbClr>
                  </w14:solidFill>
                </w14:textFill>
              </w:rPr>
              <w:t xml:space="preserve">　</w:t>
            </w:r>
            <w:r w:rsidR="00F5486A">
              <w:rPr>
                <w:vertAlign w:val="superscript"/>
              </w:rPr>
              <w:t>7</w:t>
            </w:r>
          </w:p>
        </w:tc>
        <w:tc>
          <w:tcPr>
            <w:tcW w:w="507" w:type="pct"/>
            <w:vAlign w:val="center"/>
          </w:tcPr>
          <w:p w14:paraId="4A595047" w14:textId="7B5BD81C" w:rsidR="009A5B6A" w:rsidRPr="004F7504" w:rsidRDefault="004B6FE2" w:rsidP="007B2BB9">
            <w:pPr>
              <w:pStyle w:val="TableText0"/>
              <w:jc w:val="center"/>
              <w:rPr>
                <w:szCs w:val="20"/>
                <w:highlight w:val="darkGray"/>
              </w:rPr>
            </w:pPr>
            <w:r w:rsidRPr="00A0676B">
              <w:rPr>
                <w:rFonts w:hint="eastAsia"/>
                <w:color w:val="000000" w:themeColor="text1"/>
                <w:w w:val="33"/>
                <w:szCs w:val="20"/>
                <w:shd w:val="solid" w:color="000000" w:fill="000000"/>
                <w:fitText w:val="150" w:id="-930964721"/>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1"/>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1"/>
                <w14:textFill>
                  <w14:solidFill>
                    <w14:schemeClr w14:val="tx1">
                      <w14:alpha w14:val="100000"/>
                    </w14:schemeClr>
                  </w14:solidFill>
                </w14:textFill>
              </w:rPr>
              <w:t xml:space="preserve">　</w:t>
            </w:r>
            <w:r w:rsidR="00F5486A">
              <w:rPr>
                <w:vertAlign w:val="superscript"/>
              </w:rPr>
              <w:t>7</w:t>
            </w:r>
          </w:p>
        </w:tc>
        <w:tc>
          <w:tcPr>
            <w:tcW w:w="506" w:type="pct"/>
            <w:vAlign w:val="center"/>
          </w:tcPr>
          <w:p w14:paraId="5F698AEF" w14:textId="48207B45" w:rsidR="009A5B6A" w:rsidRPr="004F7504" w:rsidRDefault="004B6FE2" w:rsidP="007B2BB9">
            <w:pPr>
              <w:pStyle w:val="TableText0"/>
              <w:jc w:val="center"/>
              <w:rPr>
                <w:szCs w:val="20"/>
                <w:highlight w:val="darkGray"/>
              </w:rPr>
            </w:pPr>
            <w:r w:rsidRPr="00A0676B">
              <w:rPr>
                <w:rFonts w:hint="eastAsia"/>
                <w:color w:val="000000" w:themeColor="text1"/>
                <w:w w:val="33"/>
                <w:szCs w:val="20"/>
                <w:shd w:val="solid" w:color="000000" w:fill="000000"/>
                <w:fitText w:val="150" w:id="-930964720"/>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0"/>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0"/>
                <w14:textFill>
                  <w14:solidFill>
                    <w14:schemeClr w14:val="tx1">
                      <w14:alpha w14:val="100000"/>
                    </w14:schemeClr>
                  </w14:solidFill>
                </w14:textFill>
              </w:rPr>
              <w:t xml:space="preserve">　</w:t>
            </w:r>
            <w:r w:rsidR="00F5486A">
              <w:rPr>
                <w:vertAlign w:val="superscript"/>
              </w:rPr>
              <w:t>7</w:t>
            </w:r>
          </w:p>
        </w:tc>
        <w:tc>
          <w:tcPr>
            <w:tcW w:w="507" w:type="pct"/>
            <w:vAlign w:val="center"/>
          </w:tcPr>
          <w:p w14:paraId="6F03D62D" w14:textId="60A9DCDE" w:rsidR="009A5B6A" w:rsidRPr="004F7504" w:rsidRDefault="004B6FE2" w:rsidP="007B2BB9">
            <w:pPr>
              <w:pStyle w:val="TableText0"/>
              <w:jc w:val="center"/>
              <w:rPr>
                <w:szCs w:val="20"/>
                <w:highlight w:val="darkGray"/>
              </w:rPr>
            </w:pPr>
            <w:r w:rsidRPr="00A0676B">
              <w:rPr>
                <w:rFonts w:hint="eastAsia"/>
                <w:color w:val="000000" w:themeColor="text1"/>
                <w:w w:val="33"/>
                <w:szCs w:val="20"/>
                <w:shd w:val="solid" w:color="000000" w:fill="000000"/>
                <w:fitText w:val="150" w:id="-930964736"/>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6"/>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6"/>
                <w14:textFill>
                  <w14:solidFill>
                    <w14:schemeClr w14:val="tx1">
                      <w14:alpha w14:val="100000"/>
                    </w14:schemeClr>
                  </w14:solidFill>
                </w14:textFill>
              </w:rPr>
              <w:t xml:space="preserve">　</w:t>
            </w:r>
            <w:r w:rsidR="00F5486A">
              <w:rPr>
                <w:vertAlign w:val="superscript"/>
              </w:rPr>
              <w:t>7</w:t>
            </w:r>
          </w:p>
        </w:tc>
        <w:tc>
          <w:tcPr>
            <w:tcW w:w="506" w:type="pct"/>
            <w:vAlign w:val="center"/>
          </w:tcPr>
          <w:p w14:paraId="013C7702" w14:textId="463033B6" w:rsidR="009A5B6A" w:rsidRPr="004F7504" w:rsidRDefault="004B6FE2" w:rsidP="007B2BB9">
            <w:pPr>
              <w:pStyle w:val="TableText0"/>
              <w:jc w:val="center"/>
              <w:rPr>
                <w:szCs w:val="20"/>
                <w:highlight w:val="darkGray"/>
              </w:rPr>
            </w:pPr>
            <w:r w:rsidRPr="00A0676B">
              <w:rPr>
                <w:rFonts w:hint="eastAsia"/>
                <w:color w:val="000000" w:themeColor="text1"/>
                <w:w w:val="33"/>
                <w:szCs w:val="20"/>
                <w:shd w:val="solid" w:color="000000" w:fill="000000"/>
                <w:fitText w:val="150" w:id="-930964735"/>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5"/>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5"/>
                <w14:textFill>
                  <w14:solidFill>
                    <w14:schemeClr w14:val="tx1">
                      <w14:alpha w14:val="100000"/>
                    </w14:schemeClr>
                  </w14:solidFill>
                </w14:textFill>
              </w:rPr>
              <w:t xml:space="preserve">　</w:t>
            </w:r>
            <w:r w:rsidR="00F5486A">
              <w:rPr>
                <w:vertAlign w:val="superscript"/>
              </w:rPr>
              <w:t>7</w:t>
            </w:r>
          </w:p>
        </w:tc>
        <w:tc>
          <w:tcPr>
            <w:tcW w:w="507" w:type="pct"/>
            <w:vAlign w:val="center"/>
          </w:tcPr>
          <w:p w14:paraId="07AE488B" w14:textId="0D2961F9" w:rsidR="009A5B6A" w:rsidRPr="004F7504" w:rsidRDefault="004B6FE2" w:rsidP="007B2BB9">
            <w:pPr>
              <w:pStyle w:val="TableText0"/>
              <w:jc w:val="center"/>
              <w:rPr>
                <w:szCs w:val="20"/>
                <w:highlight w:val="darkGray"/>
              </w:rPr>
            </w:pPr>
            <w:r w:rsidRPr="00A0676B">
              <w:rPr>
                <w:rFonts w:hint="eastAsia"/>
                <w:color w:val="000000" w:themeColor="text1"/>
                <w:w w:val="33"/>
                <w:szCs w:val="20"/>
                <w:shd w:val="solid" w:color="000000" w:fill="000000"/>
                <w:fitText w:val="150" w:id="-930964734"/>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4"/>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4"/>
                <w14:textFill>
                  <w14:solidFill>
                    <w14:schemeClr w14:val="tx1">
                      <w14:alpha w14:val="100000"/>
                    </w14:schemeClr>
                  </w14:solidFill>
                </w14:textFill>
              </w:rPr>
              <w:t xml:space="preserve">　</w:t>
            </w:r>
            <w:r w:rsidR="00F5486A">
              <w:rPr>
                <w:vertAlign w:val="superscript"/>
              </w:rPr>
              <w:t>7</w:t>
            </w:r>
          </w:p>
        </w:tc>
      </w:tr>
      <w:tr w:rsidR="009A5B6A" w:rsidRPr="00ED5E6C" w14:paraId="4FD0411C" w14:textId="77777777" w:rsidTr="004C64A3">
        <w:trPr>
          <w:cantSplit/>
          <w:tblHeader/>
        </w:trPr>
        <w:tc>
          <w:tcPr>
            <w:tcW w:w="155" w:type="pct"/>
            <w:vAlign w:val="center"/>
          </w:tcPr>
          <w:p w14:paraId="5C1818BD" w14:textId="77777777" w:rsidR="009A5B6A" w:rsidRPr="00F15AAB" w:rsidRDefault="009A5B6A" w:rsidP="00313182">
            <w:pPr>
              <w:pStyle w:val="TableText0"/>
              <w:rPr>
                <w:szCs w:val="20"/>
              </w:rPr>
            </w:pPr>
            <w:r w:rsidRPr="00F15AAB">
              <w:rPr>
                <w:szCs w:val="20"/>
              </w:rPr>
              <w:t>G</w:t>
            </w:r>
          </w:p>
        </w:tc>
        <w:tc>
          <w:tcPr>
            <w:tcW w:w="1178" w:type="pct"/>
            <w:vAlign w:val="center"/>
          </w:tcPr>
          <w:p w14:paraId="237A03E5" w14:textId="77777777" w:rsidR="009A5B6A" w:rsidRPr="00767838" w:rsidRDefault="009A5B6A" w:rsidP="00313182">
            <w:pPr>
              <w:pStyle w:val="TableText0"/>
              <w:rPr>
                <w:b/>
                <w:szCs w:val="20"/>
              </w:rPr>
            </w:pPr>
            <w:r w:rsidRPr="00767838">
              <w:rPr>
                <w:b/>
                <w:szCs w:val="20"/>
              </w:rPr>
              <w:t xml:space="preserve">Patients that initiate Tx with LCIG or </w:t>
            </w:r>
            <w:r w:rsidRPr="00535972">
              <w:rPr>
                <w:b/>
                <w:szCs w:val="20"/>
              </w:rPr>
              <w:t>FosLD/FosCD</w:t>
            </w:r>
          </w:p>
        </w:tc>
        <w:tc>
          <w:tcPr>
            <w:tcW w:w="628" w:type="pct"/>
            <w:vAlign w:val="center"/>
          </w:tcPr>
          <w:p w14:paraId="1AF43DFD" w14:textId="18B1230A" w:rsidR="009A5B6A" w:rsidRPr="00767838" w:rsidRDefault="00A0676B" w:rsidP="00313182">
            <w:pPr>
              <w:pStyle w:val="TableText0"/>
              <w:rPr>
                <w:szCs w:val="20"/>
              </w:rPr>
            </w:pPr>
            <w:r w:rsidRPr="00A0676B">
              <w:rPr>
                <w:color w:val="000000"/>
                <w:spacing w:val="43"/>
                <w:szCs w:val="20"/>
                <w:shd w:val="solid" w:color="000000" w:fill="000000"/>
                <w:fitText w:val="214" w:id="-925148416"/>
                <w14:textFill>
                  <w14:solidFill>
                    <w14:srgbClr w14:val="000000">
                      <w14:alpha w14:val="100000"/>
                    </w14:srgbClr>
                  </w14:solidFill>
                </w14:textFill>
              </w:rPr>
              <w:t>||</w:t>
            </w:r>
            <w:r w:rsidRPr="00A0676B">
              <w:rPr>
                <w:color w:val="000000"/>
                <w:spacing w:val="1"/>
                <w:szCs w:val="20"/>
                <w:shd w:val="solid" w:color="000000" w:fill="000000"/>
                <w:fitText w:val="214" w:id="-925148416"/>
                <w14:textFill>
                  <w14:solidFill>
                    <w14:srgbClr w14:val="000000">
                      <w14:alpha w14:val="100000"/>
                    </w14:srgbClr>
                  </w14:solidFill>
                </w14:textFill>
              </w:rPr>
              <w:t>|</w:t>
            </w:r>
            <w:r w:rsidR="009A5B6A" w:rsidRPr="00767838">
              <w:rPr>
                <w:szCs w:val="20"/>
              </w:rPr>
              <w:t>%</w:t>
            </w:r>
          </w:p>
          <w:p w14:paraId="26FAC590" w14:textId="3F7E5A8F" w:rsidR="009A5B6A" w:rsidRPr="00767838" w:rsidRDefault="009A5B6A" w:rsidP="00313182">
            <w:pPr>
              <w:pStyle w:val="TableText0"/>
              <w:rPr>
                <w:b/>
                <w:szCs w:val="20"/>
              </w:rPr>
            </w:pPr>
            <w:r w:rsidRPr="00767838">
              <w:rPr>
                <w:szCs w:val="20"/>
              </w:rPr>
              <w:t xml:space="preserve">(F </w:t>
            </w:r>
            <w:r w:rsidR="00E02881">
              <w:rPr>
                <w:szCs w:val="20"/>
              </w:rPr>
              <w:t xml:space="preserve">× </w:t>
            </w:r>
            <w:r w:rsidR="00A0676B" w:rsidRPr="00A0676B">
              <w:rPr>
                <w:color w:val="000000"/>
                <w:spacing w:val="43"/>
                <w:szCs w:val="20"/>
                <w:shd w:val="solid" w:color="000000" w:fill="000000"/>
                <w:fitText w:val="214" w:id="-925148415"/>
                <w14:textFill>
                  <w14:solidFill>
                    <w14:srgbClr w14:val="000000">
                      <w14:alpha w14:val="100000"/>
                    </w14:srgbClr>
                  </w14:solidFill>
                </w14:textFill>
              </w:rPr>
              <w:t>||</w:t>
            </w:r>
            <w:r w:rsidR="00A0676B" w:rsidRPr="00A0676B">
              <w:rPr>
                <w:color w:val="000000"/>
                <w:spacing w:val="1"/>
                <w:szCs w:val="20"/>
                <w:shd w:val="solid" w:color="000000" w:fill="000000"/>
                <w:fitText w:val="214" w:id="-925148415"/>
                <w14:textFill>
                  <w14:solidFill>
                    <w14:srgbClr w14:val="000000">
                      <w14:alpha w14:val="100000"/>
                    </w14:srgbClr>
                  </w14:solidFill>
                </w14:textFill>
              </w:rPr>
              <w:t>|</w:t>
            </w:r>
            <w:r w:rsidRPr="00767838">
              <w:rPr>
                <w:szCs w:val="20"/>
              </w:rPr>
              <w:t>%)</w:t>
            </w:r>
          </w:p>
        </w:tc>
        <w:tc>
          <w:tcPr>
            <w:tcW w:w="506" w:type="pct"/>
            <w:vAlign w:val="center"/>
          </w:tcPr>
          <w:p w14:paraId="7D79F70E" w14:textId="14A9AD6C"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733"/>
                <w14:textFill>
                  <w14:solidFill>
                    <w14:srgbClr w14:val="000000">
                      <w14:alpha w14:val="100000"/>
                    </w14:srgbClr>
                  </w14:solidFill>
                </w14:textFill>
              </w:rPr>
              <w:t>|</w:t>
            </w:r>
            <w:r w:rsidRPr="004B6FE2">
              <w:rPr>
                <w:b/>
                <w:color w:val="000000"/>
                <w:spacing w:val="1"/>
                <w:szCs w:val="20"/>
                <w:shd w:val="solid" w:color="000000" w:fill="000000"/>
                <w:fitText w:val="200" w:id="-930964733"/>
                <w14:textFill>
                  <w14:solidFill>
                    <w14:srgbClr w14:val="000000">
                      <w14:alpha w14:val="100000"/>
                    </w14:srgbClr>
                  </w14:solidFill>
                </w14:textFill>
              </w:rPr>
              <w:t>|</w:t>
            </w:r>
            <w:r w:rsidR="00F5486A">
              <w:rPr>
                <w:vertAlign w:val="superscript"/>
              </w:rPr>
              <w:t>8</w:t>
            </w:r>
          </w:p>
        </w:tc>
        <w:tc>
          <w:tcPr>
            <w:tcW w:w="507" w:type="pct"/>
            <w:vAlign w:val="center"/>
          </w:tcPr>
          <w:p w14:paraId="4B07DACF" w14:textId="0F0BFBDE" w:rsidR="009A5B6A" w:rsidRPr="004F7504" w:rsidRDefault="004B6FE2" w:rsidP="007B2BB9">
            <w:pPr>
              <w:pStyle w:val="TableText0"/>
              <w:jc w:val="center"/>
              <w:rPr>
                <w:b/>
                <w:color w:val="000000" w:themeColor="text1"/>
                <w:szCs w:val="20"/>
                <w:highlight w:val="darkGray"/>
              </w:rPr>
            </w:pPr>
            <w:r w:rsidRPr="004B6FE2">
              <w:rPr>
                <w:b/>
                <w:color w:val="000000" w:themeColor="text1"/>
                <w:spacing w:val="108"/>
                <w:szCs w:val="20"/>
                <w:shd w:val="solid" w:color="000000" w:fill="000000"/>
                <w:fitText w:val="200" w:id="-930964732"/>
                <w14:textFill>
                  <w14:solidFill>
                    <w14:schemeClr w14:val="tx1">
                      <w14:alpha w14:val="100000"/>
                    </w14:schemeClr>
                  </w14:solidFill>
                </w14:textFill>
              </w:rPr>
              <w:t>|</w:t>
            </w:r>
            <w:r w:rsidRPr="004B6FE2">
              <w:rPr>
                <w:b/>
                <w:color w:val="000000" w:themeColor="text1"/>
                <w:spacing w:val="1"/>
                <w:szCs w:val="20"/>
                <w:shd w:val="solid" w:color="000000" w:fill="000000"/>
                <w:fitText w:val="200" w:id="-930964732"/>
                <w14:textFill>
                  <w14:solidFill>
                    <w14:schemeClr w14:val="tx1">
                      <w14:alpha w14:val="100000"/>
                    </w14:schemeClr>
                  </w14:solidFill>
                </w14:textFill>
              </w:rPr>
              <w:t>|</w:t>
            </w:r>
            <w:r w:rsidR="00F5486A">
              <w:rPr>
                <w:vertAlign w:val="superscript"/>
              </w:rPr>
              <w:t>8</w:t>
            </w:r>
          </w:p>
        </w:tc>
        <w:tc>
          <w:tcPr>
            <w:tcW w:w="506" w:type="pct"/>
            <w:vAlign w:val="center"/>
          </w:tcPr>
          <w:p w14:paraId="07620175" w14:textId="5112A73C" w:rsidR="009A5B6A" w:rsidRPr="004F7504" w:rsidRDefault="004B6FE2" w:rsidP="007B2BB9">
            <w:pPr>
              <w:pStyle w:val="TableText0"/>
              <w:jc w:val="center"/>
              <w:rPr>
                <w:b/>
                <w:color w:val="000000" w:themeColor="text1"/>
                <w:szCs w:val="20"/>
                <w:highlight w:val="darkGray"/>
              </w:rPr>
            </w:pPr>
            <w:r w:rsidRPr="004B6FE2">
              <w:rPr>
                <w:b/>
                <w:color w:val="000000" w:themeColor="text1"/>
                <w:spacing w:val="108"/>
                <w:szCs w:val="20"/>
                <w:shd w:val="solid" w:color="000000" w:fill="000000"/>
                <w:fitText w:val="200" w:id="-930964731"/>
                <w14:textFill>
                  <w14:solidFill>
                    <w14:schemeClr w14:val="tx1">
                      <w14:alpha w14:val="100000"/>
                    </w14:schemeClr>
                  </w14:solidFill>
                </w14:textFill>
              </w:rPr>
              <w:t>|</w:t>
            </w:r>
            <w:r w:rsidRPr="004B6FE2">
              <w:rPr>
                <w:b/>
                <w:color w:val="000000" w:themeColor="text1"/>
                <w:spacing w:val="1"/>
                <w:szCs w:val="20"/>
                <w:shd w:val="solid" w:color="000000" w:fill="000000"/>
                <w:fitText w:val="200" w:id="-930964731"/>
                <w14:textFill>
                  <w14:solidFill>
                    <w14:schemeClr w14:val="tx1">
                      <w14:alpha w14:val="100000"/>
                    </w14:schemeClr>
                  </w14:solidFill>
                </w14:textFill>
              </w:rPr>
              <w:t>|</w:t>
            </w:r>
            <w:r w:rsidR="00F5486A">
              <w:rPr>
                <w:vertAlign w:val="superscript"/>
              </w:rPr>
              <w:t>8</w:t>
            </w:r>
          </w:p>
        </w:tc>
        <w:tc>
          <w:tcPr>
            <w:tcW w:w="507" w:type="pct"/>
            <w:vAlign w:val="center"/>
          </w:tcPr>
          <w:p w14:paraId="55DE9934" w14:textId="61159A23" w:rsidR="009A5B6A" w:rsidRPr="004F7504" w:rsidRDefault="004B6FE2" w:rsidP="007B2BB9">
            <w:pPr>
              <w:pStyle w:val="TableText0"/>
              <w:jc w:val="center"/>
              <w:rPr>
                <w:b/>
                <w:color w:val="000000" w:themeColor="text1"/>
                <w:szCs w:val="20"/>
                <w:highlight w:val="darkGray"/>
              </w:rPr>
            </w:pPr>
            <w:r w:rsidRPr="004B6FE2">
              <w:rPr>
                <w:b/>
                <w:color w:val="000000" w:themeColor="text1"/>
                <w:spacing w:val="108"/>
                <w:szCs w:val="20"/>
                <w:shd w:val="solid" w:color="000000" w:fill="000000"/>
                <w:fitText w:val="200" w:id="-930964730"/>
                <w14:textFill>
                  <w14:solidFill>
                    <w14:schemeClr w14:val="tx1">
                      <w14:alpha w14:val="100000"/>
                    </w14:schemeClr>
                  </w14:solidFill>
                </w14:textFill>
              </w:rPr>
              <w:t>|</w:t>
            </w:r>
            <w:r w:rsidRPr="004B6FE2">
              <w:rPr>
                <w:b/>
                <w:color w:val="000000" w:themeColor="text1"/>
                <w:spacing w:val="1"/>
                <w:szCs w:val="20"/>
                <w:shd w:val="solid" w:color="000000" w:fill="000000"/>
                <w:fitText w:val="200" w:id="-930964730"/>
                <w14:textFill>
                  <w14:solidFill>
                    <w14:schemeClr w14:val="tx1">
                      <w14:alpha w14:val="100000"/>
                    </w14:schemeClr>
                  </w14:solidFill>
                </w14:textFill>
              </w:rPr>
              <w:t>|</w:t>
            </w:r>
            <w:r w:rsidR="00F5486A">
              <w:rPr>
                <w:vertAlign w:val="superscript"/>
              </w:rPr>
              <w:t>8</w:t>
            </w:r>
          </w:p>
        </w:tc>
        <w:tc>
          <w:tcPr>
            <w:tcW w:w="506" w:type="pct"/>
            <w:vAlign w:val="center"/>
          </w:tcPr>
          <w:p w14:paraId="57A84677" w14:textId="653FAA10" w:rsidR="009A5B6A" w:rsidRPr="004F7504" w:rsidRDefault="004B6FE2" w:rsidP="007B2BB9">
            <w:pPr>
              <w:pStyle w:val="TableText0"/>
              <w:jc w:val="center"/>
              <w:rPr>
                <w:b/>
                <w:color w:val="000000" w:themeColor="text1"/>
                <w:szCs w:val="20"/>
                <w:highlight w:val="darkGray"/>
              </w:rPr>
            </w:pPr>
            <w:r w:rsidRPr="004B6FE2">
              <w:rPr>
                <w:b/>
                <w:color w:val="000000" w:themeColor="text1"/>
                <w:spacing w:val="108"/>
                <w:szCs w:val="20"/>
                <w:shd w:val="solid" w:color="000000" w:fill="000000"/>
                <w:fitText w:val="200" w:id="-930964729"/>
                <w14:textFill>
                  <w14:solidFill>
                    <w14:schemeClr w14:val="tx1">
                      <w14:alpha w14:val="100000"/>
                    </w14:schemeClr>
                  </w14:solidFill>
                </w14:textFill>
              </w:rPr>
              <w:t>|</w:t>
            </w:r>
            <w:r w:rsidRPr="004B6FE2">
              <w:rPr>
                <w:b/>
                <w:color w:val="000000" w:themeColor="text1"/>
                <w:spacing w:val="1"/>
                <w:szCs w:val="20"/>
                <w:shd w:val="solid" w:color="000000" w:fill="000000"/>
                <w:fitText w:val="200" w:id="-930964729"/>
                <w14:textFill>
                  <w14:solidFill>
                    <w14:schemeClr w14:val="tx1">
                      <w14:alpha w14:val="100000"/>
                    </w14:schemeClr>
                  </w14:solidFill>
                </w14:textFill>
              </w:rPr>
              <w:t>|</w:t>
            </w:r>
            <w:r w:rsidR="00F5486A">
              <w:rPr>
                <w:vertAlign w:val="superscript"/>
              </w:rPr>
              <w:t>8</w:t>
            </w:r>
          </w:p>
        </w:tc>
        <w:tc>
          <w:tcPr>
            <w:tcW w:w="507" w:type="pct"/>
            <w:vAlign w:val="center"/>
          </w:tcPr>
          <w:p w14:paraId="6DA4369E" w14:textId="6C1F7A11" w:rsidR="009A5B6A" w:rsidRPr="004F7504" w:rsidRDefault="004B6FE2" w:rsidP="007B2BB9">
            <w:pPr>
              <w:pStyle w:val="TableText0"/>
              <w:jc w:val="center"/>
              <w:rPr>
                <w:b/>
                <w:color w:val="000000" w:themeColor="text1"/>
                <w:szCs w:val="20"/>
                <w:highlight w:val="darkGray"/>
              </w:rPr>
            </w:pPr>
            <w:r w:rsidRPr="004B6FE2">
              <w:rPr>
                <w:b/>
                <w:color w:val="000000" w:themeColor="text1"/>
                <w:spacing w:val="108"/>
                <w:szCs w:val="20"/>
                <w:shd w:val="solid" w:color="000000" w:fill="000000"/>
                <w:fitText w:val="200" w:id="-930964728"/>
                <w14:textFill>
                  <w14:solidFill>
                    <w14:schemeClr w14:val="tx1">
                      <w14:alpha w14:val="100000"/>
                    </w14:schemeClr>
                  </w14:solidFill>
                </w14:textFill>
              </w:rPr>
              <w:t>|</w:t>
            </w:r>
            <w:r w:rsidRPr="004B6FE2">
              <w:rPr>
                <w:b/>
                <w:color w:val="000000" w:themeColor="text1"/>
                <w:spacing w:val="1"/>
                <w:szCs w:val="20"/>
                <w:shd w:val="solid" w:color="000000" w:fill="000000"/>
                <w:fitText w:val="200" w:id="-930964728"/>
                <w14:textFill>
                  <w14:solidFill>
                    <w14:schemeClr w14:val="tx1">
                      <w14:alpha w14:val="100000"/>
                    </w14:schemeClr>
                  </w14:solidFill>
                </w14:textFill>
              </w:rPr>
              <w:t>|</w:t>
            </w:r>
            <w:r w:rsidR="00F5486A">
              <w:rPr>
                <w:vertAlign w:val="superscript"/>
              </w:rPr>
              <w:t>8</w:t>
            </w:r>
          </w:p>
        </w:tc>
      </w:tr>
      <w:tr w:rsidR="009A5B6A" w:rsidRPr="00ED5E6C" w14:paraId="639791F7" w14:textId="77777777" w:rsidTr="004C64A3">
        <w:trPr>
          <w:cantSplit/>
          <w:tblHeader/>
        </w:trPr>
        <w:tc>
          <w:tcPr>
            <w:tcW w:w="5000" w:type="pct"/>
            <w:gridSpan w:val="9"/>
            <w:vAlign w:val="center"/>
          </w:tcPr>
          <w:p w14:paraId="035EB6CD" w14:textId="61F3E57B" w:rsidR="009A5B6A" w:rsidRPr="00F15AAB" w:rsidRDefault="009A5B6A" w:rsidP="007B2BB9">
            <w:pPr>
              <w:pStyle w:val="TableText0"/>
              <w:rPr>
                <w:b/>
                <w:color w:val="000000" w:themeColor="text1"/>
                <w:szCs w:val="20"/>
              </w:rPr>
            </w:pPr>
            <w:r w:rsidRPr="00F15AAB">
              <w:rPr>
                <w:b/>
                <w:color w:val="000000" w:themeColor="text1"/>
                <w:szCs w:val="20"/>
              </w:rPr>
              <w:t>LCIG substitution group</w:t>
            </w:r>
          </w:p>
        </w:tc>
      </w:tr>
      <w:tr w:rsidR="009A5B6A" w:rsidRPr="00ED5E6C" w14:paraId="0D7ABC3D" w14:textId="77777777" w:rsidTr="004C64A3">
        <w:trPr>
          <w:cantSplit/>
          <w:tblHeader/>
        </w:trPr>
        <w:tc>
          <w:tcPr>
            <w:tcW w:w="155" w:type="pct"/>
            <w:vAlign w:val="center"/>
          </w:tcPr>
          <w:p w14:paraId="48C7931C" w14:textId="77777777" w:rsidR="009A5B6A" w:rsidRPr="00F15AAB" w:rsidRDefault="009A5B6A" w:rsidP="00313182">
            <w:pPr>
              <w:pStyle w:val="TableText0"/>
              <w:rPr>
                <w:szCs w:val="20"/>
              </w:rPr>
            </w:pPr>
            <w:r w:rsidRPr="00F15AAB">
              <w:rPr>
                <w:szCs w:val="20"/>
              </w:rPr>
              <w:t>H</w:t>
            </w:r>
          </w:p>
        </w:tc>
        <w:tc>
          <w:tcPr>
            <w:tcW w:w="1178" w:type="pct"/>
            <w:vAlign w:val="center"/>
          </w:tcPr>
          <w:p w14:paraId="2B6385F8" w14:textId="77777777" w:rsidR="009A5B6A" w:rsidRPr="00F15AAB" w:rsidRDefault="009A5B6A" w:rsidP="00313182">
            <w:pPr>
              <w:pStyle w:val="TableText0"/>
              <w:rPr>
                <w:szCs w:val="20"/>
              </w:rPr>
            </w:pPr>
            <w:r w:rsidRPr="00F15AAB">
              <w:rPr>
                <w:szCs w:val="20"/>
              </w:rPr>
              <w:t>Uptake rates</w:t>
            </w:r>
          </w:p>
        </w:tc>
        <w:tc>
          <w:tcPr>
            <w:tcW w:w="628" w:type="pct"/>
            <w:vAlign w:val="center"/>
          </w:tcPr>
          <w:p w14:paraId="24174B0B" w14:textId="77777777" w:rsidR="009A5B6A" w:rsidRPr="00F15AAB" w:rsidRDefault="009A5B6A" w:rsidP="00313182">
            <w:pPr>
              <w:pStyle w:val="TableText0"/>
              <w:rPr>
                <w:szCs w:val="20"/>
              </w:rPr>
            </w:pPr>
          </w:p>
        </w:tc>
        <w:tc>
          <w:tcPr>
            <w:tcW w:w="506" w:type="pct"/>
            <w:vAlign w:val="center"/>
          </w:tcPr>
          <w:p w14:paraId="2CA6B792" w14:textId="77777777" w:rsidR="009A5B6A" w:rsidRPr="00F15AAB" w:rsidRDefault="009A5B6A" w:rsidP="007B2BB9">
            <w:pPr>
              <w:pStyle w:val="TableText0"/>
              <w:jc w:val="center"/>
              <w:rPr>
                <w:szCs w:val="20"/>
              </w:rPr>
            </w:pPr>
            <w:r w:rsidRPr="00F15AAB">
              <w:rPr>
                <w:szCs w:val="20"/>
              </w:rPr>
              <w:t>20%</w:t>
            </w:r>
          </w:p>
        </w:tc>
        <w:tc>
          <w:tcPr>
            <w:tcW w:w="507" w:type="pct"/>
            <w:vAlign w:val="center"/>
          </w:tcPr>
          <w:p w14:paraId="12DD15F6" w14:textId="77777777" w:rsidR="009A5B6A" w:rsidRPr="00F15AAB" w:rsidRDefault="009A5B6A" w:rsidP="007B2BB9">
            <w:pPr>
              <w:pStyle w:val="TableText0"/>
              <w:jc w:val="center"/>
              <w:rPr>
                <w:color w:val="000000" w:themeColor="text1"/>
                <w:szCs w:val="20"/>
              </w:rPr>
            </w:pPr>
            <w:r w:rsidRPr="00F15AAB">
              <w:rPr>
                <w:color w:val="000000" w:themeColor="text1"/>
                <w:szCs w:val="20"/>
              </w:rPr>
              <w:t>40%</w:t>
            </w:r>
          </w:p>
        </w:tc>
        <w:tc>
          <w:tcPr>
            <w:tcW w:w="506" w:type="pct"/>
            <w:vAlign w:val="center"/>
          </w:tcPr>
          <w:p w14:paraId="46A04181" w14:textId="77777777" w:rsidR="009A5B6A" w:rsidRPr="00F15AAB" w:rsidRDefault="009A5B6A" w:rsidP="007B2BB9">
            <w:pPr>
              <w:pStyle w:val="TableText0"/>
              <w:jc w:val="center"/>
              <w:rPr>
                <w:color w:val="000000" w:themeColor="text1"/>
                <w:szCs w:val="20"/>
              </w:rPr>
            </w:pPr>
            <w:r w:rsidRPr="00F15AAB">
              <w:rPr>
                <w:color w:val="000000" w:themeColor="text1"/>
                <w:szCs w:val="20"/>
              </w:rPr>
              <w:t>40%</w:t>
            </w:r>
          </w:p>
        </w:tc>
        <w:tc>
          <w:tcPr>
            <w:tcW w:w="507" w:type="pct"/>
            <w:vAlign w:val="center"/>
          </w:tcPr>
          <w:p w14:paraId="0CFDC21D" w14:textId="77777777" w:rsidR="009A5B6A" w:rsidRPr="00F15AAB" w:rsidRDefault="009A5B6A" w:rsidP="007B2BB9">
            <w:pPr>
              <w:pStyle w:val="TableText0"/>
              <w:jc w:val="center"/>
              <w:rPr>
                <w:color w:val="000000" w:themeColor="text1"/>
                <w:szCs w:val="20"/>
              </w:rPr>
            </w:pPr>
            <w:r w:rsidRPr="00F15AAB">
              <w:rPr>
                <w:color w:val="000000" w:themeColor="text1"/>
                <w:szCs w:val="20"/>
              </w:rPr>
              <w:t>45%</w:t>
            </w:r>
          </w:p>
        </w:tc>
        <w:tc>
          <w:tcPr>
            <w:tcW w:w="506" w:type="pct"/>
            <w:vAlign w:val="center"/>
          </w:tcPr>
          <w:p w14:paraId="7E0C9A9D" w14:textId="77777777" w:rsidR="009A5B6A" w:rsidRPr="00F15AAB" w:rsidRDefault="009A5B6A" w:rsidP="007B2BB9">
            <w:pPr>
              <w:pStyle w:val="TableText0"/>
              <w:jc w:val="center"/>
              <w:rPr>
                <w:color w:val="000000" w:themeColor="text1"/>
                <w:szCs w:val="20"/>
              </w:rPr>
            </w:pPr>
            <w:r w:rsidRPr="00F15AAB">
              <w:rPr>
                <w:color w:val="000000" w:themeColor="text1"/>
                <w:szCs w:val="20"/>
              </w:rPr>
              <w:t>50%</w:t>
            </w:r>
          </w:p>
        </w:tc>
        <w:tc>
          <w:tcPr>
            <w:tcW w:w="507" w:type="pct"/>
            <w:vAlign w:val="center"/>
          </w:tcPr>
          <w:p w14:paraId="44946F32" w14:textId="77777777" w:rsidR="009A5B6A" w:rsidRPr="00F15AAB" w:rsidRDefault="009A5B6A" w:rsidP="007B2BB9">
            <w:pPr>
              <w:pStyle w:val="TableText0"/>
              <w:jc w:val="center"/>
              <w:rPr>
                <w:color w:val="000000" w:themeColor="text1"/>
                <w:szCs w:val="20"/>
              </w:rPr>
            </w:pPr>
            <w:r w:rsidRPr="00F15AAB">
              <w:rPr>
                <w:color w:val="000000" w:themeColor="text1"/>
                <w:szCs w:val="20"/>
              </w:rPr>
              <w:t>50%</w:t>
            </w:r>
          </w:p>
        </w:tc>
      </w:tr>
      <w:tr w:rsidR="009A5B6A" w:rsidRPr="00ED5E6C" w14:paraId="4F4BA8DD" w14:textId="77777777" w:rsidTr="004C64A3">
        <w:trPr>
          <w:cantSplit/>
          <w:tblHeader/>
        </w:trPr>
        <w:tc>
          <w:tcPr>
            <w:tcW w:w="155" w:type="pct"/>
            <w:vAlign w:val="center"/>
          </w:tcPr>
          <w:p w14:paraId="3894394A" w14:textId="77777777" w:rsidR="009A5B6A" w:rsidRPr="00F15AAB" w:rsidRDefault="009A5B6A" w:rsidP="00313182">
            <w:pPr>
              <w:pStyle w:val="TableText0"/>
              <w:rPr>
                <w:szCs w:val="20"/>
              </w:rPr>
            </w:pPr>
            <w:r w:rsidRPr="00F15AAB">
              <w:rPr>
                <w:szCs w:val="20"/>
              </w:rPr>
              <w:t>I</w:t>
            </w:r>
          </w:p>
        </w:tc>
        <w:tc>
          <w:tcPr>
            <w:tcW w:w="1178" w:type="pct"/>
            <w:vAlign w:val="center"/>
          </w:tcPr>
          <w:p w14:paraId="2966B083" w14:textId="77777777" w:rsidR="009A5B6A" w:rsidRPr="00F15AAB" w:rsidRDefault="009A5B6A" w:rsidP="00313182">
            <w:pPr>
              <w:pStyle w:val="TableText0"/>
              <w:rPr>
                <w:szCs w:val="20"/>
              </w:rPr>
            </w:pPr>
            <w:r w:rsidRPr="00535972">
              <w:rPr>
                <w:szCs w:val="20"/>
              </w:rPr>
              <w:t>FosLD/FosCD</w:t>
            </w:r>
            <w:r w:rsidRPr="00C95A87">
              <w:rPr>
                <w:szCs w:val="20"/>
              </w:rPr>
              <w:t xml:space="preserve"> </w:t>
            </w:r>
            <w:r w:rsidRPr="00F15AAB">
              <w:rPr>
                <w:szCs w:val="20"/>
              </w:rPr>
              <w:t xml:space="preserve">initiation </w:t>
            </w:r>
          </w:p>
        </w:tc>
        <w:tc>
          <w:tcPr>
            <w:tcW w:w="628" w:type="pct"/>
            <w:vAlign w:val="center"/>
          </w:tcPr>
          <w:p w14:paraId="638E6941" w14:textId="578698C8" w:rsidR="009A5B6A" w:rsidRPr="00F15AAB" w:rsidRDefault="009A5B6A" w:rsidP="00313182">
            <w:pPr>
              <w:pStyle w:val="TableText0"/>
              <w:rPr>
                <w:szCs w:val="20"/>
              </w:rPr>
            </w:pPr>
            <w:r w:rsidRPr="00F15AAB">
              <w:rPr>
                <w:szCs w:val="20"/>
              </w:rPr>
              <w:t xml:space="preserve">G </w:t>
            </w:r>
            <w:r w:rsidR="00E02881">
              <w:rPr>
                <w:szCs w:val="20"/>
              </w:rPr>
              <w:t>×</w:t>
            </w:r>
            <w:r w:rsidRPr="00F15AAB">
              <w:rPr>
                <w:szCs w:val="20"/>
              </w:rPr>
              <w:t xml:space="preserve"> H</w:t>
            </w:r>
          </w:p>
        </w:tc>
        <w:tc>
          <w:tcPr>
            <w:tcW w:w="506" w:type="pct"/>
            <w:vAlign w:val="center"/>
          </w:tcPr>
          <w:p w14:paraId="6968D062" w14:textId="04AEA8D3"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727"/>
                <w14:textFill>
                  <w14:solidFill>
                    <w14:srgbClr w14:val="000000">
                      <w14:alpha w14:val="100000"/>
                    </w14:srgbClr>
                  </w14:solidFill>
                </w14:textFill>
              </w:rPr>
              <w:t xml:space="preserve">　</w:t>
            </w:r>
            <w:r w:rsidRPr="00A0676B">
              <w:rPr>
                <w:color w:val="000000"/>
                <w:w w:val="33"/>
                <w:szCs w:val="20"/>
                <w:shd w:val="solid" w:color="000000" w:fill="000000"/>
                <w:fitText w:val="150" w:id="-930964727"/>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27"/>
                <w14:textFill>
                  <w14:solidFill>
                    <w14:srgbClr w14:val="000000">
                      <w14:alpha w14:val="100000"/>
                    </w14:srgbClr>
                  </w14:solidFill>
                </w14:textFill>
              </w:rPr>
              <w:t xml:space="preserve">　</w:t>
            </w:r>
            <w:r w:rsidR="00F5486A">
              <w:rPr>
                <w:vertAlign w:val="superscript"/>
              </w:rPr>
              <w:t>8</w:t>
            </w:r>
          </w:p>
        </w:tc>
        <w:tc>
          <w:tcPr>
            <w:tcW w:w="507" w:type="pct"/>
            <w:vAlign w:val="center"/>
          </w:tcPr>
          <w:p w14:paraId="750F1D69" w14:textId="5BC8F2F4"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6"/>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6"/>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6"/>
                <w14:textFill>
                  <w14:solidFill>
                    <w14:schemeClr w14:val="tx1">
                      <w14:alpha w14:val="100000"/>
                    </w14:schemeClr>
                  </w14:solidFill>
                </w14:textFill>
              </w:rPr>
              <w:t xml:space="preserve">　</w:t>
            </w:r>
            <w:r w:rsidR="00F5486A">
              <w:rPr>
                <w:vertAlign w:val="superscript"/>
              </w:rPr>
              <w:t>8</w:t>
            </w:r>
          </w:p>
        </w:tc>
        <w:tc>
          <w:tcPr>
            <w:tcW w:w="506" w:type="pct"/>
            <w:vAlign w:val="center"/>
          </w:tcPr>
          <w:p w14:paraId="5FE82EDE" w14:textId="43BB6ECE"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5"/>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5"/>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5"/>
                <w14:textFill>
                  <w14:solidFill>
                    <w14:schemeClr w14:val="tx1">
                      <w14:alpha w14:val="100000"/>
                    </w14:schemeClr>
                  </w14:solidFill>
                </w14:textFill>
              </w:rPr>
              <w:t xml:space="preserve">　</w:t>
            </w:r>
            <w:r w:rsidR="00F5486A">
              <w:rPr>
                <w:vertAlign w:val="superscript"/>
              </w:rPr>
              <w:t>8</w:t>
            </w:r>
          </w:p>
        </w:tc>
        <w:tc>
          <w:tcPr>
            <w:tcW w:w="507" w:type="pct"/>
            <w:vAlign w:val="center"/>
          </w:tcPr>
          <w:p w14:paraId="695ADFE0" w14:textId="757A21C1"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4"/>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4"/>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4"/>
                <w14:textFill>
                  <w14:solidFill>
                    <w14:schemeClr w14:val="tx1">
                      <w14:alpha w14:val="100000"/>
                    </w14:schemeClr>
                  </w14:solidFill>
                </w14:textFill>
              </w:rPr>
              <w:t xml:space="preserve">　</w:t>
            </w:r>
            <w:r w:rsidR="00F5486A">
              <w:rPr>
                <w:vertAlign w:val="superscript"/>
              </w:rPr>
              <w:t>8</w:t>
            </w:r>
          </w:p>
        </w:tc>
        <w:tc>
          <w:tcPr>
            <w:tcW w:w="506" w:type="pct"/>
            <w:vAlign w:val="center"/>
          </w:tcPr>
          <w:p w14:paraId="5E4B7D6C" w14:textId="2FC07D7D"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3"/>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3"/>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3"/>
                <w14:textFill>
                  <w14:solidFill>
                    <w14:schemeClr w14:val="tx1">
                      <w14:alpha w14:val="100000"/>
                    </w14:schemeClr>
                  </w14:solidFill>
                </w14:textFill>
              </w:rPr>
              <w:t xml:space="preserve">　</w:t>
            </w:r>
            <w:r w:rsidR="00F5486A">
              <w:rPr>
                <w:vertAlign w:val="superscript"/>
              </w:rPr>
              <w:t>8</w:t>
            </w:r>
          </w:p>
        </w:tc>
        <w:tc>
          <w:tcPr>
            <w:tcW w:w="507" w:type="pct"/>
            <w:vAlign w:val="center"/>
          </w:tcPr>
          <w:p w14:paraId="11178B67" w14:textId="08E93C05"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2"/>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2"/>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2"/>
                <w14:textFill>
                  <w14:solidFill>
                    <w14:schemeClr w14:val="tx1">
                      <w14:alpha w14:val="100000"/>
                    </w14:schemeClr>
                  </w14:solidFill>
                </w14:textFill>
              </w:rPr>
              <w:t xml:space="preserve">　</w:t>
            </w:r>
            <w:r w:rsidR="00F5486A">
              <w:rPr>
                <w:vertAlign w:val="superscript"/>
              </w:rPr>
              <w:t>8</w:t>
            </w:r>
          </w:p>
        </w:tc>
      </w:tr>
      <w:tr w:rsidR="009A5B6A" w:rsidRPr="00ED5E6C" w14:paraId="3DF46669" w14:textId="77777777" w:rsidTr="004C64A3">
        <w:trPr>
          <w:cantSplit/>
          <w:tblHeader/>
        </w:trPr>
        <w:tc>
          <w:tcPr>
            <w:tcW w:w="155" w:type="pct"/>
            <w:vAlign w:val="center"/>
          </w:tcPr>
          <w:p w14:paraId="2499F3D7" w14:textId="77777777" w:rsidR="009A5B6A" w:rsidRPr="00F15AAB" w:rsidRDefault="009A5B6A" w:rsidP="00313182">
            <w:pPr>
              <w:pStyle w:val="TableText0"/>
              <w:rPr>
                <w:szCs w:val="20"/>
              </w:rPr>
            </w:pPr>
            <w:r w:rsidRPr="00F15AAB">
              <w:rPr>
                <w:szCs w:val="20"/>
              </w:rPr>
              <w:t>J</w:t>
            </w:r>
          </w:p>
        </w:tc>
        <w:tc>
          <w:tcPr>
            <w:tcW w:w="1178" w:type="pct"/>
            <w:vAlign w:val="center"/>
          </w:tcPr>
          <w:p w14:paraId="412C3282" w14:textId="77777777" w:rsidR="009A5B6A" w:rsidRPr="00F15AAB" w:rsidRDefault="009A5B6A" w:rsidP="00313182">
            <w:pPr>
              <w:pStyle w:val="TableText0"/>
              <w:rPr>
                <w:szCs w:val="20"/>
                <w:vertAlign w:val="superscript"/>
              </w:rPr>
            </w:pPr>
            <w:r w:rsidRPr="00535972">
              <w:rPr>
                <w:szCs w:val="20"/>
              </w:rPr>
              <w:t>FosLD/FosCD</w:t>
            </w:r>
            <w:r w:rsidRPr="00C95A87">
              <w:rPr>
                <w:szCs w:val="20"/>
              </w:rPr>
              <w:t xml:space="preserve"> </w:t>
            </w:r>
            <w:r w:rsidRPr="00F15AAB">
              <w:rPr>
                <w:szCs w:val="20"/>
              </w:rPr>
              <w:t>continuing</w:t>
            </w:r>
            <w:r w:rsidRPr="00F15AAB">
              <w:rPr>
                <w:szCs w:val="20"/>
                <w:vertAlign w:val="superscript"/>
              </w:rPr>
              <w:t>a</w:t>
            </w:r>
          </w:p>
        </w:tc>
        <w:tc>
          <w:tcPr>
            <w:tcW w:w="628" w:type="pct"/>
            <w:vAlign w:val="center"/>
          </w:tcPr>
          <w:p w14:paraId="579A6FEE" w14:textId="77777777" w:rsidR="009A5B6A" w:rsidRPr="00F15AAB" w:rsidRDefault="009A5B6A" w:rsidP="00313182">
            <w:pPr>
              <w:pStyle w:val="TableText0"/>
              <w:rPr>
                <w:szCs w:val="20"/>
              </w:rPr>
            </w:pPr>
          </w:p>
        </w:tc>
        <w:tc>
          <w:tcPr>
            <w:tcW w:w="506" w:type="pct"/>
            <w:vAlign w:val="center"/>
          </w:tcPr>
          <w:p w14:paraId="5AC4DAF8" w14:textId="77777777" w:rsidR="009A5B6A" w:rsidRPr="00F15AAB" w:rsidRDefault="009A5B6A" w:rsidP="005D5677">
            <w:pPr>
              <w:pStyle w:val="TableText0"/>
              <w:numPr>
                <w:ilvl w:val="0"/>
                <w:numId w:val="7"/>
              </w:numPr>
              <w:jc w:val="center"/>
              <w:rPr>
                <w:szCs w:val="20"/>
              </w:rPr>
            </w:pPr>
          </w:p>
        </w:tc>
        <w:tc>
          <w:tcPr>
            <w:tcW w:w="507" w:type="pct"/>
            <w:vAlign w:val="center"/>
          </w:tcPr>
          <w:p w14:paraId="4D11504F" w14:textId="715E2254"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1"/>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1"/>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1"/>
                <w14:textFill>
                  <w14:solidFill>
                    <w14:schemeClr w14:val="tx1">
                      <w14:alpha w14:val="100000"/>
                    </w14:schemeClr>
                  </w14:solidFill>
                </w14:textFill>
              </w:rPr>
              <w:t xml:space="preserve">　</w:t>
            </w:r>
            <w:r w:rsidR="00F5486A">
              <w:rPr>
                <w:vertAlign w:val="superscript"/>
              </w:rPr>
              <w:t>8</w:t>
            </w:r>
          </w:p>
        </w:tc>
        <w:tc>
          <w:tcPr>
            <w:tcW w:w="506" w:type="pct"/>
            <w:vAlign w:val="center"/>
          </w:tcPr>
          <w:p w14:paraId="2C42B5FA" w14:textId="6BFECA9B"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0"/>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0"/>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0"/>
                <w14:textFill>
                  <w14:solidFill>
                    <w14:schemeClr w14:val="tx1">
                      <w14:alpha w14:val="100000"/>
                    </w14:schemeClr>
                  </w14:solidFill>
                </w14:textFill>
              </w:rPr>
              <w:t xml:space="preserve">　</w:t>
            </w:r>
            <w:r w:rsidR="00F5486A">
              <w:rPr>
                <w:vertAlign w:val="superscript"/>
              </w:rPr>
              <w:t>8</w:t>
            </w:r>
          </w:p>
        </w:tc>
        <w:tc>
          <w:tcPr>
            <w:tcW w:w="507" w:type="pct"/>
            <w:vAlign w:val="center"/>
          </w:tcPr>
          <w:p w14:paraId="164BF20B" w14:textId="08CB0402"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36"/>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6"/>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6"/>
                <w14:textFill>
                  <w14:solidFill>
                    <w14:schemeClr w14:val="tx1">
                      <w14:alpha w14:val="100000"/>
                    </w14:schemeClr>
                  </w14:solidFill>
                </w14:textFill>
              </w:rPr>
              <w:t xml:space="preserve">　</w:t>
            </w:r>
            <w:r w:rsidR="00F5486A">
              <w:rPr>
                <w:vertAlign w:val="superscript"/>
              </w:rPr>
              <w:t>8</w:t>
            </w:r>
          </w:p>
        </w:tc>
        <w:tc>
          <w:tcPr>
            <w:tcW w:w="506" w:type="pct"/>
            <w:vAlign w:val="center"/>
          </w:tcPr>
          <w:p w14:paraId="7A9148A3" w14:textId="779EE20B"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35"/>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5"/>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5"/>
                <w14:textFill>
                  <w14:solidFill>
                    <w14:schemeClr w14:val="tx1">
                      <w14:alpha w14:val="100000"/>
                    </w14:schemeClr>
                  </w14:solidFill>
                </w14:textFill>
              </w:rPr>
              <w:t xml:space="preserve">　</w:t>
            </w:r>
            <w:r w:rsidR="00F5486A">
              <w:rPr>
                <w:vertAlign w:val="superscript"/>
              </w:rPr>
              <w:t>8</w:t>
            </w:r>
          </w:p>
        </w:tc>
        <w:tc>
          <w:tcPr>
            <w:tcW w:w="507" w:type="pct"/>
            <w:vAlign w:val="center"/>
          </w:tcPr>
          <w:p w14:paraId="329CA1B5" w14:textId="6107BAE4"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34"/>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4"/>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4"/>
                <w14:textFill>
                  <w14:solidFill>
                    <w14:schemeClr w14:val="tx1">
                      <w14:alpha w14:val="100000"/>
                    </w14:schemeClr>
                  </w14:solidFill>
                </w14:textFill>
              </w:rPr>
              <w:t xml:space="preserve">　</w:t>
            </w:r>
            <w:r w:rsidR="00F5486A">
              <w:rPr>
                <w:vertAlign w:val="superscript"/>
              </w:rPr>
              <w:t>8</w:t>
            </w:r>
          </w:p>
        </w:tc>
      </w:tr>
      <w:tr w:rsidR="009A5B6A" w:rsidRPr="00ED5E6C" w14:paraId="51671DDA" w14:textId="77777777" w:rsidTr="004C64A3">
        <w:trPr>
          <w:cantSplit/>
          <w:tblHeader/>
        </w:trPr>
        <w:tc>
          <w:tcPr>
            <w:tcW w:w="155" w:type="pct"/>
            <w:vAlign w:val="center"/>
          </w:tcPr>
          <w:p w14:paraId="640992D3" w14:textId="77777777" w:rsidR="009A5B6A" w:rsidRPr="00F15AAB" w:rsidRDefault="009A5B6A" w:rsidP="00313182">
            <w:pPr>
              <w:pStyle w:val="TableText0"/>
              <w:rPr>
                <w:szCs w:val="20"/>
              </w:rPr>
            </w:pPr>
            <w:r w:rsidRPr="00F15AAB">
              <w:rPr>
                <w:szCs w:val="20"/>
              </w:rPr>
              <w:t>K</w:t>
            </w:r>
          </w:p>
        </w:tc>
        <w:tc>
          <w:tcPr>
            <w:tcW w:w="1178" w:type="pct"/>
            <w:vAlign w:val="center"/>
          </w:tcPr>
          <w:p w14:paraId="5E5289D5" w14:textId="77777777" w:rsidR="009A5B6A" w:rsidRPr="00F15AAB" w:rsidRDefault="009A5B6A" w:rsidP="00313182">
            <w:pPr>
              <w:pStyle w:val="TableText0"/>
              <w:rPr>
                <w:szCs w:val="20"/>
              </w:rPr>
            </w:pPr>
            <w:r w:rsidRPr="00F15AAB">
              <w:rPr>
                <w:szCs w:val="20"/>
              </w:rPr>
              <w:t xml:space="preserve">LCIG initiation with </w:t>
            </w:r>
            <w:r>
              <w:rPr>
                <w:szCs w:val="20"/>
              </w:rPr>
              <w:t>F</w:t>
            </w:r>
            <w:r w:rsidRPr="00F15AAB">
              <w:rPr>
                <w:szCs w:val="20"/>
              </w:rPr>
              <w:t>os</w:t>
            </w:r>
            <w:r>
              <w:rPr>
                <w:szCs w:val="20"/>
              </w:rPr>
              <w:t>L</w:t>
            </w:r>
            <w:r w:rsidRPr="00F15AAB">
              <w:rPr>
                <w:szCs w:val="20"/>
              </w:rPr>
              <w:t>D/</w:t>
            </w:r>
            <w:r>
              <w:rPr>
                <w:szCs w:val="20"/>
              </w:rPr>
              <w:t>F</w:t>
            </w:r>
            <w:r w:rsidRPr="00F15AAB">
              <w:rPr>
                <w:szCs w:val="20"/>
              </w:rPr>
              <w:t>osCD listing</w:t>
            </w:r>
          </w:p>
        </w:tc>
        <w:tc>
          <w:tcPr>
            <w:tcW w:w="628" w:type="pct"/>
            <w:vAlign w:val="center"/>
          </w:tcPr>
          <w:p w14:paraId="1F7EA0C6" w14:textId="77777777" w:rsidR="009A5B6A" w:rsidRPr="00F15AAB" w:rsidRDefault="009A5B6A" w:rsidP="00313182">
            <w:pPr>
              <w:pStyle w:val="TableText0"/>
              <w:rPr>
                <w:szCs w:val="20"/>
              </w:rPr>
            </w:pPr>
            <w:r w:rsidRPr="00F15AAB">
              <w:rPr>
                <w:szCs w:val="20"/>
              </w:rPr>
              <w:t>G - I</w:t>
            </w:r>
          </w:p>
        </w:tc>
        <w:tc>
          <w:tcPr>
            <w:tcW w:w="506" w:type="pct"/>
            <w:vAlign w:val="center"/>
          </w:tcPr>
          <w:p w14:paraId="57EA9116" w14:textId="49B4A6FB" w:rsidR="009A5B6A" w:rsidRPr="00F15AAB" w:rsidRDefault="004B6FE2" w:rsidP="007B2BB9">
            <w:pPr>
              <w:pStyle w:val="TableText0"/>
              <w:jc w:val="center"/>
              <w:rPr>
                <w:szCs w:val="20"/>
              </w:rPr>
            </w:pPr>
            <w:r w:rsidRPr="00A0676B">
              <w:rPr>
                <w:rFonts w:hint="eastAsia"/>
                <w:color w:val="000000"/>
                <w:w w:val="33"/>
                <w:szCs w:val="20"/>
                <w:shd w:val="solid" w:color="000000" w:fill="000000"/>
                <w:fitText w:val="150" w:id="-930964733"/>
                <w14:textFill>
                  <w14:solidFill>
                    <w14:srgbClr w14:val="000000">
                      <w14:alpha w14:val="100000"/>
                    </w14:srgbClr>
                  </w14:solidFill>
                </w14:textFill>
              </w:rPr>
              <w:t xml:space="preserve">　</w:t>
            </w:r>
            <w:r w:rsidRPr="00A0676B">
              <w:rPr>
                <w:color w:val="000000"/>
                <w:w w:val="33"/>
                <w:szCs w:val="20"/>
                <w:shd w:val="solid" w:color="000000" w:fill="000000"/>
                <w:fitText w:val="150" w:id="-930964733"/>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733"/>
                <w14:textFill>
                  <w14:solidFill>
                    <w14:srgbClr w14:val="000000">
                      <w14:alpha w14:val="100000"/>
                    </w14:srgbClr>
                  </w14:solidFill>
                </w14:textFill>
              </w:rPr>
              <w:t xml:space="preserve">　</w:t>
            </w:r>
            <w:r w:rsidR="00F5486A">
              <w:rPr>
                <w:vertAlign w:val="superscript"/>
              </w:rPr>
              <w:t>8</w:t>
            </w:r>
          </w:p>
        </w:tc>
        <w:tc>
          <w:tcPr>
            <w:tcW w:w="507" w:type="pct"/>
            <w:vAlign w:val="center"/>
          </w:tcPr>
          <w:p w14:paraId="5CCCEBEE" w14:textId="0DB9B221"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32"/>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2"/>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2"/>
                <w14:textFill>
                  <w14:solidFill>
                    <w14:schemeClr w14:val="tx1">
                      <w14:alpha w14:val="100000"/>
                    </w14:schemeClr>
                  </w14:solidFill>
                </w14:textFill>
              </w:rPr>
              <w:t xml:space="preserve">　</w:t>
            </w:r>
            <w:r w:rsidR="00F5486A">
              <w:rPr>
                <w:vertAlign w:val="superscript"/>
              </w:rPr>
              <w:t>8</w:t>
            </w:r>
          </w:p>
        </w:tc>
        <w:tc>
          <w:tcPr>
            <w:tcW w:w="506" w:type="pct"/>
            <w:vAlign w:val="center"/>
          </w:tcPr>
          <w:p w14:paraId="3C83FBBA" w14:textId="479AA9FC"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31"/>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1"/>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1"/>
                <w14:textFill>
                  <w14:solidFill>
                    <w14:schemeClr w14:val="tx1">
                      <w14:alpha w14:val="100000"/>
                    </w14:schemeClr>
                  </w14:solidFill>
                </w14:textFill>
              </w:rPr>
              <w:t xml:space="preserve">　</w:t>
            </w:r>
            <w:r w:rsidR="00F5486A">
              <w:rPr>
                <w:vertAlign w:val="superscript"/>
              </w:rPr>
              <w:t>8</w:t>
            </w:r>
          </w:p>
        </w:tc>
        <w:tc>
          <w:tcPr>
            <w:tcW w:w="507" w:type="pct"/>
            <w:vAlign w:val="center"/>
          </w:tcPr>
          <w:p w14:paraId="2E5CE87C" w14:textId="087A8E5D"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30"/>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30"/>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30"/>
                <w14:textFill>
                  <w14:solidFill>
                    <w14:schemeClr w14:val="tx1">
                      <w14:alpha w14:val="100000"/>
                    </w14:schemeClr>
                  </w14:solidFill>
                </w14:textFill>
              </w:rPr>
              <w:t xml:space="preserve">　</w:t>
            </w:r>
            <w:r w:rsidR="00F5486A">
              <w:rPr>
                <w:vertAlign w:val="superscript"/>
              </w:rPr>
              <w:t>8</w:t>
            </w:r>
          </w:p>
        </w:tc>
        <w:tc>
          <w:tcPr>
            <w:tcW w:w="506" w:type="pct"/>
            <w:vAlign w:val="center"/>
          </w:tcPr>
          <w:p w14:paraId="3D4FB5B0" w14:textId="11EFA789"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9"/>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9"/>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9"/>
                <w14:textFill>
                  <w14:solidFill>
                    <w14:schemeClr w14:val="tx1">
                      <w14:alpha w14:val="100000"/>
                    </w14:schemeClr>
                  </w14:solidFill>
                </w14:textFill>
              </w:rPr>
              <w:t xml:space="preserve">　</w:t>
            </w:r>
            <w:r w:rsidR="00F5486A">
              <w:rPr>
                <w:vertAlign w:val="superscript"/>
              </w:rPr>
              <w:t>8</w:t>
            </w:r>
          </w:p>
        </w:tc>
        <w:tc>
          <w:tcPr>
            <w:tcW w:w="507" w:type="pct"/>
            <w:vAlign w:val="center"/>
          </w:tcPr>
          <w:p w14:paraId="35F9F635" w14:textId="682BD7FB"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8"/>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8"/>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8"/>
                <w14:textFill>
                  <w14:solidFill>
                    <w14:schemeClr w14:val="tx1">
                      <w14:alpha w14:val="100000"/>
                    </w14:schemeClr>
                  </w14:solidFill>
                </w14:textFill>
              </w:rPr>
              <w:t xml:space="preserve">　</w:t>
            </w:r>
            <w:r w:rsidR="00F5486A">
              <w:rPr>
                <w:vertAlign w:val="superscript"/>
              </w:rPr>
              <w:t>8</w:t>
            </w:r>
          </w:p>
        </w:tc>
      </w:tr>
      <w:tr w:rsidR="009A5B6A" w:rsidRPr="00ED5E6C" w14:paraId="084333D7" w14:textId="77777777" w:rsidTr="004C64A3">
        <w:trPr>
          <w:cantSplit/>
          <w:tblHeader/>
        </w:trPr>
        <w:tc>
          <w:tcPr>
            <w:tcW w:w="155" w:type="pct"/>
            <w:vAlign w:val="center"/>
          </w:tcPr>
          <w:p w14:paraId="7BF122C9" w14:textId="77777777" w:rsidR="009A5B6A" w:rsidRPr="00F15AAB" w:rsidRDefault="009A5B6A" w:rsidP="00313182">
            <w:pPr>
              <w:pStyle w:val="TableText0"/>
              <w:rPr>
                <w:szCs w:val="20"/>
              </w:rPr>
            </w:pPr>
            <w:r w:rsidRPr="00F15AAB">
              <w:rPr>
                <w:szCs w:val="20"/>
              </w:rPr>
              <w:t>L</w:t>
            </w:r>
          </w:p>
        </w:tc>
        <w:tc>
          <w:tcPr>
            <w:tcW w:w="1178" w:type="pct"/>
            <w:vAlign w:val="center"/>
          </w:tcPr>
          <w:p w14:paraId="6CD07D1E" w14:textId="77777777" w:rsidR="009A5B6A" w:rsidRPr="00F15AAB" w:rsidRDefault="009A5B6A" w:rsidP="00313182">
            <w:pPr>
              <w:pStyle w:val="TableText0"/>
              <w:rPr>
                <w:szCs w:val="20"/>
              </w:rPr>
            </w:pPr>
            <w:r w:rsidRPr="00F15AAB">
              <w:rPr>
                <w:szCs w:val="20"/>
              </w:rPr>
              <w:t>LCIG continuing patients</w:t>
            </w:r>
            <w:r>
              <w:rPr>
                <w:szCs w:val="20"/>
              </w:rPr>
              <w:t xml:space="preserve"> </w:t>
            </w:r>
            <w:r w:rsidRPr="00F15AAB">
              <w:rPr>
                <w:szCs w:val="20"/>
                <w:vertAlign w:val="superscript"/>
              </w:rPr>
              <w:t>b</w:t>
            </w:r>
            <w:r w:rsidRPr="00F15AAB">
              <w:rPr>
                <w:szCs w:val="20"/>
              </w:rPr>
              <w:t xml:space="preserve"> </w:t>
            </w:r>
          </w:p>
        </w:tc>
        <w:tc>
          <w:tcPr>
            <w:tcW w:w="628" w:type="pct"/>
            <w:vAlign w:val="center"/>
          </w:tcPr>
          <w:p w14:paraId="155CCABB" w14:textId="77777777" w:rsidR="009A5B6A" w:rsidRPr="00F15AAB" w:rsidRDefault="009A5B6A" w:rsidP="00313182">
            <w:pPr>
              <w:pStyle w:val="TableText0"/>
              <w:rPr>
                <w:szCs w:val="20"/>
              </w:rPr>
            </w:pPr>
          </w:p>
        </w:tc>
        <w:tc>
          <w:tcPr>
            <w:tcW w:w="506" w:type="pct"/>
            <w:vAlign w:val="center"/>
          </w:tcPr>
          <w:p w14:paraId="23DA31E4" w14:textId="77777777" w:rsidR="009A5B6A" w:rsidRPr="00F15AAB" w:rsidRDefault="009A5B6A" w:rsidP="007B2BB9">
            <w:pPr>
              <w:pStyle w:val="TableText0"/>
              <w:jc w:val="center"/>
              <w:rPr>
                <w:szCs w:val="20"/>
              </w:rPr>
            </w:pPr>
            <w:r w:rsidRPr="00F15AAB">
              <w:rPr>
                <w:szCs w:val="20"/>
              </w:rPr>
              <w:t>-</w:t>
            </w:r>
          </w:p>
        </w:tc>
        <w:tc>
          <w:tcPr>
            <w:tcW w:w="507" w:type="pct"/>
            <w:vAlign w:val="center"/>
          </w:tcPr>
          <w:p w14:paraId="04B8B606" w14:textId="70C54600"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727"/>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727"/>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727"/>
                <w14:textFill>
                  <w14:solidFill>
                    <w14:schemeClr w14:val="tx1">
                      <w14:alpha w14:val="100000"/>
                    </w14:schemeClr>
                  </w14:solidFill>
                </w14:textFill>
              </w:rPr>
              <w:t xml:space="preserve">　</w:t>
            </w:r>
            <w:r w:rsidR="00F5486A">
              <w:rPr>
                <w:vertAlign w:val="superscript"/>
              </w:rPr>
              <w:t>8</w:t>
            </w:r>
          </w:p>
        </w:tc>
        <w:tc>
          <w:tcPr>
            <w:tcW w:w="506" w:type="pct"/>
            <w:vAlign w:val="center"/>
          </w:tcPr>
          <w:p w14:paraId="3D2BAE84" w14:textId="660CB7A8"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80"/>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80"/>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80"/>
                <w14:textFill>
                  <w14:solidFill>
                    <w14:schemeClr w14:val="tx1">
                      <w14:alpha w14:val="100000"/>
                    </w14:schemeClr>
                  </w14:solidFill>
                </w14:textFill>
              </w:rPr>
              <w:t xml:space="preserve">　</w:t>
            </w:r>
            <w:r w:rsidR="00F5486A">
              <w:rPr>
                <w:vertAlign w:val="superscript"/>
              </w:rPr>
              <w:t>8</w:t>
            </w:r>
          </w:p>
        </w:tc>
        <w:tc>
          <w:tcPr>
            <w:tcW w:w="507" w:type="pct"/>
            <w:vAlign w:val="center"/>
          </w:tcPr>
          <w:p w14:paraId="4FD2C97B" w14:textId="11E90B72"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9"/>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9"/>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9"/>
                <w14:textFill>
                  <w14:solidFill>
                    <w14:schemeClr w14:val="tx1">
                      <w14:alpha w14:val="100000"/>
                    </w14:schemeClr>
                  </w14:solidFill>
                </w14:textFill>
              </w:rPr>
              <w:t xml:space="preserve">　</w:t>
            </w:r>
            <w:r w:rsidR="00F5486A">
              <w:rPr>
                <w:vertAlign w:val="superscript"/>
              </w:rPr>
              <w:t>8</w:t>
            </w:r>
          </w:p>
        </w:tc>
        <w:tc>
          <w:tcPr>
            <w:tcW w:w="506" w:type="pct"/>
            <w:vAlign w:val="center"/>
          </w:tcPr>
          <w:p w14:paraId="6488511E" w14:textId="7D28C058"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8"/>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8"/>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8"/>
                <w14:textFill>
                  <w14:solidFill>
                    <w14:schemeClr w14:val="tx1">
                      <w14:alpha w14:val="100000"/>
                    </w14:schemeClr>
                  </w14:solidFill>
                </w14:textFill>
              </w:rPr>
              <w:t xml:space="preserve">　</w:t>
            </w:r>
            <w:r w:rsidR="00F5486A">
              <w:rPr>
                <w:vertAlign w:val="superscript"/>
              </w:rPr>
              <w:t>8</w:t>
            </w:r>
          </w:p>
        </w:tc>
        <w:tc>
          <w:tcPr>
            <w:tcW w:w="507" w:type="pct"/>
            <w:vAlign w:val="center"/>
          </w:tcPr>
          <w:p w14:paraId="5C9CD924" w14:textId="32EA7EFB"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7"/>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7"/>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7"/>
                <w14:textFill>
                  <w14:solidFill>
                    <w14:schemeClr w14:val="tx1">
                      <w14:alpha w14:val="100000"/>
                    </w14:schemeClr>
                  </w14:solidFill>
                </w14:textFill>
              </w:rPr>
              <w:t xml:space="preserve">　</w:t>
            </w:r>
            <w:r w:rsidR="00F5486A">
              <w:rPr>
                <w:vertAlign w:val="superscript"/>
              </w:rPr>
              <w:t>8</w:t>
            </w:r>
          </w:p>
        </w:tc>
      </w:tr>
      <w:tr w:rsidR="009A5B6A" w:rsidRPr="00ED5E6C" w14:paraId="4CB4E4CF" w14:textId="77777777" w:rsidTr="004C64A3">
        <w:trPr>
          <w:cantSplit/>
          <w:tblHeader/>
        </w:trPr>
        <w:tc>
          <w:tcPr>
            <w:tcW w:w="5000" w:type="pct"/>
            <w:gridSpan w:val="9"/>
            <w:vAlign w:val="center"/>
          </w:tcPr>
          <w:p w14:paraId="152878F4" w14:textId="64B78FB3" w:rsidR="009A5B6A" w:rsidRPr="00F15AAB" w:rsidRDefault="009A5B6A" w:rsidP="007B2BB9">
            <w:pPr>
              <w:pStyle w:val="TableText0"/>
              <w:rPr>
                <w:b/>
                <w:color w:val="000000" w:themeColor="text1"/>
                <w:szCs w:val="20"/>
              </w:rPr>
            </w:pPr>
            <w:r w:rsidRPr="00F15AAB">
              <w:rPr>
                <w:b/>
                <w:szCs w:val="20"/>
              </w:rPr>
              <w:t>Grandfathered patients</w:t>
            </w:r>
          </w:p>
        </w:tc>
      </w:tr>
      <w:tr w:rsidR="009A5B6A" w:rsidRPr="00ED5E6C" w14:paraId="2F3CA4D6" w14:textId="77777777" w:rsidTr="004C64A3">
        <w:trPr>
          <w:cantSplit/>
          <w:tblHeader/>
        </w:trPr>
        <w:tc>
          <w:tcPr>
            <w:tcW w:w="155" w:type="pct"/>
            <w:vAlign w:val="center"/>
          </w:tcPr>
          <w:p w14:paraId="52BAAD91" w14:textId="77777777" w:rsidR="009A5B6A" w:rsidRPr="00F15AAB" w:rsidRDefault="009A5B6A" w:rsidP="00313182">
            <w:pPr>
              <w:pStyle w:val="TableText0"/>
              <w:rPr>
                <w:szCs w:val="20"/>
              </w:rPr>
            </w:pPr>
            <w:r w:rsidRPr="00F15AAB">
              <w:rPr>
                <w:szCs w:val="20"/>
              </w:rPr>
              <w:t>M</w:t>
            </w:r>
          </w:p>
        </w:tc>
        <w:tc>
          <w:tcPr>
            <w:tcW w:w="1178" w:type="pct"/>
            <w:vAlign w:val="center"/>
          </w:tcPr>
          <w:p w14:paraId="5EA181BE" w14:textId="77777777" w:rsidR="009A5B6A" w:rsidRPr="00F15AAB" w:rsidRDefault="009A5B6A" w:rsidP="00313182">
            <w:pPr>
              <w:pStyle w:val="TableText0"/>
              <w:rPr>
                <w:szCs w:val="20"/>
              </w:rPr>
            </w:pPr>
            <w:r w:rsidRPr="00F15AAB">
              <w:rPr>
                <w:szCs w:val="20"/>
              </w:rPr>
              <w:t>Grandfathered patients</w:t>
            </w:r>
            <w:r>
              <w:rPr>
                <w:szCs w:val="20"/>
              </w:rPr>
              <w:t xml:space="preserve"> </w:t>
            </w:r>
            <w:r w:rsidRPr="00F15AAB">
              <w:rPr>
                <w:szCs w:val="20"/>
                <w:vertAlign w:val="superscript"/>
              </w:rPr>
              <w:t>c</w:t>
            </w:r>
            <w:r w:rsidRPr="00F15AAB">
              <w:rPr>
                <w:szCs w:val="20"/>
              </w:rPr>
              <w:t xml:space="preserve"> </w:t>
            </w:r>
          </w:p>
        </w:tc>
        <w:tc>
          <w:tcPr>
            <w:tcW w:w="628" w:type="pct"/>
            <w:vAlign w:val="center"/>
          </w:tcPr>
          <w:p w14:paraId="74FB4FB4" w14:textId="77777777" w:rsidR="009A5B6A" w:rsidRPr="00F15AAB" w:rsidRDefault="009A5B6A" w:rsidP="00313182">
            <w:pPr>
              <w:pStyle w:val="TableText0"/>
              <w:rPr>
                <w:szCs w:val="20"/>
              </w:rPr>
            </w:pPr>
          </w:p>
        </w:tc>
        <w:tc>
          <w:tcPr>
            <w:tcW w:w="506" w:type="pct"/>
            <w:vAlign w:val="center"/>
          </w:tcPr>
          <w:p w14:paraId="682DABFE" w14:textId="76F8AA9C"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476"/>
                <w14:textFill>
                  <w14:solidFill>
                    <w14:srgbClr w14:val="000000">
                      <w14:alpha w14:val="100000"/>
                    </w14:srgbClr>
                  </w14:solidFill>
                </w14:textFill>
              </w:rPr>
              <w:t xml:space="preserve">　</w:t>
            </w:r>
            <w:r w:rsidRPr="00A0676B">
              <w:rPr>
                <w:color w:val="000000"/>
                <w:w w:val="33"/>
                <w:szCs w:val="20"/>
                <w:shd w:val="solid" w:color="000000" w:fill="000000"/>
                <w:fitText w:val="150" w:id="-930964476"/>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476"/>
                <w14:textFill>
                  <w14:solidFill>
                    <w14:srgbClr w14:val="000000">
                      <w14:alpha w14:val="100000"/>
                    </w14:srgbClr>
                  </w14:solidFill>
                </w14:textFill>
              </w:rPr>
              <w:t xml:space="preserve">　</w:t>
            </w:r>
            <w:r w:rsidR="00F5486A">
              <w:rPr>
                <w:vertAlign w:val="superscript"/>
              </w:rPr>
              <w:t>8</w:t>
            </w:r>
          </w:p>
        </w:tc>
        <w:tc>
          <w:tcPr>
            <w:tcW w:w="507" w:type="pct"/>
            <w:vAlign w:val="center"/>
          </w:tcPr>
          <w:p w14:paraId="3B2C1600" w14:textId="0F57F3A6"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5"/>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5"/>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5"/>
                <w14:textFill>
                  <w14:solidFill>
                    <w14:schemeClr w14:val="tx1">
                      <w14:alpha w14:val="100000"/>
                    </w14:schemeClr>
                  </w14:solidFill>
                </w14:textFill>
              </w:rPr>
              <w:t xml:space="preserve">　</w:t>
            </w:r>
            <w:r w:rsidR="00F5486A">
              <w:rPr>
                <w:vertAlign w:val="superscript"/>
              </w:rPr>
              <w:t>8</w:t>
            </w:r>
          </w:p>
        </w:tc>
        <w:tc>
          <w:tcPr>
            <w:tcW w:w="506" w:type="pct"/>
            <w:vAlign w:val="center"/>
          </w:tcPr>
          <w:p w14:paraId="2554D8F7" w14:textId="73B3F2E3"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4"/>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4"/>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4"/>
                <w14:textFill>
                  <w14:solidFill>
                    <w14:schemeClr w14:val="tx1">
                      <w14:alpha w14:val="100000"/>
                    </w14:schemeClr>
                  </w14:solidFill>
                </w14:textFill>
              </w:rPr>
              <w:t xml:space="preserve">　</w:t>
            </w:r>
            <w:r w:rsidR="00F5486A">
              <w:rPr>
                <w:vertAlign w:val="superscript"/>
              </w:rPr>
              <w:t>8</w:t>
            </w:r>
          </w:p>
        </w:tc>
        <w:tc>
          <w:tcPr>
            <w:tcW w:w="507" w:type="pct"/>
            <w:vAlign w:val="center"/>
          </w:tcPr>
          <w:p w14:paraId="431442D6" w14:textId="19F06805"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3"/>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3"/>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3"/>
                <w14:textFill>
                  <w14:solidFill>
                    <w14:schemeClr w14:val="tx1">
                      <w14:alpha w14:val="100000"/>
                    </w14:schemeClr>
                  </w14:solidFill>
                </w14:textFill>
              </w:rPr>
              <w:t xml:space="preserve">　</w:t>
            </w:r>
            <w:r w:rsidR="00F5486A">
              <w:rPr>
                <w:vertAlign w:val="superscript"/>
              </w:rPr>
              <w:t>8</w:t>
            </w:r>
          </w:p>
        </w:tc>
        <w:tc>
          <w:tcPr>
            <w:tcW w:w="506" w:type="pct"/>
            <w:vAlign w:val="center"/>
          </w:tcPr>
          <w:p w14:paraId="7B54F40A" w14:textId="3D4C6974"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2"/>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2"/>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2"/>
                <w14:textFill>
                  <w14:solidFill>
                    <w14:schemeClr w14:val="tx1">
                      <w14:alpha w14:val="100000"/>
                    </w14:schemeClr>
                  </w14:solidFill>
                </w14:textFill>
              </w:rPr>
              <w:t xml:space="preserve">　</w:t>
            </w:r>
            <w:r w:rsidR="00F5486A">
              <w:rPr>
                <w:vertAlign w:val="superscript"/>
              </w:rPr>
              <w:t>8</w:t>
            </w:r>
          </w:p>
        </w:tc>
        <w:tc>
          <w:tcPr>
            <w:tcW w:w="507" w:type="pct"/>
            <w:vAlign w:val="center"/>
          </w:tcPr>
          <w:p w14:paraId="05231DD8" w14:textId="7D2842AE"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1"/>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1"/>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1"/>
                <w14:textFill>
                  <w14:solidFill>
                    <w14:schemeClr w14:val="tx1">
                      <w14:alpha w14:val="100000"/>
                    </w14:schemeClr>
                  </w14:solidFill>
                </w14:textFill>
              </w:rPr>
              <w:t xml:space="preserve">　</w:t>
            </w:r>
            <w:r w:rsidR="00F5486A">
              <w:rPr>
                <w:vertAlign w:val="superscript"/>
              </w:rPr>
              <w:t>8</w:t>
            </w:r>
          </w:p>
        </w:tc>
      </w:tr>
      <w:tr w:rsidR="009A5B6A" w:rsidRPr="00ED5E6C" w14:paraId="5BAB7873" w14:textId="77777777" w:rsidTr="004C64A3">
        <w:trPr>
          <w:cantSplit/>
          <w:tblHeader/>
        </w:trPr>
        <w:tc>
          <w:tcPr>
            <w:tcW w:w="5000" w:type="pct"/>
            <w:gridSpan w:val="9"/>
            <w:vAlign w:val="center"/>
          </w:tcPr>
          <w:p w14:paraId="448C7684" w14:textId="28FF54B9" w:rsidR="009A5B6A" w:rsidRPr="00F15AAB" w:rsidRDefault="009A5B6A" w:rsidP="007B2BB9">
            <w:pPr>
              <w:pStyle w:val="TableText0"/>
              <w:rPr>
                <w:b/>
                <w:color w:val="000000" w:themeColor="text1"/>
                <w:szCs w:val="20"/>
              </w:rPr>
            </w:pPr>
            <w:r w:rsidRPr="00F15AAB">
              <w:rPr>
                <w:b/>
                <w:color w:val="000000" w:themeColor="text1"/>
                <w:szCs w:val="20"/>
              </w:rPr>
              <w:t xml:space="preserve">Non-LCIG substitution group </w:t>
            </w:r>
            <w:r>
              <w:rPr>
                <w:b/>
                <w:color w:val="000000" w:themeColor="text1"/>
                <w:szCs w:val="20"/>
              </w:rPr>
              <w:t>(substitution from orals)</w:t>
            </w:r>
          </w:p>
        </w:tc>
      </w:tr>
      <w:tr w:rsidR="009A5B6A" w:rsidRPr="00ED5E6C" w14:paraId="3F9ACBDE" w14:textId="77777777" w:rsidTr="004C64A3">
        <w:trPr>
          <w:cantSplit/>
          <w:tblHeader/>
        </w:trPr>
        <w:tc>
          <w:tcPr>
            <w:tcW w:w="155" w:type="pct"/>
            <w:vAlign w:val="center"/>
          </w:tcPr>
          <w:p w14:paraId="5C38AD17" w14:textId="77777777" w:rsidR="009A5B6A" w:rsidRPr="00F15AAB" w:rsidRDefault="009A5B6A" w:rsidP="00313182">
            <w:pPr>
              <w:pStyle w:val="TableText0"/>
              <w:rPr>
                <w:szCs w:val="20"/>
              </w:rPr>
            </w:pPr>
            <w:r w:rsidRPr="00F15AAB">
              <w:rPr>
                <w:szCs w:val="20"/>
              </w:rPr>
              <w:t>N</w:t>
            </w:r>
          </w:p>
        </w:tc>
        <w:tc>
          <w:tcPr>
            <w:tcW w:w="1178" w:type="pct"/>
            <w:vAlign w:val="center"/>
          </w:tcPr>
          <w:p w14:paraId="055538FB" w14:textId="77777777" w:rsidR="009A5B6A" w:rsidRPr="00F15AAB" w:rsidRDefault="009A5B6A" w:rsidP="00313182">
            <w:pPr>
              <w:pStyle w:val="TableText0"/>
              <w:rPr>
                <w:szCs w:val="20"/>
              </w:rPr>
            </w:pPr>
            <w:r w:rsidRPr="00F15AAB">
              <w:rPr>
                <w:szCs w:val="20"/>
              </w:rPr>
              <w:t xml:space="preserve">Eligible patients </w:t>
            </w:r>
          </w:p>
        </w:tc>
        <w:tc>
          <w:tcPr>
            <w:tcW w:w="628" w:type="pct"/>
            <w:vAlign w:val="center"/>
          </w:tcPr>
          <w:p w14:paraId="31779EB2" w14:textId="77777777" w:rsidR="009A5B6A" w:rsidRPr="00F15AAB" w:rsidRDefault="009A5B6A" w:rsidP="00313182">
            <w:pPr>
              <w:pStyle w:val="TableText0"/>
              <w:rPr>
                <w:szCs w:val="20"/>
              </w:rPr>
            </w:pPr>
            <w:r w:rsidRPr="00F15AAB">
              <w:rPr>
                <w:szCs w:val="20"/>
              </w:rPr>
              <w:t>F-I-J-K-L-M</w:t>
            </w:r>
          </w:p>
        </w:tc>
        <w:tc>
          <w:tcPr>
            <w:tcW w:w="506" w:type="pct"/>
            <w:vAlign w:val="center"/>
          </w:tcPr>
          <w:p w14:paraId="550FDE44" w14:textId="05064897"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470"/>
                <w14:textFill>
                  <w14:solidFill>
                    <w14:srgbClr w14:val="000000">
                      <w14:alpha w14:val="100000"/>
                    </w14:srgbClr>
                  </w14:solidFill>
                </w14:textFill>
              </w:rPr>
              <w:t xml:space="preserve">　</w:t>
            </w:r>
            <w:r w:rsidRPr="00A0676B">
              <w:rPr>
                <w:color w:val="000000"/>
                <w:w w:val="33"/>
                <w:szCs w:val="20"/>
                <w:shd w:val="solid" w:color="000000" w:fill="000000"/>
                <w:fitText w:val="150" w:id="-930964470"/>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470"/>
                <w14:textFill>
                  <w14:solidFill>
                    <w14:srgbClr w14:val="000000">
                      <w14:alpha w14:val="100000"/>
                    </w14:srgbClr>
                  </w14:solidFill>
                </w14:textFill>
              </w:rPr>
              <w:t xml:space="preserve">　</w:t>
            </w:r>
            <w:r w:rsidR="00F5486A">
              <w:rPr>
                <w:vertAlign w:val="superscript"/>
              </w:rPr>
              <w:t>7</w:t>
            </w:r>
          </w:p>
        </w:tc>
        <w:tc>
          <w:tcPr>
            <w:tcW w:w="507" w:type="pct"/>
            <w:vAlign w:val="center"/>
          </w:tcPr>
          <w:p w14:paraId="5CCEBB1B" w14:textId="2E97CA3B"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69"/>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69"/>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69"/>
                <w14:textFill>
                  <w14:solidFill>
                    <w14:schemeClr w14:val="tx1">
                      <w14:alpha w14:val="100000"/>
                    </w14:schemeClr>
                  </w14:solidFill>
                </w14:textFill>
              </w:rPr>
              <w:t xml:space="preserve">　</w:t>
            </w:r>
            <w:r w:rsidR="00F5486A">
              <w:rPr>
                <w:vertAlign w:val="superscript"/>
              </w:rPr>
              <w:t>7</w:t>
            </w:r>
          </w:p>
        </w:tc>
        <w:tc>
          <w:tcPr>
            <w:tcW w:w="506" w:type="pct"/>
            <w:vAlign w:val="center"/>
          </w:tcPr>
          <w:p w14:paraId="01ECE3F0" w14:textId="1230516B"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68"/>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68"/>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68"/>
                <w14:textFill>
                  <w14:solidFill>
                    <w14:schemeClr w14:val="tx1">
                      <w14:alpha w14:val="100000"/>
                    </w14:schemeClr>
                  </w14:solidFill>
                </w14:textFill>
              </w:rPr>
              <w:t xml:space="preserve">　</w:t>
            </w:r>
            <w:r w:rsidR="00F5486A">
              <w:rPr>
                <w:vertAlign w:val="superscript"/>
              </w:rPr>
              <w:t>7</w:t>
            </w:r>
          </w:p>
        </w:tc>
        <w:tc>
          <w:tcPr>
            <w:tcW w:w="507" w:type="pct"/>
            <w:vAlign w:val="center"/>
          </w:tcPr>
          <w:p w14:paraId="77F11B97" w14:textId="5AB5C0CC"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67"/>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67"/>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67"/>
                <w14:textFill>
                  <w14:solidFill>
                    <w14:schemeClr w14:val="tx1">
                      <w14:alpha w14:val="100000"/>
                    </w14:schemeClr>
                  </w14:solidFill>
                </w14:textFill>
              </w:rPr>
              <w:t xml:space="preserve">　</w:t>
            </w:r>
            <w:r w:rsidR="00F5486A">
              <w:rPr>
                <w:vertAlign w:val="superscript"/>
              </w:rPr>
              <w:t>7</w:t>
            </w:r>
          </w:p>
        </w:tc>
        <w:tc>
          <w:tcPr>
            <w:tcW w:w="506" w:type="pct"/>
            <w:vAlign w:val="center"/>
          </w:tcPr>
          <w:p w14:paraId="77BC72E8" w14:textId="7806E5F6"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66"/>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66"/>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66"/>
                <w14:textFill>
                  <w14:solidFill>
                    <w14:schemeClr w14:val="tx1">
                      <w14:alpha w14:val="100000"/>
                    </w14:schemeClr>
                  </w14:solidFill>
                </w14:textFill>
              </w:rPr>
              <w:t xml:space="preserve">　</w:t>
            </w:r>
            <w:r w:rsidR="00F5486A">
              <w:rPr>
                <w:vertAlign w:val="superscript"/>
              </w:rPr>
              <w:t>7</w:t>
            </w:r>
          </w:p>
        </w:tc>
        <w:tc>
          <w:tcPr>
            <w:tcW w:w="507" w:type="pct"/>
            <w:vAlign w:val="center"/>
          </w:tcPr>
          <w:p w14:paraId="13911336" w14:textId="578C7F39"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65"/>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65"/>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65"/>
                <w14:textFill>
                  <w14:solidFill>
                    <w14:schemeClr w14:val="tx1">
                      <w14:alpha w14:val="100000"/>
                    </w14:schemeClr>
                  </w14:solidFill>
                </w14:textFill>
              </w:rPr>
              <w:t xml:space="preserve">　</w:t>
            </w:r>
            <w:r w:rsidR="00F5486A">
              <w:rPr>
                <w:vertAlign w:val="superscript"/>
              </w:rPr>
              <w:t>7</w:t>
            </w:r>
          </w:p>
        </w:tc>
      </w:tr>
      <w:tr w:rsidR="009A5B6A" w:rsidRPr="00ED5E6C" w14:paraId="3004F526" w14:textId="77777777" w:rsidTr="004C64A3">
        <w:trPr>
          <w:cantSplit/>
          <w:tblHeader/>
        </w:trPr>
        <w:tc>
          <w:tcPr>
            <w:tcW w:w="155" w:type="pct"/>
            <w:vAlign w:val="center"/>
          </w:tcPr>
          <w:p w14:paraId="308BE7E7" w14:textId="77777777" w:rsidR="009A5B6A" w:rsidRPr="00F15AAB" w:rsidRDefault="009A5B6A" w:rsidP="00313182">
            <w:pPr>
              <w:pStyle w:val="TableText0"/>
              <w:rPr>
                <w:szCs w:val="20"/>
              </w:rPr>
            </w:pPr>
            <w:r w:rsidRPr="00F15AAB">
              <w:rPr>
                <w:szCs w:val="20"/>
              </w:rPr>
              <w:t>O</w:t>
            </w:r>
          </w:p>
        </w:tc>
        <w:tc>
          <w:tcPr>
            <w:tcW w:w="1178" w:type="pct"/>
            <w:vAlign w:val="center"/>
          </w:tcPr>
          <w:p w14:paraId="024C641C" w14:textId="77777777" w:rsidR="009A5B6A" w:rsidRPr="00F15AAB" w:rsidRDefault="009A5B6A" w:rsidP="00313182">
            <w:pPr>
              <w:pStyle w:val="TableText0"/>
              <w:rPr>
                <w:szCs w:val="20"/>
              </w:rPr>
            </w:pPr>
            <w:r w:rsidRPr="00F15AAB">
              <w:rPr>
                <w:szCs w:val="20"/>
              </w:rPr>
              <w:t xml:space="preserve">Uptake rates </w:t>
            </w:r>
          </w:p>
        </w:tc>
        <w:tc>
          <w:tcPr>
            <w:tcW w:w="628" w:type="pct"/>
            <w:vAlign w:val="center"/>
          </w:tcPr>
          <w:p w14:paraId="47A93BD2" w14:textId="77777777" w:rsidR="009A5B6A" w:rsidRPr="00F15AAB" w:rsidRDefault="009A5B6A" w:rsidP="00313182">
            <w:pPr>
              <w:pStyle w:val="TableText0"/>
              <w:rPr>
                <w:szCs w:val="20"/>
              </w:rPr>
            </w:pPr>
          </w:p>
        </w:tc>
        <w:tc>
          <w:tcPr>
            <w:tcW w:w="506" w:type="pct"/>
            <w:vAlign w:val="center"/>
          </w:tcPr>
          <w:p w14:paraId="4268C33B" w14:textId="77777777" w:rsidR="009A5B6A" w:rsidRPr="00F15AAB" w:rsidRDefault="009A5B6A" w:rsidP="007B2BB9">
            <w:pPr>
              <w:pStyle w:val="TableText0"/>
              <w:jc w:val="center"/>
              <w:rPr>
                <w:szCs w:val="20"/>
              </w:rPr>
            </w:pPr>
            <w:r w:rsidRPr="00F15AAB">
              <w:rPr>
                <w:szCs w:val="20"/>
              </w:rPr>
              <w:t>0.1%</w:t>
            </w:r>
          </w:p>
        </w:tc>
        <w:tc>
          <w:tcPr>
            <w:tcW w:w="507" w:type="pct"/>
            <w:vAlign w:val="center"/>
          </w:tcPr>
          <w:p w14:paraId="4816740B" w14:textId="77777777" w:rsidR="009A5B6A" w:rsidRPr="00F15AAB" w:rsidRDefault="009A5B6A" w:rsidP="007B2BB9">
            <w:pPr>
              <w:pStyle w:val="TableText0"/>
              <w:jc w:val="center"/>
              <w:rPr>
                <w:color w:val="000000" w:themeColor="text1"/>
                <w:szCs w:val="20"/>
              </w:rPr>
            </w:pPr>
            <w:r w:rsidRPr="00F15AAB">
              <w:rPr>
                <w:color w:val="000000" w:themeColor="text1"/>
                <w:szCs w:val="20"/>
              </w:rPr>
              <w:t>0.5%</w:t>
            </w:r>
          </w:p>
        </w:tc>
        <w:tc>
          <w:tcPr>
            <w:tcW w:w="506" w:type="pct"/>
            <w:vAlign w:val="center"/>
          </w:tcPr>
          <w:p w14:paraId="206E9A06" w14:textId="77777777" w:rsidR="009A5B6A" w:rsidRPr="00F15AAB" w:rsidRDefault="009A5B6A" w:rsidP="007B2BB9">
            <w:pPr>
              <w:pStyle w:val="TableText0"/>
              <w:jc w:val="center"/>
              <w:rPr>
                <w:color w:val="000000" w:themeColor="text1"/>
                <w:szCs w:val="20"/>
              </w:rPr>
            </w:pPr>
            <w:r w:rsidRPr="00F15AAB">
              <w:rPr>
                <w:color w:val="000000" w:themeColor="text1"/>
                <w:szCs w:val="20"/>
              </w:rPr>
              <w:t>1.5%</w:t>
            </w:r>
          </w:p>
        </w:tc>
        <w:tc>
          <w:tcPr>
            <w:tcW w:w="507" w:type="pct"/>
            <w:vAlign w:val="center"/>
          </w:tcPr>
          <w:p w14:paraId="4E178B5B" w14:textId="77777777" w:rsidR="009A5B6A" w:rsidRPr="00F15AAB" w:rsidRDefault="009A5B6A" w:rsidP="007B2BB9">
            <w:pPr>
              <w:pStyle w:val="TableText0"/>
              <w:jc w:val="center"/>
              <w:rPr>
                <w:color w:val="000000" w:themeColor="text1"/>
                <w:szCs w:val="20"/>
              </w:rPr>
            </w:pPr>
            <w:r w:rsidRPr="00F15AAB">
              <w:rPr>
                <w:color w:val="000000" w:themeColor="text1"/>
                <w:szCs w:val="20"/>
              </w:rPr>
              <w:t>3.5%</w:t>
            </w:r>
          </w:p>
        </w:tc>
        <w:tc>
          <w:tcPr>
            <w:tcW w:w="506" w:type="pct"/>
            <w:vAlign w:val="center"/>
          </w:tcPr>
          <w:p w14:paraId="7849FE38" w14:textId="77777777" w:rsidR="009A5B6A" w:rsidRPr="00F15AAB" w:rsidRDefault="009A5B6A" w:rsidP="007B2BB9">
            <w:pPr>
              <w:pStyle w:val="TableText0"/>
              <w:jc w:val="center"/>
              <w:rPr>
                <w:color w:val="000000" w:themeColor="text1"/>
                <w:szCs w:val="20"/>
              </w:rPr>
            </w:pPr>
            <w:r w:rsidRPr="00F15AAB">
              <w:rPr>
                <w:color w:val="000000" w:themeColor="text1"/>
                <w:szCs w:val="20"/>
              </w:rPr>
              <w:t>4.5%</w:t>
            </w:r>
          </w:p>
        </w:tc>
        <w:tc>
          <w:tcPr>
            <w:tcW w:w="507" w:type="pct"/>
            <w:vAlign w:val="center"/>
          </w:tcPr>
          <w:p w14:paraId="49AA9438" w14:textId="77777777" w:rsidR="009A5B6A" w:rsidRPr="00F15AAB" w:rsidRDefault="009A5B6A" w:rsidP="007B2BB9">
            <w:pPr>
              <w:pStyle w:val="TableText0"/>
              <w:jc w:val="center"/>
              <w:rPr>
                <w:color w:val="000000" w:themeColor="text1"/>
                <w:szCs w:val="20"/>
              </w:rPr>
            </w:pPr>
            <w:r w:rsidRPr="00F15AAB">
              <w:rPr>
                <w:color w:val="000000" w:themeColor="text1"/>
                <w:szCs w:val="20"/>
              </w:rPr>
              <w:t>5.0%</w:t>
            </w:r>
          </w:p>
        </w:tc>
      </w:tr>
      <w:tr w:rsidR="009A5B6A" w:rsidRPr="00ED5E6C" w14:paraId="582B90F3" w14:textId="77777777" w:rsidTr="004C64A3">
        <w:trPr>
          <w:cantSplit/>
          <w:tblHeader/>
        </w:trPr>
        <w:tc>
          <w:tcPr>
            <w:tcW w:w="155" w:type="pct"/>
            <w:vAlign w:val="center"/>
          </w:tcPr>
          <w:p w14:paraId="493D6D40" w14:textId="77777777" w:rsidR="009A5B6A" w:rsidRPr="00F15AAB" w:rsidRDefault="009A5B6A" w:rsidP="00313182">
            <w:pPr>
              <w:pStyle w:val="TableText0"/>
              <w:rPr>
                <w:szCs w:val="20"/>
              </w:rPr>
            </w:pPr>
            <w:r w:rsidRPr="00F15AAB">
              <w:rPr>
                <w:szCs w:val="20"/>
              </w:rPr>
              <w:t>P</w:t>
            </w:r>
          </w:p>
        </w:tc>
        <w:tc>
          <w:tcPr>
            <w:tcW w:w="1178" w:type="pct"/>
            <w:vAlign w:val="center"/>
          </w:tcPr>
          <w:p w14:paraId="5494FDCD" w14:textId="77777777" w:rsidR="009A5B6A" w:rsidRPr="00F15AAB" w:rsidRDefault="009A5B6A" w:rsidP="00313182">
            <w:pPr>
              <w:pStyle w:val="TableText0"/>
              <w:rPr>
                <w:szCs w:val="20"/>
              </w:rPr>
            </w:pPr>
            <w:r w:rsidRPr="00535972">
              <w:rPr>
                <w:szCs w:val="20"/>
              </w:rPr>
              <w:t>FosLD/FosCD</w:t>
            </w:r>
            <w:r w:rsidRPr="00C95A87">
              <w:rPr>
                <w:szCs w:val="20"/>
              </w:rPr>
              <w:t xml:space="preserve"> </w:t>
            </w:r>
            <w:r w:rsidRPr="00F15AAB">
              <w:rPr>
                <w:szCs w:val="20"/>
              </w:rPr>
              <w:t>initiation from oral</w:t>
            </w:r>
            <w:r>
              <w:rPr>
                <w:szCs w:val="20"/>
              </w:rPr>
              <w:t xml:space="preserve"> LD</w:t>
            </w:r>
          </w:p>
        </w:tc>
        <w:tc>
          <w:tcPr>
            <w:tcW w:w="628" w:type="pct"/>
            <w:vAlign w:val="center"/>
          </w:tcPr>
          <w:p w14:paraId="72D97B3C" w14:textId="31853D79" w:rsidR="009A5B6A" w:rsidRPr="00F15AAB" w:rsidRDefault="009A5B6A" w:rsidP="00313182">
            <w:pPr>
              <w:pStyle w:val="TableText0"/>
              <w:rPr>
                <w:szCs w:val="20"/>
              </w:rPr>
            </w:pPr>
            <w:r w:rsidRPr="00F15AAB">
              <w:rPr>
                <w:szCs w:val="20"/>
              </w:rPr>
              <w:t xml:space="preserve">N </w:t>
            </w:r>
            <w:r w:rsidR="00E02881">
              <w:rPr>
                <w:szCs w:val="20"/>
              </w:rPr>
              <w:t>×</w:t>
            </w:r>
            <w:r w:rsidRPr="00F15AAB">
              <w:rPr>
                <w:szCs w:val="20"/>
              </w:rPr>
              <w:t xml:space="preserve"> O</w:t>
            </w:r>
          </w:p>
        </w:tc>
        <w:tc>
          <w:tcPr>
            <w:tcW w:w="506" w:type="pct"/>
            <w:vAlign w:val="center"/>
          </w:tcPr>
          <w:p w14:paraId="1C599DDE" w14:textId="3B17F4D0"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464"/>
                <w14:textFill>
                  <w14:solidFill>
                    <w14:srgbClr w14:val="000000">
                      <w14:alpha w14:val="100000"/>
                    </w14:srgbClr>
                  </w14:solidFill>
                </w14:textFill>
              </w:rPr>
              <w:t xml:space="preserve">　</w:t>
            </w:r>
            <w:r w:rsidRPr="00A0676B">
              <w:rPr>
                <w:color w:val="000000"/>
                <w:w w:val="33"/>
                <w:szCs w:val="20"/>
                <w:shd w:val="solid" w:color="000000" w:fill="000000"/>
                <w:fitText w:val="150" w:id="-930964464"/>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464"/>
                <w14:textFill>
                  <w14:solidFill>
                    <w14:srgbClr w14:val="000000">
                      <w14:alpha w14:val="100000"/>
                    </w14:srgbClr>
                  </w14:solidFill>
                </w14:textFill>
              </w:rPr>
              <w:t xml:space="preserve">　</w:t>
            </w:r>
            <w:r w:rsidR="00F5486A">
              <w:rPr>
                <w:vertAlign w:val="superscript"/>
              </w:rPr>
              <w:t>8</w:t>
            </w:r>
          </w:p>
        </w:tc>
        <w:tc>
          <w:tcPr>
            <w:tcW w:w="507" w:type="pct"/>
            <w:vAlign w:val="center"/>
          </w:tcPr>
          <w:p w14:paraId="350A04DF" w14:textId="0BD72E53"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80"/>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80"/>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80"/>
                <w14:textFill>
                  <w14:solidFill>
                    <w14:schemeClr w14:val="tx1">
                      <w14:alpha w14:val="100000"/>
                    </w14:schemeClr>
                  </w14:solidFill>
                </w14:textFill>
              </w:rPr>
              <w:t xml:space="preserve">　</w:t>
            </w:r>
            <w:r w:rsidR="00F5486A">
              <w:rPr>
                <w:vertAlign w:val="superscript"/>
              </w:rPr>
              <w:t>8</w:t>
            </w:r>
          </w:p>
        </w:tc>
        <w:tc>
          <w:tcPr>
            <w:tcW w:w="506" w:type="pct"/>
            <w:vAlign w:val="center"/>
          </w:tcPr>
          <w:p w14:paraId="5C69B3D4" w14:textId="3978FA4F"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9"/>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9"/>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9"/>
                <w14:textFill>
                  <w14:solidFill>
                    <w14:schemeClr w14:val="tx1">
                      <w14:alpha w14:val="100000"/>
                    </w14:schemeClr>
                  </w14:solidFill>
                </w14:textFill>
              </w:rPr>
              <w:t xml:space="preserve">　</w:t>
            </w:r>
            <w:r w:rsidR="00F5486A">
              <w:rPr>
                <w:vertAlign w:val="superscript"/>
              </w:rPr>
              <w:t>8</w:t>
            </w:r>
          </w:p>
        </w:tc>
        <w:tc>
          <w:tcPr>
            <w:tcW w:w="507" w:type="pct"/>
            <w:vAlign w:val="center"/>
          </w:tcPr>
          <w:p w14:paraId="5E24BD88" w14:textId="3F46C155"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8"/>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8"/>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8"/>
                <w14:textFill>
                  <w14:solidFill>
                    <w14:schemeClr w14:val="tx1">
                      <w14:alpha w14:val="100000"/>
                    </w14:schemeClr>
                  </w14:solidFill>
                </w14:textFill>
              </w:rPr>
              <w:t xml:space="preserve">　</w:t>
            </w:r>
            <w:r w:rsidR="00F5486A">
              <w:rPr>
                <w:vertAlign w:val="superscript"/>
              </w:rPr>
              <w:t>8</w:t>
            </w:r>
          </w:p>
        </w:tc>
        <w:tc>
          <w:tcPr>
            <w:tcW w:w="506" w:type="pct"/>
            <w:vAlign w:val="center"/>
          </w:tcPr>
          <w:p w14:paraId="4287EB5D" w14:textId="674D665E"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7"/>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7"/>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7"/>
                <w14:textFill>
                  <w14:solidFill>
                    <w14:schemeClr w14:val="tx1">
                      <w14:alpha w14:val="100000"/>
                    </w14:schemeClr>
                  </w14:solidFill>
                </w14:textFill>
              </w:rPr>
              <w:t xml:space="preserve">　</w:t>
            </w:r>
            <w:r w:rsidR="00F5486A">
              <w:rPr>
                <w:vertAlign w:val="superscript"/>
              </w:rPr>
              <w:t>8</w:t>
            </w:r>
          </w:p>
        </w:tc>
        <w:tc>
          <w:tcPr>
            <w:tcW w:w="507" w:type="pct"/>
            <w:vAlign w:val="center"/>
          </w:tcPr>
          <w:p w14:paraId="735D2A45" w14:textId="5E1BF16F"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6"/>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6"/>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6"/>
                <w14:textFill>
                  <w14:solidFill>
                    <w14:schemeClr w14:val="tx1">
                      <w14:alpha w14:val="100000"/>
                    </w14:schemeClr>
                  </w14:solidFill>
                </w14:textFill>
              </w:rPr>
              <w:t xml:space="preserve">　</w:t>
            </w:r>
            <w:r w:rsidR="00F5486A">
              <w:rPr>
                <w:vertAlign w:val="superscript"/>
              </w:rPr>
              <w:t>8</w:t>
            </w:r>
          </w:p>
        </w:tc>
      </w:tr>
      <w:tr w:rsidR="009A5B6A" w:rsidRPr="00ED5E6C" w14:paraId="2BFC7959" w14:textId="77777777" w:rsidTr="004C64A3">
        <w:trPr>
          <w:cantSplit/>
          <w:tblHeader/>
        </w:trPr>
        <w:tc>
          <w:tcPr>
            <w:tcW w:w="155" w:type="pct"/>
            <w:vAlign w:val="center"/>
          </w:tcPr>
          <w:p w14:paraId="1A64AC19" w14:textId="77777777" w:rsidR="009A5B6A" w:rsidRPr="00F15AAB" w:rsidRDefault="009A5B6A" w:rsidP="00313182">
            <w:pPr>
              <w:pStyle w:val="TableText0"/>
              <w:rPr>
                <w:szCs w:val="20"/>
              </w:rPr>
            </w:pPr>
            <w:r w:rsidRPr="00F15AAB">
              <w:rPr>
                <w:szCs w:val="20"/>
              </w:rPr>
              <w:t>Q</w:t>
            </w:r>
          </w:p>
        </w:tc>
        <w:tc>
          <w:tcPr>
            <w:tcW w:w="1178" w:type="pct"/>
            <w:vAlign w:val="center"/>
          </w:tcPr>
          <w:p w14:paraId="232AEB30" w14:textId="77777777" w:rsidR="009A5B6A" w:rsidRPr="00F15AAB" w:rsidRDefault="009A5B6A" w:rsidP="00313182">
            <w:pPr>
              <w:pStyle w:val="TableText0"/>
              <w:rPr>
                <w:szCs w:val="20"/>
                <w:vertAlign w:val="superscript"/>
              </w:rPr>
            </w:pPr>
            <w:r w:rsidRPr="00535972">
              <w:rPr>
                <w:szCs w:val="20"/>
              </w:rPr>
              <w:t>FosLD/FosCD</w:t>
            </w:r>
            <w:r w:rsidRPr="00C95A87">
              <w:rPr>
                <w:szCs w:val="20"/>
              </w:rPr>
              <w:t xml:space="preserve"> </w:t>
            </w:r>
            <w:r w:rsidRPr="00F15AAB">
              <w:rPr>
                <w:szCs w:val="20"/>
              </w:rPr>
              <w:t>continuing</w:t>
            </w:r>
            <w:r w:rsidRPr="00F15AAB">
              <w:rPr>
                <w:szCs w:val="20"/>
                <w:vertAlign w:val="superscript"/>
              </w:rPr>
              <w:t>d</w:t>
            </w:r>
          </w:p>
        </w:tc>
        <w:tc>
          <w:tcPr>
            <w:tcW w:w="628" w:type="pct"/>
            <w:vAlign w:val="center"/>
          </w:tcPr>
          <w:p w14:paraId="408D5B71" w14:textId="77777777" w:rsidR="009A5B6A" w:rsidRPr="00F15AAB" w:rsidRDefault="009A5B6A" w:rsidP="00313182">
            <w:pPr>
              <w:pStyle w:val="TableText0"/>
              <w:rPr>
                <w:szCs w:val="20"/>
              </w:rPr>
            </w:pPr>
          </w:p>
        </w:tc>
        <w:tc>
          <w:tcPr>
            <w:tcW w:w="506" w:type="pct"/>
            <w:vAlign w:val="center"/>
          </w:tcPr>
          <w:p w14:paraId="09F9D113" w14:textId="77777777" w:rsidR="009A5B6A" w:rsidRPr="00F15AAB" w:rsidRDefault="009A5B6A" w:rsidP="007B2BB9">
            <w:pPr>
              <w:pStyle w:val="TableText0"/>
              <w:jc w:val="center"/>
              <w:rPr>
                <w:szCs w:val="20"/>
              </w:rPr>
            </w:pPr>
            <w:r w:rsidRPr="00F15AAB">
              <w:rPr>
                <w:szCs w:val="20"/>
              </w:rPr>
              <w:t>-</w:t>
            </w:r>
          </w:p>
        </w:tc>
        <w:tc>
          <w:tcPr>
            <w:tcW w:w="507" w:type="pct"/>
            <w:vAlign w:val="center"/>
          </w:tcPr>
          <w:p w14:paraId="4FD68345" w14:textId="113E4657"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5"/>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5"/>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5"/>
                <w14:textFill>
                  <w14:solidFill>
                    <w14:schemeClr w14:val="tx1">
                      <w14:alpha w14:val="100000"/>
                    </w14:schemeClr>
                  </w14:solidFill>
                </w14:textFill>
              </w:rPr>
              <w:t xml:space="preserve">　</w:t>
            </w:r>
            <w:r w:rsidR="00F5486A">
              <w:rPr>
                <w:vertAlign w:val="superscript"/>
              </w:rPr>
              <w:t>8</w:t>
            </w:r>
          </w:p>
        </w:tc>
        <w:tc>
          <w:tcPr>
            <w:tcW w:w="506" w:type="pct"/>
            <w:vAlign w:val="center"/>
          </w:tcPr>
          <w:p w14:paraId="7376BED6" w14:textId="6C9F14EA"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4"/>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4"/>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4"/>
                <w14:textFill>
                  <w14:solidFill>
                    <w14:schemeClr w14:val="tx1">
                      <w14:alpha w14:val="100000"/>
                    </w14:schemeClr>
                  </w14:solidFill>
                </w14:textFill>
              </w:rPr>
              <w:t xml:space="preserve">　</w:t>
            </w:r>
            <w:r w:rsidR="00F5486A">
              <w:rPr>
                <w:vertAlign w:val="superscript"/>
              </w:rPr>
              <w:t>8</w:t>
            </w:r>
          </w:p>
        </w:tc>
        <w:tc>
          <w:tcPr>
            <w:tcW w:w="507" w:type="pct"/>
            <w:vAlign w:val="center"/>
          </w:tcPr>
          <w:p w14:paraId="2D84109A" w14:textId="5C40914A"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3"/>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3"/>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3"/>
                <w14:textFill>
                  <w14:solidFill>
                    <w14:schemeClr w14:val="tx1">
                      <w14:alpha w14:val="100000"/>
                    </w14:schemeClr>
                  </w14:solidFill>
                </w14:textFill>
              </w:rPr>
              <w:t xml:space="preserve">　</w:t>
            </w:r>
            <w:r w:rsidR="00F5486A">
              <w:rPr>
                <w:vertAlign w:val="superscript"/>
              </w:rPr>
              <w:t>8</w:t>
            </w:r>
          </w:p>
        </w:tc>
        <w:tc>
          <w:tcPr>
            <w:tcW w:w="506" w:type="pct"/>
            <w:vAlign w:val="center"/>
          </w:tcPr>
          <w:p w14:paraId="3E7DBD56" w14:textId="2525B3F7"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2"/>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2"/>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2"/>
                <w14:textFill>
                  <w14:solidFill>
                    <w14:schemeClr w14:val="tx1">
                      <w14:alpha w14:val="100000"/>
                    </w14:schemeClr>
                  </w14:solidFill>
                </w14:textFill>
              </w:rPr>
              <w:t xml:space="preserve">　</w:t>
            </w:r>
            <w:r w:rsidR="00F5486A">
              <w:rPr>
                <w:vertAlign w:val="superscript"/>
              </w:rPr>
              <w:t>8</w:t>
            </w:r>
          </w:p>
        </w:tc>
        <w:tc>
          <w:tcPr>
            <w:tcW w:w="507" w:type="pct"/>
            <w:vAlign w:val="center"/>
          </w:tcPr>
          <w:p w14:paraId="78D55A77" w14:textId="6AA75378" w:rsidR="009A5B6A" w:rsidRPr="004F7504" w:rsidRDefault="004B6FE2" w:rsidP="007B2BB9">
            <w:pPr>
              <w:pStyle w:val="TableText0"/>
              <w:jc w:val="center"/>
              <w:rPr>
                <w:color w:val="000000" w:themeColor="text1"/>
                <w:szCs w:val="20"/>
                <w:highlight w:val="darkGray"/>
              </w:rPr>
            </w:pPr>
            <w:r w:rsidRPr="00A0676B">
              <w:rPr>
                <w:rFonts w:hint="eastAsia"/>
                <w:color w:val="000000" w:themeColor="text1"/>
                <w:w w:val="33"/>
                <w:szCs w:val="20"/>
                <w:shd w:val="solid" w:color="000000" w:fill="000000"/>
                <w:fitText w:val="150" w:id="-930964471"/>
                <w14:textFill>
                  <w14:solidFill>
                    <w14:schemeClr w14:val="tx1">
                      <w14:alpha w14:val="100000"/>
                    </w14:schemeClr>
                  </w14:solidFill>
                </w14:textFill>
              </w:rPr>
              <w:t xml:space="preserve">　</w:t>
            </w:r>
            <w:r w:rsidRPr="00A0676B">
              <w:rPr>
                <w:color w:val="000000" w:themeColor="text1"/>
                <w:w w:val="33"/>
                <w:szCs w:val="20"/>
                <w:shd w:val="solid" w:color="000000" w:fill="000000"/>
                <w:fitText w:val="150" w:id="-930964471"/>
                <w14:textFill>
                  <w14:solidFill>
                    <w14:schemeClr w14:val="tx1">
                      <w14:alpha w14:val="100000"/>
                    </w14:schemeClr>
                  </w14:solidFill>
                </w14:textFill>
              </w:rPr>
              <w:t>|</w:t>
            </w:r>
            <w:r w:rsidRPr="00A0676B">
              <w:rPr>
                <w:rFonts w:hint="eastAsia"/>
                <w:color w:val="000000" w:themeColor="text1"/>
                <w:spacing w:val="14"/>
                <w:w w:val="33"/>
                <w:szCs w:val="20"/>
                <w:shd w:val="solid" w:color="000000" w:fill="000000"/>
                <w:fitText w:val="150" w:id="-930964471"/>
                <w14:textFill>
                  <w14:solidFill>
                    <w14:schemeClr w14:val="tx1">
                      <w14:alpha w14:val="100000"/>
                    </w14:schemeClr>
                  </w14:solidFill>
                </w14:textFill>
              </w:rPr>
              <w:t xml:space="preserve">　</w:t>
            </w:r>
            <w:r w:rsidR="00F5486A">
              <w:rPr>
                <w:vertAlign w:val="superscript"/>
              </w:rPr>
              <w:t>8</w:t>
            </w:r>
          </w:p>
        </w:tc>
      </w:tr>
      <w:tr w:rsidR="00F02270" w:rsidRPr="00ED5E6C" w14:paraId="1AC90C9E" w14:textId="77777777" w:rsidTr="00022498">
        <w:trPr>
          <w:cantSplit/>
          <w:tblHeader/>
        </w:trPr>
        <w:tc>
          <w:tcPr>
            <w:tcW w:w="5000" w:type="pct"/>
            <w:gridSpan w:val="9"/>
            <w:vAlign w:val="center"/>
          </w:tcPr>
          <w:p w14:paraId="0727BEA2" w14:textId="09E05BAA" w:rsidR="00F02270" w:rsidRPr="00022498" w:rsidRDefault="00F02270" w:rsidP="00022498">
            <w:pPr>
              <w:pStyle w:val="TableText0"/>
              <w:rPr>
                <w:b/>
                <w:bCs w:val="0"/>
                <w:szCs w:val="20"/>
              </w:rPr>
            </w:pPr>
            <w:r w:rsidRPr="00022498">
              <w:rPr>
                <w:b/>
                <w:bCs w:val="0"/>
                <w:szCs w:val="20"/>
              </w:rPr>
              <w:t>Total</w:t>
            </w:r>
          </w:p>
        </w:tc>
      </w:tr>
      <w:tr w:rsidR="009A5B6A" w:rsidRPr="00ED5E6C" w14:paraId="38D3A3AF" w14:textId="77777777" w:rsidTr="004C64A3">
        <w:trPr>
          <w:cantSplit/>
          <w:tblHeader/>
        </w:trPr>
        <w:tc>
          <w:tcPr>
            <w:tcW w:w="155" w:type="pct"/>
            <w:vAlign w:val="center"/>
          </w:tcPr>
          <w:p w14:paraId="0FC81763" w14:textId="77777777" w:rsidR="009A5B6A" w:rsidRPr="00F15AAB" w:rsidRDefault="009A5B6A" w:rsidP="00313182">
            <w:pPr>
              <w:pStyle w:val="TableText0"/>
              <w:rPr>
                <w:szCs w:val="20"/>
              </w:rPr>
            </w:pPr>
            <w:r w:rsidRPr="00F15AAB">
              <w:rPr>
                <w:szCs w:val="20"/>
              </w:rPr>
              <w:t>R</w:t>
            </w:r>
          </w:p>
        </w:tc>
        <w:tc>
          <w:tcPr>
            <w:tcW w:w="1178" w:type="pct"/>
            <w:vAlign w:val="center"/>
          </w:tcPr>
          <w:p w14:paraId="0A35F275" w14:textId="77777777" w:rsidR="009A5B6A" w:rsidRPr="00F15AAB" w:rsidRDefault="009A5B6A" w:rsidP="00313182">
            <w:pPr>
              <w:pStyle w:val="TableText0"/>
              <w:rPr>
                <w:szCs w:val="20"/>
              </w:rPr>
            </w:pPr>
            <w:r w:rsidRPr="00F15AAB">
              <w:rPr>
                <w:szCs w:val="20"/>
              </w:rPr>
              <w:t xml:space="preserve">Total patients </w:t>
            </w:r>
          </w:p>
        </w:tc>
        <w:tc>
          <w:tcPr>
            <w:tcW w:w="628" w:type="pct"/>
            <w:vAlign w:val="center"/>
          </w:tcPr>
          <w:p w14:paraId="52A31C8A" w14:textId="77777777" w:rsidR="009A5B6A" w:rsidRPr="00F15AAB" w:rsidRDefault="009A5B6A" w:rsidP="00313182">
            <w:pPr>
              <w:pStyle w:val="TableText0"/>
              <w:rPr>
                <w:szCs w:val="20"/>
              </w:rPr>
            </w:pPr>
            <w:r w:rsidRPr="00F15AAB">
              <w:rPr>
                <w:szCs w:val="20"/>
              </w:rPr>
              <w:t>I+J+M+P+Q</w:t>
            </w:r>
          </w:p>
        </w:tc>
        <w:tc>
          <w:tcPr>
            <w:tcW w:w="506" w:type="pct"/>
            <w:vAlign w:val="center"/>
          </w:tcPr>
          <w:p w14:paraId="568AB026" w14:textId="2D411677" w:rsidR="009A5B6A" w:rsidRPr="004F7504" w:rsidRDefault="004B6FE2" w:rsidP="007B2BB9">
            <w:pPr>
              <w:pStyle w:val="TableText0"/>
              <w:jc w:val="center"/>
              <w:rPr>
                <w:szCs w:val="20"/>
                <w:highlight w:val="darkGray"/>
              </w:rPr>
            </w:pPr>
            <w:r w:rsidRPr="00A0676B">
              <w:rPr>
                <w:rFonts w:hint="eastAsia"/>
                <w:color w:val="000000"/>
                <w:w w:val="33"/>
                <w:szCs w:val="20"/>
                <w:shd w:val="solid" w:color="000000" w:fill="000000"/>
                <w:fitText w:val="150" w:id="-930964470"/>
                <w14:textFill>
                  <w14:solidFill>
                    <w14:srgbClr w14:val="000000">
                      <w14:alpha w14:val="100000"/>
                    </w14:srgbClr>
                  </w14:solidFill>
                </w14:textFill>
              </w:rPr>
              <w:t xml:space="preserve">　</w:t>
            </w:r>
            <w:r w:rsidRPr="00A0676B">
              <w:rPr>
                <w:color w:val="000000"/>
                <w:w w:val="33"/>
                <w:szCs w:val="20"/>
                <w:shd w:val="solid" w:color="000000" w:fill="000000"/>
                <w:fitText w:val="150" w:id="-930964470"/>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470"/>
                <w14:textFill>
                  <w14:solidFill>
                    <w14:srgbClr w14:val="000000">
                      <w14:alpha w14:val="100000"/>
                    </w14:srgbClr>
                  </w14:solidFill>
                </w14:textFill>
              </w:rPr>
              <w:t xml:space="preserve">　</w:t>
            </w:r>
            <w:r w:rsidR="00F5486A">
              <w:rPr>
                <w:vertAlign w:val="superscript"/>
              </w:rPr>
              <w:t>8</w:t>
            </w:r>
          </w:p>
        </w:tc>
        <w:tc>
          <w:tcPr>
            <w:tcW w:w="507" w:type="pct"/>
            <w:vAlign w:val="center"/>
          </w:tcPr>
          <w:p w14:paraId="21948FBA" w14:textId="138568F1" w:rsidR="009A5B6A" w:rsidRPr="004F7504" w:rsidRDefault="004B6FE2" w:rsidP="007B2BB9">
            <w:pPr>
              <w:pStyle w:val="TableText0"/>
              <w:jc w:val="center"/>
              <w:rPr>
                <w:color w:val="000000" w:themeColor="text1"/>
                <w:szCs w:val="20"/>
                <w:highlight w:val="darkGray"/>
              </w:rPr>
            </w:pPr>
            <w:r w:rsidRPr="00A0676B">
              <w:rPr>
                <w:rFonts w:hint="eastAsia"/>
                <w:color w:val="000000"/>
                <w:w w:val="33"/>
                <w:szCs w:val="20"/>
                <w:shd w:val="solid" w:color="000000" w:fill="000000"/>
                <w:fitText w:val="150" w:id="-930964224"/>
                <w14:textFill>
                  <w14:solidFill>
                    <w14:srgbClr w14:val="000000">
                      <w14:alpha w14:val="100000"/>
                    </w14:srgbClr>
                  </w14:solidFill>
                </w14:textFill>
              </w:rPr>
              <w:t xml:space="preserve">　</w:t>
            </w:r>
            <w:r w:rsidRPr="00A0676B">
              <w:rPr>
                <w:color w:val="000000"/>
                <w:w w:val="33"/>
                <w:szCs w:val="20"/>
                <w:shd w:val="solid" w:color="000000" w:fill="000000"/>
                <w:fitText w:val="150" w:id="-930964224"/>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224"/>
                <w14:textFill>
                  <w14:solidFill>
                    <w14:srgbClr w14:val="000000">
                      <w14:alpha w14:val="100000"/>
                    </w14:srgbClr>
                  </w14:solidFill>
                </w14:textFill>
              </w:rPr>
              <w:t xml:space="preserve">　</w:t>
            </w:r>
            <w:r w:rsidR="00F5486A">
              <w:rPr>
                <w:vertAlign w:val="superscript"/>
              </w:rPr>
              <w:t>8</w:t>
            </w:r>
          </w:p>
        </w:tc>
        <w:tc>
          <w:tcPr>
            <w:tcW w:w="506" w:type="pct"/>
            <w:vAlign w:val="center"/>
          </w:tcPr>
          <w:p w14:paraId="5B5A97F4" w14:textId="62DD22FB" w:rsidR="009A5B6A" w:rsidRPr="004F7504" w:rsidRDefault="004B6FE2" w:rsidP="007B2BB9">
            <w:pPr>
              <w:pStyle w:val="TableText0"/>
              <w:jc w:val="center"/>
              <w:rPr>
                <w:color w:val="000000" w:themeColor="text1"/>
                <w:szCs w:val="20"/>
                <w:highlight w:val="darkGray"/>
              </w:rPr>
            </w:pPr>
            <w:r w:rsidRPr="00A0676B">
              <w:rPr>
                <w:rFonts w:hint="eastAsia"/>
                <w:color w:val="000000"/>
                <w:w w:val="33"/>
                <w:szCs w:val="20"/>
                <w:shd w:val="solid" w:color="000000" w:fill="000000"/>
                <w:fitText w:val="150" w:id="-930964223"/>
                <w14:textFill>
                  <w14:solidFill>
                    <w14:srgbClr w14:val="000000">
                      <w14:alpha w14:val="100000"/>
                    </w14:srgbClr>
                  </w14:solidFill>
                </w14:textFill>
              </w:rPr>
              <w:t xml:space="preserve">　</w:t>
            </w:r>
            <w:r w:rsidRPr="00A0676B">
              <w:rPr>
                <w:color w:val="000000"/>
                <w:w w:val="33"/>
                <w:szCs w:val="20"/>
                <w:shd w:val="solid" w:color="000000" w:fill="000000"/>
                <w:fitText w:val="150" w:id="-930964223"/>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223"/>
                <w14:textFill>
                  <w14:solidFill>
                    <w14:srgbClr w14:val="000000">
                      <w14:alpha w14:val="100000"/>
                    </w14:srgbClr>
                  </w14:solidFill>
                </w14:textFill>
              </w:rPr>
              <w:t xml:space="preserve">　</w:t>
            </w:r>
            <w:r w:rsidR="00F5486A">
              <w:rPr>
                <w:vertAlign w:val="superscript"/>
              </w:rPr>
              <w:t>8</w:t>
            </w:r>
          </w:p>
        </w:tc>
        <w:tc>
          <w:tcPr>
            <w:tcW w:w="507" w:type="pct"/>
            <w:vAlign w:val="center"/>
          </w:tcPr>
          <w:p w14:paraId="3D844D1F" w14:textId="21630938" w:rsidR="009A5B6A" w:rsidRPr="004F7504" w:rsidRDefault="004B6FE2" w:rsidP="007B2BB9">
            <w:pPr>
              <w:pStyle w:val="TableText0"/>
              <w:jc w:val="center"/>
              <w:rPr>
                <w:color w:val="000000" w:themeColor="text1"/>
                <w:szCs w:val="20"/>
                <w:highlight w:val="darkGray"/>
              </w:rPr>
            </w:pPr>
            <w:r w:rsidRPr="00A0676B">
              <w:rPr>
                <w:rFonts w:hint="eastAsia"/>
                <w:color w:val="000000"/>
                <w:w w:val="33"/>
                <w:szCs w:val="20"/>
                <w:shd w:val="solid" w:color="000000" w:fill="000000"/>
                <w:fitText w:val="150" w:id="-930964222"/>
                <w14:textFill>
                  <w14:solidFill>
                    <w14:srgbClr w14:val="000000">
                      <w14:alpha w14:val="100000"/>
                    </w14:srgbClr>
                  </w14:solidFill>
                </w14:textFill>
              </w:rPr>
              <w:t xml:space="preserve">　</w:t>
            </w:r>
            <w:r w:rsidRPr="00A0676B">
              <w:rPr>
                <w:color w:val="000000"/>
                <w:w w:val="33"/>
                <w:szCs w:val="20"/>
                <w:shd w:val="solid" w:color="000000" w:fill="000000"/>
                <w:fitText w:val="150" w:id="-930964222"/>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222"/>
                <w14:textFill>
                  <w14:solidFill>
                    <w14:srgbClr w14:val="000000">
                      <w14:alpha w14:val="100000"/>
                    </w14:srgbClr>
                  </w14:solidFill>
                </w14:textFill>
              </w:rPr>
              <w:t xml:space="preserve">　</w:t>
            </w:r>
            <w:r w:rsidR="00F5486A">
              <w:rPr>
                <w:vertAlign w:val="superscript"/>
              </w:rPr>
              <w:t>8</w:t>
            </w:r>
          </w:p>
        </w:tc>
        <w:tc>
          <w:tcPr>
            <w:tcW w:w="506" w:type="pct"/>
            <w:vAlign w:val="center"/>
          </w:tcPr>
          <w:p w14:paraId="178F842B" w14:textId="13F70696" w:rsidR="009A5B6A" w:rsidRPr="004F7504" w:rsidRDefault="004B6FE2" w:rsidP="007B2BB9">
            <w:pPr>
              <w:pStyle w:val="TableText0"/>
              <w:jc w:val="center"/>
              <w:rPr>
                <w:color w:val="000000" w:themeColor="text1"/>
                <w:szCs w:val="20"/>
                <w:highlight w:val="darkGray"/>
              </w:rPr>
            </w:pPr>
            <w:r w:rsidRPr="00A0676B">
              <w:rPr>
                <w:rFonts w:hint="eastAsia"/>
                <w:color w:val="000000"/>
                <w:w w:val="33"/>
                <w:szCs w:val="20"/>
                <w:shd w:val="solid" w:color="000000" w:fill="000000"/>
                <w:fitText w:val="150" w:id="-930964221"/>
                <w14:textFill>
                  <w14:solidFill>
                    <w14:srgbClr w14:val="000000">
                      <w14:alpha w14:val="100000"/>
                    </w14:srgbClr>
                  </w14:solidFill>
                </w14:textFill>
              </w:rPr>
              <w:t xml:space="preserve">　</w:t>
            </w:r>
            <w:r w:rsidRPr="00A0676B">
              <w:rPr>
                <w:color w:val="000000"/>
                <w:w w:val="33"/>
                <w:szCs w:val="20"/>
                <w:shd w:val="solid" w:color="000000" w:fill="000000"/>
                <w:fitText w:val="150" w:id="-930964221"/>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221"/>
                <w14:textFill>
                  <w14:solidFill>
                    <w14:srgbClr w14:val="000000">
                      <w14:alpha w14:val="100000"/>
                    </w14:srgbClr>
                  </w14:solidFill>
                </w14:textFill>
              </w:rPr>
              <w:t xml:space="preserve">　</w:t>
            </w:r>
            <w:r w:rsidR="00F5486A">
              <w:rPr>
                <w:vertAlign w:val="superscript"/>
              </w:rPr>
              <w:t>7</w:t>
            </w:r>
          </w:p>
        </w:tc>
        <w:tc>
          <w:tcPr>
            <w:tcW w:w="507" w:type="pct"/>
            <w:vAlign w:val="center"/>
          </w:tcPr>
          <w:p w14:paraId="77CE1A4B" w14:textId="30BED6F5" w:rsidR="009A5B6A" w:rsidRPr="004F7504" w:rsidRDefault="004B6FE2" w:rsidP="007B2BB9">
            <w:pPr>
              <w:pStyle w:val="TableText0"/>
              <w:jc w:val="center"/>
              <w:rPr>
                <w:color w:val="000000" w:themeColor="text1"/>
                <w:szCs w:val="20"/>
                <w:highlight w:val="darkGray"/>
              </w:rPr>
            </w:pPr>
            <w:r w:rsidRPr="00A0676B">
              <w:rPr>
                <w:rFonts w:hint="eastAsia"/>
                <w:color w:val="000000"/>
                <w:w w:val="33"/>
                <w:szCs w:val="20"/>
                <w:shd w:val="solid" w:color="000000" w:fill="000000"/>
                <w:fitText w:val="150" w:id="-930964220"/>
                <w14:textFill>
                  <w14:solidFill>
                    <w14:srgbClr w14:val="000000">
                      <w14:alpha w14:val="100000"/>
                    </w14:srgbClr>
                  </w14:solidFill>
                </w14:textFill>
              </w:rPr>
              <w:t xml:space="preserve">　</w:t>
            </w:r>
            <w:r w:rsidRPr="00A0676B">
              <w:rPr>
                <w:color w:val="000000"/>
                <w:w w:val="33"/>
                <w:szCs w:val="20"/>
                <w:shd w:val="solid" w:color="000000" w:fill="000000"/>
                <w:fitText w:val="150" w:id="-930964220"/>
                <w14:textFill>
                  <w14:solidFill>
                    <w14:srgbClr w14:val="000000">
                      <w14:alpha w14:val="100000"/>
                    </w14:srgbClr>
                  </w14:solidFill>
                </w14:textFill>
              </w:rPr>
              <w:t>|</w:t>
            </w:r>
            <w:r w:rsidRPr="00A0676B">
              <w:rPr>
                <w:rFonts w:hint="eastAsia"/>
                <w:color w:val="000000"/>
                <w:spacing w:val="14"/>
                <w:w w:val="33"/>
                <w:szCs w:val="20"/>
                <w:shd w:val="solid" w:color="000000" w:fill="000000"/>
                <w:fitText w:val="150" w:id="-930964220"/>
                <w14:textFill>
                  <w14:solidFill>
                    <w14:srgbClr w14:val="000000">
                      <w14:alpha w14:val="100000"/>
                    </w14:srgbClr>
                  </w14:solidFill>
                </w14:textFill>
              </w:rPr>
              <w:t xml:space="preserve">　</w:t>
            </w:r>
            <w:r w:rsidR="00F5486A">
              <w:rPr>
                <w:vertAlign w:val="superscript"/>
              </w:rPr>
              <w:t>7</w:t>
            </w:r>
          </w:p>
        </w:tc>
      </w:tr>
      <w:tr w:rsidR="009A5B6A" w:rsidRPr="00ED5E6C" w14:paraId="5B9C1B2C" w14:textId="77777777" w:rsidTr="004C64A3">
        <w:trPr>
          <w:cantSplit/>
          <w:tblHeader/>
        </w:trPr>
        <w:tc>
          <w:tcPr>
            <w:tcW w:w="155" w:type="pct"/>
            <w:vAlign w:val="center"/>
          </w:tcPr>
          <w:p w14:paraId="2A3B54E8" w14:textId="77777777" w:rsidR="009A5B6A" w:rsidRPr="00F15AAB" w:rsidRDefault="009A5B6A" w:rsidP="00313182">
            <w:pPr>
              <w:pStyle w:val="TableText0"/>
              <w:rPr>
                <w:szCs w:val="20"/>
              </w:rPr>
            </w:pPr>
            <w:r w:rsidRPr="00F15AAB">
              <w:rPr>
                <w:szCs w:val="20"/>
              </w:rPr>
              <w:t>S</w:t>
            </w:r>
          </w:p>
        </w:tc>
        <w:tc>
          <w:tcPr>
            <w:tcW w:w="1178" w:type="pct"/>
            <w:vAlign w:val="center"/>
          </w:tcPr>
          <w:p w14:paraId="601381DF" w14:textId="77777777" w:rsidR="00E967E8" w:rsidRDefault="009A5B6A" w:rsidP="00313182">
            <w:pPr>
              <w:pStyle w:val="TableText0"/>
              <w:rPr>
                <w:b/>
                <w:szCs w:val="20"/>
              </w:rPr>
            </w:pPr>
            <w:r w:rsidRPr="00F15AAB">
              <w:rPr>
                <w:b/>
                <w:szCs w:val="20"/>
              </w:rPr>
              <w:t>Total script numbers</w:t>
            </w:r>
          </w:p>
          <w:p w14:paraId="29EA24CB" w14:textId="44D2A512" w:rsidR="009A5B6A" w:rsidRPr="00F15AAB" w:rsidRDefault="009A5B6A" w:rsidP="00313182">
            <w:pPr>
              <w:pStyle w:val="TableText0"/>
              <w:rPr>
                <w:szCs w:val="20"/>
              </w:rPr>
            </w:pPr>
            <w:r w:rsidRPr="00F15AAB">
              <w:rPr>
                <w:szCs w:val="20"/>
              </w:rPr>
              <w:t>(13.04</w:t>
            </w:r>
            <w:r w:rsidR="004C64A3">
              <w:rPr>
                <w:szCs w:val="20"/>
              </w:rPr>
              <w:t xml:space="preserve"> </w:t>
            </w:r>
            <w:r w:rsidRPr="00F15AAB">
              <w:rPr>
                <w:szCs w:val="20"/>
              </w:rPr>
              <w:t>scripts/patient/year)</w:t>
            </w:r>
          </w:p>
        </w:tc>
        <w:tc>
          <w:tcPr>
            <w:tcW w:w="628" w:type="pct"/>
            <w:vAlign w:val="center"/>
          </w:tcPr>
          <w:p w14:paraId="16925C10" w14:textId="5866250F" w:rsidR="009A5B6A" w:rsidRPr="00F15AAB" w:rsidRDefault="009A5B6A" w:rsidP="00313182">
            <w:pPr>
              <w:pStyle w:val="TableText0"/>
              <w:rPr>
                <w:szCs w:val="20"/>
              </w:rPr>
            </w:pPr>
            <w:r w:rsidRPr="00F15AAB">
              <w:rPr>
                <w:szCs w:val="20"/>
              </w:rPr>
              <w:t xml:space="preserve">13.04 </w:t>
            </w:r>
            <w:r w:rsidR="00E02881">
              <w:rPr>
                <w:szCs w:val="20"/>
              </w:rPr>
              <w:t>×</w:t>
            </w:r>
            <w:r w:rsidRPr="00F15AAB">
              <w:rPr>
                <w:szCs w:val="20"/>
              </w:rPr>
              <w:t xml:space="preserve"> R</w:t>
            </w:r>
          </w:p>
        </w:tc>
        <w:tc>
          <w:tcPr>
            <w:tcW w:w="506" w:type="pct"/>
            <w:vAlign w:val="center"/>
          </w:tcPr>
          <w:p w14:paraId="07E27CE6" w14:textId="371C6D04"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219"/>
                <w14:textFill>
                  <w14:solidFill>
                    <w14:srgbClr w14:val="000000">
                      <w14:alpha w14:val="100000"/>
                    </w14:srgbClr>
                  </w14:solidFill>
                </w14:textFill>
              </w:rPr>
              <w:t>|</w:t>
            </w:r>
            <w:r w:rsidRPr="004B6FE2">
              <w:rPr>
                <w:b/>
                <w:color w:val="000000"/>
                <w:spacing w:val="1"/>
                <w:szCs w:val="20"/>
                <w:shd w:val="solid" w:color="000000" w:fill="000000"/>
                <w:fitText w:val="200" w:id="-930964219"/>
                <w14:textFill>
                  <w14:solidFill>
                    <w14:srgbClr w14:val="000000">
                      <w14:alpha w14:val="100000"/>
                    </w14:srgbClr>
                  </w14:solidFill>
                </w14:textFill>
              </w:rPr>
              <w:t>|</w:t>
            </w:r>
            <w:r w:rsidR="00F5486A">
              <w:rPr>
                <w:vertAlign w:val="superscript"/>
              </w:rPr>
              <w:t>7</w:t>
            </w:r>
          </w:p>
        </w:tc>
        <w:tc>
          <w:tcPr>
            <w:tcW w:w="507" w:type="pct"/>
            <w:vAlign w:val="center"/>
          </w:tcPr>
          <w:p w14:paraId="16DE480B" w14:textId="37C6A2AC"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218"/>
                <w14:textFill>
                  <w14:solidFill>
                    <w14:srgbClr w14:val="000000">
                      <w14:alpha w14:val="100000"/>
                    </w14:srgbClr>
                  </w14:solidFill>
                </w14:textFill>
              </w:rPr>
              <w:t>|</w:t>
            </w:r>
            <w:r w:rsidRPr="004B6FE2">
              <w:rPr>
                <w:b/>
                <w:color w:val="000000"/>
                <w:spacing w:val="1"/>
                <w:szCs w:val="20"/>
                <w:shd w:val="solid" w:color="000000" w:fill="000000"/>
                <w:fitText w:val="200" w:id="-930964218"/>
                <w14:textFill>
                  <w14:solidFill>
                    <w14:srgbClr w14:val="000000">
                      <w14:alpha w14:val="100000"/>
                    </w14:srgbClr>
                  </w14:solidFill>
                </w14:textFill>
              </w:rPr>
              <w:t>|</w:t>
            </w:r>
            <w:r w:rsidR="00F5486A">
              <w:rPr>
                <w:vertAlign w:val="superscript"/>
              </w:rPr>
              <w:t>7</w:t>
            </w:r>
          </w:p>
        </w:tc>
        <w:tc>
          <w:tcPr>
            <w:tcW w:w="506" w:type="pct"/>
            <w:vAlign w:val="center"/>
          </w:tcPr>
          <w:p w14:paraId="687E8238" w14:textId="4DA22A75"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217"/>
                <w14:textFill>
                  <w14:solidFill>
                    <w14:srgbClr w14:val="000000">
                      <w14:alpha w14:val="100000"/>
                    </w14:srgbClr>
                  </w14:solidFill>
                </w14:textFill>
              </w:rPr>
              <w:t>|</w:t>
            </w:r>
            <w:r w:rsidRPr="004B6FE2">
              <w:rPr>
                <w:b/>
                <w:color w:val="000000"/>
                <w:spacing w:val="1"/>
                <w:szCs w:val="20"/>
                <w:shd w:val="solid" w:color="000000" w:fill="000000"/>
                <w:fitText w:val="200" w:id="-930964217"/>
                <w14:textFill>
                  <w14:solidFill>
                    <w14:srgbClr w14:val="000000">
                      <w14:alpha w14:val="100000"/>
                    </w14:srgbClr>
                  </w14:solidFill>
                </w14:textFill>
              </w:rPr>
              <w:t>|</w:t>
            </w:r>
            <w:r w:rsidR="00F5486A">
              <w:rPr>
                <w:vertAlign w:val="superscript"/>
              </w:rPr>
              <w:t>7</w:t>
            </w:r>
          </w:p>
        </w:tc>
        <w:tc>
          <w:tcPr>
            <w:tcW w:w="507" w:type="pct"/>
            <w:vAlign w:val="center"/>
          </w:tcPr>
          <w:p w14:paraId="58568F56" w14:textId="61775058"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216"/>
                <w14:textFill>
                  <w14:solidFill>
                    <w14:srgbClr w14:val="000000">
                      <w14:alpha w14:val="100000"/>
                    </w14:srgbClr>
                  </w14:solidFill>
                </w14:textFill>
              </w:rPr>
              <w:t>|</w:t>
            </w:r>
            <w:r w:rsidRPr="004B6FE2">
              <w:rPr>
                <w:b/>
                <w:color w:val="000000"/>
                <w:spacing w:val="1"/>
                <w:szCs w:val="20"/>
                <w:shd w:val="solid" w:color="000000" w:fill="000000"/>
                <w:fitText w:val="200" w:id="-930964216"/>
                <w14:textFill>
                  <w14:solidFill>
                    <w14:srgbClr w14:val="000000">
                      <w14:alpha w14:val="100000"/>
                    </w14:srgbClr>
                  </w14:solidFill>
                </w14:textFill>
              </w:rPr>
              <w:t>|</w:t>
            </w:r>
            <w:r w:rsidR="00F5486A">
              <w:rPr>
                <w:vertAlign w:val="superscript"/>
              </w:rPr>
              <w:t>7</w:t>
            </w:r>
          </w:p>
        </w:tc>
        <w:tc>
          <w:tcPr>
            <w:tcW w:w="506" w:type="pct"/>
            <w:vAlign w:val="center"/>
          </w:tcPr>
          <w:p w14:paraId="0BC5ACCA" w14:textId="768BAEA5"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215"/>
                <w14:textFill>
                  <w14:solidFill>
                    <w14:srgbClr w14:val="000000">
                      <w14:alpha w14:val="100000"/>
                    </w14:srgbClr>
                  </w14:solidFill>
                </w14:textFill>
              </w:rPr>
              <w:t>|</w:t>
            </w:r>
            <w:r w:rsidRPr="004B6FE2">
              <w:rPr>
                <w:b/>
                <w:color w:val="000000"/>
                <w:spacing w:val="1"/>
                <w:szCs w:val="20"/>
                <w:shd w:val="solid" w:color="000000" w:fill="000000"/>
                <w:fitText w:val="200" w:id="-930964215"/>
                <w14:textFill>
                  <w14:solidFill>
                    <w14:srgbClr w14:val="000000">
                      <w14:alpha w14:val="100000"/>
                    </w14:srgbClr>
                  </w14:solidFill>
                </w14:textFill>
              </w:rPr>
              <w:t>|</w:t>
            </w:r>
            <w:r w:rsidR="00F5486A">
              <w:rPr>
                <w:vertAlign w:val="superscript"/>
              </w:rPr>
              <w:t>6</w:t>
            </w:r>
          </w:p>
        </w:tc>
        <w:tc>
          <w:tcPr>
            <w:tcW w:w="507" w:type="pct"/>
            <w:vAlign w:val="center"/>
          </w:tcPr>
          <w:p w14:paraId="39826CFE" w14:textId="7DAE139E" w:rsidR="009A5B6A" w:rsidRPr="004F7504" w:rsidRDefault="004B6FE2" w:rsidP="007B2BB9">
            <w:pPr>
              <w:pStyle w:val="TableText0"/>
              <w:jc w:val="center"/>
              <w:rPr>
                <w:b/>
                <w:szCs w:val="20"/>
                <w:highlight w:val="darkGray"/>
              </w:rPr>
            </w:pPr>
            <w:r w:rsidRPr="004B6FE2">
              <w:rPr>
                <w:b/>
                <w:color w:val="000000"/>
                <w:spacing w:val="108"/>
                <w:szCs w:val="20"/>
                <w:shd w:val="solid" w:color="000000" w:fill="000000"/>
                <w:fitText w:val="200" w:id="-930964214"/>
                <w14:textFill>
                  <w14:solidFill>
                    <w14:srgbClr w14:val="000000">
                      <w14:alpha w14:val="100000"/>
                    </w14:srgbClr>
                  </w14:solidFill>
                </w14:textFill>
              </w:rPr>
              <w:t>|</w:t>
            </w:r>
            <w:r w:rsidRPr="004B6FE2">
              <w:rPr>
                <w:b/>
                <w:color w:val="000000"/>
                <w:spacing w:val="1"/>
                <w:szCs w:val="20"/>
                <w:shd w:val="solid" w:color="000000" w:fill="000000"/>
                <w:fitText w:val="200" w:id="-930964214"/>
                <w14:textFill>
                  <w14:solidFill>
                    <w14:srgbClr w14:val="000000">
                      <w14:alpha w14:val="100000"/>
                    </w14:srgbClr>
                  </w14:solidFill>
                </w14:textFill>
              </w:rPr>
              <w:t>|</w:t>
            </w:r>
            <w:r w:rsidR="00F5486A">
              <w:rPr>
                <w:vertAlign w:val="superscript"/>
              </w:rPr>
              <w:t>6</w:t>
            </w:r>
          </w:p>
        </w:tc>
      </w:tr>
    </w:tbl>
    <w:p w14:paraId="71926C79" w14:textId="77777777" w:rsidR="00E967E8" w:rsidRDefault="009A5B6A" w:rsidP="009A5B6A">
      <w:pPr>
        <w:pStyle w:val="FooterTableFigure"/>
        <w:keepNext/>
      </w:pPr>
      <w:r w:rsidRPr="000A6039">
        <w:t xml:space="preserve">Source: </w:t>
      </w:r>
      <w:r>
        <w:t>tabulated during evaluation from Tables 4-5 and 4-6 of the submission and from sheet “AbbVie BIM” of the “Attachment 8.1 UCM CMIN FosLDFosCD v LCIG_final Feb 2022” workbook included in the submission.</w:t>
      </w:r>
    </w:p>
    <w:p w14:paraId="4724693E" w14:textId="2099C7C9" w:rsidR="0059137D" w:rsidRDefault="00CC3805" w:rsidP="009A5B6A">
      <w:pPr>
        <w:pStyle w:val="FooterTableFigure"/>
        <w:keepNext/>
      </w:pPr>
      <w:r>
        <w:rPr>
          <w:szCs w:val="18"/>
        </w:rPr>
        <w:t xml:space="preserve">Abbreviations: </w:t>
      </w:r>
      <w:r w:rsidR="0059137D" w:rsidRPr="00AA3997">
        <w:rPr>
          <w:szCs w:val="18"/>
        </w:rPr>
        <w:t>FosLD/FosCD = foslevodopa/foscarbidopa</w:t>
      </w:r>
      <w:r w:rsidR="0059137D">
        <w:t>; LCIG = levodopa carbidopa intestinal gel; LD = levodopa; PD = Parkinson’s disease; Tx = treatment.</w:t>
      </w:r>
    </w:p>
    <w:p w14:paraId="280C7E9C" w14:textId="46923ED7" w:rsidR="009A5B6A" w:rsidRPr="005B2A15" w:rsidRDefault="009A5B6A" w:rsidP="007B2BB9">
      <w:pPr>
        <w:pStyle w:val="FooterTableFigure"/>
        <w:keepNext/>
        <w:tabs>
          <w:tab w:val="left" w:pos="142"/>
        </w:tabs>
      </w:pPr>
      <w:proofErr w:type="gramStart"/>
      <w:r>
        <w:rPr>
          <w:vertAlign w:val="superscript"/>
        </w:rPr>
        <w:t>a</w:t>
      </w:r>
      <w:proofErr w:type="gramEnd"/>
      <w:r>
        <w:t xml:space="preserve"> Assumed treatment continuation of 65% in year 1 patients; 89% in Years 2-6 patients</w:t>
      </w:r>
      <w:r w:rsidR="007B2BB9">
        <w:t>.</w:t>
      </w:r>
    </w:p>
    <w:p w14:paraId="0261E491" w14:textId="73818941" w:rsidR="009A5B6A" w:rsidRPr="005B2A15" w:rsidRDefault="009A5B6A" w:rsidP="007B2BB9">
      <w:pPr>
        <w:pStyle w:val="FooterTableFigure"/>
        <w:keepNext/>
        <w:tabs>
          <w:tab w:val="left" w:pos="142"/>
        </w:tabs>
      </w:pPr>
      <w:r>
        <w:rPr>
          <w:vertAlign w:val="superscript"/>
        </w:rPr>
        <w:t xml:space="preserve">b </w:t>
      </w:r>
      <w:r>
        <w:t>Assumed treatment continuation of 85% in patients in all years of treatment</w:t>
      </w:r>
      <w:r w:rsidR="007B2BB9">
        <w:t>.</w:t>
      </w:r>
    </w:p>
    <w:p w14:paraId="008A4381" w14:textId="4B7B89EF" w:rsidR="009A5B6A" w:rsidRPr="005B2A15" w:rsidRDefault="009A5B6A" w:rsidP="007B2BB9">
      <w:pPr>
        <w:pStyle w:val="FooterTableFigure"/>
        <w:keepNext/>
        <w:tabs>
          <w:tab w:val="left" w:pos="142"/>
        </w:tabs>
      </w:pPr>
      <w:r>
        <w:rPr>
          <w:vertAlign w:val="superscript"/>
        </w:rPr>
        <w:t xml:space="preserve">c </w:t>
      </w:r>
      <w:r>
        <w:t>Assumed treatment continuation of 65% in grandfathered patients in all years of treatment</w:t>
      </w:r>
      <w:r w:rsidR="007B2BB9">
        <w:t>.</w:t>
      </w:r>
    </w:p>
    <w:p w14:paraId="3445D186" w14:textId="5D677176" w:rsidR="009A5B6A" w:rsidRDefault="009A5B6A" w:rsidP="007D7986">
      <w:pPr>
        <w:pStyle w:val="FooterTableFigure"/>
        <w:keepNext/>
        <w:tabs>
          <w:tab w:val="left" w:pos="142"/>
        </w:tabs>
      </w:pPr>
      <w:r>
        <w:rPr>
          <w:vertAlign w:val="superscript"/>
        </w:rPr>
        <w:t xml:space="preserve">d </w:t>
      </w:r>
      <w:r>
        <w:t>Assumed treatment continuation of 65% in year 1 patients; 89% in Years 2-6 patients</w:t>
      </w:r>
      <w:r w:rsidR="007B2BB9">
        <w:t>.</w:t>
      </w:r>
    </w:p>
    <w:p w14:paraId="6278C3FF" w14:textId="77FEC2F5" w:rsidR="00F5486A" w:rsidRPr="004F7504" w:rsidRDefault="00F5486A" w:rsidP="007D7986">
      <w:pPr>
        <w:pStyle w:val="FooterTableFigure"/>
        <w:keepNext/>
        <w:tabs>
          <w:tab w:val="left" w:pos="142"/>
        </w:tabs>
        <w:rPr>
          <w:i/>
          <w:iCs/>
        </w:rPr>
      </w:pPr>
      <w:r w:rsidRPr="004F7504">
        <w:rPr>
          <w:i/>
          <w:iCs/>
        </w:rPr>
        <w:t>The redacted values correspond to the following ranges:</w:t>
      </w:r>
    </w:p>
    <w:p w14:paraId="2BB6AEAE" w14:textId="1E0EC7EE" w:rsidR="00F5486A" w:rsidRPr="004F7504" w:rsidRDefault="00F5486A" w:rsidP="007D7986">
      <w:pPr>
        <w:pStyle w:val="FooterTableFigure"/>
        <w:keepNext/>
        <w:tabs>
          <w:tab w:val="left" w:pos="142"/>
        </w:tabs>
        <w:rPr>
          <w:i/>
          <w:iCs/>
        </w:rPr>
      </w:pPr>
      <w:r w:rsidRPr="004F7504">
        <w:rPr>
          <w:i/>
          <w:iCs/>
          <w:vertAlign w:val="superscript"/>
        </w:rPr>
        <w:t>1</w:t>
      </w:r>
      <w:r w:rsidRPr="004F7504">
        <w:rPr>
          <w:i/>
          <w:iCs/>
        </w:rPr>
        <w:t xml:space="preserve"> 100,000 to &lt; 200,000</w:t>
      </w:r>
    </w:p>
    <w:p w14:paraId="6EBDAE20" w14:textId="25F57C4B" w:rsidR="00F5486A" w:rsidRPr="004F7504" w:rsidRDefault="00F5486A" w:rsidP="007D7986">
      <w:pPr>
        <w:pStyle w:val="FooterTableFigure"/>
        <w:keepNext/>
        <w:tabs>
          <w:tab w:val="left" w:pos="142"/>
        </w:tabs>
        <w:rPr>
          <w:i/>
          <w:iCs/>
        </w:rPr>
      </w:pPr>
      <w:r w:rsidRPr="004F7504">
        <w:rPr>
          <w:i/>
          <w:iCs/>
          <w:vertAlign w:val="superscript"/>
        </w:rPr>
        <w:t>2</w:t>
      </w:r>
      <w:r w:rsidRPr="004F7504">
        <w:rPr>
          <w:i/>
          <w:iCs/>
        </w:rPr>
        <w:t xml:space="preserve"> 70,000 to &lt; 80,000</w:t>
      </w:r>
    </w:p>
    <w:p w14:paraId="2A0CDC18" w14:textId="0891E118" w:rsidR="00F5486A" w:rsidRPr="004F7504" w:rsidRDefault="00F5486A" w:rsidP="007D7986">
      <w:pPr>
        <w:pStyle w:val="FooterTableFigure"/>
        <w:keepNext/>
        <w:tabs>
          <w:tab w:val="left" w:pos="142"/>
        </w:tabs>
        <w:rPr>
          <w:i/>
          <w:iCs/>
        </w:rPr>
      </w:pPr>
      <w:r w:rsidRPr="004F7504">
        <w:rPr>
          <w:i/>
          <w:iCs/>
          <w:vertAlign w:val="superscript"/>
        </w:rPr>
        <w:t>3</w:t>
      </w:r>
      <w:r w:rsidRPr="004F7504">
        <w:rPr>
          <w:i/>
          <w:iCs/>
        </w:rPr>
        <w:t xml:space="preserve"> 80,000 to &lt; 90,000</w:t>
      </w:r>
    </w:p>
    <w:p w14:paraId="082ADE30" w14:textId="1D1508FD" w:rsidR="00F5486A" w:rsidRPr="004F7504" w:rsidRDefault="00F5486A" w:rsidP="007D7986">
      <w:pPr>
        <w:pStyle w:val="FooterTableFigure"/>
        <w:keepNext/>
        <w:tabs>
          <w:tab w:val="left" w:pos="142"/>
        </w:tabs>
        <w:rPr>
          <w:i/>
          <w:iCs/>
        </w:rPr>
      </w:pPr>
      <w:r w:rsidRPr="004F7504">
        <w:rPr>
          <w:i/>
          <w:iCs/>
          <w:vertAlign w:val="superscript"/>
        </w:rPr>
        <w:t>4</w:t>
      </w:r>
      <w:r w:rsidRPr="004F7504">
        <w:rPr>
          <w:i/>
          <w:iCs/>
        </w:rPr>
        <w:t xml:space="preserve"> 20,000 to &lt; 30,000</w:t>
      </w:r>
    </w:p>
    <w:p w14:paraId="22030467" w14:textId="37BB4DD1" w:rsidR="00F5486A" w:rsidRPr="004F7504" w:rsidRDefault="00F5486A" w:rsidP="007D7986">
      <w:pPr>
        <w:pStyle w:val="FooterTableFigure"/>
        <w:keepNext/>
        <w:tabs>
          <w:tab w:val="left" w:pos="142"/>
        </w:tabs>
        <w:rPr>
          <w:i/>
          <w:iCs/>
        </w:rPr>
      </w:pPr>
      <w:r w:rsidRPr="004F7504">
        <w:rPr>
          <w:i/>
          <w:iCs/>
          <w:vertAlign w:val="superscript"/>
        </w:rPr>
        <w:t>5</w:t>
      </w:r>
      <w:r w:rsidRPr="004F7504">
        <w:rPr>
          <w:i/>
          <w:iCs/>
        </w:rPr>
        <w:t xml:space="preserve"> 30,000 to &lt; 40,000</w:t>
      </w:r>
    </w:p>
    <w:p w14:paraId="5D1616F8" w14:textId="61527B68" w:rsidR="00F5486A" w:rsidRPr="004F7504" w:rsidRDefault="00F5486A" w:rsidP="007D7986">
      <w:pPr>
        <w:pStyle w:val="FooterTableFigure"/>
        <w:keepNext/>
        <w:tabs>
          <w:tab w:val="left" w:pos="142"/>
        </w:tabs>
        <w:rPr>
          <w:i/>
          <w:iCs/>
        </w:rPr>
      </w:pPr>
      <w:r w:rsidRPr="004F7504">
        <w:rPr>
          <w:i/>
          <w:iCs/>
          <w:vertAlign w:val="superscript"/>
        </w:rPr>
        <w:t>6</w:t>
      </w:r>
      <w:r w:rsidRPr="004F7504">
        <w:rPr>
          <w:i/>
          <w:iCs/>
        </w:rPr>
        <w:t xml:space="preserve"> 5,000 to &lt; 10,000</w:t>
      </w:r>
    </w:p>
    <w:p w14:paraId="37F6012D" w14:textId="268C82DD" w:rsidR="00F5486A" w:rsidRPr="004F7504" w:rsidRDefault="00F5486A" w:rsidP="007D7986">
      <w:pPr>
        <w:pStyle w:val="FooterTableFigure"/>
        <w:keepNext/>
        <w:tabs>
          <w:tab w:val="left" w:pos="142"/>
        </w:tabs>
        <w:rPr>
          <w:i/>
          <w:iCs/>
        </w:rPr>
      </w:pPr>
      <w:r w:rsidRPr="004F7504">
        <w:rPr>
          <w:i/>
          <w:iCs/>
          <w:vertAlign w:val="superscript"/>
        </w:rPr>
        <w:t>7</w:t>
      </w:r>
      <w:r w:rsidRPr="004F7504">
        <w:rPr>
          <w:i/>
          <w:iCs/>
        </w:rPr>
        <w:t xml:space="preserve"> 500 to &lt; 5,000</w:t>
      </w:r>
    </w:p>
    <w:p w14:paraId="3AADCC8B" w14:textId="4EDD1E36" w:rsidR="00F5486A" w:rsidRPr="004F7504" w:rsidRDefault="00F5486A" w:rsidP="004F7504">
      <w:pPr>
        <w:pStyle w:val="FooterTableFigure"/>
        <w:tabs>
          <w:tab w:val="left" w:pos="142"/>
        </w:tabs>
        <w:rPr>
          <w:i/>
          <w:iCs/>
        </w:rPr>
      </w:pPr>
      <w:r w:rsidRPr="004F7504">
        <w:rPr>
          <w:i/>
          <w:iCs/>
          <w:vertAlign w:val="superscript"/>
        </w:rPr>
        <w:t>8</w:t>
      </w:r>
      <w:r w:rsidRPr="004F7504">
        <w:rPr>
          <w:i/>
          <w:iCs/>
        </w:rPr>
        <w:t xml:space="preserve"> &lt; 500</w:t>
      </w:r>
    </w:p>
    <w:p w14:paraId="5F5565CE" w14:textId="246101A3" w:rsidR="009A5B6A" w:rsidRPr="00CF0F32" w:rsidRDefault="009A5B6A" w:rsidP="003945B8">
      <w:pPr>
        <w:pStyle w:val="3-BodyText"/>
      </w:pPr>
      <w:bookmarkStart w:id="63" w:name="_Ref104805295"/>
      <w:r w:rsidRPr="00CF0F32">
        <w:lastRenderedPageBreak/>
        <w:t xml:space="preserve">A summary of the net financial implications for the PBS/RPBS is provided in the </w:t>
      </w:r>
      <w:r w:rsidRPr="00CF0F32">
        <w:fldChar w:fldCharType="begin"/>
      </w:r>
      <w:r w:rsidRPr="00CF0F32">
        <w:instrText xml:space="preserve"> REF _Ref133680332 \h </w:instrText>
      </w:r>
      <w:r w:rsidR="00CF0F32" w:rsidRPr="00CF0F32">
        <w:instrText xml:space="preserve"> \* MERGEFORMAT </w:instrText>
      </w:r>
      <w:r w:rsidRPr="00CF0F32">
        <w:fldChar w:fldCharType="separate"/>
      </w:r>
      <w:r w:rsidR="0043339D">
        <w:t xml:space="preserve">Table </w:t>
      </w:r>
      <w:r w:rsidR="0043339D">
        <w:rPr>
          <w:noProof/>
        </w:rPr>
        <w:t>15</w:t>
      </w:r>
      <w:r w:rsidRPr="00CF0F32">
        <w:fldChar w:fldCharType="end"/>
      </w:r>
      <w:r w:rsidR="00553BAF">
        <w:t xml:space="preserve">. </w:t>
      </w:r>
      <w:r w:rsidR="00553BAF" w:rsidRPr="00B42BBE">
        <w:rPr>
          <w:iCs/>
        </w:rPr>
        <w:t xml:space="preserve">These estimates </w:t>
      </w:r>
      <w:r w:rsidR="00CE58C5">
        <w:rPr>
          <w:iCs/>
        </w:rPr>
        <w:t>use</w:t>
      </w:r>
      <w:r w:rsidR="00553BAF" w:rsidRPr="00B42BBE">
        <w:rPr>
          <w:iCs/>
        </w:rPr>
        <w:t xml:space="preserve"> the corrected effective price for LCIG and resultant corrected </w:t>
      </w:r>
      <w:r w:rsidRPr="00B42BBE">
        <w:rPr>
          <w:iCs/>
        </w:rPr>
        <w:t>cost-minimised price for FosLD/FosCD</w:t>
      </w:r>
      <w:r w:rsidR="00027E85">
        <w:rPr>
          <w:iCs/>
        </w:rPr>
        <w:t xml:space="preserve">, </w:t>
      </w:r>
      <w:r w:rsidR="009109F6">
        <w:rPr>
          <w:iCs/>
        </w:rPr>
        <w:t>based on the evaluation-corrected base case price</w:t>
      </w:r>
      <w:r w:rsidR="00CE58C5">
        <w:rPr>
          <w:iCs/>
        </w:rPr>
        <w:t xml:space="preserve">, however they have not been updated based on the revised price offered in the </w:t>
      </w:r>
      <w:r w:rsidR="00EB5AF2">
        <w:rPr>
          <w:iCs/>
        </w:rPr>
        <w:t>S</w:t>
      </w:r>
      <w:r w:rsidR="00CE58C5">
        <w:rPr>
          <w:iCs/>
        </w:rPr>
        <w:t>ponsor’s Pre-PBAC Response</w:t>
      </w:r>
      <w:r w:rsidR="00A21222">
        <w:rPr>
          <w:iCs/>
        </w:rPr>
        <w:t xml:space="preserve"> (see paragraph 6.4</w:t>
      </w:r>
      <w:r w:rsidR="00DC7723">
        <w:rPr>
          <w:iCs/>
        </w:rPr>
        <w:t>6</w:t>
      </w:r>
      <w:r w:rsidR="00A21222">
        <w:rPr>
          <w:iCs/>
        </w:rPr>
        <w:t>)</w:t>
      </w:r>
      <w:r w:rsidR="009109F6">
        <w:rPr>
          <w:iCs/>
        </w:rPr>
        <w:t>.</w:t>
      </w:r>
    </w:p>
    <w:p w14:paraId="1B978F11" w14:textId="23C36D76" w:rsidR="009F3B5F" w:rsidRDefault="009A5B6A" w:rsidP="00496D89">
      <w:pPr>
        <w:pStyle w:val="TableFigureHeading"/>
      </w:pPr>
      <w:bookmarkStart w:id="64" w:name="_Ref133680332"/>
      <w:r>
        <w:t xml:space="preserve">Table </w:t>
      </w:r>
      <w:r w:rsidR="000A217C">
        <w:fldChar w:fldCharType="begin"/>
      </w:r>
      <w:r w:rsidR="000A217C">
        <w:instrText xml:space="preserve"> SEQ Table \* ARABIC </w:instrText>
      </w:r>
      <w:r w:rsidR="000A217C">
        <w:fldChar w:fldCharType="separate"/>
      </w:r>
      <w:r w:rsidR="0043339D">
        <w:rPr>
          <w:noProof/>
        </w:rPr>
        <w:t>15</w:t>
      </w:r>
      <w:r w:rsidR="000A217C">
        <w:rPr>
          <w:noProof/>
        </w:rPr>
        <w:fldChar w:fldCharType="end"/>
      </w:r>
      <w:bookmarkEnd w:id="63"/>
      <w:bookmarkEnd w:id="64"/>
      <w:r>
        <w:t>:</w:t>
      </w:r>
      <w:r w:rsidRPr="00990741">
        <w:rPr>
          <w:rStyle w:val="CommentReference"/>
          <w:b/>
          <w:szCs w:val="24"/>
        </w:rPr>
        <w:t xml:space="preserve"> Estimated use and financial implications</w:t>
      </w:r>
      <w:r w:rsidR="00027E85">
        <w:rPr>
          <w:rStyle w:val="CommentReference"/>
          <w:b/>
          <w:szCs w:val="24"/>
        </w:rPr>
        <w:t xml:space="preserve"> (</w:t>
      </w:r>
      <w:r w:rsidR="00A72FF3">
        <w:rPr>
          <w:rStyle w:val="CommentReference"/>
          <w:b/>
          <w:szCs w:val="24"/>
        </w:rPr>
        <w:t>evaluation-requested base case</w:t>
      </w:r>
      <w:r w:rsidR="00027E85">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30"/>
        <w:gridCol w:w="1087"/>
        <w:gridCol w:w="1084"/>
        <w:gridCol w:w="1084"/>
        <w:gridCol w:w="1268"/>
        <w:gridCol w:w="1131"/>
        <w:gridCol w:w="1132"/>
      </w:tblGrid>
      <w:tr w:rsidR="009F3B5F" w:rsidRPr="00D1078F" w14:paraId="7F64A267" w14:textId="77777777" w:rsidTr="005C0875">
        <w:trPr>
          <w:tblHeader/>
        </w:trPr>
        <w:tc>
          <w:tcPr>
            <w:tcW w:w="1237" w:type="pct"/>
            <w:shd w:val="clear" w:color="auto" w:fill="auto"/>
          </w:tcPr>
          <w:p w14:paraId="37CA9F11" w14:textId="77777777" w:rsidR="009F3B5F" w:rsidRPr="003639A6" w:rsidRDefault="009F3B5F" w:rsidP="00F50EF9">
            <w:pPr>
              <w:pStyle w:val="In-tableHeading"/>
              <w:jc w:val="center"/>
            </w:pPr>
          </w:p>
        </w:tc>
        <w:tc>
          <w:tcPr>
            <w:tcW w:w="603" w:type="pct"/>
            <w:shd w:val="clear" w:color="auto" w:fill="auto"/>
          </w:tcPr>
          <w:p w14:paraId="734515FB" w14:textId="77777777" w:rsidR="009F3B5F" w:rsidRPr="00D1078F" w:rsidRDefault="009F3B5F" w:rsidP="00F50EF9">
            <w:pPr>
              <w:pStyle w:val="In-tableHeading"/>
              <w:jc w:val="center"/>
            </w:pPr>
            <w:r w:rsidRPr="00D1078F">
              <w:t>Year 1</w:t>
            </w:r>
          </w:p>
        </w:tc>
        <w:tc>
          <w:tcPr>
            <w:tcW w:w="601" w:type="pct"/>
            <w:shd w:val="clear" w:color="auto" w:fill="auto"/>
          </w:tcPr>
          <w:p w14:paraId="3C6930F9" w14:textId="77777777" w:rsidR="009F3B5F" w:rsidRPr="00D1078F" w:rsidRDefault="009F3B5F" w:rsidP="00F50EF9">
            <w:pPr>
              <w:pStyle w:val="In-tableHeading"/>
              <w:jc w:val="center"/>
            </w:pPr>
            <w:r w:rsidRPr="00D1078F">
              <w:t>Year 2</w:t>
            </w:r>
          </w:p>
        </w:tc>
        <w:tc>
          <w:tcPr>
            <w:tcW w:w="601" w:type="pct"/>
            <w:shd w:val="clear" w:color="auto" w:fill="auto"/>
          </w:tcPr>
          <w:p w14:paraId="2A88A4CA" w14:textId="77777777" w:rsidR="009F3B5F" w:rsidRPr="00D1078F" w:rsidRDefault="009F3B5F" w:rsidP="00F50EF9">
            <w:pPr>
              <w:pStyle w:val="In-tableHeading"/>
              <w:jc w:val="center"/>
            </w:pPr>
            <w:r w:rsidRPr="00D1078F">
              <w:t>Year 3</w:t>
            </w:r>
          </w:p>
        </w:tc>
        <w:tc>
          <w:tcPr>
            <w:tcW w:w="703" w:type="pct"/>
            <w:shd w:val="clear" w:color="auto" w:fill="auto"/>
          </w:tcPr>
          <w:p w14:paraId="5726952D" w14:textId="77777777" w:rsidR="009F3B5F" w:rsidRPr="00D1078F" w:rsidRDefault="009F3B5F" w:rsidP="00F50EF9">
            <w:pPr>
              <w:pStyle w:val="In-tableHeading"/>
              <w:jc w:val="center"/>
            </w:pPr>
            <w:r w:rsidRPr="00D1078F">
              <w:t>Year 4</w:t>
            </w:r>
          </w:p>
        </w:tc>
        <w:tc>
          <w:tcPr>
            <w:tcW w:w="627" w:type="pct"/>
            <w:shd w:val="clear" w:color="auto" w:fill="auto"/>
          </w:tcPr>
          <w:p w14:paraId="7E35B73C" w14:textId="77777777" w:rsidR="009F3B5F" w:rsidRPr="00D1078F" w:rsidRDefault="009F3B5F" w:rsidP="00F50EF9">
            <w:pPr>
              <w:pStyle w:val="In-tableHeading"/>
              <w:jc w:val="center"/>
            </w:pPr>
            <w:r w:rsidRPr="00D1078F">
              <w:t>Year 5</w:t>
            </w:r>
          </w:p>
        </w:tc>
        <w:tc>
          <w:tcPr>
            <w:tcW w:w="628" w:type="pct"/>
          </w:tcPr>
          <w:p w14:paraId="6DC37B78" w14:textId="77777777" w:rsidR="009F3B5F" w:rsidRPr="00D1078F" w:rsidRDefault="009F3B5F" w:rsidP="00F50EF9">
            <w:pPr>
              <w:pStyle w:val="In-tableHeading"/>
              <w:jc w:val="center"/>
            </w:pPr>
            <w:r w:rsidRPr="00D1078F">
              <w:t>Year 6</w:t>
            </w:r>
          </w:p>
        </w:tc>
      </w:tr>
      <w:tr w:rsidR="009F3B5F" w:rsidRPr="00D1078F" w14:paraId="0E2FBA25" w14:textId="77777777" w:rsidTr="00F50EF9">
        <w:tc>
          <w:tcPr>
            <w:tcW w:w="5000" w:type="pct"/>
            <w:gridSpan w:val="7"/>
            <w:shd w:val="clear" w:color="auto" w:fill="auto"/>
          </w:tcPr>
          <w:p w14:paraId="51A05027" w14:textId="0CB9F78A" w:rsidR="009F3B5F" w:rsidRPr="00D1078F" w:rsidRDefault="009F3B5F" w:rsidP="00F50EF9">
            <w:pPr>
              <w:pStyle w:val="In-tableHeading"/>
            </w:pPr>
            <w:r w:rsidRPr="00D1078F">
              <w:t xml:space="preserve">Estimated </w:t>
            </w:r>
            <w:r>
              <w:t xml:space="preserve">financial implications of </w:t>
            </w:r>
            <w:r w:rsidR="005C0875" w:rsidRPr="005C0875">
              <w:rPr>
                <w:bCs/>
                <w:szCs w:val="20"/>
              </w:rPr>
              <w:t>FosLD/FosCD</w:t>
            </w:r>
          </w:p>
        </w:tc>
      </w:tr>
      <w:tr w:rsidR="005737F4" w:rsidRPr="005B2A2B" w14:paraId="3807E059" w14:textId="77777777" w:rsidTr="005C0875">
        <w:tc>
          <w:tcPr>
            <w:tcW w:w="1237" w:type="pct"/>
            <w:shd w:val="clear" w:color="auto" w:fill="auto"/>
          </w:tcPr>
          <w:p w14:paraId="5804D171" w14:textId="0F74F7A3" w:rsidR="005737F4" w:rsidRDefault="005737F4" w:rsidP="005737F4">
            <w:pPr>
              <w:pStyle w:val="TableText0"/>
              <w:rPr>
                <w:sz w:val="19"/>
                <w:szCs w:val="19"/>
              </w:rPr>
            </w:pPr>
            <w:r>
              <w:rPr>
                <w:sz w:val="19"/>
                <w:szCs w:val="19"/>
              </w:rPr>
              <w:t>Cost to PBS/RPBS less copayments</w:t>
            </w:r>
          </w:p>
        </w:tc>
        <w:tc>
          <w:tcPr>
            <w:tcW w:w="603" w:type="pct"/>
            <w:shd w:val="clear" w:color="auto" w:fill="auto"/>
            <w:vAlign w:val="center"/>
          </w:tcPr>
          <w:p w14:paraId="4BE3B823" w14:textId="7FCD8F45" w:rsidR="005737F4" w:rsidRPr="004F7504" w:rsidRDefault="004B6FE2" w:rsidP="005737F4">
            <w:pPr>
              <w:pStyle w:val="TableText0"/>
              <w:jc w:val="center"/>
              <w:rPr>
                <w:bCs w:val="0"/>
                <w:i/>
                <w:iCs/>
                <w:highlight w:val="darkGray"/>
              </w:rPr>
            </w:pPr>
            <w:r w:rsidRPr="00797DA1">
              <w:rPr>
                <w:rFonts w:cs="Arial" w:hint="eastAsia"/>
                <w:bCs w:val="0"/>
                <w:iCs/>
                <w:color w:val="000000"/>
                <w:w w:val="15"/>
                <w:szCs w:val="20"/>
                <w:shd w:val="solid" w:color="000000" w:fill="000000"/>
                <w:fitText w:val="50" w:id="-930964213"/>
                <w14:textFill>
                  <w14:solidFill>
                    <w14:srgbClr w14:val="000000">
                      <w14:alpha w14:val="100000"/>
                    </w14:srgbClr>
                  </w14:solidFill>
                </w14:textFill>
              </w:rPr>
              <w:t xml:space="preserve">　</w:t>
            </w:r>
            <w:r w:rsidRPr="00797DA1">
              <w:rPr>
                <w:rFonts w:cs="Arial"/>
                <w:bCs w:val="0"/>
                <w:iCs/>
                <w:color w:val="000000"/>
                <w:w w:val="15"/>
                <w:szCs w:val="20"/>
                <w:shd w:val="solid" w:color="000000" w:fill="000000"/>
                <w:fitText w:val="50" w:id="-930964213"/>
                <w14:textFill>
                  <w14:solidFill>
                    <w14:srgbClr w14:val="000000">
                      <w14:alpha w14:val="100000"/>
                    </w14:srgbClr>
                  </w14:solidFill>
                </w14:textFill>
              </w:rPr>
              <w:t>|</w:t>
            </w:r>
            <w:r w:rsidRPr="00797DA1">
              <w:rPr>
                <w:rFonts w:cs="Arial" w:hint="eastAsia"/>
                <w:bCs w:val="0"/>
                <w:iCs/>
                <w:color w:val="000000"/>
                <w:spacing w:val="-15"/>
                <w:w w:val="15"/>
                <w:szCs w:val="20"/>
                <w:shd w:val="solid" w:color="000000" w:fill="000000"/>
                <w:fitText w:val="50" w:id="-930964213"/>
                <w14:textFill>
                  <w14:solidFill>
                    <w14:srgbClr w14:val="000000">
                      <w14:alpha w14:val="100000"/>
                    </w14:srgbClr>
                  </w14:solidFill>
                </w14:textFill>
              </w:rPr>
              <w:t xml:space="preserve">　</w:t>
            </w:r>
            <w:r w:rsidR="00F5486A">
              <w:rPr>
                <w:vertAlign w:val="superscript"/>
              </w:rPr>
              <w:t>1</w:t>
            </w:r>
          </w:p>
        </w:tc>
        <w:tc>
          <w:tcPr>
            <w:tcW w:w="601" w:type="pct"/>
            <w:shd w:val="clear" w:color="auto" w:fill="auto"/>
            <w:vAlign w:val="center"/>
          </w:tcPr>
          <w:p w14:paraId="7A1BF99E" w14:textId="10031C39" w:rsidR="005737F4" w:rsidRPr="004F7504" w:rsidRDefault="004B6FE2" w:rsidP="005737F4">
            <w:pPr>
              <w:pStyle w:val="TableText0"/>
              <w:jc w:val="center"/>
              <w:rPr>
                <w:bCs w:val="0"/>
                <w:i/>
                <w:iCs/>
                <w:highlight w:val="darkGray"/>
              </w:rPr>
            </w:pPr>
            <w:r w:rsidRPr="00A0676B">
              <w:rPr>
                <w:rFonts w:cs="Arial" w:hint="eastAsia"/>
                <w:bCs w:val="0"/>
                <w:iCs/>
                <w:color w:val="000000"/>
                <w:w w:val="15"/>
                <w:szCs w:val="20"/>
                <w:shd w:val="solid" w:color="000000" w:fill="000000"/>
                <w:fitText w:val="60" w:id="-930964212"/>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60" w:id="-930964212"/>
                <w14:textFill>
                  <w14:solidFill>
                    <w14:srgbClr w14:val="000000">
                      <w14:alpha w14:val="100000"/>
                    </w14:srgbClr>
                  </w14:solidFill>
                </w14:textFill>
              </w:rPr>
              <w:t>|</w:t>
            </w:r>
            <w:r w:rsidRPr="00A0676B">
              <w:rPr>
                <w:rFonts w:cs="Arial" w:hint="eastAsia"/>
                <w:bCs w:val="0"/>
                <w:iCs/>
                <w:color w:val="000000"/>
                <w:spacing w:val="-14"/>
                <w:w w:val="15"/>
                <w:szCs w:val="20"/>
                <w:shd w:val="solid" w:color="000000" w:fill="000000"/>
                <w:fitText w:val="60" w:id="-930964212"/>
                <w14:textFill>
                  <w14:solidFill>
                    <w14:srgbClr w14:val="000000">
                      <w14:alpha w14:val="100000"/>
                    </w14:srgbClr>
                  </w14:solidFill>
                </w14:textFill>
              </w:rPr>
              <w:t xml:space="preserve">　</w:t>
            </w:r>
            <w:r w:rsidR="00F5486A">
              <w:rPr>
                <w:vertAlign w:val="superscript"/>
              </w:rPr>
              <w:t>1</w:t>
            </w:r>
          </w:p>
        </w:tc>
        <w:tc>
          <w:tcPr>
            <w:tcW w:w="601" w:type="pct"/>
            <w:shd w:val="clear" w:color="auto" w:fill="auto"/>
            <w:vAlign w:val="center"/>
          </w:tcPr>
          <w:p w14:paraId="1E44199D" w14:textId="48C76514" w:rsidR="005737F4" w:rsidRPr="004F7504" w:rsidRDefault="004B6FE2" w:rsidP="005737F4">
            <w:pPr>
              <w:pStyle w:val="TableText0"/>
              <w:jc w:val="center"/>
              <w:rPr>
                <w:bCs w:val="0"/>
                <w:i/>
                <w:iCs/>
                <w:highlight w:val="darkGray"/>
              </w:rPr>
            </w:pPr>
            <w:r w:rsidRPr="00A0676B">
              <w:rPr>
                <w:rFonts w:cs="Arial" w:hint="eastAsia"/>
                <w:bCs w:val="0"/>
                <w:iCs/>
                <w:color w:val="000000"/>
                <w:w w:val="15"/>
                <w:szCs w:val="20"/>
                <w:shd w:val="solid" w:color="000000" w:fill="000000"/>
                <w:fitText w:val="60" w:id="-930964211"/>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60" w:id="-930964211"/>
                <w14:textFill>
                  <w14:solidFill>
                    <w14:srgbClr w14:val="000000">
                      <w14:alpha w14:val="100000"/>
                    </w14:srgbClr>
                  </w14:solidFill>
                </w14:textFill>
              </w:rPr>
              <w:t>|</w:t>
            </w:r>
            <w:r w:rsidRPr="00A0676B">
              <w:rPr>
                <w:rFonts w:cs="Arial" w:hint="eastAsia"/>
                <w:bCs w:val="0"/>
                <w:iCs/>
                <w:color w:val="000000"/>
                <w:spacing w:val="-14"/>
                <w:w w:val="15"/>
                <w:szCs w:val="20"/>
                <w:shd w:val="solid" w:color="000000" w:fill="000000"/>
                <w:fitText w:val="60" w:id="-930964211"/>
                <w14:textFill>
                  <w14:solidFill>
                    <w14:srgbClr w14:val="000000">
                      <w14:alpha w14:val="100000"/>
                    </w14:srgbClr>
                  </w14:solidFill>
                </w14:textFill>
              </w:rPr>
              <w:t xml:space="preserve">　</w:t>
            </w:r>
            <w:r w:rsidR="00F5486A">
              <w:rPr>
                <w:vertAlign w:val="superscript"/>
              </w:rPr>
              <w:t>2</w:t>
            </w:r>
          </w:p>
        </w:tc>
        <w:tc>
          <w:tcPr>
            <w:tcW w:w="703" w:type="pct"/>
            <w:shd w:val="clear" w:color="auto" w:fill="auto"/>
            <w:vAlign w:val="center"/>
          </w:tcPr>
          <w:p w14:paraId="35974F36" w14:textId="5EAC2560" w:rsidR="005737F4" w:rsidRPr="004F7504" w:rsidRDefault="004B6FE2" w:rsidP="005737F4">
            <w:pPr>
              <w:pStyle w:val="TableText0"/>
              <w:jc w:val="center"/>
              <w:rPr>
                <w:bCs w:val="0"/>
                <w:i/>
                <w:iCs/>
                <w:highlight w:val="darkGray"/>
              </w:rPr>
            </w:pPr>
            <w:r w:rsidRPr="004B6FE2">
              <w:rPr>
                <w:rFonts w:cs="Arial"/>
                <w:bCs w:val="0"/>
                <w:iCs/>
                <w:color w:val="000000"/>
                <w:szCs w:val="20"/>
                <w:shd w:val="solid" w:color="000000" w:fill="000000"/>
                <w14:textFill>
                  <w14:solidFill>
                    <w14:srgbClr w14:val="000000">
                      <w14:alpha w14:val="100000"/>
                    </w14:srgbClr>
                  </w14:solidFill>
                </w14:textFill>
              </w:rPr>
              <w:t>|</w:t>
            </w:r>
            <w:r w:rsidR="00F5486A">
              <w:rPr>
                <w:vertAlign w:val="superscript"/>
              </w:rPr>
              <w:t>3</w:t>
            </w:r>
          </w:p>
        </w:tc>
        <w:tc>
          <w:tcPr>
            <w:tcW w:w="627" w:type="pct"/>
            <w:shd w:val="clear" w:color="auto" w:fill="auto"/>
            <w:vAlign w:val="center"/>
          </w:tcPr>
          <w:p w14:paraId="08C6A6C8" w14:textId="65E4321D" w:rsidR="005737F4" w:rsidRPr="004F7504" w:rsidRDefault="004B6FE2" w:rsidP="005737F4">
            <w:pPr>
              <w:pStyle w:val="TableText0"/>
              <w:jc w:val="center"/>
              <w:rPr>
                <w:bCs w:val="0"/>
                <w:i/>
                <w:iCs/>
                <w:highlight w:val="darkGray"/>
              </w:rPr>
            </w:pPr>
            <w:r w:rsidRPr="00A0676B">
              <w:rPr>
                <w:rFonts w:cs="Arial" w:hint="eastAsia"/>
                <w:bCs w:val="0"/>
                <w:iCs/>
                <w:color w:val="000000"/>
                <w:w w:val="15"/>
                <w:szCs w:val="20"/>
                <w:shd w:val="solid" w:color="000000" w:fill="000000"/>
                <w:fitText w:val="40" w:id="-930964210"/>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40" w:id="-930964210"/>
                <w14:textFill>
                  <w14:solidFill>
                    <w14:srgbClr w14:val="000000">
                      <w14:alpha w14:val="100000"/>
                    </w14:srgbClr>
                  </w14:solidFill>
                </w14:textFill>
              </w:rPr>
              <w:t>|</w:t>
            </w:r>
            <w:r w:rsidRPr="00A0676B">
              <w:rPr>
                <w:rFonts w:cs="Arial" w:hint="eastAsia"/>
                <w:bCs w:val="0"/>
                <w:iCs/>
                <w:color w:val="000000"/>
                <w:spacing w:val="-42"/>
                <w:w w:val="15"/>
                <w:szCs w:val="20"/>
                <w:shd w:val="solid" w:color="000000" w:fill="000000"/>
                <w:fitText w:val="40" w:id="-930964210"/>
                <w14:textFill>
                  <w14:solidFill>
                    <w14:srgbClr w14:val="000000">
                      <w14:alpha w14:val="100000"/>
                    </w14:srgbClr>
                  </w14:solidFill>
                </w14:textFill>
              </w:rPr>
              <w:t xml:space="preserve">　</w:t>
            </w:r>
            <w:r w:rsidR="00F5486A">
              <w:rPr>
                <w:vertAlign w:val="superscript"/>
              </w:rPr>
              <w:t>6</w:t>
            </w:r>
          </w:p>
        </w:tc>
        <w:tc>
          <w:tcPr>
            <w:tcW w:w="628" w:type="pct"/>
            <w:vAlign w:val="center"/>
          </w:tcPr>
          <w:p w14:paraId="47F90A2B" w14:textId="06A13E65" w:rsidR="005737F4" w:rsidRPr="004F7504" w:rsidRDefault="004B6FE2" w:rsidP="005737F4">
            <w:pPr>
              <w:pStyle w:val="TableText0"/>
              <w:jc w:val="center"/>
              <w:rPr>
                <w:bCs w:val="0"/>
                <w:iCs/>
                <w:highlight w:val="darkGray"/>
              </w:rPr>
            </w:pPr>
            <w:r w:rsidRPr="00A0676B">
              <w:rPr>
                <w:rFonts w:cs="Arial" w:hint="eastAsia"/>
                <w:bCs w:val="0"/>
                <w:iCs/>
                <w:color w:val="000000"/>
                <w:w w:val="15"/>
                <w:szCs w:val="20"/>
                <w:shd w:val="solid" w:color="000000" w:fill="000000"/>
                <w:fitText w:val="40" w:id="-930964209"/>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40" w:id="-930964209"/>
                <w14:textFill>
                  <w14:solidFill>
                    <w14:srgbClr w14:val="000000">
                      <w14:alpha w14:val="100000"/>
                    </w14:srgbClr>
                  </w14:solidFill>
                </w14:textFill>
              </w:rPr>
              <w:t>|</w:t>
            </w:r>
            <w:r w:rsidRPr="00A0676B">
              <w:rPr>
                <w:rFonts w:cs="Arial" w:hint="eastAsia"/>
                <w:bCs w:val="0"/>
                <w:iCs/>
                <w:color w:val="000000"/>
                <w:spacing w:val="-42"/>
                <w:w w:val="15"/>
                <w:szCs w:val="20"/>
                <w:shd w:val="solid" w:color="000000" w:fill="000000"/>
                <w:fitText w:val="40" w:id="-930964209"/>
                <w14:textFill>
                  <w14:solidFill>
                    <w14:srgbClr w14:val="000000">
                      <w14:alpha w14:val="100000"/>
                    </w14:srgbClr>
                  </w14:solidFill>
                </w14:textFill>
              </w:rPr>
              <w:t xml:space="preserve">　</w:t>
            </w:r>
            <w:r w:rsidR="00F5486A">
              <w:rPr>
                <w:vertAlign w:val="superscript"/>
              </w:rPr>
              <w:t>4</w:t>
            </w:r>
          </w:p>
        </w:tc>
      </w:tr>
      <w:tr w:rsidR="009F3B5F" w:rsidRPr="004D21FD" w14:paraId="4545B9A8" w14:textId="77777777" w:rsidTr="00F50EF9">
        <w:tc>
          <w:tcPr>
            <w:tcW w:w="5000" w:type="pct"/>
            <w:gridSpan w:val="7"/>
            <w:shd w:val="clear" w:color="auto" w:fill="auto"/>
            <w:vAlign w:val="center"/>
          </w:tcPr>
          <w:p w14:paraId="2136902C" w14:textId="6E680050" w:rsidR="009F3B5F" w:rsidRPr="00B42BBE" w:rsidRDefault="009F3B5F" w:rsidP="00F50EF9">
            <w:pPr>
              <w:pStyle w:val="TableText0"/>
              <w:rPr>
                <w:b/>
                <w:bCs w:val="0"/>
                <w:iCs/>
              </w:rPr>
            </w:pPr>
            <w:r w:rsidRPr="00B42BBE">
              <w:rPr>
                <w:b/>
                <w:bCs w:val="0"/>
                <w:iCs/>
              </w:rPr>
              <w:t xml:space="preserve">Estimated financial implications for </w:t>
            </w:r>
            <w:r w:rsidR="005C0875" w:rsidRPr="00B42BBE">
              <w:rPr>
                <w:b/>
                <w:iCs/>
                <w:szCs w:val="20"/>
              </w:rPr>
              <w:t>LCIG and oral LD</w:t>
            </w:r>
          </w:p>
        </w:tc>
      </w:tr>
      <w:tr w:rsidR="005737F4" w:rsidRPr="005B2A2B" w14:paraId="66291962" w14:textId="77777777" w:rsidTr="005C0875">
        <w:tc>
          <w:tcPr>
            <w:tcW w:w="1237" w:type="pct"/>
            <w:shd w:val="clear" w:color="auto" w:fill="auto"/>
          </w:tcPr>
          <w:p w14:paraId="1EF03B6C" w14:textId="39492C24" w:rsidR="005737F4" w:rsidRDefault="005737F4" w:rsidP="005737F4">
            <w:pPr>
              <w:pStyle w:val="TableText0"/>
              <w:rPr>
                <w:sz w:val="19"/>
                <w:szCs w:val="19"/>
              </w:rPr>
            </w:pPr>
            <w:r>
              <w:rPr>
                <w:sz w:val="19"/>
                <w:szCs w:val="19"/>
              </w:rPr>
              <w:t>Cost to PBS/RPBS less copayments</w:t>
            </w:r>
          </w:p>
        </w:tc>
        <w:tc>
          <w:tcPr>
            <w:tcW w:w="603" w:type="pct"/>
            <w:shd w:val="clear" w:color="auto" w:fill="auto"/>
            <w:vAlign w:val="center"/>
          </w:tcPr>
          <w:p w14:paraId="01246C77" w14:textId="0B39ED04" w:rsidR="005737F4" w:rsidRPr="004F7504" w:rsidRDefault="004B6FE2" w:rsidP="005737F4">
            <w:pPr>
              <w:pStyle w:val="TableText0"/>
              <w:jc w:val="center"/>
              <w:rPr>
                <w:bCs w:val="0"/>
                <w:i/>
                <w:iCs/>
                <w:highlight w:val="darkGray"/>
              </w:rPr>
            </w:pPr>
            <w:r w:rsidRPr="00797DA1">
              <w:rPr>
                <w:rFonts w:cs="Arial" w:hint="eastAsia"/>
                <w:bCs w:val="0"/>
                <w:iCs/>
                <w:color w:val="000000"/>
                <w:w w:val="15"/>
                <w:szCs w:val="20"/>
                <w:shd w:val="solid" w:color="000000" w:fill="000000"/>
                <w:fitText w:val="50" w:id="-930964208"/>
                <w14:textFill>
                  <w14:solidFill>
                    <w14:srgbClr w14:val="000000">
                      <w14:alpha w14:val="100000"/>
                    </w14:srgbClr>
                  </w14:solidFill>
                </w14:textFill>
              </w:rPr>
              <w:t xml:space="preserve">　</w:t>
            </w:r>
            <w:r w:rsidRPr="00797DA1">
              <w:rPr>
                <w:rFonts w:cs="Arial"/>
                <w:bCs w:val="0"/>
                <w:iCs/>
                <w:color w:val="000000"/>
                <w:w w:val="15"/>
                <w:szCs w:val="20"/>
                <w:shd w:val="solid" w:color="000000" w:fill="000000"/>
                <w:fitText w:val="50" w:id="-930964208"/>
                <w14:textFill>
                  <w14:solidFill>
                    <w14:srgbClr w14:val="000000">
                      <w14:alpha w14:val="100000"/>
                    </w14:srgbClr>
                  </w14:solidFill>
                </w14:textFill>
              </w:rPr>
              <w:t>|</w:t>
            </w:r>
            <w:r w:rsidRPr="00797DA1">
              <w:rPr>
                <w:rFonts w:cs="Arial" w:hint="eastAsia"/>
                <w:bCs w:val="0"/>
                <w:iCs/>
                <w:color w:val="000000"/>
                <w:spacing w:val="-15"/>
                <w:w w:val="15"/>
                <w:szCs w:val="20"/>
                <w:shd w:val="solid" w:color="000000" w:fill="000000"/>
                <w:fitText w:val="50" w:id="-930964208"/>
                <w14:textFill>
                  <w14:solidFill>
                    <w14:srgbClr w14:val="000000">
                      <w14:alpha w14:val="100000"/>
                    </w14:srgbClr>
                  </w14:solidFill>
                </w14:textFill>
              </w:rPr>
              <w:t xml:space="preserve">　</w:t>
            </w:r>
            <w:r w:rsidR="00F5486A">
              <w:rPr>
                <w:vertAlign w:val="superscript"/>
              </w:rPr>
              <w:t>5</w:t>
            </w:r>
          </w:p>
        </w:tc>
        <w:tc>
          <w:tcPr>
            <w:tcW w:w="601" w:type="pct"/>
            <w:shd w:val="clear" w:color="auto" w:fill="auto"/>
            <w:vAlign w:val="center"/>
          </w:tcPr>
          <w:p w14:paraId="6D61B69E" w14:textId="5DD2E19A" w:rsidR="005737F4" w:rsidRPr="004F7504" w:rsidRDefault="004B6FE2" w:rsidP="005737F4">
            <w:pPr>
              <w:pStyle w:val="TableText0"/>
              <w:jc w:val="center"/>
              <w:rPr>
                <w:bCs w:val="0"/>
                <w:i/>
                <w:iCs/>
                <w:highlight w:val="darkGray"/>
              </w:rPr>
            </w:pPr>
            <w:r w:rsidRPr="00A0676B">
              <w:rPr>
                <w:rFonts w:cs="Arial" w:hint="eastAsia"/>
                <w:bCs w:val="0"/>
                <w:iCs/>
                <w:color w:val="000000"/>
                <w:w w:val="15"/>
                <w:szCs w:val="20"/>
                <w:shd w:val="solid" w:color="000000" w:fill="000000"/>
                <w:fitText w:val="60" w:id="-930964224"/>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60" w:id="-930964224"/>
                <w14:textFill>
                  <w14:solidFill>
                    <w14:srgbClr w14:val="000000">
                      <w14:alpha w14:val="100000"/>
                    </w14:srgbClr>
                  </w14:solidFill>
                </w14:textFill>
              </w:rPr>
              <w:t>|</w:t>
            </w:r>
            <w:r w:rsidRPr="00A0676B">
              <w:rPr>
                <w:rFonts w:cs="Arial" w:hint="eastAsia"/>
                <w:bCs w:val="0"/>
                <w:iCs/>
                <w:color w:val="000000"/>
                <w:spacing w:val="-14"/>
                <w:w w:val="15"/>
                <w:szCs w:val="20"/>
                <w:shd w:val="solid" w:color="000000" w:fill="000000"/>
                <w:fitText w:val="60" w:id="-930964224"/>
                <w14:textFill>
                  <w14:solidFill>
                    <w14:srgbClr w14:val="000000">
                      <w14:alpha w14:val="100000"/>
                    </w14:srgbClr>
                  </w14:solidFill>
                </w14:textFill>
              </w:rPr>
              <w:t xml:space="preserve">　</w:t>
            </w:r>
            <w:r w:rsidR="00F5486A">
              <w:rPr>
                <w:vertAlign w:val="superscript"/>
              </w:rPr>
              <w:t>5</w:t>
            </w:r>
          </w:p>
        </w:tc>
        <w:tc>
          <w:tcPr>
            <w:tcW w:w="601" w:type="pct"/>
            <w:shd w:val="clear" w:color="auto" w:fill="auto"/>
            <w:vAlign w:val="center"/>
          </w:tcPr>
          <w:p w14:paraId="58A7BDBD" w14:textId="2168DA6E" w:rsidR="005737F4" w:rsidRPr="004F7504" w:rsidRDefault="004B6FE2" w:rsidP="005737F4">
            <w:pPr>
              <w:pStyle w:val="TableText0"/>
              <w:jc w:val="center"/>
              <w:rPr>
                <w:bCs w:val="0"/>
                <w:i/>
                <w:iCs/>
                <w:highlight w:val="darkGray"/>
              </w:rPr>
            </w:pPr>
            <w:r w:rsidRPr="00A0676B">
              <w:rPr>
                <w:rFonts w:cs="Arial" w:hint="eastAsia"/>
                <w:bCs w:val="0"/>
                <w:iCs/>
                <w:color w:val="000000"/>
                <w:w w:val="15"/>
                <w:szCs w:val="20"/>
                <w:shd w:val="solid" w:color="000000" w:fill="000000"/>
                <w:fitText w:val="60" w:id="-930964223"/>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60" w:id="-930964223"/>
                <w14:textFill>
                  <w14:solidFill>
                    <w14:srgbClr w14:val="000000">
                      <w14:alpha w14:val="100000"/>
                    </w14:srgbClr>
                  </w14:solidFill>
                </w14:textFill>
              </w:rPr>
              <w:t>|</w:t>
            </w:r>
            <w:r w:rsidRPr="00A0676B">
              <w:rPr>
                <w:rFonts w:cs="Arial" w:hint="eastAsia"/>
                <w:bCs w:val="0"/>
                <w:iCs/>
                <w:color w:val="000000"/>
                <w:spacing w:val="-14"/>
                <w:w w:val="15"/>
                <w:szCs w:val="20"/>
                <w:shd w:val="solid" w:color="000000" w:fill="000000"/>
                <w:fitText w:val="60" w:id="-930964223"/>
                <w14:textFill>
                  <w14:solidFill>
                    <w14:srgbClr w14:val="000000">
                      <w14:alpha w14:val="100000"/>
                    </w14:srgbClr>
                  </w14:solidFill>
                </w14:textFill>
              </w:rPr>
              <w:t xml:space="preserve">　</w:t>
            </w:r>
            <w:r w:rsidR="00F5486A">
              <w:rPr>
                <w:vertAlign w:val="superscript"/>
              </w:rPr>
              <w:t>5</w:t>
            </w:r>
          </w:p>
        </w:tc>
        <w:tc>
          <w:tcPr>
            <w:tcW w:w="703" w:type="pct"/>
            <w:shd w:val="clear" w:color="auto" w:fill="auto"/>
            <w:vAlign w:val="center"/>
          </w:tcPr>
          <w:p w14:paraId="3626E815" w14:textId="4A880BC1" w:rsidR="005737F4" w:rsidRPr="004F7504" w:rsidRDefault="004B6FE2" w:rsidP="005737F4">
            <w:pPr>
              <w:pStyle w:val="TableText0"/>
              <w:jc w:val="center"/>
              <w:rPr>
                <w:bCs w:val="0"/>
                <w:i/>
                <w:iCs/>
                <w:highlight w:val="darkGray"/>
              </w:rPr>
            </w:pPr>
            <w:r w:rsidRPr="004B6FE2">
              <w:rPr>
                <w:rFonts w:cs="Arial"/>
                <w:bCs w:val="0"/>
                <w:iCs/>
                <w:color w:val="000000"/>
                <w:szCs w:val="20"/>
                <w:shd w:val="solid" w:color="000000" w:fill="000000"/>
                <w14:textFill>
                  <w14:solidFill>
                    <w14:srgbClr w14:val="000000">
                      <w14:alpha w14:val="100000"/>
                    </w14:srgbClr>
                  </w14:solidFill>
                </w14:textFill>
              </w:rPr>
              <w:t>|</w:t>
            </w:r>
            <w:r w:rsidR="00F5486A">
              <w:rPr>
                <w:vertAlign w:val="superscript"/>
              </w:rPr>
              <w:t>5</w:t>
            </w:r>
          </w:p>
        </w:tc>
        <w:tc>
          <w:tcPr>
            <w:tcW w:w="627" w:type="pct"/>
            <w:shd w:val="clear" w:color="auto" w:fill="auto"/>
            <w:vAlign w:val="center"/>
          </w:tcPr>
          <w:p w14:paraId="0DA2411A" w14:textId="464A6EF5" w:rsidR="005737F4" w:rsidRPr="004F7504" w:rsidRDefault="004B6FE2" w:rsidP="005737F4">
            <w:pPr>
              <w:pStyle w:val="TableText0"/>
              <w:jc w:val="center"/>
              <w:rPr>
                <w:bCs w:val="0"/>
                <w:i/>
                <w:iCs/>
                <w:highlight w:val="darkGray"/>
              </w:rPr>
            </w:pPr>
            <w:r w:rsidRPr="00A0676B">
              <w:rPr>
                <w:rFonts w:cs="Arial" w:hint="eastAsia"/>
                <w:bCs w:val="0"/>
                <w:iCs/>
                <w:color w:val="000000"/>
                <w:w w:val="15"/>
                <w:szCs w:val="20"/>
                <w:shd w:val="solid" w:color="000000" w:fill="000000"/>
                <w:fitText w:val="40" w:id="-930964222"/>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40" w:id="-930964222"/>
                <w14:textFill>
                  <w14:solidFill>
                    <w14:srgbClr w14:val="000000">
                      <w14:alpha w14:val="100000"/>
                    </w14:srgbClr>
                  </w14:solidFill>
                </w14:textFill>
              </w:rPr>
              <w:t>|</w:t>
            </w:r>
            <w:r w:rsidRPr="00A0676B">
              <w:rPr>
                <w:rFonts w:cs="Arial" w:hint="eastAsia"/>
                <w:bCs w:val="0"/>
                <w:iCs/>
                <w:color w:val="000000"/>
                <w:spacing w:val="-42"/>
                <w:w w:val="15"/>
                <w:szCs w:val="20"/>
                <w:shd w:val="solid" w:color="000000" w:fill="000000"/>
                <w:fitText w:val="40" w:id="-930964222"/>
                <w14:textFill>
                  <w14:solidFill>
                    <w14:srgbClr w14:val="000000">
                      <w14:alpha w14:val="100000"/>
                    </w14:srgbClr>
                  </w14:solidFill>
                </w14:textFill>
              </w:rPr>
              <w:t xml:space="preserve">　</w:t>
            </w:r>
            <w:r w:rsidR="00F5486A">
              <w:rPr>
                <w:vertAlign w:val="superscript"/>
              </w:rPr>
              <w:t>5</w:t>
            </w:r>
          </w:p>
        </w:tc>
        <w:tc>
          <w:tcPr>
            <w:tcW w:w="628" w:type="pct"/>
            <w:vAlign w:val="center"/>
          </w:tcPr>
          <w:p w14:paraId="24A84343" w14:textId="742E6514" w:rsidR="005737F4" w:rsidRPr="004F7504" w:rsidRDefault="004B6FE2" w:rsidP="005737F4">
            <w:pPr>
              <w:pStyle w:val="TableText0"/>
              <w:jc w:val="center"/>
              <w:rPr>
                <w:bCs w:val="0"/>
                <w:iCs/>
                <w:highlight w:val="darkGray"/>
              </w:rPr>
            </w:pPr>
            <w:r w:rsidRPr="00A0676B">
              <w:rPr>
                <w:rFonts w:cs="Arial" w:hint="eastAsia"/>
                <w:bCs w:val="0"/>
                <w:iCs/>
                <w:color w:val="000000"/>
                <w:w w:val="15"/>
                <w:szCs w:val="20"/>
                <w:shd w:val="solid" w:color="000000" w:fill="000000"/>
                <w:fitText w:val="40" w:id="-930964221"/>
                <w14:textFill>
                  <w14:solidFill>
                    <w14:srgbClr w14:val="000000">
                      <w14:alpha w14:val="100000"/>
                    </w14:srgbClr>
                  </w14:solidFill>
                </w14:textFill>
              </w:rPr>
              <w:t xml:space="preserve">　</w:t>
            </w:r>
            <w:r w:rsidRPr="00A0676B">
              <w:rPr>
                <w:rFonts w:cs="Arial"/>
                <w:bCs w:val="0"/>
                <w:iCs/>
                <w:color w:val="000000"/>
                <w:w w:val="15"/>
                <w:szCs w:val="20"/>
                <w:shd w:val="solid" w:color="000000" w:fill="000000"/>
                <w:fitText w:val="40" w:id="-930964221"/>
                <w14:textFill>
                  <w14:solidFill>
                    <w14:srgbClr w14:val="000000">
                      <w14:alpha w14:val="100000"/>
                    </w14:srgbClr>
                  </w14:solidFill>
                </w14:textFill>
              </w:rPr>
              <w:t>|</w:t>
            </w:r>
            <w:r w:rsidRPr="00A0676B">
              <w:rPr>
                <w:rFonts w:cs="Arial" w:hint="eastAsia"/>
                <w:bCs w:val="0"/>
                <w:iCs/>
                <w:color w:val="000000"/>
                <w:spacing w:val="-42"/>
                <w:w w:val="15"/>
                <w:szCs w:val="20"/>
                <w:shd w:val="solid" w:color="000000" w:fill="000000"/>
                <w:fitText w:val="40" w:id="-930964221"/>
                <w14:textFill>
                  <w14:solidFill>
                    <w14:srgbClr w14:val="000000">
                      <w14:alpha w14:val="100000"/>
                    </w14:srgbClr>
                  </w14:solidFill>
                </w14:textFill>
              </w:rPr>
              <w:t xml:space="preserve">　</w:t>
            </w:r>
            <w:r w:rsidR="00F5486A">
              <w:rPr>
                <w:vertAlign w:val="superscript"/>
              </w:rPr>
              <w:t>5</w:t>
            </w:r>
          </w:p>
        </w:tc>
      </w:tr>
      <w:tr w:rsidR="009F3B5F" w:rsidRPr="00FC22AB" w14:paraId="442A6D4D" w14:textId="77777777" w:rsidTr="00F50EF9">
        <w:tc>
          <w:tcPr>
            <w:tcW w:w="5000" w:type="pct"/>
            <w:gridSpan w:val="7"/>
            <w:shd w:val="clear" w:color="auto" w:fill="auto"/>
          </w:tcPr>
          <w:p w14:paraId="51BFBFB5" w14:textId="77777777" w:rsidR="009F3B5F" w:rsidRPr="00B42BBE" w:rsidRDefault="009F3B5F" w:rsidP="00F50EF9">
            <w:pPr>
              <w:pStyle w:val="In-tableHeading"/>
              <w:rPr>
                <w:iCs/>
              </w:rPr>
            </w:pPr>
            <w:r w:rsidRPr="00B42BBE">
              <w:rPr>
                <w:iCs/>
              </w:rPr>
              <w:t>Net financial implications</w:t>
            </w:r>
          </w:p>
        </w:tc>
      </w:tr>
      <w:tr w:rsidR="005737F4" w:rsidRPr="005B2A2B" w14:paraId="5C936CEF" w14:textId="77777777" w:rsidTr="005C0875">
        <w:tc>
          <w:tcPr>
            <w:tcW w:w="1237" w:type="pct"/>
            <w:shd w:val="clear" w:color="auto" w:fill="auto"/>
          </w:tcPr>
          <w:p w14:paraId="2AB0080D" w14:textId="77777777" w:rsidR="005737F4" w:rsidRDefault="005737F4" w:rsidP="005737F4">
            <w:pPr>
              <w:pStyle w:val="TableText0"/>
              <w:rPr>
                <w:sz w:val="19"/>
                <w:szCs w:val="19"/>
              </w:rPr>
            </w:pPr>
            <w:r>
              <w:rPr>
                <w:sz w:val="19"/>
                <w:szCs w:val="19"/>
              </w:rPr>
              <w:t>Net cost to PBS/RPBS</w:t>
            </w:r>
          </w:p>
        </w:tc>
        <w:tc>
          <w:tcPr>
            <w:tcW w:w="603" w:type="pct"/>
            <w:shd w:val="clear" w:color="auto" w:fill="auto"/>
            <w:vAlign w:val="center"/>
          </w:tcPr>
          <w:p w14:paraId="3E31B5D6" w14:textId="12E99C54" w:rsidR="005737F4" w:rsidRPr="004F7504" w:rsidRDefault="004B6FE2" w:rsidP="005737F4">
            <w:pPr>
              <w:pStyle w:val="TableText0"/>
              <w:jc w:val="center"/>
              <w:rPr>
                <w:b/>
                <w:i/>
                <w:iCs/>
                <w:highlight w:val="darkGray"/>
              </w:rPr>
            </w:pPr>
            <w:r w:rsidRPr="00A0676B">
              <w:rPr>
                <w:rFonts w:cs="Arial" w:hint="eastAsia"/>
                <w:b/>
                <w:iCs/>
                <w:color w:val="000000"/>
                <w:w w:val="22"/>
                <w:szCs w:val="20"/>
                <w:shd w:val="solid" w:color="000000" w:fill="000000"/>
                <w:fitText w:val="100" w:id="-930964220"/>
                <w14:textFill>
                  <w14:solidFill>
                    <w14:srgbClr w14:val="000000">
                      <w14:alpha w14:val="100000"/>
                    </w14:srgbClr>
                  </w14:solidFill>
                </w14:textFill>
              </w:rPr>
              <w:t xml:space="preserve">　</w:t>
            </w:r>
            <w:r w:rsidRPr="00A0676B">
              <w:rPr>
                <w:rFonts w:cs="Arial"/>
                <w:b/>
                <w:iCs/>
                <w:color w:val="000000"/>
                <w:w w:val="22"/>
                <w:szCs w:val="20"/>
                <w:shd w:val="solid" w:color="000000" w:fill="000000"/>
                <w:fitText w:val="100" w:id="-930964220"/>
                <w14:textFill>
                  <w14:solidFill>
                    <w14:srgbClr w14:val="000000">
                      <w14:alpha w14:val="100000"/>
                    </w14:srgbClr>
                  </w14:solidFill>
                </w14:textFill>
              </w:rPr>
              <w:t>|</w:t>
            </w:r>
            <w:r w:rsidRPr="00A0676B">
              <w:rPr>
                <w:rFonts w:cs="Arial" w:hint="eastAsia"/>
                <w:b/>
                <w:iCs/>
                <w:color w:val="000000"/>
                <w:spacing w:val="2"/>
                <w:w w:val="22"/>
                <w:szCs w:val="20"/>
                <w:shd w:val="solid" w:color="000000" w:fill="000000"/>
                <w:fitText w:val="100" w:id="-930964220"/>
                <w14:textFill>
                  <w14:solidFill>
                    <w14:srgbClr w14:val="000000">
                      <w14:alpha w14:val="100000"/>
                    </w14:srgbClr>
                  </w14:solidFill>
                </w14:textFill>
              </w:rPr>
              <w:t xml:space="preserve">　</w:t>
            </w:r>
            <w:r w:rsidR="00F5486A">
              <w:rPr>
                <w:vertAlign w:val="superscript"/>
              </w:rPr>
              <w:t>1</w:t>
            </w:r>
          </w:p>
        </w:tc>
        <w:tc>
          <w:tcPr>
            <w:tcW w:w="601" w:type="pct"/>
            <w:shd w:val="clear" w:color="auto" w:fill="auto"/>
            <w:vAlign w:val="center"/>
          </w:tcPr>
          <w:p w14:paraId="1419A7CA" w14:textId="5D9725D8" w:rsidR="005737F4" w:rsidRPr="004F7504" w:rsidRDefault="004B6FE2" w:rsidP="005737F4">
            <w:pPr>
              <w:pStyle w:val="TableText0"/>
              <w:jc w:val="center"/>
              <w:rPr>
                <w:b/>
                <w:i/>
                <w:iCs/>
                <w:highlight w:val="darkGray"/>
              </w:rPr>
            </w:pPr>
            <w:r w:rsidRPr="00A0676B">
              <w:rPr>
                <w:rFonts w:cs="Arial" w:hint="eastAsia"/>
                <w:b/>
                <w:iCs/>
                <w:color w:val="000000"/>
                <w:w w:val="22"/>
                <w:szCs w:val="20"/>
                <w:shd w:val="solid" w:color="000000" w:fill="000000"/>
                <w:fitText w:val="100" w:id="-930964219"/>
                <w14:textFill>
                  <w14:solidFill>
                    <w14:srgbClr w14:val="000000">
                      <w14:alpha w14:val="100000"/>
                    </w14:srgbClr>
                  </w14:solidFill>
                </w14:textFill>
              </w:rPr>
              <w:t xml:space="preserve">　</w:t>
            </w:r>
            <w:r w:rsidRPr="00A0676B">
              <w:rPr>
                <w:rFonts w:cs="Arial"/>
                <w:b/>
                <w:iCs/>
                <w:color w:val="000000"/>
                <w:w w:val="22"/>
                <w:szCs w:val="20"/>
                <w:shd w:val="solid" w:color="000000" w:fill="000000"/>
                <w:fitText w:val="100" w:id="-930964219"/>
                <w14:textFill>
                  <w14:solidFill>
                    <w14:srgbClr w14:val="000000">
                      <w14:alpha w14:val="100000"/>
                    </w14:srgbClr>
                  </w14:solidFill>
                </w14:textFill>
              </w:rPr>
              <w:t>|</w:t>
            </w:r>
            <w:r w:rsidRPr="00A0676B">
              <w:rPr>
                <w:rFonts w:cs="Arial" w:hint="eastAsia"/>
                <w:b/>
                <w:iCs/>
                <w:color w:val="000000"/>
                <w:spacing w:val="2"/>
                <w:w w:val="22"/>
                <w:szCs w:val="20"/>
                <w:shd w:val="solid" w:color="000000" w:fill="000000"/>
                <w:fitText w:val="100" w:id="-930964219"/>
                <w14:textFill>
                  <w14:solidFill>
                    <w14:srgbClr w14:val="000000">
                      <w14:alpha w14:val="100000"/>
                    </w14:srgbClr>
                  </w14:solidFill>
                </w14:textFill>
              </w:rPr>
              <w:t xml:space="preserve">　</w:t>
            </w:r>
            <w:r w:rsidR="00F5486A">
              <w:rPr>
                <w:vertAlign w:val="superscript"/>
              </w:rPr>
              <w:t>1</w:t>
            </w:r>
          </w:p>
        </w:tc>
        <w:tc>
          <w:tcPr>
            <w:tcW w:w="601" w:type="pct"/>
            <w:shd w:val="clear" w:color="auto" w:fill="auto"/>
            <w:vAlign w:val="center"/>
          </w:tcPr>
          <w:p w14:paraId="3746AA14" w14:textId="2E9DD00C" w:rsidR="005737F4" w:rsidRPr="004F7504" w:rsidRDefault="004B6FE2" w:rsidP="005737F4">
            <w:pPr>
              <w:pStyle w:val="TableText0"/>
              <w:jc w:val="center"/>
              <w:rPr>
                <w:b/>
                <w:i/>
                <w:iCs/>
                <w:highlight w:val="darkGray"/>
              </w:rPr>
            </w:pPr>
            <w:r w:rsidRPr="00A0676B">
              <w:rPr>
                <w:rFonts w:cs="Arial" w:hint="eastAsia"/>
                <w:b/>
                <w:iCs/>
                <w:color w:val="000000"/>
                <w:w w:val="22"/>
                <w:szCs w:val="20"/>
                <w:shd w:val="solid" w:color="000000" w:fill="000000"/>
                <w:fitText w:val="100" w:id="-930964218"/>
                <w14:textFill>
                  <w14:solidFill>
                    <w14:srgbClr w14:val="000000">
                      <w14:alpha w14:val="100000"/>
                    </w14:srgbClr>
                  </w14:solidFill>
                </w14:textFill>
              </w:rPr>
              <w:t xml:space="preserve">　</w:t>
            </w:r>
            <w:r w:rsidRPr="00A0676B">
              <w:rPr>
                <w:rFonts w:cs="Arial"/>
                <w:b/>
                <w:iCs/>
                <w:color w:val="000000"/>
                <w:w w:val="22"/>
                <w:szCs w:val="20"/>
                <w:shd w:val="solid" w:color="000000" w:fill="000000"/>
                <w:fitText w:val="100" w:id="-930964218"/>
                <w14:textFill>
                  <w14:solidFill>
                    <w14:srgbClr w14:val="000000">
                      <w14:alpha w14:val="100000"/>
                    </w14:srgbClr>
                  </w14:solidFill>
                </w14:textFill>
              </w:rPr>
              <w:t>|</w:t>
            </w:r>
            <w:r w:rsidRPr="00A0676B">
              <w:rPr>
                <w:rFonts w:cs="Arial" w:hint="eastAsia"/>
                <w:b/>
                <w:iCs/>
                <w:color w:val="000000"/>
                <w:spacing w:val="2"/>
                <w:w w:val="22"/>
                <w:szCs w:val="20"/>
                <w:shd w:val="solid" w:color="000000" w:fill="000000"/>
                <w:fitText w:val="100" w:id="-930964218"/>
                <w14:textFill>
                  <w14:solidFill>
                    <w14:srgbClr w14:val="000000">
                      <w14:alpha w14:val="100000"/>
                    </w14:srgbClr>
                  </w14:solidFill>
                </w14:textFill>
              </w:rPr>
              <w:t xml:space="preserve">　</w:t>
            </w:r>
            <w:r w:rsidR="00F5486A">
              <w:rPr>
                <w:vertAlign w:val="superscript"/>
              </w:rPr>
              <w:t>1</w:t>
            </w:r>
          </w:p>
        </w:tc>
        <w:tc>
          <w:tcPr>
            <w:tcW w:w="703" w:type="pct"/>
            <w:shd w:val="clear" w:color="auto" w:fill="auto"/>
            <w:vAlign w:val="center"/>
          </w:tcPr>
          <w:p w14:paraId="2CF795DC" w14:textId="512FCEEB" w:rsidR="005737F4" w:rsidRPr="004F7504" w:rsidRDefault="004B6FE2" w:rsidP="005737F4">
            <w:pPr>
              <w:pStyle w:val="TableText0"/>
              <w:jc w:val="center"/>
              <w:rPr>
                <w:b/>
                <w:i/>
                <w:iCs/>
                <w:highlight w:val="darkGray"/>
              </w:rPr>
            </w:pPr>
            <w:r w:rsidRPr="0043339D">
              <w:rPr>
                <w:rFonts w:cs="Arial" w:hint="eastAsia"/>
                <w:b/>
                <w:iCs/>
                <w:color w:val="000000"/>
                <w:w w:val="15"/>
                <w:szCs w:val="20"/>
                <w:shd w:val="solid" w:color="000000" w:fill="000000"/>
                <w:fitText w:val="10" w:id="-930964217"/>
                <w14:textFill>
                  <w14:solidFill>
                    <w14:srgbClr w14:val="000000">
                      <w14:alpha w14:val="100000"/>
                    </w14:srgbClr>
                  </w14:solidFill>
                </w14:textFill>
              </w:rPr>
              <w:t xml:space="preserve">　</w:t>
            </w:r>
            <w:r w:rsidRPr="0043339D">
              <w:rPr>
                <w:rFonts w:cs="Arial"/>
                <w:b/>
                <w:iCs/>
                <w:color w:val="000000"/>
                <w:spacing w:val="-26"/>
                <w:w w:val="15"/>
                <w:szCs w:val="20"/>
                <w:shd w:val="solid" w:color="000000" w:fill="000000"/>
                <w:fitText w:val="10" w:id="-930964217"/>
                <w14:textFill>
                  <w14:solidFill>
                    <w14:srgbClr w14:val="000000">
                      <w14:alpha w14:val="100000"/>
                    </w14:srgbClr>
                  </w14:solidFill>
                </w14:textFill>
              </w:rPr>
              <w:t>|</w:t>
            </w:r>
            <w:r w:rsidRPr="00292DE6">
              <w:rPr>
                <w:rFonts w:cs="Arial" w:hint="eastAsia"/>
                <w:b/>
                <w:iCs/>
                <w:color w:val="000000"/>
                <w:w w:val="15"/>
                <w:szCs w:val="20"/>
                <w:shd w:val="solid" w:color="000000" w:fill="000000"/>
                <w14:textFill>
                  <w14:solidFill>
                    <w14:srgbClr w14:val="000000">
                      <w14:alpha w14:val="100000"/>
                    </w14:srgbClr>
                  </w14:solidFill>
                </w14:textFill>
              </w:rPr>
              <w:t xml:space="preserve">　</w:t>
            </w:r>
            <w:r w:rsidR="00F5486A">
              <w:rPr>
                <w:vertAlign w:val="superscript"/>
              </w:rPr>
              <w:t>2</w:t>
            </w:r>
          </w:p>
        </w:tc>
        <w:tc>
          <w:tcPr>
            <w:tcW w:w="627" w:type="pct"/>
            <w:shd w:val="clear" w:color="auto" w:fill="auto"/>
            <w:vAlign w:val="center"/>
          </w:tcPr>
          <w:p w14:paraId="313CF589" w14:textId="7DC90460" w:rsidR="005737F4" w:rsidRPr="004F7504" w:rsidRDefault="004B6FE2" w:rsidP="005737F4">
            <w:pPr>
              <w:pStyle w:val="TableText0"/>
              <w:jc w:val="center"/>
              <w:rPr>
                <w:b/>
                <w:i/>
                <w:iCs/>
                <w:highlight w:val="darkGray"/>
              </w:rPr>
            </w:pPr>
            <w:r w:rsidRPr="004B6FE2">
              <w:rPr>
                <w:rFonts w:cs="Arial" w:hint="eastAsia"/>
                <w:b/>
                <w:iCs/>
                <w:color w:val="000000"/>
                <w:w w:val="17"/>
                <w:szCs w:val="20"/>
                <w:shd w:val="solid" w:color="000000" w:fill="000000"/>
                <w:fitText w:val="80" w:id="-930964216"/>
                <w14:textFill>
                  <w14:solidFill>
                    <w14:srgbClr w14:val="000000">
                      <w14:alpha w14:val="100000"/>
                    </w14:srgbClr>
                  </w14:solidFill>
                </w14:textFill>
              </w:rPr>
              <w:t xml:space="preserve">　</w:t>
            </w:r>
            <w:r w:rsidRPr="004B6FE2">
              <w:rPr>
                <w:rFonts w:cs="Arial"/>
                <w:b/>
                <w:iCs/>
                <w:color w:val="000000"/>
                <w:w w:val="17"/>
                <w:szCs w:val="20"/>
                <w:shd w:val="solid" w:color="000000" w:fill="000000"/>
                <w:fitText w:val="80" w:id="-930964216"/>
                <w14:textFill>
                  <w14:solidFill>
                    <w14:srgbClr w14:val="000000">
                      <w14:alpha w14:val="100000"/>
                    </w14:srgbClr>
                  </w14:solidFill>
                </w14:textFill>
              </w:rPr>
              <w:t>|</w:t>
            </w:r>
            <w:r w:rsidRPr="004B6FE2">
              <w:rPr>
                <w:rFonts w:cs="Arial" w:hint="eastAsia"/>
                <w:b/>
                <w:iCs/>
                <w:color w:val="000000"/>
                <w:spacing w:val="6"/>
                <w:w w:val="17"/>
                <w:szCs w:val="20"/>
                <w:shd w:val="solid" w:color="000000" w:fill="000000"/>
                <w:fitText w:val="80" w:id="-930964216"/>
                <w14:textFill>
                  <w14:solidFill>
                    <w14:srgbClr w14:val="000000">
                      <w14:alpha w14:val="100000"/>
                    </w14:srgbClr>
                  </w14:solidFill>
                </w14:textFill>
              </w:rPr>
              <w:t xml:space="preserve">　</w:t>
            </w:r>
            <w:r w:rsidR="00F5486A">
              <w:rPr>
                <w:vertAlign w:val="superscript"/>
              </w:rPr>
              <w:t>2</w:t>
            </w:r>
          </w:p>
        </w:tc>
        <w:tc>
          <w:tcPr>
            <w:tcW w:w="628" w:type="pct"/>
            <w:vAlign w:val="center"/>
          </w:tcPr>
          <w:p w14:paraId="0AA44FBB" w14:textId="5034CC82" w:rsidR="005737F4" w:rsidRPr="004F7504" w:rsidRDefault="004B6FE2" w:rsidP="005737F4">
            <w:pPr>
              <w:pStyle w:val="TableText0"/>
              <w:jc w:val="center"/>
              <w:rPr>
                <w:b/>
                <w:iCs/>
                <w:highlight w:val="darkGray"/>
              </w:rPr>
            </w:pPr>
            <w:r w:rsidRPr="00A0676B">
              <w:rPr>
                <w:rFonts w:cs="Arial" w:hint="eastAsia"/>
                <w:b/>
                <w:iCs/>
                <w:color w:val="000000"/>
                <w:w w:val="20"/>
                <w:szCs w:val="20"/>
                <w:shd w:val="solid" w:color="000000" w:fill="000000"/>
                <w:fitText w:val="90" w:id="-930964215"/>
                <w14:textFill>
                  <w14:solidFill>
                    <w14:srgbClr w14:val="000000">
                      <w14:alpha w14:val="100000"/>
                    </w14:srgbClr>
                  </w14:solidFill>
                </w14:textFill>
              </w:rPr>
              <w:t xml:space="preserve">　</w:t>
            </w:r>
            <w:r w:rsidRPr="00A0676B">
              <w:rPr>
                <w:rFonts w:cs="Arial"/>
                <w:b/>
                <w:iCs/>
                <w:color w:val="000000"/>
                <w:w w:val="20"/>
                <w:szCs w:val="20"/>
                <w:shd w:val="solid" w:color="000000" w:fill="000000"/>
                <w:fitText w:val="90" w:id="-930964215"/>
                <w14:textFill>
                  <w14:solidFill>
                    <w14:srgbClr w14:val="000000">
                      <w14:alpha w14:val="100000"/>
                    </w14:srgbClr>
                  </w14:solidFill>
                </w14:textFill>
              </w:rPr>
              <w:t>|</w:t>
            </w:r>
            <w:r w:rsidRPr="00A0676B">
              <w:rPr>
                <w:rFonts w:cs="Arial" w:hint="eastAsia"/>
                <w:b/>
                <w:iCs/>
                <w:color w:val="000000"/>
                <w:spacing w:val="1"/>
                <w:w w:val="20"/>
                <w:szCs w:val="20"/>
                <w:shd w:val="solid" w:color="000000" w:fill="000000"/>
                <w:fitText w:val="90" w:id="-930964215"/>
                <w14:textFill>
                  <w14:solidFill>
                    <w14:srgbClr w14:val="000000">
                      <w14:alpha w14:val="100000"/>
                    </w14:srgbClr>
                  </w14:solidFill>
                </w14:textFill>
              </w:rPr>
              <w:t xml:space="preserve">　</w:t>
            </w:r>
            <w:r w:rsidR="00F5486A">
              <w:rPr>
                <w:vertAlign w:val="superscript"/>
              </w:rPr>
              <w:t>3</w:t>
            </w:r>
          </w:p>
        </w:tc>
      </w:tr>
    </w:tbl>
    <w:p w14:paraId="6A022C07" w14:textId="77777777" w:rsidR="00E967E8" w:rsidRDefault="009A5B6A" w:rsidP="009A5B6A">
      <w:pPr>
        <w:pStyle w:val="FooterTableFigure"/>
      </w:pPr>
      <w:r w:rsidRPr="00CF0F32">
        <w:t xml:space="preserve">Source: </w:t>
      </w:r>
      <w:r w:rsidR="00A72FF3">
        <w:t xml:space="preserve">Amended during the preparation of the ESC Advice based on </w:t>
      </w:r>
      <w:r w:rsidRPr="00CF0F32">
        <w:t>Table 4-9, p124 of the submission.</w:t>
      </w:r>
    </w:p>
    <w:p w14:paraId="60F3F63C" w14:textId="2393DBD6" w:rsidR="005C0875" w:rsidRDefault="00CC3805" w:rsidP="00B66BC6">
      <w:pPr>
        <w:pStyle w:val="FooterTableFigure"/>
      </w:pPr>
      <w:r>
        <w:rPr>
          <w:szCs w:val="18"/>
        </w:rPr>
        <w:t xml:space="preserve">Abbreviations: </w:t>
      </w:r>
      <w:r w:rsidR="007D2204" w:rsidRPr="00AA3997">
        <w:rPr>
          <w:szCs w:val="18"/>
        </w:rPr>
        <w:t>FosLD/FosCD = foslevodopa/foscarbidopa</w:t>
      </w:r>
      <w:r w:rsidR="007D2204">
        <w:t>; LCIG = levodopa carbidopa intestinal gel; LD = levodopa; PBS = Pharmaceuticals Benefits Scheme; RPBS = Repatriation Pharmaceuticals Benefits Scheme</w:t>
      </w:r>
    </w:p>
    <w:p w14:paraId="56ACA6A5" w14:textId="141F14F1" w:rsidR="00F5486A" w:rsidRPr="004F7504" w:rsidRDefault="00F5486A" w:rsidP="00B66BC6">
      <w:pPr>
        <w:pStyle w:val="FooterTableFigure"/>
        <w:rPr>
          <w:i/>
          <w:iCs/>
        </w:rPr>
      </w:pPr>
      <w:r w:rsidRPr="004F7504">
        <w:rPr>
          <w:i/>
          <w:iCs/>
        </w:rPr>
        <w:t>The redacted values correspond to the following ranges:</w:t>
      </w:r>
    </w:p>
    <w:p w14:paraId="63404B89" w14:textId="51FBC4C3" w:rsidR="00F5486A" w:rsidRPr="004F7504" w:rsidRDefault="00F5486A" w:rsidP="00B66BC6">
      <w:pPr>
        <w:pStyle w:val="FooterTableFigure"/>
        <w:rPr>
          <w:i/>
          <w:iCs/>
        </w:rPr>
      </w:pPr>
      <w:r w:rsidRPr="004F7504">
        <w:rPr>
          <w:i/>
          <w:iCs/>
          <w:vertAlign w:val="superscript"/>
        </w:rPr>
        <w:t>1</w:t>
      </w:r>
      <w:r w:rsidRPr="004F7504">
        <w:rPr>
          <w:i/>
          <w:iCs/>
        </w:rPr>
        <w:t xml:space="preserve"> $0 to &lt; $10 million</w:t>
      </w:r>
    </w:p>
    <w:p w14:paraId="671B6A2D" w14:textId="754E07A2" w:rsidR="00F5486A" w:rsidRPr="004F7504" w:rsidRDefault="00F5486A" w:rsidP="00B66BC6">
      <w:pPr>
        <w:pStyle w:val="FooterTableFigure"/>
        <w:rPr>
          <w:i/>
          <w:iCs/>
        </w:rPr>
      </w:pPr>
      <w:r w:rsidRPr="004F7504">
        <w:rPr>
          <w:i/>
          <w:iCs/>
          <w:vertAlign w:val="superscript"/>
        </w:rPr>
        <w:t>2</w:t>
      </w:r>
      <w:r w:rsidRPr="004F7504">
        <w:rPr>
          <w:i/>
          <w:iCs/>
        </w:rPr>
        <w:t xml:space="preserve"> $10 million to &lt; $20 million</w:t>
      </w:r>
    </w:p>
    <w:p w14:paraId="14CCB383" w14:textId="74A92333" w:rsidR="00F5486A" w:rsidRPr="004F7504" w:rsidRDefault="00F5486A" w:rsidP="00B66BC6">
      <w:pPr>
        <w:pStyle w:val="FooterTableFigure"/>
        <w:rPr>
          <w:i/>
          <w:iCs/>
        </w:rPr>
      </w:pPr>
      <w:r w:rsidRPr="004F7504">
        <w:rPr>
          <w:i/>
          <w:iCs/>
          <w:vertAlign w:val="superscript"/>
        </w:rPr>
        <w:t>3</w:t>
      </w:r>
      <w:r w:rsidRPr="004F7504">
        <w:rPr>
          <w:i/>
          <w:iCs/>
        </w:rPr>
        <w:t xml:space="preserve"> $20 million to &lt; $30 million</w:t>
      </w:r>
    </w:p>
    <w:p w14:paraId="2615828F" w14:textId="4E57CB54" w:rsidR="00F5486A" w:rsidRPr="004F7504" w:rsidRDefault="00F5486A" w:rsidP="00B66BC6">
      <w:pPr>
        <w:pStyle w:val="FooterTableFigure"/>
        <w:rPr>
          <w:i/>
          <w:iCs/>
        </w:rPr>
      </w:pPr>
      <w:r w:rsidRPr="004F7504">
        <w:rPr>
          <w:i/>
          <w:iCs/>
          <w:vertAlign w:val="superscript"/>
        </w:rPr>
        <w:t>4</w:t>
      </w:r>
      <w:r w:rsidRPr="004F7504">
        <w:rPr>
          <w:i/>
          <w:iCs/>
        </w:rPr>
        <w:t xml:space="preserve"> $40 million to &lt; $50 million</w:t>
      </w:r>
    </w:p>
    <w:p w14:paraId="54BF0B0B" w14:textId="506E74CE" w:rsidR="00F5486A" w:rsidRPr="004F7504" w:rsidRDefault="00F5486A" w:rsidP="00B66BC6">
      <w:pPr>
        <w:pStyle w:val="FooterTableFigure"/>
        <w:rPr>
          <w:i/>
          <w:iCs/>
        </w:rPr>
      </w:pPr>
      <w:r w:rsidRPr="004F7504">
        <w:rPr>
          <w:i/>
          <w:iCs/>
          <w:vertAlign w:val="superscript"/>
        </w:rPr>
        <w:t>5</w:t>
      </w:r>
      <w:r w:rsidRPr="004F7504">
        <w:rPr>
          <w:i/>
          <w:iCs/>
        </w:rPr>
        <w:t xml:space="preserve"> net cost saving</w:t>
      </w:r>
    </w:p>
    <w:p w14:paraId="46E66875" w14:textId="2DB2251A" w:rsidR="00F5486A" w:rsidRPr="004F7504" w:rsidRDefault="00F5486A" w:rsidP="00B66BC6">
      <w:pPr>
        <w:pStyle w:val="FooterTableFigure"/>
        <w:rPr>
          <w:i/>
          <w:iCs/>
        </w:rPr>
      </w:pPr>
      <w:r w:rsidRPr="004F7504">
        <w:rPr>
          <w:i/>
          <w:iCs/>
          <w:vertAlign w:val="superscript"/>
        </w:rPr>
        <w:t>6</w:t>
      </w:r>
      <w:r w:rsidRPr="004F7504">
        <w:rPr>
          <w:i/>
          <w:iCs/>
        </w:rPr>
        <w:t xml:space="preserve"> $30 million to &lt; $40 million</w:t>
      </w:r>
    </w:p>
    <w:p w14:paraId="44CFA6F1" w14:textId="3454B8AD" w:rsidR="005737F4" w:rsidRDefault="005737F4" w:rsidP="003945B8">
      <w:pPr>
        <w:pStyle w:val="3-BodyText"/>
      </w:pPr>
      <w:r w:rsidRPr="000902D9">
        <w:t xml:space="preserve">The total cost to the PBS/RPBS of listing </w:t>
      </w:r>
      <w:r w:rsidR="001B6D72">
        <w:t>FosLD/FosCD</w:t>
      </w:r>
      <w:r w:rsidRPr="000902D9">
        <w:t xml:space="preserve"> was estimated </w:t>
      </w:r>
      <w:r>
        <w:t>to be</w:t>
      </w:r>
      <w:r w:rsidRPr="000902D9">
        <w:t xml:space="preserve"> </w:t>
      </w:r>
      <w:r w:rsidRPr="00B42BBE">
        <w:rPr>
          <w:iCs/>
        </w:rPr>
        <w:t>$</w:t>
      </w:r>
      <w:r w:rsidR="00F5486A">
        <w:rPr>
          <w:iCs/>
        </w:rPr>
        <w:t>40</w:t>
      </w:r>
      <w:r w:rsidR="000A217C">
        <w:rPr>
          <w:iCs/>
        </w:rPr>
        <w:t> </w:t>
      </w:r>
      <w:r w:rsidR="00F5486A">
        <w:rPr>
          <w:iCs/>
        </w:rPr>
        <w:t>million</w:t>
      </w:r>
      <w:r w:rsidR="000A217C">
        <w:rPr>
          <w:iCs/>
        </w:rPr>
        <w:t> </w:t>
      </w:r>
      <w:r w:rsidR="00F5486A">
        <w:rPr>
          <w:iCs/>
        </w:rPr>
        <w:t>to &lt; $50 million</w:t>
      </w:r>
      <w:r>
        <w:t xml:space="preserve"> in </w:t>
      </w:r>
      <w:r w:rsidR="00C22D8D">
        <w:t>Y</w:t>
      </w:r>
      <w:r>
        <w:t xml:space="preserve">ear 6. The net cost to the PBS/RPBS, accounting for a reduction in the use of LCIG and oral LD was </w:t>
      </w:r>
      <w:r w:rsidRPr="00B42BBE">
        <w:rPr>
          <w:iCs/>
        </w:rPr>
        <w:t>$</w:t>
      </w:r>
      <w:r w:rsidR="00F5486A">
        <w:rPr>
          <w:iCs/>
        </w:rPr>
        <w:t>20 million to &lt;</w:t>
      </w:r>
      <w:r w:rsidR="000A217C">
        <w:rPr>
          <w:iCs/>
        </w:rPr>
        <w:t> </w:t>
      </w:r>
      <w:r w:rsidR="00F5486A">
        <w:rPr>
          <w:iCs/>
        </w:rPr>
        <w:t>$30</w:t>
      </w:r>
      <w:r w:rsidR="000A217C">
        <w:rPr>
          <w:iCs/>
        </w:rPr>
        <w:t> </w:t>
      </w:r>
      <w:r w:rsidR="00F5486A">
        <w:rPr>
          <w:iCs/>
        </w:rPr>
        <w:t>million</w:t>
      </w:r>
      <w:r w:rsidRPr="000902D9">
        <w:t xml:space="preserve"> in Year </w:t>
      </w:r>
      <w:r>
        <w:t xml:space="preserve">6, and </w:t>
      </w:r>
      <w:r w:rsidRPr="000902D9">
        <w:t xml:space="preserve">a total of </w:t>
      </w:r>
      <w:r w:rsidRPr="00B42BBE">
        <w:rPr>
          <w:iCs/>
        </w:rPr>
        <w:t>$</w:t>
      </w:r>
      <w:r w:rsidR="00F5486A">
        <w:rPr>
          <w:iCs/>
        </w:rPr>
        <w:t>60 million to &lt;</w:t>
      </w:r>
      <w:r w:rsidR="000A217C">
        <w:rPr>
          <w:iCs/>
        </w:rPr>
        <w:t> </w:t>
      </w:r>
      <w:r w:rsidR="00F5486A">
        <w:rPr>
          <w:iCs/>
        </w:rPr>
        <w:t>$70</w:t>
      </w:r>
      <w:r w:rsidR="000A217C">
        <w:rPr>
          <w:iCs/>
        </w:rPr>
        <w:t> </w:t>
      </w:r>
      <w:r w:rsidR="00F5486A">
        <w:rPr>
          <w:iCs/>
        </w:rPr>
        <w:t>million</w:t>
      </w:r>
      <w:r w:rsidRPr="000902D9">
        <w:t xml:space="preserve"> in the first 6 years of listing</w:t>
      </w:r>
      <w:r>
        <w:t>, based on the effective price.</w:t>
      </w:r>
      <w:r w:rsidRPr="00CF0F32">
        <w:t xml:space="preserve"> </w:t>
      </w:r>
      <w:r w:rsidR="001B6D72">
        <w:t>During the evaluation it was considered that t</w:t>
      </w:r>
      <w:r w:rsidRPr="00CF0F32">
        <w:t xml:space="preserve">he financial estimates are likely an underestimation as higher uptake rates of FosLD/FosCD are expected due to its less invasive mode of administration than LCIG. Additionally, the financial estimations are based on varied treatment continuation rates across patients switching from the LCIG substitution group, non-LCIG substitution group and for the </w:t>
      </w:r>
      <w:r w:rsidR="00F5486A">
        <w:t>&lt; 500</w:t>
      </w:r>
      <w:r w:rsidRPr="00CF0F32">
        <w:t xml:space="preserve"> grandfathered patients. Revised estimates applying a treatment continuation of 90% and 100% across all patients </w:t>
      </w:r>
      <w:r w:rsidR="00873D41">
        <w:t>are</w:t>
      </w:r>
      <w:r w:rsidRPr="00CF0F32">
        <w:t xml:space="preserve"> presented in </w:t>
      </w:r>
      <w:r w:rsidRPr="00CF0F32">
        <w:fldChar w:fldCharType="begin"/>
      </w:r>
      <w:r w:rsidRPr="00CF0F32">
        <w:instrText xml:space="preserve"> REF _Ref133680332 \h  \* MERGEFORMAT </w:instrText>
      </w:r>
      <w:r w:rsidRPr="00CF0F32">
        <w:fldChar w:fldCharType="separate"/>
      </w:r>
      <w:r w:rsidR="0043339D">
        <w:t xml:space="preserve">Table </w:t>
      </w:r>
      <w:r w:rsidR="0043339D">
        <w:rPr>
          <w:noProof/>
        </w:rPr>
        <w:t>15</w:t>
      </w:r>
      <w:r w:rsidRPr="00CF0F32">
        <w:fldChar w:fldCharType="end"/>
      </w:r>
      <w:r w:rsidRPr="00CF0F32">
        <w:t>.</w:t>
      </w:r>
    </w:p>
    <w:p w14:paraId="14719DFB" w14:textId="3F1788ED" w:rsidR="009A5B6A" w:rsidRPr="00EA3E33" w:rsidRDefault="009A5B6A" w:rsidP="003945B8">
      <w:pPr>
        <w:pStyle w:val="3-BodyText"/>
      </w:pPr>
      <w:r w:rsidRPr="00EA3E33">
        <w:t xml:space="preserve">Despite taking a cost-minimisation approach, the net cost to the PBS/RPBS is not neutral. </w:t>
      </w:r>
      <w:r w:rsidRPr="00CF0F32">
        <w:t>A proportion of this increase in the net cost to the PBS/RPBS is a consequence of the higher yearly cost of FosLD/FosCD in the CMA due to the inclusion of substantial initiation costs associated with LCIG. While a higher cost for FosLD/FosCD may be reasonable, the magnitude of the increase in the cost to the PBS/RPBS is uncertain due to concerns with the initiation costs for LCIG and the duration of treatment in the CMA over which the initiation costs are dispersed. Further, a higher proportion of the net cost to the PBS/RPBS is attributed to the number of patients switching from oral LD</w:t>
      </w:r>
      <w:r w:rsidR="008150EE">
        <w:t>/CD</w:t>
      </w:r>
      <w:r w:rsidRPr="00CF0F32">
        <w:t xml:space="preserve"> to FosLD/FosCD (oral LD is significantly cheaper and more oral LD</w:t>
      </w:r>
      <w:r w:rsidR="008150EE">
        <w:t>/CD</w:t>
      </w:r>
      <w:r w:rsidRPr="00CF0F32">
        <w:t xml:space="preserve"> patients switch to FosLD/FosCD from Year 4 onwards when compared to those switching from LCIG). While the submission has accounted for the substitution of oral LD with </w:t>
      </w:r>
      <w:r w:rsidRPr="00CF0F32">
        <w:lastRenderedPageBreak/>
        <w:t>FosLD/FosCD in the financial estimations, the cost-effectiveness of FosLD/FosCD versus oral therapy has not been demonstrated in the submission</w:t>
      </w:r>
      <w:r w:rsidRPr="00D01F45">
        <w:t xml:space="preserve">. </w:t>
      </w:r>
      <w:r w:rsidR="009109F6">
        <w:t xml:space="preserve">The Pre-PBAC Response argued the CMA approach was consistent with the clinic claims, and the cost to government is driven by the incremental uptake beyond expected replacement of LCIG alone, due </w:t>
      </w:r>
      <w:r w:rsidR="005E5FFB">
        <w:t>hesitancy to take up LCIG and</w:t>
      </w:r>
      <w:r w:rsidR="009109F6">
        <w:t xml:space="preserve"> the minimally invasive manner of administration for FosLD/FosCD.</w:t>
      </w:r>
    </w:p>
    <w:p w14:paraId="65C65097" w14:textId="06CB986A" w:rsidR="009A5B6A" w:rsidRDefault="009A5B6A" w:rsidP="003945B8">
      <w:pPr>
        <w:pStyle w:val="3-BodyText"/>
      </w:pPr>
      <w:bookmarkStart w:id="65" w:name="_Ref168826751"/>
      <w:r w:rsidRPr="00E708BD">
        <w:t xml:space="preserve">The financial estimations included cost savings </w:t>
      </w:r>
      <w:r>
        <w:t>as a consequence of a</w:t>
      </w:r>
      <w:r w:rsidRPr="00E708BD">
        <w:t xml:space="preserve"> reduction in the costs </w:t>
      </w:r>
      <w:r>
        <w:t xml:space="preserve">for </w:t>
      </w:r>
      <w:r w:rsidRPr="00E708BD">
        <w:t xml:space="preserve">surgery required for treatment initiation with LCIG via PEG-J tubes. </w:t>
      </w:r>
      <w:r>
        <w:t>A small increase in costs to the MBS</w:t>
      </w:r>
      <w:r w:rsidR="005503DB">
        <w:t xml:space="preserve"> ($18.96 per patient based on item 105, specialist attendance)</w:t>
      </w:r>
      <w:r>
        <w:t xml:space="preserve"> has been applied to account for the professional attendances required to titrate the dose of FosLD/FosCD.</w:t>
      </w:r>
      <w:r w:rsidR="00DD713F">
        <w:t xml:space="preserve"> </w:t>
      </w:r>
      <w:r w:rsidR="00DD713F" w:rsidRPr="00B42BBE">
        <w:rPr>
          <w:iCs/>
        </w:rPr>
        <w:t xml:space="preserve">The ESC noted this cost </w:t>
      </w:r>
      <w:r w:rsidR="00291506">
        <w:rPr>
          <w:iCs/>
        </w:rPr>
        <w:t>wa</w:t>
      </w:r>
      <w:r w:rsidR="00DD713F" w:rsidRPr="00B42BBE">
        <w:rPr>
          <w:iCs/>
        </w:rPr>
        <w:t>s not included in the CMA.</w:t>
      </w:r>
      <w:bookmarkEnd w:id="65"/>
    </w:p>
    <w:p w14:paraId="11036057" w14:textId="2FD5107D" w:rsidR="00496D89" w:rsidRDefault="0019762E" w:rsidP="003945B8">
      <w:pPr>
        <w:pStyle w:val="3-BodyText"/>
      </w:pPr>
      <w:bookmarkStart w:id="66" w:name="_Hlk137645107"/>
      <w:r>
        <w:t xml:space="preserve">Sensitivity analyses considering the cost-minimised price of FosLD/FosCD, initiation costs as well as continuation rates are provided in </w:t>
      </w:r>
      <w:r w:rsidRPr="00EA6501">
        <w:rPr>
          <w:rFonts w:ascii="Calibri" w:hAnsi="Calibri" w:cs="Calibri"/>
        </w:rPr>
        <w:fldChar w:fldCharType="begin"/>
      </w:r>
      <w:r w:rsidRPr="00EA6501">
        <w:rPr>
          <w:rFonts w:ascii="Calibri" w:hAnsi="Calibri" w:cs="Calibri"/>
        </w:rPr>
        <w:instrText xml:space="preserve"> REF _Ref137074786 \h </w:instrText>
      </w:r>
      <w:r w:rsidRPr="0019762E">
        <w:rPr>
          <w:rFonts w:ascii="Calibri" w:hAnsi="Calibri" w:cs="Calibri"/>
        </w:rPr>
        <w:instrText xml:space="preserve"> \* MERGEFORMAT </w:instrText>
      </w:r>
      <w:r w:rsidRPr="00EA6501">
        <w:rPr>
          <w:rFonts w:ascii="Calibri" w:hAnsi="Calibri" w:cs="Calibri"/>
        </w:rPr>
      </w:r>
      <w:r w:rsidRPr="00EA6501">
        <w:rPr>
          <w:rFonts w:ascii="Calibri" w:hAnsi="Calibri" w:cs="Calibri"/>
        </w:rPr>
        <w:fldChar w:fldCharType="separate"/>
      </w:r>
      <w:r w:rsidR="0043339D" w:rsidRPr="0043339D">
        <w:rPr>
          <w:rFonts w:ascii="Calibri" w:hAnsi="Calibri" w:cs="Calibri"/>
        </w:rPr>
        <w:t xml:space="preserve">Table </w:t>
      </w:r>
      <w:r w:rsidR="0043339D" w:rsidRPr="0043339D">
        <w:rPr>
          <w:rFonts w:ascii="Calibri" w:hAnsi="Calibri" w:cs="Calibri"/>
          <w:noProof/>
        </w:rPr>
        <w:t>16</w:t>
      </w:r>
      <w:r w:rsidRPr="00EA6501">
        <w:rPr>
          <w:rFonts w:ascii="Calibri" w:hAnsi="Calibri" w:cs="Calibri"/>
        </w:rPr>
        <w:fldChar w:fldCharType="end"/>
      </w:r>
      <w:r w:rsidRPr="00EA6501">
        <w:rPr>
          <w:rFonts w:ascii="Calibri" w:hAnsi="Calibri" w:cs="Calibri"/>
        </w:rPr>
        <w:t>.</w:t>
      </w:r>
    </w:p>
    <w:p w14:paraId="4A7F003B" w14:textId="05A636FA" w:rsidR="005C6A98" w:rsidRPr="00CC3805" w:rsidRDefault="0019762E" w:rsidP="004F7504">
      <w:pPr>
        <w:pStyle w:val="3-BodyText"/>
        <w:numPr>
          <w:ilvl w:val="0"/>
          <w:numId w:val="0"/>
        </w:numPr>
        <w:rPr>
          <w:rStyle w:val="CommentReference"/>
          <w:szCs w:val="20"/>
        </w:rPr>
      </w:pPr>
      <w:bookmarkStart w:id="67" w:name="_Ref137074786"/>
      <w:bookmarkEnd w:id="66"/>
      <w:r w:rsidRPr="00CC3805">
        <w:rPr>
          <w:rFonts w:ascii="Arial Narrow" w:hAnsi="Arial Narrow"/>
          <w:b/>
          <w:bCs/>
          <w:sz w:val="20"/>
          <w:szCs w:val="20"/>
        </w:rPr>
        <w:t xml:space="preserve">Table </w:t>
      </w:r>
      <w:r w:rsidRPr="00CC3805">
        <w:rPr>
          <w:rFonts w:ascii="Arial Narrow" w:hAnsi="Arial Narrow"/>
          <w:b/>
          <w:bCs/>
          <w:sz w:val="20"/>
          <w:szCs w:val="20"/>
        </w:rPr>
        <w:fldChar w:fldCharType="begin"/>
      </w:r>
      <w:r w:rsidRPr="00CC3805">
        <w:rPr>
          <w:rFonts w:ascii="Arial Narrow" w:hAnsi="Arial Narrow"/>
          <w:b/>
          <w:bCs/>
          <w:sz w:val="20"/>
          <w:szCs w:val="20"/>
        </w:rPr>
        <w:instrText xml:space="preserve"> SEQ Table \* ARABIC </w:instrText>
      </w:r>
      <w:r w:rsidRPr="00CC3805">
        <w:rPr>
          <w:rFonts w:ascii="Arial Narrow" w:hAnsi="Arial Narrow"/>
          <w:b/>
          <w:bCs/>
          <w:sz w:val="20"/>
          <w:szCs w:val="20"/>
        </w:rPr>
        <w:fldChar w:fldCharType="separate"/>
      </w:r>
      <w:r w:rsidR="0043339D">
        <w:rPr>
          <w:rFonts w:ascii="Arial Narrow" w:hAnsi="Arial Narrow"/>
          <w:b/>
          <w:bCs/>
          <w:noProof/>
          <w:sz w:val="20"/>
          <w:szCs w:val="20"/>
        </w:rPr>
        <w:t>16</w:t>
      </w:r>
      <w:r w:rsidRPr="00CC3805">
        <w:rPr>
          <w:rFonts w:ascii="Arial Narrow" w:hAnsi="Arial Narrow"/>
          <w:b/>
          <w:bCs/>
          <w:noProof/>
          <w:sz w:val="20"/>
          <w:szCs w:val="20"/>
        </w:rPr>
        <w:fldChar w:fldCharType="end"/>
      </w:r>
      <w:bookmarkEnd w:id="67"/>
      <w:r w:rsidRPr="00CC3805">
        <w:rPr>
          <w:rFonts w:ascii="Arial Narrow" w:hAnsi="Arial Narrow"/>
          <w:b/>
          <w:bCs/>
          <w:sz w:val="20"/>
          <w:szCs w:val="20"/>
        </w:rPr>
        <w:t>:</w:t>
      </w:r>
      <w:r w:rsidRPr="00CC3805">
        <w:rPr>
          <w:rStyle w:val="CommentReference"/>
          <w:szCs w:val="20"/>
        </w:rPr>
        <w:t xml:space="preserve"> Financial estimates – sensitivity analyses</w:t>
      </w:r>
    </w:p>
    <w:tbl>
      <w:tblPr>
        <w:tblStyle w:val="TableGrid"/>
        <w:tblW w:w="5000" w:type="pct"/>
        <w:tblLayout w:type="fixed"/>
        <w:tblCellMar>
          <w:left w:w="28" w:type="dxa"/>
          <w:right w:w="28" w:type="dxa"/>
        </w:tblCellMar>
        <w:tblLook w:val="04A0" w:firstRow="1" w:lastRow="0" w:firstColumn="1" w:lastColumn="0" w:noHBand="0" w:noVBand="1"/>
      </w:tblPr>
      <w:tblGrid>
        <w:gridCol w:w="1680"/>
        <w:gridCol w:w="986"/>
        <w:gridCol w:w="1070"/>
        <w:gridCol w:w="1081"/>
        <w:gridCol w:w="1074"/>
        <w:gridCol w:w="1067"/>
        <w:gridCol w:w="1060"/>
        <w:gridCol w:w="998"/>
      </w:tblGrid>
      <w:tr w:rsidR="0019762E" w:rsidRPr="00A60CFC" w14:paraId="18652D51" w14:textId="77777777" w:rsidTr="00F50EF9">
        <w:trPr>
          <w:tblHeader/>
        </w:trPr>
        <w:tc>
          <w:tcPr>
            <w:tcW w:w="1680" w:type="dxa"/>
            <w:shd w:val="clear" w:color="auto" w:fill="auto"/>
          </w:tcPr>
          <w:p w14:paraId="3FF5A3EE" w14:textId="77777777" w:rsidR="0019762E" w:rsidRPr="00A60CFC" w:rsidRDefault="0019762E" w:rsidP="00F50EF9">
            <w:pPr>
              <w:keepNext/>
              <w:tabs>
                <w:tab w:val="left" w:pos="142"/>
              </w:tabs>
              <w:ind w:left="102" w:hanging="102"/>
              <w:jc w:val="left"/>
              <w:rPr>
                <w:rFonts w:ascii="Arial Narrow" w:hAnsi="Arial Narrow" w:cs="Calibri"/>
                <w:b/>
                <w:bCs/>
                <w:sz w:val="20"/>
                <w:szCs w:val="20"/>
              </w:rPr>
            </w:pPr>
            <w:r w:rsidRPr="00A60CFC">
              <w:rPr>
                <w:rFonts w:ascii="Arial Narrow" w:hAnsi="Arial Narrow" w:cs="Calibri"/>
                <w:b/>
                <w:bCs/>
                <w:sz w:val="20"/>
                <w:szCs w:val="20"/>
              </w:rPr>
              <w:t>Analysis</w:t>
            </w:r>
          </w:p>
        </w:tc>
        <w:tc>
          <w:tcPr>
            <w:tcW w:w="986" w:type="dxa"/>
            <w:shd w:val="clear" w:color="auto" w:fill="auto"/>
          </w:tcPr>
          <w:p w14:paraId="4D9EC890"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Year 1</w:t>
            </w:r>
          </w:p>
        </w:tc>
        <w:tc>
          <w:tcPr>
            <w:tcW w:w="1070" w:type="dxa"/>
            <w:shd w:val="clear" w:color="auto" w:fill="auto"/>
          </w:tcPr>
          <w:p w14:paraId="5F8113C1"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Year 2</w:t>
            </w:r>
          </w:p>
        </w:tc>
        <w:tc>
          <w:tcPr>
            <w:tcW w:w="1081" w:type="dxa"/>
            <w:shd w:val="clear" w:color="auto" w:fill="auto"/>
          </w:tcPr>
          <w:p w14:paraId="75DFABFA"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Year 3</w:t>
            </w:r>
          </w:p>
        </w:tc>
        <w:tc>
          <w:tcPr>
            <w:tcW w:w="1074" w:type="dxa"/>
            <w:shd w:val="clear" w:color="auto" w:fill="auto"/>
          </w:tcPr>
          <w:p w14:paraId="20D57FFF"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Year 4</w:t>
            </w:r>
          </w:p>
        </w:tc>
        <w:tc>
          <w:tcPr>
            <w:tcW w:w="1067" w:type="dxa"/>
            <w:shd w:val="clear" w:color="auto" w:fill="auto"/>
          </w:tcPr>
          <w:p w14:paraId="399C1BF3"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Year 5</w:t>
            </w:r>
          </w:p>
        </w:tc>
        <w:tc>
          <w:tcPr>
            <w:tcW w:w="1060" w:type="dxa"/>
            <w:shd w:val="clear" w:color="auto" w:fill="auto"/>
          </w:tcPr>
          <w:p w14:paraId="34E9099A"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Year 6</w:t>
            </w:r>
          </w:p>
        </w:tc>
        <w:tc>
          <w:tcPr>
            <w:tcW w:w="998" w:type="dxa"/>
          </w:tcPr>
          <w:p w14:paraId="6B2227FE" w14:textId="77777777" w:rsidR="0019762E" w:rsidRPr="00A60CFC" w:rsidRDefault="0019762E" w:rsidP="00F50EF9">
            <w:pPr>
              <w:keepNext/>
              <w:jc w:val="center"/>
              <w:rPr>
                <w:rFonts w:ascii="Arial Narrow" w:hAnsi="Arial Narrow" w:cs="Calibri"/>
                <w:b/>
                <w:bCs/>
                <w:sz w:val="20"/>
                <w:szCs w:val="20"/>
              </w:rPr>
            </w:pPr>
            <w:r w:rsidRPr="00A60CFC">
              <w:rPr>
                <w:rFonts w:ascii="Arial Narrow" w:hAnsi="Arial Narrow" w:cs="Calibri"/>
                <w:b/>
                <w:bCs/>
                <w:sz w:val="20"/>
                <w:szCs w:val="20"/>
              </w:rPr>
              <w:t>% change</w:t>
            </w:r>
          </w:p>
        </w:tc>
      </w:tr>
      <w:tr w:rsidR="0019762E" w:rsidRPr="00A60CFC" w14:paraId="34382573" w14:textId="77777777" w:rsidTr="00F50EF9">
        <w:tc>
          <w:tcPr>
            <w:tcW w:w="1680" w:type="dxa"/>
            <w:shd w:val="clear" w:color="auto" w:fill="auto"/>
          </w:tcPr>
          <w:p w14:paraId="7C884195" w14:textId="77777777" w:rsidR="0019762E" w:rsidRPr="00EC3730" w:rsidRDefault="0019762E" w:rsidP="00F50EF9">
            <w:pPr>
              <w:keepNext/>
              <w:tabs>
                <w:tab w:val="left" w:pos="142"/>
              </w:tabs>
              <w:ind w:left="102" w:hanging="102"/>
              <w:jc w:val="left"/>
              <w:rPr>
                <w:rFonts w:ascii="Arial Narrow" w:hAnsi="Arial Narrow" w:cs="Calibri"/>
                <w:b/>
                <w:bCs/>
                <w:sz w:val="20"/>
                <w:szCs w:val="20"/>
              </w:rPr>
            </w:pPr>
            <w:r w:rsidRPr="00EC3730">
              <w:rPr>
                <w:rFonts w:ascii="Arial Narrow" w:hAnsi="Arial Narrow" w:cs="Calibri"/>
                <w:b/>
                <w:bCs/>
                <w:sz w:val="20"/>
                <w:szCs w:val="20"/>
              </w:rPr>
              <w:t>Base case</w:t>
            </w:r>
          </w:p>
        </w:tc>
        <w:tc>
          <w:tcPr>
            <w:tcW w:w="986" w:type="dxa"/>
            <w:shd w:val="clear" w:color="auto" w:fill="auto"/>
            <w:vAlign w:val="center"/>
          </w:tcPr>
          <w:p w14:paraId="1248E412" w14:textId="4EBC6396" w:rsidR="0019762E" w:rsidRPr="004F7504" w:rsidRDefault="004B6FE2" w:rsidP="00F50EF9">
            <w:pPr>
              <w:keepNext/>
              <w:jc w:val="center"/>
              <w:rPr>
                <w:rFonts w:ascii="Arial Narrow" w:hAnsi="Arial Narrow" w:cs="Calibri"/>
                <w:b/>
                <w:bCs/>
                <w:i/>
                <w:iCs/>
                <w:sz w:val="20"/>
                <w:szCs w:val="20"/>
                <w:highlight w:val="darkGray"/>
              </w:rPr>
            </w:pPr>
            <w:r w:rsidRPr="004B6FE2">
              <w:rPr>
                <w:rFonts w:ascii="Arial Narrow" w:hAnsi="Arial Narrow" w:hint="eastAsia"/>
                <w:b/>
                <w:bCs/>
                <w:iCs/>
                <w:color w:val="000000"/>
                <w:w w:val="33"/>
                <w:sz w:val="20"/>
                <w:szCs w:val="20"/>
                <w:shd w:val="solid" w:color="000000" w:fill="000000"/>
                <w:fitText w:val="150" w:id="-930964214"/>
                <w14:textFill>
                  <w14:solidFill>
                    <w14:srgbClr w14:val="000000">
                      <w14:alpha w14:val="100000"/>
                    </w14:srgbClr>
                  </w14:solidFill>
                </w14:textFill>
              </w:rPr>
              <w:t xml:space="preserve">　</w:t>
            </w:r>
            <w:r w:rsidRPr="004B6FE2">
              <w:rPr>
                <w:rFonts w:ascii="Arial Narrow" w:hAnsi="Arial Narrow"/>
                <w:b/>
                <w:bCs/>
                <w:iCs/>
                <w:color w:val="000000"/>
                <w:w w:val="33"/>
                <w:sz w:val="20"/>
                <w:szCs w:val="20"/>
                <w:shd w:val="solid" w:color="000000" w:fill="000000"/>
                <w:fitText w:val="150" w:id="-930964214"/>
                <w14:textFill>
                  <w14:solidFill>
                    <w14:srgbClr w14:val="000000">
                      <w14:alpha w14:val="100000"/>
                    </w14:srgbClr>
                  </w14:solidFill>
                </w14:textFill>
              </w:rPr>
              <w:t>|</w:t>
            </w:r>
            <w:r w:rsidRPr="004B6FE2">
              <w:rPr>
                <w:rFonts w:ascii="Arial Narrow" w:hAnsi="Arial Narrow" w:hint="eastAsia"/>
                <w:b/>
                <w:bCs/>
                <w:iCs/>
                <w:color w:val="000000"/>
                <w:spacing w:val="3"/>
                <w:w w:val="33"/>
                <w:sz w:val="20"/>
                <w:szCs w:val="20"/>
                <w:shd w:val="solid" w:color="000000" w:fill="000000"/>
                <w:fitText w:val="150" w:id="-930964214"/>
                <w14:textFill>
                  <w14:solidFill>
                    <w14:srgbClr w14:val="000000">
                      <w14:alpha w14:val="100000"/>
                    </w14:srgbClr>
                  </w14:solidFill>
                </w14:textFill>
              </w:rPr>
              <w:t xml:space="preserve">　</w:t>
            </w:r>
            <w:r w:rsidR="00F5486A" w:rsidRPr="004F7504">
              <w:rPr>
                <w:rFonts w:ascii="Arial Narrow" w:hAnsi="Arial Narrow"/>
                <w:sz w:val="20"/>
                <w:szCs w:val="20"/>
                <w:vertAlign w:val="superscript"/>
              </w:rPr>
              <w:t>1</w:t>
            </w:r>
          </w:p>
        </w:tc>
        <w:tc>
          <w:tcPr>
            <w:tcW w:w="1070" w:type="dxa"/>
            <w:shd w:val="clear" w:color="auto" w:fill="auto"/>
            <w:vAlign w:val="center"/>
          </w:tcPr>
          <w:p w14:paraId="11625298" w14:textId="5358E173" w:rsidR="0019762E" w:rsidRPr="004F7504" w:rsidRDefault="004B6FE2" w:rsidP="00F50EF9">
            <w:pPr>
              <w:keepNext/>
              <w:jc w:val="center"/>
              <w:rPr>
                <w:rFonts w:ascii="Arial Narrow" w:hAnsi="Arial Narrow" w:cs="Calibri"/>
                <w:b/>
                <w:bCs/>
                <w:i/>
                <w:iCs/>
                <w:sz w:val="20"/>
                <w:szCs w:val="20"/>
                <w:highlight w:val="darkGray"/>
              </w:rPr>
            </w:pPr>
            <w:r w:rsidRPr="004B6FE2">
              <w:rPr>
                <w:rFonts w:ascii="Arial Narrow" w:hAnsi="Arial Narrow" w:hint="eastAsia"/>
                <w:b/>
                <w:bCs/>
                <w:iCs/>
                <w:color w:val="000000"/>
                <w:w w:val="24"/>
                <w:sz w:val="20"/>
                <w:szCs w:val="20"/>
                <w:shd w:val="solid" w:color="000000" w:fill="000000"/>
                <w:fitText w:val="110" w:id="-930964213"/>
                <w14:textFill>
                  <w14:solidFill>
                    <w14:srgbClr w14:val="000000">
                      <w14:alpha w14:val="100000"/>
                    </w14:srgbClr>
                  </w14:solidFill>
                </w14:textFill>
              </w:rPr>
              <w:t xml:space="preserve">　</w:t>
            </w:r>
            <w:r w:rsidRPr="004B6FE2">
              <w:rPr>
                <w:rFonts w:ascii="Arial Narrow" w:hAnsi="Arial Narrow"/>
                <w:b/>
                <w:bCs/>
                <w:iCs/>
                <w:color w:val="000000"/>
                <w:w w:val="24"/>
                <w:sz w:val="20"/>
                <w:szCs w:val="20"/>
                <w:shd w:val="solid" w:color="000000" w:fill="000000"/>
                <w:fitText w:val="110" w:id="-930964213"/>
                <w14:textFill>
                  <w14:solidFill>
                    <w14:srgbClr w14:val="000000">
                      <w14:alpha w14:val="100000"/>
                    </w14:srgbClr>
                  </w14:solidFill>
                </w14:textFill>
              </w:rPr>
              <w:t>|</w:t>
            </w:r>
            <w:r w:rsidRPr="004B6FE2">
              <w:rPr>
                <w:rFonts w:ascii="Arial Narrow" w:hAnsi="Arial Narrow" w:hint="eastAsia"/>
                <w:b/>
                <w:bCs/>
                <w:iCs/>
                <w:color w:val="000000"/>
                <w:spacing w:val="5"/>
                <w:w w:val="24"/>
                <w:sz w:val="20"/>
                <w:szCs w:val="20"/>
                <w:shd w:val="solid" w:color="000000" w:fill="000000"/>
                <w:fitText w:val="110" w:id="-930964213"/>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040752B6" w14:textId="305BEE91" w:rsidR="0019762E" w:rsidRPr="004F7504" w:rsidRDefault="004B6FE2" w:rsidP="00F50EF9">
            <w:pPr>
              <w:keepNext/>
              <w:jc w:val="center"/>
              <w:rPr>
                <w:rFonts w:ascii="Arial Narrow" w:hAnsi="Arial Narrow" w:cs="Calibri"/>
                <w:b/>
                <w:bCs/>
                <w:i/>
                <w:iCs/>
                <w:sz w:val="20"/>
                <w:szCs w:val="20"/>
                <w:highlight w:val="darkGray"/>
              </w:rPr>
            </w:pPr>
            <w:r w:rsidRPr="004B6FE2">
              <w:rPr>
                <w:rFonts w:ascii="Arial Narrow" w:hAnsi="Arial Narrow" w:hint="eastAsia"/>
                <w:b/>
                <w:bCs/>
                <w:iCs/>
                <w:color w:val="000000"/>
                <w:w w:val="24"/>
                <w:sz w:val="20"/>
                <w:szCs w:val="20"/>
                <w:shd w:val="solid" w:color="000000" w:fill="000000"/>
                <w:fitText w:val="110" w:id="-930964212"/>
                <w14:textFill>
                  <w14:solidFill>
                    <w14:srgbClr w14:val="000000">
                      <w14:alpha w14:val="100000"/>
                    </w14:srgbClr>
                  </w14:solidFill>
                </w14:textFill>
              </w:rPr>
              <w:t xml:space="preserve">　</w:t>
            </w:r>
            <w:r w:rsidRPr="004B6FE2">
              <w:rPr>
                <w:rFonts w:ascii="Arial Narrow" w:hAnsi="Arial Narrow"/>
                <w:b/>
                <w:bCs/>
                <w:iCs/>
                <w:color w:val="000000"/>
                <w:w w:val="24"/>
                <w:sz w:val="20"/>
                <w:szCs w:val="20"/>
                <w:shd w:val="solid" w:color="000000" w:fill="000000"/>
                <w:fitText w:val="110" w:id="-930964212"/>
                <w14:textFill>
                  <w14:solidFill>
                    <w14:srgbClr w14:val="000000">
                      <w14:alpha w14:val="100000"/>
                    </w14:srgbClr>
                  </w14:solidFill>
                </w14:textFill>
              </w:rPr>
              <w:t>|</w:t>
            </w:r>
            <w:r w:rsidRPr="004B6FE2">
              <w:rPr>
                <w:rFonts w:ascii="Arial Narrow" w:hAnsi="Arial Narrow" w:hint="eastAsia"/>
                <w:b/>
                <w:bCs/>
                <w:iCs/>
                <w:color w:val="000000"/>
                <w:spacing w:val="5"/>
                <w:w w:val="24"/>
                <w:sz w:val="20"/>
                <w:szCs w:val="20"/>
                <w:shd w:val="solid" w:color="000000" w:fill="000000"/>
                <w:fitText w:val="110" w:id="-93096421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27FCBA27" w14:textId="22DFEE13" w:rsidR="0019762E" w:rsidRPr="004F7504" w:rsidRDefault="004B6FE2" w:rsidP="00F50EF9">
            <w:pPr>
              <w:keepNext/>
              <w:jc w:val="center"/>
              <w:rPr>
                <w:rFonts w:ascii="Arial Narrow" w:hAnsi="Arial Narrow" w:cs="Calibri"/>
                <w:b/>
                <w:bCs/>
                <w:i/>
                <w:iCs/>
                <w:sz w:val="20"/>
                <w:szCs w:val="20"/>
                <w:highlight w:val="darkGray"/>
              </w:rPr>
            </w:pPr>
            <w:r w:rsidRPr="004B6FE2">
              <w:rPr>
                <w:rFonts w:ascii="Arial Narrow" w:hAnsi="Arial Narrow" w:hint="eastAsia"/>
                <w:b/>
                <w:bCs/>
                <w:iCs/>
                <w:color w:val="000000"/>
                <w:w w:val="26"/>
                <w:sz w:val="20"/>
                <w:szCs w:val="20"/>
                <w:shd w:val="solid" w:color="000000" w:fill="000000"/>
                <w:fitText w:val="120" w:id="-930964211"/>
                <w14:textFill>
                  <w14:solidFill>
                    <w14:srgbClr w14:val="000000">
                      <w14:alpha w14:val="100000"/>
                    </w14:srgbClr>
                  </w14:solidFill>
                </w14:textFill>
              </w:rPr>
              <w:t xml:space="preserve">　</w:t>
            </w:r>
            <w:r w:rsidRPr="004B6FE2">
              <w:rPr>
                <w:rFonts w:ascii="Arial Narrow" w:hAnsi="Arial Narrow"/>
                <w:b/>
                <w:bCs/>
                <w:iCs/>
                <w:color w:val="000000"/>
                <w:w w:val="26"/>
                <w:sz w:val="20"/>
                <w:szCs w:val="20"/>
                <w:shd w:val="solid" w:color="000000" w:fill="000000"/>
                <w:fitText w:val="120" w:id="-930964211"/>
                <w14:textFill>
                  <w14:solidFill>
                    <w14:srgbClr w14:val="000000">
                      <w14:alpha w14:val="100000"/>
                    </w14:srgbClr>
                  </w14:solidFill>
                </w14:textFill>
              </w:rPr>
              <w:t>|</w:t>
            </w:r>
            <w:r w:rsidRPr="004B6FE2">
              <w:rPr>
                <w:rFonts w:ascii="Arial Narrow" w:hAnsi="Arial Narrow" w:hint="eastAsia"/>
                <w:b/>
                <w:bCs/>
                <w:iCs/>
                <w:color w:val="000000"/>
                <w:spacing w:val="4"/>
                <w:w w:val="26"/>
                <w:sz w:val="20"/>
                <w:szCs w:val="20"/>
                <w:shd w:val="solid" w:color="000000" w:fill="000000"/>
                <w:fitText w:val="120" w:id="-930964211"/>
                <w14:textFill>
                  <w14:solidFill>
                    <w14:srgbClr w14:val="000000">
                      <w14:alpha w14:val="100000"/>
                    </w14:srgbClr>
                  </w14:solidFill>
                </w14:textFill>
              </w:rPr>
              <w:t xml:space="preserve">　</w:t>
            </w:r>
            <w:r w:rsidR="00F5486A" w:rsidRPr="004F7504">
              <w:rPr>
                <w:rFonts w:ascii="Arial Narrow" w:hAnsi="Arial Narrow"/>
                <w:sz w:val="20"/>
                <w:szCs w:val="20"/>
                <w:vertAlign w:val="superscript"/>
              </w:rPr>
              <w:t>2</w:t>
            </w:r>
          </w:p>
        </w:tc>
        <w:tc>
          <w:tcPr>
            <w:tcW w:w="1067" w:type="dxa"/>
            <w:shd w:val="clear" w:color="auto" w:fill="auto"/>
            <w:vAlign w:val="center"/>
          </w:tcPr>
          <w:p w14:paraId="257E4030" w14:textId="6FF72E5F" w:rsidR="0019762E" w:rsidRPr="004F7504" w:rsidRDefault="004B6FE2" w:rsidP="00F50EF9">
            <w:pPr>
              <w:keepNext/>
              <w:jc w:val="center"/>
              <w:rPr>
                <w:rFonts w:ascii="Arial Narrow" w:hAnsi="Arial Narrow" w:cs="Calibri"/>
                <w:b/>
                <w:bCs/>
                <w:i/>
                <w:iCs/>
                <w:sz w:val="20"/>
                <w:szCs w:val="20"/>
                <w:highlight w:val="darkGray"/>
              </w:rPr>
            </w:pPr>
            <w:r w:rsidRPr="004B6FE2">
              <w:rPr>
                <w:rFonts w:ascii="Arial Narrow" w:hAnsi="Arial Narrow" w:hint="eastAsia"/>
                <w:b/>
                <w:bCs/>
                <w:iCs/>
                <w:color w:val="000000"/>
                <w:w w:val="24"/>
                <w:sz w:val="20"/>
                <w:szCs w:val="20"/>
                <w:shd w:val="solid" w:color="000000" w:fill="000000"/>
                <w:fitText w:val="110" w:id="-930964210"/>
                <w14:textFill>
                  <w14:solidFill>
                    <w14:srgbClr w14:val="000000">
                      <w14:alpha w14:val="100000"/>
                    </w14:srgbClr>
                  </w14:solidFill>
                </w14:textFill>
              </w:rPr>
              <w:t xml:space="preserve">　</w:t>
            </w:r>
            <w:r w:rsidRPr="004B6FE2">
              <w:rPr>
                <w:rFonts w:ascii="Arial Narrow" w:hAnsi="Arial Narrow"/>
                <w:b/>
                <w:bCs/>
                <w:iCs/>
                <w:color w:val="000000"/>
                <w:w w:val="24"/>
                <w:sz w:val="20"/>
                <w:szCs w:val="20"/>
                <w:shd w:val="solid" w:color="000000" w:fill="000000"/>
                <w:fitText w:val="110" w:id="-930964210"/>
                <w14:textFill>
                  <w14:solidFill>
                    <w14:srgbClr w14:val="000000">
                      <w14:alpha w14:val="100000"/>
                    </w14:srgbClr>
                  </w14:solidFill>
                </w14:textFill>
              </w:rPr>
              <w:t>|</w:t>
            </w:r>
            <w:r w:rsidRPr="004B6FE2">
              <w:rPr>
                <w:rFonts w:ascii="Arial Narrow" w:hAnsi="Arial Narrow" w:hint="eastAsia"/>
                <w:b/>
                <w:bCs/>
                <w:iCs/>
                <w:color w:val="000000"/>
                <w:spacing w:val="5"/>
                <w:w w:val="24"/>
                <w:sz w:val="20"/>
                <w:szCs w:val="20"/>
                <w:shd w:val="solid" w:color="000000" w:fill="000000"/>
                <w:fitText w:val="110" w:id="-930964210"/>
                <w14:textFill>
                  <w14:solidFill>
                    <w14:srgbClr w14:val="000000">
                      <w14:alpha w14:val="100000"/>
                    </w14:srgbClr>
                  </w14:solidFill>
                </w14:textFill>
              </w:rPr>
              <w:t xml:space="preserve">　</w:t>
            </w:r>
            <w:r w:rsidR="00F5486A" w:rsidRPr="004F7504">
              <w:rPr>
                <w:rFonts w:ascii="Arial Narrow" w:hAnsi="Arial Narrow"/>
                <w:sz w:val="20"/>
                <w:szCs w:val="20"/>
                <w:vertAlign w:val="superscript"/>
              </w:rPr>
              <w:t>2</w:t>
            </w:r>
          </w:p>
        </w:tc>
        <w:tc>
          <w:tcPr>
            <w:tcW w:w="1060" w:type="dxa"/>
            <w:shd w:val="clear" w:color="auto" w:fill="auto"/>
            <w:vAlign w:val="center"/>
          </w:tcPr>
          <w:p w14:paraId="777138FE" w14:textId="07D35003" w:rsidR="0019762E" w:rsidRPr="004F7504" w:rsidRDefault="004B6FE2" w:rsidP="00F50EF9">
            <w:pPr>
              <w:keepNext/>
              <w:jc w:val="center"/>
              <w:rPr>
                <w:rFonts w:ascii="Arial Narrow" w:hAnsi="Arial Narrow" w:cs="Calibri"/>
                <w:b/>
                <w:bCs/>
                <w:iCs/>
                <w:sz w:val="20"/>
                <w:szCs w:val="20"/>
                <w:highlight w:val="darkGray"/>
              </w:rPr>
            </w:pPr>
            <w:r w:rsidRPr="004B6FE2">
              <w:rPr>
                <w:rFonts w:ascii="Arial Narrow" w:hAnsi="Arial Narrow" w:hint="eastAsia"/>
                <w:b/>
                <w:bCs/>
                <w:iCs/>
                <w:color w:val="000000"/>
                <w:w w:val="26"/>
                <w:sz w:val="20"/>
                <w:szCs w:val="20"/>
                <w:shd w:val="solid" w:color="000000" w:fill="000000"/>
                <w:fitText w:val="120" w:id="-930964209"/>
                <w14:textFill>
                  <w14:solidFill>
                    <w14:srgbClr w14:val="000000">
                      <w14:alpha w14:val="100000"/>
                    </w14:srgbClr>
                  </w14:solidFill>
                </w14:textFill>
              </w:rPr>
              <w:t xml:space="preserve">　</w:t>
            </w:r>
            <w:r w:rsidRPr="004B6FE2">
              <w:rPr>
                <w:rFonts w:ascii="Arial Narrow" w:hAnsi="Arial Narrow"/>
                <w:b/>
                <w:bCs/>
                <w:iCs/>
                <w:color w:val="000000"/>
                <w:w w:val="26"/>
                <w:sz w:val="20"/>
                <w:szCs w:val="20"/>
                <w:shd w:val="solid" w:color="000000" w:fill="000000"/>
                <w:fitText w:val="120" w:id="-930964209"/>
                <w14:textFill>
                  <w14:solidFill>
                    <w14:srgbClr w14:val="000000">
                      <w14:alpha w14:val="100000"/>
                    </w14:srgbClr>
                  </w14:solidFill>
                </w14:textFill>
              </w:rPr>
              <w:t>|</w:t>
            </w:r>
            <w:r w:rsidRPr="004B6FE2">
              <w:rPr>
                <w:rFonts w:ascii="Arial Narrow" w:hAnsi="Arial Narrow" w:hint="eastAsia"/>
                <w:b/>
                <w:bCs/>
                <w:iCs/>
                <w:color w:val="000000"/>
                <w:spacing w:val="4"/>
                <w:w w:val="26"/>
                <w:sz w:val="20"/>
                <w:szCs w:val="20"/>
                <w:shd w:val="solid" w:color="000000" w:fill="000000"/>
                <w:fitText w:val="120" w:id="-930964209"/>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tcPr>
          <w:p w14:paraId="4DA45405" w14:textId="77777777" w:rsidR="0019762E" w:rsidRPr="00EC3730" w:rsidRDefault="0019762E" w:rsidP="00F50EF9">
            <w:pPr>
              <w:keepNext/>
              <w:jc w:val="center"/>
              <w:rPr>
                <w:rFonts w:ascii="Arial Narrow" w:hAnsi="Arial Narrow" w:cs="Calibri"/>
                <w:b/>
                <w:bCs/>
                <w:color w:val="000000"/>
                <w:sz w:val="20"/>
                <w:szCs w:val="20"/>
              </w:rPr>
            </w:pPr>
            <w:r w:rsidRPr="00EC3730">
              <w:rPr>
                <w:rFonts w:ascii="Arial Narrow" w:hAnsi="Arial Narrow" w:cs="Calibri"/>
                <w:b/>
                <w:bCs/>
                <w:color w:val="000000"/>
                <w:sz w:val="20"/>
                <w:szCs w:val="20"/>
              </w:rPr>
              <w:t>-</w:t>
            </w:r>
          </w:p>
        </w:tc>
      </w:tr>
      <w:tr w:rsidR="0019762E" w:rsidRPr="00DD713F" w14:paraId="78BBE268" w14:textId="77777777" w:rsidTr="00F50EF9">
        <w:tc>
          <w:tcPr>
            <w:tcW w:w="9016" w:type="dxa"/>
            <w:gridSpan w:val="8"/>
            <w:shd w:val="clear" w:color="auto" w:fill="auto"/>
          </w:tcPr>
          <w:p w14:paraId="69017A40" w14:textId="0B572EE9" w:rsidR="0019762E" w:rsidRPr="00B42BBE" w:rsidRDefault="0019762E" w:rsidP="00F50EF9">
            <w:pPr>
              <w:keepNext/>
              <w:jc w:val="left"/>
              <w:rPr>
                <w:rFonts w:ascii="Arial Narrow" w:hAnsi="Arial Narrow" w:cs="Calibri"/>
                <w:b/>
                <w:bCs/>
                <w:iCs/>
                <w:color w:val="000000"/>
                <w:sz w:val="20"/>
                <w:szCs w:val="20"/>
              </w:rPr>
            </w:pPr>
            <w:r w:rsidRPr="00B42BBE">
              <w:rPr>
                <w:rFonts w:ascii="Arial Narrow" w:hAnsi="Arial Narrow"/>
                <w:b/>
                <w:bCs/>
                <w:iCs/>
                <w:color w:val="000000"/>
                <w:sz w:val="20"/>
                <w:szCs w:val="20"/>
              </w:rPr>
              <w:t>Cost</w:t>
            </w:r>
            <w:r w:rsidR="003D2A99" w:rsidRPr="00B42BBE">
              <w:rPr>
                <w:rFonts w:ascii="Arial Narrow" w:hAnsi="Arial Narrow"/>
                <w:b/>
                <w:bCs/>
                <w:iCs/>
                <w:color w:val="000000"/>
                <w:sz w:val="20"/>
                <w:szCs w:val="20"/>
              </w:rPr>
              <w:t>-</w:t>
            </w:r>
            <w:r w:rsidRPr="00B42BBE">
              <w:rPr>
                <w:rFonts w:ascii="Arial Narrow" w:hAnsi="Arial Narrow"/>
                <w:b/>
                <w:bCs/>
                <w:iCs/>
                <w:color w:val="000000"/>
                <w:sz w:val="20"/>
                <w:szCs w:val="20"/>
              </w:rPr>
              <w:t>minimised price for FosLD/FosCD (base case: $</w:t>
            </w:r>
            <w:r w:rsidR="004B6FE2" w:rsidRPr="004B6FE2">
              <w:rPr>
                <w:rFonts w:ascii="Arial Narrow" w:hAnsi="Arial Narrow"/>
                <w:b/>
                <w:bCs/>
                <w:iCs/>
                <w:color w:val="000000"/>
                <w:spacing w:val="55"/>
                <w:sz w:val="20"/>
                <w:szCs w:val="20"/>
                <w:shd w:val="solid" w:color="000000" w:fill="000000"/>
                <w:fitText w:val="350" w:id="-930964208"/>
                <w14:textFill>
                  <w14:solidFill>
                    <w14:srgbClr w14:val="000000">
                      <w14:alpha w14:val="100000"/>
                    </w14:srgbClr>
                  </w14:solidFill>
                </w14:textFill>
              </w:rPr>
              <w:t>|||</w:t>
            </w:r>
            <w:r w:rsidR="004B6FE2" w:rsidRPr="004B6FE2">
              <w:rPr>
                <w:rFonts w:ascii="Arial Narrow" w:hAnsi="Arial Narrow"/>
                <w:b/>
                <w:bCs/>
                <w:iCs/>
                <w:color w:val="000000"/>
                <w:spacing w:val="2"/>
                <w:sz w:val="20"/>
                <w:szCs w:val="20"/>
                <w:shd w:val="solid" w:color="000000" w:fill="000000"/>
                <w:fitText w:val="350" w:id="-930964208"/>
                <w14:textFill>
                  <w14:solidFill>
                    <w14:srgbClr w14:val="000000">
                      <w14:alpha w14:val="100000"/>
                    </w14:srgbClr>
                  </w14:solidFill>
                </w14:textFill>
              </w:rPr>
              <w:t>|</w:t>
            </w:r>
            <w:r w:rsidRPr="00B42BBE">
              <w:rPr>
                <w:rFonts w:ascii="Arial Narrow" w:hAnsi="Arial Narrow"/>
                <w:b/>
                <w:bCs/>
                <w:iCs/>
                <w:color w:val="000000"/>
                <w:sz w:val="20"/>
                <w:szCs w:val="20"/>
              </w:rPr>
              <w:t>per pack)</w:t>
            </w:r>
          </w:p>
        </w:tc>
      </w:tr>
      <w:tr w:rsidR="0019762E" w:rsidRPr="00DD713F" w14:paraId="7CC31DB3" w14:textId="77777777" w:rsidTr="00F50EF9">
        <w:tc>
          <w:tcPr>
            <w:tcW w:w="1680" w:type="dxa"/>
            <w:shd w:val="clear" w:color="auto" w:fill="auto"/>
          </w:tcPr>
          <w:p w14:paraId="5AE9A4F8" w14:textId="0D30AB7F" w:rsidR="0019762E" w:rsidRPr="00022498" w:rsidRDefault="0019762E" w:rsidP="00F50EF9">
            <w:pPr>
              <w:keepNext/>
              <w:tabs>
                <w:tab w:val="left" w:pos="142"/>
              </w:tabs>
              <w:ind w:left="102" w:hanging="102"/>
              <w:jc w:val="left"/>
              <w:rPr>
                <w:rFonts w:ascii="Arial Narrow" w:hAnsi="Arial Narrow" w:cs="Calibri"/>
                <w:i/>
                <w:iCs/>
                <w:color w:val="000000"/>
                <w:sz w:val="20"/>
                <w:szCs w:val="20"/>
              </w:rPr>
            </w:pPr>
            <w:r w:rsidRPr="00B42BBE">
              <w:rPr>
                <w:rFonts w:ascii="Arial Narrow" w:hAnsi="Arial Narrow" w:cs="Calibri"/>
                <w:iCs/>
                <w:color w:val="000000"/>
                <w:sz w:val="20"/>
                <w:szCs w:val="20"/>
              </w:rPr>
              <w:tab/>
              <w:t>AR-DRG minor complexity: $</w:t>
            </w:r>
            <w:r w:rsidR="004B6FE2" w:rsidRPr="004B6FE2">
              <w:rPr>
                <w:rFonts w:ascii="Arial Narrow" w:hAnsi="Arial Narrow" w:cs="Calibri"/>
                <w:iCs/>
                <w:color w:val="000000"/>
                <w:spacing w:val="51"/>
                <w:sz w:val="20"/>
                <w:szCs w:val="20"/>
                <w:shd w:val="solid" w:color="000000" w:fill="000000"/>
                <w:fitText w:val="230" w:id="-930964224"/>
                <w14:textFill>
                  <w14:solidFill>
                    <w14:srgbClr w14:val="000000">
                      <w14:alpha w14:val="100000"/>
                    </w14:srgbClr>
                  </w14:solidFill>
                </w14:textFill>
              </w:rPr>
              <w:t>||</w:t>
            </w:r>
            <w:r w:rsidR="004B6FE2" w:rsidRPr="004B6FE2">
              <w:rPr>
                <w:rFonts w:ascii="Arial Narrow" w:hAnsi="Arial Narrow" w:cs="Calibri"/>
                <w:iCs/>
                <w:color w:val="000000"/>
                <w:spacing w:val="1"/>
                <w:sz w:val="20"/>
                <w:szCs w:val="20"/>
                <w:shd w:val="solid" w:color="000000" w:fill="000000"/>
                <w:fitText w:val="230" w:id="-930964224"/>
                <w14:textFill>
                  <w14:solidFill>
                    <w14:srgbClr w14:val="000000">
                      <w14:alpha w14:val="100000"/>
                    </w14:srgbClr>
                  </w14:solidFill>
                </w14:textFill>
              </w:rPr>
              <w:t>|</w:t>
            </w:r>
          </w:p>
        </w:tc>
        <w:tc>
          <w:tcPr>
            <w:tcW w:w="986" w:type="dxa"/>
            <w:shd w:val="clear" w:color="auto" w:fill="auto"/>
            <w:vAlign w:val="center"/>
          </w:tcPr>
          <w:p w14:paraId="506A9B3B" w14:textId="51CE5E0E" w:rsidR="0019762E" w:rsidRPr="004F7504" w:rsidRDefault="004B6FE2" w:rsidP="00F50EF9">
            <w:pPr>
              <w:keepNext/>
              <w:jc w:val="center"/>
              <w:rPr>
                <w:rFonts w:ascii="Arial Narrow" w:hAnsi="Arial Narrow" w:cs="Calibri"/>
                <w:i/>
                <w:iCs/>
                <w:sz w:val="20"/>
                <w:szCs w:val="20"/>
                <w:highlight w:val="darkGray"/>
              </w:rPr>
            </w:pPr>
            <w:r w:rsidRPr="004B6FE2">
              <w:rPr>
                <w:rFonts w:ascii="Arial Narrow" w:hAnsi="Arial Narrow" w:hint="eastAsia"/>
                <w:iCs/>
                <w:color w:val="000000"/>
                <w:w w:val="22"/>
                <w:sz w:val="20"/>
                <w:szCs w:val="20"/>
                <w:shd w:val="solid" w:color="000000" w:fill="000000"/>
                <w:fitText w:val="100" w:id="-930964223"/>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23"/>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23"/>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24D1F7CF" w14:textId="1F5A46A1" w:rsidR="0019762E" w:rsidRPr="004F7504" w:rsidRDefault="004B6FE2" w:rsidP="00F50EF9">
            <w:pPr>
              <w:keepNext/>
              <w:jc w:val="center"/>
              <w:rPr>
                <w:rFonts w:ascii="Arial Narrow" w:hAnsi="Arial Narrow" w:cs="Calibri"/>
                <w:i/>
                <w:iCs/>
                <w:sz w:val="20"/>
                <w:szCs w:val="20"/>
                <w:highlight w:val="darkGray"/>
              </w:rPr>
            </w:pPr>
            <w:r w:rsidRPr="004B6FE2">
              <w:rPr>
                <w:rFonts w:ascii="Arial Narrow" w:hAnsi="Arial Narrow" w:hint="eastAsia"/>
                <w:iCs/>
                <w:color w:val="000000"/>
                <w:w w:val="15"/>
                <w:sz w:val="20"/>
                <w:szCs w:val="20"/>
                <w:shd w:val="solid" w:color="000000" w:fill="000000"/>
                <w:fitText w:val="70" w:id="-930964222"/>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2"/>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261C7DB8" w14:textId="3EDF0A23" w:rsidR="0019762E" w:rsidRPr="004F7504" w:rsidRDefault="004B6FE2" w:rsidP="00F50EF9">
            <w:pPr>
              <w:keepNext/>
              <w:jc w:val="center"/>
              <w:rPr>
                <w:rFonts w:ascii="Arial Narrow" w:hAnsi="Arial Narrow" w:cs="Calibri"/>
                <w:i/>
                <w:iCs/>
                <w:sz w:val="20"/>
                <w:szCs w:val="20"/>
                <w:highlight w:val="darkGray"/>
              </w:rPr>
            </w:pPr>
            <w:r w:rsidRPr="004B6FE2">
              <w:rPr>
                <w:rFonts w:ascii="Arial Narrow" w:hAnsi="Arial Narrow" w:hint="eastAsia"/>
                <w:iCs/>
                <w:color w:val="000000"/>
                <w:w w:val="15"/>
                <w:sz w:val="20"/>
                <w:szCs w:val="20"/>
                <w:shd w:val="solid" w:color="000000" w:fill="000000"/>
                <w:fitText w:val="70" w:id="-930964221"/>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1"/>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1"/>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2E0FB431" w14:textId="520860BD" w:rsidR="0019762E" w:rsidRPr="004F7504" w:rsidRDefault="004B6FE2" w:rsidP="00F50EF9">
            <w:pPr>
              <w:keepNext/>
              <w:jc w:val="center"/>
              <w:rPr>
                <w:rFonts w:ascii="Arial Narrow" w:hAnsi="Arial Narrow" w:cs="Calibri"/>
                <w:i/>
                <w:iCs/>
                <w:sz w:val="20"/>
                <w:szCs w:val="20"/>
                <w:highlight w:val="darkGray"/>
              </w:rPr>
            </w:pPr>
            <w:r w:rsidRPr="004B6FE2">
              <w:rPr>
                <w:rFonts w:ascii="Arial Narrow" w:hAnsi="Arial Narrow" w:hint="eastAsia"/>
                <w:iCs/>
                <w:color w:val="000000"/>
                <w:w w:val="15"/>
                <w:sz w:val="20"/>
                <w:szCs w:val="20"/>
                <w:shd w:val="solid" w:color="000000" w:fill="000000"/>
                <w:fitText w:val="70" w:id="-930964220"/>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0"/>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0"/>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7" w:type="dxa"/>
            <w:shd w:val="clear" w:color="auto" w:fill="auto"/>
            <w:vAlign w:val="center"/>
          </w:tcPr>
          <w:p w14:paraId="2B80860E" w14:textId="358FCC87" w:rsidR="0019762E" w:rsidRPr="004F7504" w:rsidRDefault="004B6FE2" w:rsidP="00F50EF9">
            <w:pPr>
              <w:keepNext/>
              <w:jc w:val="center"/>
              <w:rPr>
                <w:rFonts w:ascii="Arial Narrow" w:hAnsi="Arial Narrow" w:cs="Calibri"/>
                <w:i/>
                <w:iCs/>
                <w:sz w:val="20"/>
                <w:szCs w:val="20"/>
                <w:highlight w:val="darkGray"/>
              </w:rPr>
            </w:pPr>
            <w:r w:rsidRPr="004B6FE2">
              <w:rPr>
                <w:rFonts w:ascii="Arial Narrow" w:hAnsi="Arial Narrow" w:hint="eastAsia"/>
                <w:iCs/>
                <w:color w:val="000000"/>
                <w:w w:val="15"/>
                <w:sz w:val="20"/>
                <w:szCs w:val="20"/>
                <w:shd w:val="solid" w:color="000000" w:fill="000000"/>
                <w:fitText w:val="60" w:id="-930964219"/>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19"/>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19"/>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7CA3A125" w14:textId="04CC4690" w:rsidR="0019762E" w:rsidRPr="004F7504" w:rsidRDefault="004B6FE2" w:rsidP="00F50EF9">
            <w:pPr>
              <w:keepNext/>
              <w:jc w:val="center"/>
              <w:rPr>
                <w:rFonts w:ascii="Arial Narrow" w:hAnsi="Arial Narrow" w:cs="Calibri"/>
                <w:i/>
                <w:iCs/>
                <w:sz w:val="20"/>
                <w:szCs w:val="20"/>
                <w:highlight w:val="darkGray"/>
              </w:rPr>
            </w:pPr>
            <w:r w:rsidRPr="004B6FE2">
              <w:rPr>
                <w:rFonts w:ascii="Arial Narrow" w:hAnsi="Arial Narrow" w:hint="eastAsia"/>
                <w:iCs/>
                <w:color w:val="000000"/>
                <w:w w:val="18"/>
                <w:sz w:val="20"/>
                <w:szCs w:val="20"/>
                <w:shd w:val="solid" w:color="000000" w:fill="000000"/>
                <w:fitText w:val="80" w:id="-930964218"/>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18"/>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18"/>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vAlign w:val="center"/>
          </w:tcPr>
          <w:p w14:paraId="2C6A1562" w14:textId="77777777" w:rsidR="0019762E" w:rsidRPr="00B42BBE" w:rsidRDefault="0019762E" w:rsidP="00F50EF9">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-4%</w:t>
            </w:r>
          </w:p>
        </w:tc>
      </w:tr>
      <w:tr w:rsidR="0019762E" w:rsidRPr="00DD713F" w14:paraId="56D8A7E9" w14:textId="77777777" w:rsidTr="00F50EF9">
        <w:tc>
          <w:tcPr>
            <w:tcW w:w="1680" w:type="dxa"/>
            <w:shd w:val="clear" w:color="auto" w:fill="auto"/>
          </w:tcPr>
          <w:p w14:paraId="3BF7DB24" w14:textId="09D3B0CF" w:rsidR="0019762E" w:rsidRPr="00022498" w:rsidRDefault="0019762E" w:rsidP="00F50EF9">
            <w:pPr>
              <w:keepNext/>
              <w:tabs>
                <w:tab w:val="left" w:pos="142"/>
              </w:tabs>
              <w:ind w:left="102" w:hanging="102"/>
              <w:jc w:val="left"/>
              <w:rPr>
                <w:rFonts w:ascii="Arial Narrow" w:hAnsi="Arial Narrow"/>
                <w:i/>
                <w:iCs/>
                <w:color w:val="000000"/>
                <w:sz w:val="20"/>
                <w:szCs w:val="20"/>
              </w:rPr>
            </w:pPr>
            <w:r w:rsidRPr="00B42BBE">
              <w:rPr>
                <w:rFonts w:ascii="Arial Narrow" w:hAnsi="Arial Narrow"/>
                <w:iCs/>
                <w:color w:val="000000"/>
                <w:sz w:val="20"/>
                <w:szCs w:val="20"/>
              </w:rPr>
              <w:tab/>
              <w:t>Treatment duration 4.13 years: $</w:t>
            </w:r>
            <w:r w:rsidR="004B6FE2" w:rsidRPr="004B6FE2">
              <w:rPr>
                <w:rFonts w:ascii="Arial Narrow" w:hAnsi="Arial Narrow"/>
                <w:iCs/>
                <w:color w:val="000000"/>
                <w:spacing w:val="51"/>
                <w:sz w:val="20"/>
                <w:szCs w:val="20"/>
                <w:shd w:val="solid" w:color="000000" w:fill="000000"/>
                <w:fitText w:val="230" w:id="-930964217"/>
                <w14:textFill>
                  <w14:solidFill>
                    <w14:srgbClr w14:val="000000">
                      <w14:alpha w14:val="100000"/>
                    </w14:srgbClr>
                  </w14:solidFill>
                </w14:textFill>
              </w:rPr>
              <w:t>||</w:t>
            </w:r>
            <w:r w:rsidR="004B6FE2" w:rsidRPr="004B6FE2">
              <w:rPr>
                <w:rFonts w:ascii="Arial Narrow" w:hAnsi="Arial Narrow"/>
                <w:iCs/>
                <w:color w:val="000000"/>
                <w:spacing w:val="1"/>
                <w:sz w:val="20"/>
                <w:szCs w:val="20"/>
                <w:shd w:val="solid" w:color="000000" w:fill="000000"/>
                <w:fitText w:val="230" w:id="-930964217"/>
                <w14:textFill>
                  <w14:solidFill>
                    <w14:srgbClr w14:val="000000">
                      <w14:alpha w14:val="100000"/>
                    </w14:srgbClr>
                  </w14:solidFill>
                </w14:textFill>
              </w:rPr>
              <w:t>|</w:t>
            </w:r>
          </w:p>
        </w:tc>
        <w:tc>
          <w:tcPr>
            <w:tcW w:w="986" w:type="dxa"/>
            <w:shd w:val="clear" w:color="auto" w:fill="auto"/>
            <w:vAlign w:val="center"/>
          </w:tcPr>
          <w:p w14:paraId="2E9EC8D3" w14:textId="54C9BF77"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22"/>
                <w:sz w:val="20"/>
                <w:szCs w:val="20"/>
                <w:shd w:val="solid" w:color="000000" w:fill="000000"/>
                <w:fitText w:val="100" w:id="-930964216"/>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16"/>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16"/>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1C8B0AD7" w14:textId="0EA158AE"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5"/>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5"/>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5"/>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1D2B98D3" w14:textId="4EE221D4"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4"/>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4"/>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4"/>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2C928B67" w14:textId="13AAF2C2"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3"/>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3"/>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3"/>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67" w:type="dxa"/>
            <w:shd w:val="clear" w:color="auto" w:fill="auto"/>
            <w:vAlign w:val="center"/>
          </w:tcPr>
          <w:p w14:paraId="0CFAC377" w14:textId="3FE2686D"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60" w:id="-930964212"/>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12"/>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1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0B2965EE" w14:textId="3C373BB8"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8"/>
                <w:sz w:val="20"/>
                <w:szCs w:val="20"/>
                <w:shd w:val="solid" w:color="000000" w:fill="000000"/>
                <w:fitText w:val="80" w:id="-930964211"/>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11"/>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11"/>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vAlign w:val="center"/>
          </w:tcPr>
          <w:p w14:paraId="4E3809B1" w14:textId="77777777" w:rsidR="0019762E" w:rsidRPr="00B42BBE" w:rsidRDefault="0019762E" w:rsidP="00F50EF9">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-12%</w:t>
            </w:r>
          </w:p>
        </w:tc>
      </w:tr>
      <w:tr w:rsidR="0019762E" w:rsidRPr="00DD713F" w14:paraId="5E47C4B7" w14:textId="77777777" w:rsidTr="00F50EF9">
        <w:tc>
          <w:tcPr>
            <w:tcW w:w="1680" w:type="dxa"/>
            <w:shd w:val="clear" w:color="auto" w:fill="auto"/>
          </w:tcPr>
          <w:p w14:paraId="50AE82F7" w14:textId="4BEF1A4F" w:rsidR="0019762E" w:rsidRPr="00022498" w:rsidRDefault="0019762E" w:rsidP="00F50EF9">
            <w:pPr>
              <w:keepNext/>
              <w:tabs>
                <w:tab w:val="left" w:pos="142"/>
              </w:tabs>
              <w:ind w:left="102" w:hanging="102"/>
              <w:jc w:val="left"/>
              <w:rPr>
                <w:rFonts w:ascii="Arial Narrow" w:hAnsi="Arial Narrow"/>
                <w:i/>
                <w:iCs/>
                <w:color w:val="000000"/>
                <w:sz w:val="20"/>
                <w:szCs w:val="20"/>
              </w:rPr>
            </w:pPr>
            <w:r w:rsidRPr="00B42BBE">
              <w:rPr>
                <w:rFonts w:ascii="Arial Narrow" w:hAnsi="Arial Narrow"/>
                <w:iCs/>
                <w:color w:val="000000"/>
                <w:sz w:val="20"/>
                <w:szCs w:val="20"/>
              </w:rPr>
              <w:tab/>
              <w:t>Treatment duration 10 years: $</w:t>
            </w:r>
            <w:r w:rsidR="004B6FE2" w:rsidRPr="004B6FE2">
              <w:rPr>
                <w:rFonts w:ascii="Arial Narrow" w:hAnsi="Arial Narrow"/>
                <w:iCs/>
                <w:color w:val="000000"/>
                <w:spacing w:val="51"/>
                <w:sz w:val="20"/>
                <w:szCs w:val="20"/>
                <w:shd w:val="solid" w:color="000000" w:fill="000000"/>
                <w:fitText w:val="230" w:id="-930964210"/>
                <w14:textFill>
                  <w14:solidFill>
                    <w14:srgbClr w14:val="000000">
                      <w14:alpha w14:val="100000"/>
                    </w14:srgbClr>
                  </w14:solidFill>
                </w14:textFill>
              </w:rPr>
              <w:t>||</w:t>
            </w:r>
            <w:r w:rsidR="004B6FE2" w:rsidRPr="004B6FE2">
              <w:rPr>
                <w:rFonts w:ascii="Arial Narrow" w:hAnsi="Arial Narrow"/>
                <w:iCs/>
                <w:color w:val="000000"/>
                <w:spacing w:val="1"/>
                <w:sz w:val="20"/>
                <w:szCs w:val="20"/>
                <w:shd w:val="solid" w:color="000000" w:fill="000000"/>
                <w:fitText w:val="230" w:id="-930964210"/>
                <w14:textFill>
                  <w14:solidFill>
                    <w14:srgbClr w14:val="000000">
                      <w14:alpha w14:val="100000"/>
                    </w14:srgbClr>
                  </w14:solidFill>
                </w14:textFill>
              </w:rPr>
              <w:t>|</w:t>
            </w:r>
          </w:p>
        </w:tc>
        <w:tc>
          <w:tcPr>
            <w:tcW w:w="986" w:type="dxa"/>
            <w:shd w:val="clear" w:color="auto" w:fill="auto"/>
            <w:vAlign w:val="center"/>
          </w:tcPr>
          <w:p w14:paraId="51E31818" w14:textId="73DFC01B"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22"/>
                <w:sz w:val="20"/>
                <w:szCs w:val="20"/>
                <w:shd w:val="solid" w:color="000000" w:fill="000000"/>
                <w:fitText w:val="100" w:id="-930964209"/>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09"/>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09"/>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10202CCF" w14:textId="2508EA7F"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08"/>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08"/>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08"/>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3D63BDBE" w14:textId="54236508"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24"/>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4"/>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4"/>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3672F2DF" w14:textId="071B1656"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23"/>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3"/>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3"/>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67" w:type="dxa"/>
            <w:shd w:val="clear" w:color="auto" w:fill="auto"/>
            <w:vAlign w:val="center"/>
          </w:tcPr>
          <w:p w14:paraId="72DC2E79" w14:textId="58DC2B94"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60" w:id="-930964222"/>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22"/>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2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03EFD385" w14:textId="60FC90DB"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8"/>
                <w:sz w:val="20"/>
                <w:szCs w:val="20"/>
                <w:shd w:val="solid" w:color="000000" w:fill="000000"/>
                <w:fitText w:val="80" w:id="-930964221"/>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21"/>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21"/>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vAlign w:val="center"/>
          </w:tcPr>
          <w:p w14:paraId="229236A9" w14:textId="77777777" w:rsidR="0019762E" w:rsidRPr="00B42BBE" w:rsidRDefault="0019762E" w:rsidP="00F50EF9">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-18%</w:t>
            </w:r>
          </w:p>
        </w:tc>
      </w:tr>
      <w:tr w:rsidR="0019762E" w:rsidRPr="00DD713F" w14:paraId="05FCC743" w14:textId="77777777" w:rsidTr="00F50EF9">
        <w:tc>
          <w:tcPr>
            <w:tcW w:w="1680" w:type="dxa"/>
            <w:shd w:val="clear" w:color="auto" w:fill="auto"/>
          </w:tcPr>
          <w:p w14:paraId="025279B9" w14:textId="480EBC25" w:rsidR="0019762E" w:rsidRPr="00022498" w:rsidRDefault="0019762E" w:rsidP="00F50EF9">
            <w:pPr>
              <w:keepNext/>
              <w:tabs>
                <w:tab w:val="left" w:pos="142"/>
              </w:tabs>
              <w:ind w:left="102" w:hanging="102"/>
              <w:jc w:val="left"/>
              <w:rPr>
                <w:rFonts w:ascii="Arial Narrow" w:hAnsi="Arial Narrow"/>
                <w:i/>
                <w:iCs/>
                <w:color w:val="000000"/>
                <w:sz w:val="20"/>
                <w:szCs w:val="20"/>
              </w:rPr>
            </w:pPr>
            <w:r w:rsidRPr="00B42BBE">
              <w:rPr>
                <w:rFonts w:ascii="Arial Narrow" w:hAnsi="Arial Narrow"/>
                <w:iCs/>
                <w:color w:val="000000"/>
                <w:sz w:val="20"/>
                <w:szCs w:val="20"/>
              </w:rPr>
              <w:tab/>
              <w:t>Treatment duration 4.13 years and AR-DRG minor: $</w:t>
            </w:r>
            <w:r w:rsidR="004B6FE2" w:rsidRPr="004B6FE2">
              <w:rPr>
                <w:rFonts w:ascii="Arial Narrow" w:hAnsi="Arial Narrow"/>
                <w:iCs/>
                <w:color w:val="000000"/>
                <w:spacing w:val="51"/>
                <w:sz w:val="20"/>
                <w:szCs w:val="20"/>
                <w:shd w:val="solid" w:color="000000" w:fill="000000"/>
                <w:fitText w:val="230" w:id="-930964220"/>
                <w14:textFill>
                  <w14:solidFill>
                    <w14:srgbClr w14:val="000000">
                      <w14:alpha w14:val="100000"/>
                    </w14:srgbClr>
                  </w14:solidFill>
                </w14:textFill>
              </w:rPr>
              <w:t>||</w:t>
            </w:r>
            <w:r w:rsidR="004B6FE2" w:rsidRPr="004B6FE2">
              <w:rPr>
                <w:rFonts w:ascii="Arial Narrow" w:hAnsi="Arial Narrow"/>
                <w:iCs/>
                <w:color w:val="000000"/>
                <w:spacing w:val="1"/>
                <w:sz w:val="20"/>
                <w:szCs w:val="20"/>
                <w:shd w:val="solid" w:color="000000" w:fill="000000"/>
                <w:fitText w:val="230" w:id="-930964220"/>
                <w14:textFill>
                  <w14:solidFill>
                    <w14:srgbClr w14:val="000000">
                      <w14:alpha w14:val="100000"/>
                    </w14:srgbClr>
                  </w14:solidFill>
                </w14:textFill>
              </w:rPr>
              <w:t>|</w:t>
            </w:r>
          </w:p>
        </w:tc>
        <w:tc>
          <w:tcPr>
            <w:tcW w:w="986" w:type="dxa"/>
            <w:shd w:val="clear" w:color="auto" w:fill="auto"/>
            <w:vAlign w:val="center"/>
          </w:tcPr>
          <w:p w14:paraId="31146E7F" w14:textId="258DC052"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22"/>
                <w:sz w:val="20"/>
                <w:szCs w:val="20"/>
                <w:shd w:val="solid" w:color="000000" w:fill="000000"/>
                <w:fitText w:val="100" w:id="-930964219"/>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19"/>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19"/>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77DFD221" w14:textId="66FC2812"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8"/>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8"/>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8"/>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608D4495" w14:textId="527BD834"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7"/>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7"/>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7"/>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268CE711" w14:textId="0C6714D8"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6"/>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6"/>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6"/>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67" w:type="dxa"/>
            <w:shd w:val="clear" w:color="auto" w:fill="auto"/>
            <w:vAlign w:val="center"/>
          </w:tcPr>
          <w:p w14:paraId="06892FFA" w14:textId="6C5D3668"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60" w:id="-930964215"/>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15"/>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15"/>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58023128" w14:textId="7CDA0876"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8"/>
                <w:sz w:val="20"/>
                <w:szCs w:val="20"/>
                <w:shd w:val="solid" w:color="000000" w:fill="000000"/>
                <w:fitText w:val="80" w:id="-930964214"/>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14"/>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14"/>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vAlign w:val="center"/>
          </w:tcPr>
          <w:p w14:paraId="6724B33B" w14:textId="77777777" w:rsidR="0019762E" w:rsidRPr="00B42BBE" w:rsidRDefault="0019762E" w:rsidP="00F50EF9">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-13%</w:t>
            </w:r>
          </w:p>
        </w:tc>
      </w:tr>
      <w:tr w:rsidR="0019762E" w:rsidRPr="00DD713F" w14:paraId="6C3305FA" w14:textId="77777777" w:rsidTr="00F50EF9">
        <w:tc>
          <w:tcPr>
            <w:tcW w:w="1680" w:type="dxa"/>
            <w:shd w:val="clear" w:color="auto" w:fill="auto"/>
          </w:tcPr>
          <w:p w14:paraId="6109F172" w14:textId="70011FD2" w:rsidR="0019762E" w:rsidRPr="00022498" w:rsidRDefault="0019762E" w:rsidP="00F50EF9">
            <w:pPr>
              <w:keepNext/>
              <w:tabs>
                <w:tab w:val="left" w:pos="142"/>
              </w:tabs>
              <w:ind w:left="102" w:hanging="102"/>
              <w:jc w:val="left"/>
              <w:rPr>
                <w:rFonts w:ascii="Arial Narrow" w:hAnsi="Arial Narrow" w:cs="Calibri"/>
                <w:i/>
                <w:iCs/>
                <w:color w:val="000000"/>
                <w:sz w:val="20"/>
                <w:szCs w:val="20"/>
              </w:rPr>
            </w:pPr>
            <w:r w:rsidRPr="00B42BBE">
              <w:rPr>
                <w:rFonts w:ascii="Arial Narrow" w:hAnsi="Arial Narrow" w:cs="Calibri"/>
                <w:iCs/>
                <w:color w:val="000000"/>
                <w:sz w:val="20"/>
                <w:szCs w:val="20"/>
              </w:rPr>
              <w:tab/>
              <w:t>$1,000</w:t>
            </w:r>
            <w:r w:rsidR="00114DF1" w:rsidRPr="00B42BBE">
              <w:rPr>
                <w:rFonts w:ascii="Arial Narrow" w:hAnsi="Arial Narrow" w:cs="Calibri"/>
                <w:iCs/>
                <w:color w:val="000000"/>
                <w:sz w:val="20"/>
                <w:szCs w:val="20"/>
              </w:rPr>
              <w:t xml:space="preserve"> initiation cost for LCIG: $</w:t>
            </w:r>
            <w:r w:rsidR="004B6FE2" w:rsidRPr="004B6FE2">
              <w:rPr>
                <w:rFonts w:ascii="Arial Narrow" w:hAnsi="Arial Narrow" w:cs="Calibri"/>
                <w:iCs/>
                <w:color w:val="000000"/>
                <w:spacing w:val="51"/>
                <w:sz w:val="20"/>
                <w:szCs w:val="20"/>
                <w:shd w:val="solid" w:color="000000" w:fill="000000"/>
                <w:fitText w:val="230" w:id="-930964213"/>
                <w14:textFill>
                  <w14:solidFill>
                    <w14:srgbClr w14:val="000000">
                      <w14:alpha w14:val="100000"/>
                    </w14:srgbClr>
                  </w14:solidFill>
                </w14:textFill>
              </w:rPr>
              <w:t>||</w:t>
            </w:r>
            <w:r w:rsidR="004B6FE2" w:rsidRPr="004B6FE2">
              <w:rPr>
                <w:rFonts w:ascii="Arial Narrow" w:hAnsi="Arial Narrow" w:cs="Calibri"/>
                <w:iCs/>
                <w:color w:val="000000"/>
                <w:spacing w:val="1"/>
                <w:sz w:val="20"/>
                <w:szCs w:val="20"/>
                <w:shd w:val="solid" w:color="000000" w:fill="000000"/>
                <w:fitText w:val="230" w:id="-930964213"/>
                <w14:textFill>
                  <w14:solidFill>
                    <w14:srgbClr w14:val="000000">
                      <w14:alpha w14:val="100000"/>
                    </w14:srgbClr>
                  </w14:solidFill>
                </w14:textFill>
              </w:rPr>
              <w:t>|</w:t>
            </w:r>
          </w:p>
        </w:tc>
        <w:tc>
          <w:tcPr>
            <w:tcW w:w="986" w:type="dxa"/>
            <w:shd w:val="clear" w:color="auto" w:fill="auto"/>
            <w:vAlign w:val="center"/>
          </w:tcPr>
          <w:p w14:paraId="558082C5" w14:textId="63F15579"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22"/>
                <w:sz w:val="20"/>
                <w:szCs w:val="20"/>
                <w:shd w:val="solid" w:color="000000" w:fill="000000"/>
                <w:fitText w:val="100" w:id="-930964212"/>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12"/>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1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3E25B009" w14:textId="19EC163D"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1"/>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1"/>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1"/>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46DF1566" w14:textId="0056FB4B"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0"/>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0"/>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0"/>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7744B282" w14:textId="7EFB60CC"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09"/>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09"/>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09"/>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67" w:type="dxa"/>
            <w:shd w:val="clear" w:color="auto" w:fill="auto"/>
            <w:vAlign w:val="center"/>
          </w:tcPr>
          <w:p w14:paraId="218117DE" w14:textId="584E3447"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60" w:id="-930964208"/>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08"/>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08"/>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707D7630" w14:textId="7504BF8A"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8"/>
                <w:sz w:val="20"/>
                <w:szCs w:val="20"/>
                <w:shd w:val="solid" w:color="000000" w:fill="000000"/>
                <w:fitText w:val="80" w:id="-930964224"/>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24"/>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24"/>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998" w:type="dxa"/>
          </w:tcPr>
          <w:p w14:paraId="182C07C6" w14:textId="77777777" w:rsidR="0019762E" w:rsidRPr="00B42BBE" w:rsidRDefault="0019762E" w:rsidP="00F50EF9">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-21%</w:t>
            </w:r>
          </w:p>
        </w:tc>
      </w:tr>
      <w:tr w:rsidR="0019762E" w:rsidRPr="00DD713F" w14:paraId="63CA9268" w14:textId="77777777" w:rsidTr="00F50EF9">
        <w:tc>
          <w:tcPr>
            <w:tcW w:w="1680" w:type="dxa"/>
            <w:shd w:val="clear" w:color="auto" w:fill="auto"/>
          </w:tcPr>
          <w:p w14:paraId="7C7939DC" w14:textId="436E1BD9" w:rsidR="0019762E" w:rsidRPr="00022498" w:rsidRDefault="0019762E" w:rsidP="00F50EF9">
            <w:pPr>
              <w:keepNext/>
              <w:tabs>
                <w:tab w:val="left" w:pos="142"/>
              </w:tabs>
              <w:ind w:left="102" w:hanging="102"/>
              <w:jc w:val="left"/>
              <w:rPr>
                <w:rFonts w:ascii="Arial Narrow" w:hAnsi="Arial Narrow"/>
                <w:i/>
                <w:iCs/>
                <w:color w:val="000000"/>
                <w:sz w:val="20"/>
                <w:szCs w:val="20"/>
              </w:rPr>
            </w:pPr>
            <w:r w:rsidRPr="00B42BBE">
              <w:rPr>
                <w:rFonts w:ascii="Arial Narrow" w:hAnsi="Arial Narrow"/>
                <w:iCs/>
                <w:color w:val="000000"/>
                <w:sz w:val="20"/>
                <w:szCs w:val="20"/>
              </w:rPr>
              <w:tab/>
              <w:t>$5,000</w:t>
            </w:r>
            <w:r w:rsidR="00114DF1" w:rsidRPr="00B42BBE">
              <w:rPr>
                <w:rFonts w:ascii="Arial Narrow" w:hAnsi="Arial Narrow"/>
                <w:iCs/>
                <w:color w:val="000000"/>
                <w:sz w:val="20"/>
                <w:szCs w:val="20"/>
              </w:rPr>
              <w:t xml:space="preserve"> initiation cost for LCIG: $</w:t>
            </w:r>
            <w:r w:rsidR="004B6FE2" w:rsidRPr="004B6FE2">
              <w:rPr>
                <w:rFonts w:ascii="Arial Narrow" w:hAnsi="Arial Narrow"/>
                <w:iCs/>
                <w:color w:val="000000"/>
                <w:spacing w:val="51"/>
                <w:sz w:val="20"/>
                <w:szCs w:val="20"/>
                <w:shd w:val="solid" w:color="000000" w:fill="000000"/>
                <w:fitText w:val="230" w:id="-930964223"/>
                <w14:textFill>
                  <w14:solidFill>
                    <w14:srgbClr w14:val="000000">
                      <w14:alpha w14:val="100000"/>
                    </w14:srgbClr>
                  </w14:solidFill>
                </w14:textFill>
              </w:rPr>
              <w:t>||</w:t>
            </w:r>
            <w:r w:rsidR="004B6FE2" w:rsidRPr="004B6FE2">
              <w:rPr>
                <w:rFonts w:ascii="Arial Narrow" w:hAnsi="Arial Narrow"/>
                <w:iCs/>
                <w:color w:val="000000"/>
                <w:spacing w:val="1"/>
                <w:sz w:val="20"/>
                <w:szCs w:val="20"/>
                <w:shd w:val="solid" w:color="000000" w:fill="000000"/>
                <w:fitText w:val="230" w:id="-930964223"/>
                <w14:textFill>
                  <w14:solidFill>
                    <w14:srgbClr w14:val="000000">
                      <w14:alpha w14:val="100000"/>
                    </w14:srgbClr>
                  </w14:solidFill>
                </w14:textFill>
              </w:rPr>
              <w:t>|</w:t>
            </w:r>
          </w:p>
        </w:tc>
        <w:tc>
          <w:tcPr>
            <w:tcW w:w="986" w:type="dxa"/>
            <w:shd w:val="clear" w:color="auto" w:fill="auto"/>
            <w:vAlign w:val="center"/>
          </w:tcPr>
          <w:p w14:paraId="51AD9871" w14:textId="233DD525"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22"/>
                <w:sz w:val="20"/>
                <w:szCs w:val="20"/>
                <w:shd w:val="solid" w:color="000000" w:fill="000000"/>
                <w:fitText w:val="100" w:id="-930964222"/>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22"/>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2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0BBE1A12" w14:textId="66FF7ED7"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21"/>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1"/>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1"/>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16FAD10D" w14:textId="12381217"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20"/>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0"/>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0"/>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2F328F27" w14:textId="23FCC755"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19"/>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9"/>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9"/>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67" w:type="dxa"/>
            <w:shd w:val="clear" w:color="auto" w:fill="auto"/>
            <w:vAlign w:val="center"/>
          </w:tcPr>
          <w:p w14:paraId="41AAA42F" w14:textId="51CB08E1"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60" w:id="-930964218"/>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18"/>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18"/>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4A6970D2" w14:textId="32E1BC34"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8"/>
                <w:sz w:val="20"/>
                <w:szCs w:val="20"/>
                <w:shd w:val="solid" w:color="000000" w:fill="000000"/>
                <w:fitText w:val="80" w:id="-930964217"/>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17"/>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17"/>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tcPr>
          <w:p w14:paraId="4A1A08A6" w14:textId="77777777" w:rsidR="0019762E" w:rsidRPr="00B42BBE" w:rsidRDefault="0019762E" w:rsidP="00F50EF9">
            <w:pPr>
              <w:keepNext/>
              <w:jc w:val="center"/>
              <w:rPr>
                <w:rFonts w:ascii="Arial Narrow" w:hAnsi="Arial Narrow" w:cs="Calibri"/>
                <w:iCs/>
                <w:color w:val="000000"/>
                <w:sz w:val="20"/>
                <w:szCs w:val="20"/>
              </w:rPr>
            </w:pPr>
            <w:r w:rsidRPr="00B42BBE">
              <w:rPr>
                <w:rFonts w:ascii="Arial Narrow" w:hAnsi="Arial Narrow" w:cs="Calibri"/>
                <w:iCs/>
                <w:color w:val="000000"/>
                <w:sz w:val="20"/>
                <w:szCs w:val="20"/>
              </w:rPr>
              <w:t>-15%</w:t>
            </w:r>
          </w:p>
        </w:tc>
      </w:tr>
      <w:tr w:rsidR="0019762E" w:rsidRPr="00377044" w14:paraId="067B4FE4" w14:textId="77777777" w:rsidTr="00F50EF9">
        <w:tc>
          <w:tcPr>
            <w:tcW w:w="9016" w:type="dxa"/>
            <w:gridSpan w:val="8"/>
            <w:shd w:val="clear" w:color="auto" w:fill="auto"/>
          </w:tcPr>
          <w:p w14:paraId="6D5F9245" w14:textId="77777777" w:rsidR="0019762E" w:rsidRPr="00EC3730" w:rsidRDefault="0019762E" w:rsidP="00F50EF9">
            <w:pPr>
              <w:keepNext/>
              <w:jc w:val="left"/>
              <w:rPr>
                <w:rFonts w:ascii="Arial Narrow" w:hAnsi="Arial Narrow" w:cs="Calibri"/>
                <w:b/>
                <w:bCs/>
                <w:color w:val="000000"/>
                <w:sz w:val="20"/>
                <w:szCs w:val="20"/>
              </w:rPr>
            </w:pPr>
            <w:r w:rsidRPr="00EC3730">
              <w:rPr>
                <w:rFonts w:ascii="Arial Narrow" w:hAnsi="Arial Narrow"/>
                <w:b/>
                <w:bCs/>
                <w:color w:val="000000"/>
                <w:sz w:val="20"/>
                <w:szCs w:val="20"/>
              </w:rPr>
              <w:t>Treatment continuation (base case: 85% for LCIG; 65% in Year 1 and 89% in Years 2 – 6 for FosLD/FosCD; 65% for grandfathered patients)</w:t>
            </w:r>
          </w:p>
        </w:tc>
      </w:tr>
      <w:tr w:rsidR="0019762E" w:rsidRPr="00E75EB4" w14:paraId="7A66A5C6" w14:textId="77777777" w:rsidTr="00F50EF9">
        <w:tc>
          <w:tcPr>
            <w:tcW w:w="1680" w:type="dxa"/>
            <w:shd w:val="clear" w:color="auto" w:fill="auto"/>
          </w:tcPr>
          <w:p w14:paraId="43B483D1" w14:textId="77777777" w:rsidR="0019762E" w:rsidRPr="00EC3730" w:rsidRDefault="0019762E" w:rsidP="00F50EF9">
            <w:pPr>
              <w:keepNext/>
              <w:tabs>
                <w:tab w:val="left" w:pos="142"/>
              </w:tabs>
              <w:ind w:left="102" w:hanging="102"/>
              <w:jc w:val="left"/>
              <w:rPr>
                <w:rFonts w:ascii="Arial Narrow" w:hAnsi="Arial Narrow" w:cs="Calibri"/>
                <w:color w:val="000000"/>
                <w:sz w:val="20"/>
                <w:szCs w:val="20"/>
              </w:rPr>
            </w:pPr>
            <w:r w:rsidRPr="00EC3730">
              <w:rPr>
                <w:rFonts w:ascii="Arial Narrow" w:hAnsi="Arial Narrow"/>
                <w:color w:val="000000"/>
                <w:sz w:val="20"/>
                <w:szCs w:val="20"/>
              </w:rPr>
              <w:tab/>
              <w:t>90% all patients</w:t>
            </w:r>
          </w:p>
        </w:tc>
        <w:tc>
          <w:tcPr>
            <w:tcW w:w="986" w:type="dxa"/>
            <w:shd w:val="clear" w:color="auto" w:fill="auto"/>
            <w:vAlign w:val="center"/>
          </w:tcPr>
          <w:p w14:paraId="7F31C648" w14:textId="43530EDF" w:rsidR="0019762E" w:rsidRPr="004F7504" w:rsidRDefault="004B6FE2" w:rsidP="00F50EF9">
            <w:pPr>
              <w:keepNext/>
              <w:jc w:val="center"/>
              <w:rPr>
                <w:rFonts w:ascii="Arial Narrow" w:hAnsi="Arial Narrow"/>
                <w:i/>
                <w:iCs/>
                <w:color w:val="000000"/>
                <w:sz w:val="20"/>
                <w:szCs w:val="20"/>
                <w:highlight w:val="darkGray"/>
              </w:rPr>
            </w:pPr>
            <w:r w:rsidRPr="004B6FE2">
              <w:rPr>
                <w:rFonts w:ascii="Arial Narrow" w:hAnsi="Arial Narrow" w:hint="eastAsia"/>
                <w:iCs/>
                <w:color w:val="000000"/>
                <w:w w:val="22"/>
                <w:sz w:val="20"/>
                <w:szCs w:val="20"/>
                <w:shd w:val="solid" w:color="000000" w:fill="000000"/>
                <w:fitText w:val="100" w:id="-930964216"/>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16"/>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16"/>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3390C4CC" w14:textId="23FE7153" w:rsidR="0019762E" w:rsidRPr="004F7504" w:rsidRDefault="004B6FE2" w:rsidP="00F50EF9">
            <w:pPr>
              <w:keepNext/>
              <w:jc w:val="center"/>
              <w:rPr>
                <w:rFonts w:ascii="Arial Narrow" w:hAnsi="Arial Narrow"/>
                <w:i/>
                <w:iCs/>
                <w:color w:val="000000"/>
                <w:sz w:val="20"/>
                <w:szCs w:val="20"/>
                <w:highlight w:val="darkGray"/>
              </w:rPr>
            </w:pPr>
            <w:r w:rsidRPr="004B6FE2">
              <w:rPr>
                <w:rFonts w:ascii="Arial Narrow" w:hAnsi="Arial Narrow" w:hint="eastAsia"/>
                <w:iCs/>
                <w:color w:val="000000"/>
                <w:w w:val="15"/>
                <w:sz w:val="20"/>
                <w:szCs w:val="20"/>
                <w:shd w:val="solid" w:color="000000" w:fill="000000"/>
                <w:fitText w:val="70" w:id="-930964215"/>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5"/>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5"/>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53DA9DB3" w14:textId="78B3602C" w:rsidR="0019762E" w:rsidRPr="004F7504" w:rsidRDefault="004B6FE2" w:rsidP="00F50EF9">
            <w:pPr>
              <w:keepNext/>
              <w:jc w:val="center"/>
              <w:rPr>
                <w:rFonts w:ascii="Arial Narrow" w:hAnsi="Arial Narrow"/>
                <w:i/>
                <w:iCs/>
                <w:color w:val="000000"/>
                <w:sz w:val="20"/>
                <w:szCs w:val="20"/>
                <w:highlight w:val="darkGray"/>
              </w:rPr>
            </w:pPr>
            <w:r w:rsidRPr="004B6FE2">
              <w:rPr>
                <w:rFonts w:ascii="Arial Narrow" w:hAnsi="Arial Narrow" w:hint="eastAsia"/>
                <w:iCs/>
                <w:color w:val="000000"/>
                <w:w w:val="15"/>
                <w:sz w:val="20"/>
                <w:szCs w:val="20"/>
                <w:shd w:val="solid" w:color="000000" w:fill="000000"/>
                <w:fitText w:val="70" w:id="-930964214"/>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4"/>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4"/>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04E0C2D5" w14:textId="2FD74250" w:rsidR="0019762E" w:rsidRPr="004F7504" w:rsidRDefault="004B6FE2" w:rsidP="00F50EF9">
            <w:pPr>
              <w:keepNext/>
              <w:jc w:val="center"/>
              <w:rPr>
                <w:rFonts w:ascii="Arial Narrow" w:hAnsi="Arial Narrow"/>
                <w:i/>
                <w:iCs/>
                <w:color w:val="000000"/>
                <w:sz w:val="20"/>
                <w:szCs w:val="20"/>
                <w:highlight w:val="darkGray"/>
              </w:rPr>
            </w:pPr>
            <w:r w:rsidRPr="004B6FE2">
              <w:rPr>
                <w:rFonts w:ascii="Arial Narrow" w:hAnsi="Arial Narrow" w:hint="eastAsia"/>
                <w:iCs/>
                <w:color w:val="000000"/>
                <w:w w:val="15"/>
                <w:sz w:val="20"/>
                <w:szCs w:val="20"/>
                <w:shd w:val="solid" w:color="000000" w:fill="000000"/>
                <w:fitText w:val="70" w:id="-930964213"/>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13"/>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13"/>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7" w:type="dxa"/>
            <w:shd w:val="clear" w:color="auto" w:fill="auto"/>
            <w:vAlign w:val="center"/>
          </w:tcPr>
          <w:p w14:paraId="3D9F20F3" w14:textId="44187705" w:rsidR="0019762E" w:rsidRPr="004F7504" w:rsidRDefault="004B6FE2" w:rsidP="00F50EF9">
            <w:pPr>
              <w:keepNext/>
              <w:jc w:val="center"/>
              <w:rPr>
                <w:rFonts w:ascii="Arial Narrow" w:hAnsi="Arial Narrow"/>
                <w:i/>
                <w:iCs/>
                <w:color w:val="000000"/>
                <w:sz w:val="20"/>
                <w:szCs w:val="20"/>
                <w:highlight w:val="darkGray"/>
              </w:rPr>
            </w:pPr>
            <w:r w:rsidRPr="004B6FE2">
              <w:rPr>
                <w:rFonts w:ascii="Arial Narrow" w:hAnsi="Arial Narrow" w:hint="eastAsia"/>
                <w:iCs/>
                <w:color w:val="000000"/>
                <w:w w:val="15"/>
                <w:sz w:val="20"/>
                <w:szCs w:val="20"/>
                <w:shd w:val="solid" w:color="000000" w:fill="000000"/>
                <w:fitText w:val="60" w:id="-930964212"/>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12"/>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12"/>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0" w:type="dxa"/>
            <w:shd w:val="clear" w:color="auto" w:fill="auto"/>
            <w:vAlign w:val="center"/>
          </w:tcPr>
          <w:p w14:paraId="1CBFCD44" w14:textId="69526C59" w:rsidR="0019762E" w:rsidRPr="004F7504" w:rsidRDefault="004B6FE2" w:rsidP="00F50EF9">
            <w:pPr>
              <w:keepNext/>
              <w:jc w:val="center"/>
              <w:rPr>
                <w:rFonts w:ascii="Arial Narrow" w:hAnsi="Arial Narrow"/>
                <w:iCs/>
                <w:color w:val="000000"/>
                <w:sz w:val="20"/>
                <w:szCs w:val="20"/>
                <w:highlight w:val="darkGray"/>
              </w:rPr>
            </w:pPr>
            <w:r w:rsidRPr="004B6FE2">
              <w:rPr>
                <w:rFonts w:ascii="Arial Narrow" w:hAnsi="Arial Narrow" w:hint="eastAsia"/>
                <w:iCs/>
                <w:color w:val="000000"/>
                <w:w w:val="18"/>
                <w:sz w:val="20"/>
                <w:szCs w:val="20"/>
                <w:shd w:val="solid" w:color="000000" w:fill="000000"/>
                <w:fitText w:val="80" w:id="-930964211"/>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11"/>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11"/>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tcPr>
          <w:p w14:paraId="05326C05" w14:textId="77777777" w:rsidR="0019762E" w:rsidRPr="00EC3730" w:rsidRDefault="0019762E" w:rsidP="00F50EF9">
            <w:pPr>
              <w:keepNext/>
              <w:jc w:val="center"/>
              <w:rPr>
                <w:rFonts w:ascii="Arial Narrow" w:hAnsi="Arial Narrow" w:cs="Calibri"/>
                <w:color w:val="000000"/>
                <w:sz w:val="20"/>
                <w:szCs w:val="20"/>
              </w:rPr>
            </w:pPr>
            <w:r w:rsidRPr="00EC3730">
              <w:rPr>
                <w:rFonts w:ascii="Arial Narrow" w:hAnsi="Arial Narrow" w:cs="Calibri"/>
                <w:color w:val="000000"/>
                <w:sz w:val="20"/>
                <w:szCs w:val="20"/>
              </w:rPr>
              <w:t>+11%</w:t>
            </w:r>
          </w:p>
        </w:tc>
      </w:tr>
      <w:tr w:rsidR="0019762E" w:rsidRPr="00E75EB4" w14:paraId="1ED4B0D8" w14:textId="77777777" w:rsidTr="00F50EF9">
        <w:tc>
          <w:tcPr>
            <w:tcW w:w="1680" w:type="dxa"/>
            <w:shd w:val="clear" w:color="auto" w:fill="auto"/>
          </w:tcPr>
          <w:p w14:paraId="4EF29257" w14:textId="77777777" w:rsidR="0019762E" w:rsidRPr="00EC3730" w:rsidRDefault="0019762E" w:rsidP="00F50EF9">
            <w:pPr>
              <w:keepNext/>
              <w:tabs>
                <w:tab w:val="left" w:pos="142"/>
              </w:tabs>
              <w:ind w:left="102" w:hanging="102"/>
              <w:jc w:val="left"/>
              <w:rPr>
                <w:rFonts w:ascii="Arial Narrow" w:hAnsi="Arial Narrow" w:cs="Calibri"/>
                <w:color w:val="000000"/>
                <w:sz w:val="20"/>
                <w:szCs w:val="20"/>
              </w:rPr>
            </w:pPr>
            <w:r w:rsidRPr="00EC3730">
              <w:rPr>
                <w:rFonts w:ascii="Arial Narrow" w:hAnsi="Arial Narrow"/>
                <w:color w:val="000000"/>
                <w:sz w:val="20"/>
                <w:szCs w:val="20"/>
              </w:rPr>
              <w:tab/>
              <w:t>100% all patients</w:t>
            </w:r>
          </w:p>
        </w:tc>
        <w:tc>
          <w:tcPr>
            <w:tcW w:w="986" w:type="dxa"/>
            <w:shd w:val="clear" w:color="auto" w:fill="auto"/>
            <w:vAlign w:val="center"/>
          </w:tcPr>
          <w:p w14:paraId="4AE505B9" w14:textId="3295A4B4"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22"/>
                <w:sz w:val="20"/>
                <w:szCs w:val="20"/>
                <w:shd w:val="solid" w:color="000000" w:fill="000000"/>
                <w:fitText w:val="100" w:id="-930964210"/>
                <w14:textFill>
                  <w14:solidFill>
                    <w14:srgbClr w14:val="000000">
                      <w14:alpha w14:val="100000"/>
                    </w14:srgbClr>
                  </w14:solidFill>
                </w14:textFill>
              </w:rPr>
              <w:t xml:space="preserve">　</w:t>
            </w:r>
            <w:r w:rsidRPr="004B6FE2">
              <w:rPr>
                <w:rFonts w:ascii="Arial Narrow" w:hAnsi="Arial Narrow"/>
                <w:iCs/>
                <w:color w:val="000000"/>
                <w:w w:val="22"/>
                <w:sz w:val="20"/>
                <w:szCs w:val="20"/>
                <w:shd w:val="solid" w:color="000000" w:fill="000000"/>
                <w:fitText w:val="100" w:id="-930964210"/>
                <w14:textFill>
                  <w14:solidFill>
                    <w14:srgbClr w14:val="000000">
                      <w14:alpha w14:val="100000"/>
                    </w14:srgbClr>
                  </w14:solidFill>
                </w14:textFill>
              </w:rPr>
              <w:t>|</w:t>
            </w:r>
            <w:r w:rsidRPr="004B6FE2">
              <w:rPr>
                <w:rFonts w:ascii="Arial Narrow" w:hAnsi="Arial Narrow" w:hint="eastAsia"/>
                <w:iCs/>
                <w:color w:val="000000"/>
                <w:spacing w:val="3"/>
                <w:w w:val="22"/>
                <w:sz w:val="20"/>
                <w:szCs w:val="20"/>
                <w:shd w:val="solid" w:color="000000" w:fill="000000"/>
                <w:fitText w:val="100" w:id="-930964210"/>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0" w:type="dxa"/>
            <w:shd w:val="clear" w:color="auto" w:fill="auto"/>
            <w:vAlign w:val="center"/>
          </w:tcPr>
          <w:p w14:paraId="4F19562F" w14:textId="60480738"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09"/>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09"/>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09"/>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81" w:type="dxa"/>
            <w:shd w:val="clear" w:color="auto" w:fill="auto"/>
            <w:vAlign w:val="center"/>
          </w:tcPr>
          <w:p w14:paraId="1A0C29F6" w14:textId="52D79258"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08"/>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08"/>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08"/>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1</w:t>
            </w:r>
          </w:p>
        </w:tc>
        <w:tc>
          <w:tcPr>
            <w:tcW w:w="1074" w:type="dxa"/>
            <w:shd w:val="clear" w:color="auto" w:fill="auto"/>
            <w:vAlign w:val="center"/>
          </w:tcPr>
          <w:p w14:paraId="5FB27085" w14:textId="7B02E972"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70" w:id="-930964224"/>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70" w:id="-930964224"/>
                <w14:textFill>
                  <w14:solidFill>
                    <w14:srgbClr w14:val="000000">
                      <w14:alpha w14:val="100000"/>
                    </w14:srgbClr>
                  </w14:solidFill>
                </w14:textFill>
              </w:rPr>
              <w:t>|</w:t>
            </w:r>
            <w:r w:rsidRPr="004B6FE2">
              <w:rPr>
                <w:rFonts w:ascii="Arial Narrow" w:hAnsi="Arial Narrow" w:hint="eastAsia"/>
                <w:iCs/>
                <w:color w:val="000000"/>
                <w:spacing w:val="4"/>
                <w:w w:val="15"/>
                <w:sz w:val="20"/>
                <w:szCs w:val="20"/>
                <w:shd w:val="solid" w:color="000000" w:fill="000000"/>
                <w:fitText w:val="70" w:id="-930964224"/>
                <w14:textFill>
                  <w14:solidFill>
                    <w14:srgbClr w14:val="000000">
                      <w14:alpha w14:val="100000"/>
                    </w14:srgbClr>
                  </w14:solidFill>
                </w14:textFill>
              </w:rPr>
              <w:t xml:space="preserve">　</w:t>
            </w:r>
            <w:r w:rsidR="00F5486A" w:rsidRPr="00650095">
              <w:rPr>
                <w:rFonts w:ascii="Arial Narrow" w:hAnsi="Arial Narrow"/>
                <w:sz w:val="20"/>
                <w:szCs w:val="20"/>
                <w:vertAlign w:val="superscript"/>
              </w:rPr>
              <w:t>2</w:t>
            </w:r>
          </w:p>
        </w:tc>
        <w:tc>
          <w:tcPr>
            <w:tcW w:w="1067" w:type="dxa"/>
            <w:shd w:val="clear" w:color="auto" w:fill="auto"/>
            <w:vAlign w:val="center"/>
          </w:tcPr>
          <w:p w14:paraId="5B939A52" w14:textId="204742D4" w:rsidR="0019762E" w:rsidRPr="004F7504" w:rsidRDefault="004B6FE2" w:rsidP="00F50EF9">
            <w:pPr>
              <w:keepNext/>
              <w:jc w:val="center"/>
              <w:rPr>
                <w:rFonts w:ascii="Arial Narrow" w:hAnsi="Arial Narrow"/>
                <w:i/>
                <w:iCs/>
                <w:sz w:val="20"/>
                <w:szCs w:val="20"/>
                <w:highlight w:val="darkGray"/>
              </w:rPr>
            </w:pPr>
            <w:r w:rsidRPr="004B6FE2">
              <w:rPr>
                <w:rFonts w:ascii="Arial Narrow" w:hAnsi="Arial Narrow" w:hint="eastAsia"/>
                <w:iCs/>
                <w:color w:val="000000"/>
                <w:w w:val="15"/>
                <w:sz w:val="20"/>
                <w:szCs w:val="20"/>
                <w:shd w:val="solid" w:color="000000" w:fill="000000"/>
                <w:fitText w:val="60" w:id="-930964223"/>
                <w14:textFill>
                  <w14:solidFill>
                    <w14:srgbClr w14:val="000000">
                      <w14:alpha w14:val="100000"/>
                    </w14:srgbClr>
                  </w14:solidFill>
                </w14:textFill>
              </w:rPr>
              <w:t xml:space="preserve">　</w:t>
            </w:r>
            <w:r w:rsidRPr="004B6FE2">
              <w:rPr>
                <w:rFonts w:ascii="Arial Narrow" w:hAnsi="Arial Narrow"/>
                <w:iCs/>
                <w:color w:val="000000"/>
                <w:w w:val="15"/>
                <w:sz w:val="20"/>
                <w:szCs w:val="20"/>
                <w:shd w:val="solid" w:color="000000" w:fill="000000"/>
                <w:fitText w:val="60" w:id="-930964223"/>
                <w14:textFill>
                  <w14:solidFill>
                    <w14:srgbClr w14:val="000000">
                      <w14:alpha w14:val="100000"/>
                    </w14:srgbClr>
                  </w14:solidFill>
                </w14:textFill>
              </w:rPr>
              <w:t>|</w:t>
            </w:r>
            <w:r w:rsidRPr="004B6FE2">
              <w:rPr>
                <w:rFonts w:ascii="Arial Narrow" w:hAnsi="Arial Narrow" w:hint="eastAsia"/>
                <w:iCs/>
                <w:color w:val="000000"/>
                <w:spacing w:val="-5"/>
                <w:w w:val="15"/>
                <w:sz w:val="20"/>
                <w:szCs w:val="20"/>
                <w:shd w:val="solid" w:color="000000" w:fill="000000"/>
                <w:fitText w:val="60" w:id="-930964223"/>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1060" w:type="dxa"/>
            <w:shd w:val="clear" w:color="auto" w:fill="auto"/>
            <w:vAlign w:val="center"/>
          </w:tcPr>
          <w:p w14:paraId="48942D3B" w14:textId="30F7BADF" w:rsidR="0019762E" w:rsidRPr="004F7504" w:rsidRDefault="004B6FE2" w:rsidP="00F50EF9">
            <w:pPr>
              <w:keepNext/>
              <w:jc w:val="center"/>
              <w:rPr>
                <w:rFonts w:ascii="Arial Narrow" w:hAnsi="Arial Narrow"/>
                <w:iCs/>
                <w:sz w:val="20"/>
                <w:szCs w:val="20"/>
                <w:highlight w:val="darkGray"/>
              </w:rPr>
            </w:pPr>
            <w:r w:rsidRPr="004B6FE2">
              <w:rPr>
                <w:rFonts w:ascii="Arial Narrow" w:hAnsi="Arial Narrow" w:hint="eastAsia"/>
                <w:iCs/>
                <w:color w:val="000000"/>
                <w:w w:val="18"/>
                <w:sz w:val="20"/>
                <w:szCs w:val="20"/>
                <w:shd w:val="solid" w:color="000000" w:fill="000000"/>
                <w:fitText w:val="80" w:id="-930964222"/>
                <w14:textFill>
                  <w14:solidFill>
                    <w14:srgbClr w14:val="000000">
                      <w14:alpha w14:val="100000"/>
                    </w14:srgbClr>
                  </w14:solidFill>
                </w14:textFill>
              </w:rPr>
              <w:t xml:space="preserve">　</w:t>
            </w:r>
            <w:r w:rsidRPr="004B6FE2">
              <w:rPr>
                <w:rFonts w:ascii="Arial Narrow" w:hAnsi="Arial Narrow"/>
                <w:iCs/>
                <w:color w:val="000000"/>
                <w:w w:val="18"/>
                <w:sz w:val="20"/>
                <w:szCs w:val="20"/>
                <w:shd w:val="solid" w:color="000000" w:fill="000000"/>
                <w:fitText w:val="80" w:id="-930964222"/>
                <w14:textFill>
                  <w14:solidFill>
                    <w14:srgbClr w14:val="000000">
                      <w14:alpha w14:val="100000"/>
                    </w14:srgbClr>
                  </w14:solidFill>
                </w14:textFill>
              </w:rPr>
              <w:t>|</w:t>
            </w:r>
            <w:r w:rsidRPr="004B6FE2">
              <w:rPr>
                <w:rFonts w:ascii="Arial Narrow" w:hAnsi="Arial Narrow" w:hint="eastAsia"/>
                <w:iCs/>
                <w:color w:val="000000"/>
                <w:w w:val="18"/>
                <w:sz w:val="20"/>
                <w:szCs w:val="20"/>
                <w:shd w:val="solid" w:color="000000" w:fill="000000"/>
                <w:fitText w:val="80" w:id="-930964222"/>
                <w14:textFill>
                  <w14:solidFill>
                    <w14:srgbClr w14:val="000000">
                      <w14:alpha w14:val="100000"/>
                    </w14:srgbClr>
                  </w14:solidFill>
                </w14:textFill>
              </w:rPr>
              <w:t xml:space="preserve">　</w:t>
            </w:r>
            <w:r w:rsidR="00F5486A">
              <w:rPr>
                <w:rFonts w:ascii="Arial Narrow" w:hAnsi="Arial Narrow"/>
                <w:sz w:val="20"/>
                <w:szCs w:val="20"/>
                <w:vertAlign w:val="superscript"/>
              </w:rPr>
              <w:t>3</w:t>
            </w:r>
          </w:p>
        </w:tc>
        <w:tc>
          <w:tcPr>
            <w:tcW w:w="998" w:type="dxa"/>
          </w:tcPr>
          <w:p w14:paraId="77980A6B" w14:textId="77777777" w:rsidR="0019762E" w:rsidRPr="00EC3730" w:rsidRDefault="0019762E" w:rsidP="00F50EF9">
            <w:pPr>
              <w:keepNext/>
              <w:jc w:val="center"/>
              <w:rPr>
                <w:rFonts w:ascii="Arial Narrow" w:hAnsi="Arial Narrow" w:cs="Calibri"/>
                <w:color w:val="000000"/>
                <w:sz w:val="20"/>
                <w:szCs w:val="20"/>
              </w:rPr>
            </w:pPr>
            <w:r w:rsidRPr="00EC3730">
              <w:rPr>
                <w:rFonts w:ascii="Arial Narrow" w:hAnsi="Arial Narrow" w:cs="Calibri"/>
                <w:color w:val="000000"/>
                <w:sz w:val="20"/>
                <w:szCs w:val="20"/>
              </w:rPr>
              <w:t>+22%</w:t>
            </w:r>
          </w:p>
        </w:tc>
      </w:tr>
    </w:tbl>
    <w:p w14:paraId="607BC5CD" w14:textId="445D5070" w:rsidR="005C6A98" w:rsidRDefault="00666749" w:rsidP="00666749">
      <w:pPr>
        <w:pStyle w:val="FooterTableFigure"/>
      </w:pPr>
      <w:r>
        <w:t>Source: Excel workbook ‘Attachment 8.1 UCM CMIN FosLDFosCD v LCIG_final Feb 2022’ provided with the submission.</w:t>
      </w:r>
    </w:p>
    <w:p w14:paraId="2BDB1FFD" w14:textId="30EC019B" w:rsidR="00E967E8" w:rsidRDefault="00CC3805" w:rsidP="00666749">
      <w:pPr>
        <w:pStyle w:val="FooterTableFigure"/>
      </w:pPr>
      <w:r>
        <w:rPr>
          <w:lang w:val="en-US"/>
        </w:rPr>
        <w:t xml:space="preserve">Abbreviations: </w:t>
      </w:r>
      <w:r w:rsidR="00500DFE">
        <w:rPr>
          <w:lang w:val="en-US"/>
        </w:rPr>
        <w:t xml:space="preserve">AR-DRG = Australian Refined Diagnosis Related Groups; </w:t>
      </w:r>
      <w:r w:rsidR="00500DFE" w:rsidRPr="00AA3997">
        <w:rPr>
          <w:szCs w:val="18"/>
        </w:rPr>
        <w:t>FosLD/FosCD = foslevodopa/foscarbidopa</w:t>
      </w:r>
      <w:r w:rsidR="00500DFE" w:rsidRPr="009F53E7">
        <w:rPr>
          <w:szCs w:val="18"/>
        </w:rPr>
        <w:t>; LCIG</w:t>
      </w:r>
      <w:r w:rsidR="00500DFE">
        <w:rPr>
          <w:szCs w:val="18"/>
        </w:rPr>
        <w:t xml:space="preserve"> </w:t>
      </w:r>
      <w:r w:rsidR="00500DFE" w:rsidRPr="009F53E7">
        <w:rPr>
          <w:szCs w:val="18"/>
        </w:rPr>
        <w:t>=</w:t>
      </w:r>
      <w:r w:rsidR="00500DFE">
        <w:rPr>
          <w:szCs w:val="18"/>
        </w:rPr>
        <w:t xml:space="preserve"> </w:t>
      </w:r>
      <w:r w:rsidR="00500DFE" w:rsidRPr="009F53E7">
        <w:rPr>
          <w:szCs w:val="18"/>
        </w:rPr>
        <w:t>levodopa carbidopa intestinal gel</w:t>
      </w:r>
    </w:p>
    <w:p w14:paraId="0810F5B6" w14:textId="3469906C" w:rsidR="001B1F4C" w:rsidRDefault="001B1F4C" w:rsidP="000633AE">
      <w:pPr>
        <w:pStyle w:val="FooterTableFigure"/>
        <w:tabs>
          <w:tab w:val="left" w:pos="142"/>
        </w:tabs>
      </w:pPr>
      <w:proofErr w:type="gramStart"/>
      <w:r w:rsidRPr="000633AE">
        <w:rPr>
          <w:vertAlign w:val="superscript"/>
        </w:rPr>
        <w:t>a</w:t>
      </w:r>
      <w:proofErr w:type="gramEnd"/>
      <w:r w:rsidR="00CC3805">
        <w:t xml:space="preserve"> </w:t>
      </w:r>
      <w:r>
        <w:t>Updated to NHCDC Round 24 costs.</w:t>
      </w:r>
    </w:p>
    <w:p w14:paraId="3196196D" w14:textId="6CE570D9" w:rsidR="00F5486A" w:rsidRPr="004F7504" w:rsidRDefault="00F5486A" w:rsidP="000633AE">
      <w:pPr>
        <w:pStyle w:val="FooterTableFigure"/>
        <w:tabs>
          <w:tab w:val="left" w:pos="142"/>
        </w:tabs>
        <w:rPr>
          <w:i/>
          <w:iCs/>
        </w:rPr>
      </w:pPr>
      <w:r w:rsidRPr="004F7504">
        <w:rPr>
          <w:i/>
          <w:iCs/>
        </w:rPr>
        <w:t>The redacted values correspond to the following ranges:</w:t>
      </w:r>
    </w:p>
    <w:p w14:paraId="2C014391" w14:textId="1D8F6DCD" w:rsidR="00F5486A" w:rsidRPr="004F7504" w:rsidRDefault="00F5486A" w:rsidP="000633AE">
      <w:pPr>
        <w:pStyle w:val="FooterTableFigure"/>
        <w:tabs>
          <w:tab w:val="left" w:pos="142"/>
        </w:tabs>
        <w:rPr>
          <w:i/>
          <w:iCs/>
        </w:rPr>
      </w:pPr>
      <w:r w:rsidRPr="004F7504">
        <w:rPr>
          <w:i/>
          <w:iCs/>
          <w:vertAlign w:val="superscript"/>
        </w:rPr>
        <w:t>1</w:t>
      </w:r>
      <w:r w:rsidRPr="004F7504">
        <w:rPr>
          <w:i/>
          <w:iCs/>
        </w:rPr>
        <w:t xml:space="preserve"> $0 to &lt; $10 million</w:t>
      </w:r>
    </w:p>
    <w:p w14:paraId="51442156" w14:textId="2EC66C3B" w:rsidR="00F5486A" w:rsidRPr="004F7504" w:rsidRDefault="00F5486A" w:rsidP="000633AE">
      <w:pPr>
        <w:pStyle w:val="FooterTableFigure"/>
        <w:tabs>
          <w:tab w:val="left" w:pos="142"/>
        </w:tabs>
        <w:rPr>
          <w:i/>
          <w:iCs/>
        </w:rPr>
      </w:pPr>
      <w:r w:rsidRPr="004F7504">
        <w:rPr>
          <w:i/>
          <w:iCs/>
          <w:vertAlign w:val="superscript"/>
        </w:rPr>
        <w:t>2</w:t>
      </w:r>
      <w:r w:rsidRPr="004F7504">
        <w:rPr>
          <w:i/>
          <w:iCs/>
        </w:rPr>
        <w:t xml:space="preserve"> $10 million to &lt; $20 million</w:t>
      </w:r>
    </w:p>
    <w:p w14:paraId="20FEE6F6" w14:textId="7E918D10" w:rsidR="00F5486A" w:rsidRPr="004F7504" w:rsidRDefault="00F5486A" w:rsidP="000633AE">
      <w:pPr>
        <w:pStyle w:val="FooterTableFigure"/>
        <w:tabs>
          <w:tab w:val="left" w:pos="142"/>
        </w:tabs>
        <w:rPr>
          <w:i/>
          <w:iCs/>
        </w:rPr>
      </w:pPr>
      <w:r w:rsidRPr="004F7504">
        <w:rPr>
          <w:i/>
          <w:iCs/>
          <w:vertAlign w:val="superscript"/>
        </w:rPr>
        <w:t>3</w:t>
      </w:r>
      <w:r w:rsidRPr="004F7504">
        <w:rPr>
          <w:i/>
          <w:iCs/>
        </w:rPr>
        <w:t xml:space="preserve"> $20 million to &lt; $30 million</w:t>
      </w:r>
    </w:p>
    <w:p w14:paraId="3452A630" w14:textId="7A5210B4" w:rsidR="005F6D53" w:rsidRDefault="00666749" w:rsidP="004F7504">
      <w:pPr>
        <w:pStyle w:val="3-BodyText"/>
      </w:pPr>
      <w:bookmarkStart w:id="68" w:name="_Ref168902868"/>
      <w:r w:rsidRPr="00B42BBE">
        <w:t>The sensitivity analyses demonstrated</w:t>
      </w:r>
      <w:r w:rsidR="001817ED" w:rsidRPr="00B42BBE">
        <w:t xml:space="preserve"> the financial estimates are sensitive to the cost-minimised price for FosLD</w:t>
      </w:r>
      <w:r w:rsidR="005F6D53" w:rsidRPr="00B42BBE">
        <w:t>/</w:t>
      </w:r>
      <w:r w:rsidR="001817ED" w:rsidRPr="00B42BBE">
        <w:t>FosCD and the assumptions regarding treatment continuation.</w:t>
      </w:r>
      <w:r w:rsidR="005F6D53" w:rsidRPr="005F6D53">
        <w:t xml:space="preserve"> </w:t>
      </w:r>
      <w:r w:rsidR="005F6D53" w:rsidRPr="00B42BBE">
        <w:t>The PSCR stated applying a treatment persistence of 90-100% is unreasonable in clinical practice and rates should be based on clinical trial data (M15-</w:t>
      </w:r>
      <w:r w:rsidR="005F6D53" w:rsidRPr="00B42BBE">
        <w:lastRenderedPageBreak/>
        <w:t>736: 65</w:t>
      </w:r>
      <w:r w:rsidR="005F6D53" w:rsidRPr="004F7504">
        <w:t>%; M15-741m sample 2: 89%</w:t>
      </w:r>
      <w:r w:rsidR="00570494">
        <w:rPr>
          <w:rStyle w:val="FootnoteReference"/>
        </w:rPr>
        <w:footnoteReference w:id="11"/>
      </w:r>
      <w:r w:rsidR="005F6D53" w:rsidRPr="004F7504">
        <w:t>).</w:t>
      </w:r>
      <w:r w:rsidR="005F6D53" w:rsidRPr="00B42BBE">
        <w:t xml:space="preserve"> It was further noted in the PSCR that while subcutaneous infusion of FosLD/FosCD offers a more convenient mode of administration compared to LCIG, the proper use of the delivery system remains complex, especially considering a</w:t>
      </w:r>
      <w:r w:rsidR="001C344D" w:rsidRPr="00B42BBE">
        <w:t xml:space="preserve">dvanced </w:t>
      </w:r>
      <w:r w:rsidR="005F6D53" w:rsidRPr="00B42BBE">
        <w:t>PD is a movement disorder and treatment/assistance can be burdensome to carers/family. Thus, patients would not have a treatment continuation of 90% or above. The ESC noted the lower continuation rates for FosLD/FosCD, which would potentially lead to inferior efficacy, had not been accounted for in the CMA.</w:t>
      </w:r>
      <w:r w:rsidR="009D2829">
        <w:t xml:space="preserve"> The Pre-PBAC Response stated the requested adjustments to apply continuation rates comparable to LCIG were reasonable, however stated assumptions of switching from LCIG were not because of the low likelihood of this occurring in practice.</w:t>
      </w:r>
      <w:bookmarkEnd w:id="68"/>
    </w:p>
    <w:p w14:paraId="7A371319" w14:textId="77777777" w:rsidR="009A5B6A" w:rsidRPr="001244D0" w:rsidRDefault="009A5B6A" w:rsidP="009A5B6A">
      <w:pPr>
        <w:pStyle w:val="4-SubsectionHeading"/>
        <w:rPr>
          <w:iCs/>
        </w:rPr>
      </w:pPr>
      <w:bookmarkStart w:id="69" w:name="_Toc22897648"/>
      <w:bookmarkStart w:id="70" w:name="_Toc107927634"/>
      <w:bookmarkStart w:id="71" w:name="_Toc135072010"/>
      <w:r w:rsidRPr="001244D0">
        <w:rPr>
          <w:iCs/>
        </w:rPr>
        <w:t>Quality Use of Medicines</w:t>
      </w:r>
      <w:bookmarkEnd w:id="69"/>
      <w:bookmarkEnd w:id="70"/>
      <w:bookmarkEnd w:id="71"/>
    </w:p>
    <w:p w14:paraId="5798322B" w14:textId="77777777" w:rsidR="00E967E8" w:rsidRDefault="009A5B6A" w:rsidP="003945B8">
      <w:pPr>
        <w:pStyle w:val="3-BodyText"/>
      </w:pPr>
      <w:r w:rsidRPr="00A35ED7">
        <w:t xml:space="preserve">The </w:t>
      </w:r>
      <w:r w:rsidR="00A21222">
        <w:t>S</w:t>
      </w:r>
      <w:r w:rsidRPr="00A35ED7">
        <w:t xml:space="preserve">ponsor noted that listing of </w:t>
      </w:r>
      <w:r>
        <w:t>F</w:t>
      </w:r>
      <w:r w:rsidRPr="00A35ED7">
        <w:t>osLD/</w:t>
      </w:r>
      <w:r>
        <w:t>F</w:t>
      </w:r>
      <w:r w:rsidRPr="00A35ED7">
        <w:t>osCD would improve treatment accessibility with levodopa for a</w:t>
      </w:r>
      <w:r>
        <w:t>dvanced Parkinson’s disease p</w:t>
      </w:r>
      <w:r w:rsidRPr="00A35ED7">
        <w:t xml:space="preserve">atients. The </w:t>
      </w:r>
      <w:r w:rsidR="00A21222">
        <w:t>S</w:t>
      </w:r>
      <w:r w:rsidRPr="00A35ED7">
        <w:t xml:space="preserve">ponsor also stated that </w:t>
      </w:r>
      <w:r w:rsidR="0031363B">
        <w:t>they</w:t>
      </w:r>
      <w:r w:rsidRPr="00A35ED7">
        <w:t xml:space="preserve"> will run a </w:t>
      </w:r>
      <w:r w:rsidR="0019762E">
        <w:t>q</w:t>
      </w:r>
      <w:r w:rsidRPr="00A35ED7">
        <w:t>uality use of medicine specialist nursing support program</w:t>
      </w:r>
      <w:r w:rsidR="0031363B">
        <w:t xml:space="preserve"> </w:t>
      </w:r>
      <w:r w:rsidRPr="00A35ED7">
        <w:t xml:space="preserve">for patients and clinicians initiating treatment with </w:t>
      </w:r>
      <w:r>
        <w:t>F</w:t>
      </w:r>
      <w:r w:rsidRPr="00A35ED7">
        <w:t>osLD/</w:t>
      </w:r>
      <w:r>
        <w:t>F</w:t>
      </w:r>
      <w:r w:rsidRPr="00A35ED7">
        <w:t>osCD.</w:t>
      </w:r>
    </w:p>
    <w:p w14:paraId="361A03B8" w14:textId="1066ECD4" w:rsidR="009A5B6A" w:rsidRPr="001244D0" w:rsidRDefault="009A5B6A" w:rsidP="009A5B6A">
      <w:pPr>
        <w:pStyle w:val="4-SubsectionHeading"/>
        <w:rPr>
          <w:iCs/>
        </w:rPr>
      </w:pPr>
      <w:bookmarkStart w:id="72" w:name="_Toc22897649"/>
      <w:bookmarkStart w:id="73" w:name="_Toc107927635"/>
      <w:bookmarkStart w:id="74" w:name="_Toc135072011"/>
      <w:r w:rsidRPr="001244D0">
        <w:rPr>
          <w:iCs/>
        </w:rPr>
        <w:t>Financial Management – Risk Sharing Arrangements</w:t>
      </w:r>
      <w:bookmarkEnd w:id="72"/>
      <w:bookmarkEnd w:id="73"/>
      <w:bookmarkEnd w:id="74"/>
    </w:p>
    <w:p w14:paraId="1F0D8BB4" w14:textId="2AD8BC6C" w:rsidR="009A5B6A" w:rsidRDefault="009A5B6A" w:rsidP="003945B8">
      <w:pPr>
        <w:pStyle w:val="3-BodyText"/>
      </w:pPr>
      <w:r w:rsidRPr="00A35ED7">
        <w:t xml:space="preserve">The submission did not propose a </w:t>
      </w:r>
      <w:r w:rsidR="0031363B">
        <w:t>R</w:t>
      </w:r>
      <w:r w:rsidRPr="00A35ED7">
        <w:t xml:space="preserve">isk </w:t>
      </w:r>
      <w:r w:rsidR="0031363B">
        <w:t>S</w:t>
      </w:r>
      <w:r w:rsidRPr="00A35ED7">
        <w:t xml:space="preserve">haring </w:t>
      </w:r>
      <w:r w:rsidR="0031363B">
        <w:t>Arrangement (RSA)</w:t>
      </w:r>
      <w:r w:rsidRPr="00A35ED7">
        <w:t xml:space="preserve">. However, the </w:t>
      </w:r>
      <w:r w:rsidR="00A21222">
        <w:t>S</w:t>
      </w:r>
      <w:r w:rsidRPr="00A35ED7">
        <w:t xml:space="preserve">ponsor noted that if the Department deems a RSA </w:t>
      </w:r>
      <w:r>
        <w:t xml:space="preserve">to </w:t>
      </w:r>
      <w:r w:rsidRPr="00A35ED7">
        <w:t xml:space="preserve">be necessary for </w:t>
      </w:r>
      <w:r>
        <w:t>F</w:t>
      </w:r>
      <w:r w:rsidRPr="00A35ED7">
        <w:t>osLD/</w:t>
      </w:r>
      <w:r>
        <w:t>F</w:t>
      </w:r>
      <w:r w:rsidRPr="00A35ED7">
        <w:t>osCD, the same rebate levels above the subsidisation cap that are in place for LCIG</w:t>
      </w:r>
      <w:r w:rsidR="00DB5B2D" w:rsidRPr="00D01F45">
        <w:rPr>
          <w:iCs/>
        </w:rPr>
        <w:t xml:space="preserve"> (a </w:t>
      </w:r>
      <w:r w:rsidR="004B6FE2" w:rsidRPr="00AF0B8C">
        <w:rPr>
          <w:iCs/>
          <w:color w:val="000000"/>
          <w:w w:val="15"/>
          <w:shd w:val="solid" w:color="000000" w:fill="000000"/>
          <w14:textFill>
            <w14:solidFill>
              <w14:srgbClr w14:val="000000">
                <w14:alpha w14:val="100000"/>
              </w14:srgbClr>
            </w14:solidFill>
          </w14:textFill>
        </w:rPr>
        <w:t>|</w:t>
      </w:r>
      <w:r w:rsidR="004B6FE2" w:rsidRPr="003F5D25">
        <w:rPr>
          <w:iCs/>
          <w:color w:val="000000"/>
          <w:spacing w:val="-74"/>
          <w:w w:val="15"/>
          <w:shd w:val="solid" w:color="000000" w:fill="000000"/>
          <w14:textFill>
            <w14:solidFill>
              <w14:srgbClr w14:val="000000">
                <w14:alpha w14:val="100000"/>
              </w14:srgbClr>
            </w14:solidFill>
          </w14:textFill>
        </w:rPr>
        <w:t xml:space="preserve"> </w:t>
      </w:r>
      <w:r w:rsidR="004B6FE2" w:rsidRPr="00A87C55">
        <w:rPr>
          <w:iCs/>
          <w:color w:val="000000"/>
          <w:w w:val="15"/>
          <w:shd w:val="solid" w:color="000000" w:fill="000000"/>
          <w14:textFill>
            <w14:solidFill>
              <w14:srgbClr w14:val="000000">
                <w14:alpha w14:val="100000"/>
              </w14:srgbClr>
            </w14:solidFill>
          </w14:textFill>
        </w:rPr>
        <w:t xml:space="preserve"> </w:t>
      </w:r>
      <w:r w:rsidR="004B6FE2" w:rsidRPr="00292DE6">
        <w:rPr>
          <w:iCs/>
          <w:color w:val="000000"/>
          <w:w w:val="15"/>
          <w:shd w:val="solid" w:color="000000" w:fill="000000"/>
          <w14:textFill>
            <w14:solidFill>
              <w14:srgbClr w14:val="000000">
                <w14:alpha w14:val="100000"/>
              </w14:srgbClr>
            </w14:solidFill>
          </w14:textFill>
        </w:rPr>
        <w:t>|</w:t>
      </w:r>
      <w:r w:rsidR="00DB5B2D" w:rsidRPr="00D01F45">
        <w:rPr>
          <w:iCs/>
        </w:rPr>
        <w:t>% rebate above the cap)</w:t>
      </w:r>
      <w:r w:rsidRPr="00A35ED7">
        <w:t xml:space="preserve"> </w:t>
      </w:r>
      <w:r>
        <w:t xml:space="preserve">could </w:t>
      </w:r>
      <w:r w:rsidRPr="00A35ED7">
        <w:t xml:space="preserve">also apply to FosLD/FosCD. </w:t>
      </w:r>
      <w:r w:rsidRPr="00D01F45">
        <w:t xml:space="preserve">The </w:t>
      </w:r>
      <w:r w:rsidR="00A21222">
        <w:t>evaluation stated that it could be appropriate for</w:t>
      </w:r>
      <w:r w:rsidRPr="00D01F45">
        <w:t xml:space="preserve"> FosLD/FosCD </w:t>
      </w:r>
      <w:r w:rsidR="00A21222">
        <w:t xml:space="preserve">to be included </w:t>
      </w:r>
      <w:r w:rsidRPr="00D01F45">
        <w:t>under the same RSA for LCIG given the uncertainty around the estimates of uptake rates utilised in the submission for patients switching from LCIG as well as oral levodopa for which the cost-effectiveness is unknown.</w:t>
      </w:r>
      <w:r w:rsidR="000326FE">
        <w:t xml:space="preserve"> </w:t>
      </w:r>
      <w:r w:rsidR="000326FE" w:rsidRPr="00B42BBE">
        <w:rPr>
          <w:iCs/>
        </w:rPr>
        <w:t>The ESC agreed that a RSA could be considered given uncertainties around uptakes rates for switching from the gel.</w:t>
      </w:r>
    </w:p>
    <w:p w14:paraId="36EA5A37" w14:textId="43B1FB25" w:rsidR="00DB5B2D" w:rsidRPr="00D01F45" w:rsidRDefault="00DB5B2D" w:rsidP="003945B8">
      <w:pPr>
        <w:pStyle w:val="3-BodyText"/>
      </w:pPr>
      <w:r w:rsidRPr="00D01F45">
        <w:t xml:space="preserve">For reference, the past 6 years of Commonwealth payments for LCIG are shown in </w:t>
      </w:r>
      <w:r w:rsidRPr="00D01F45">
        <w:fldChar w:fldCharType="begin"/>
      </w:r>
      <w:r w:rsidRPr="00D01F45">
        <w:instrText xml:space="preserve"> REF _Ref135227967 \h  \* MERGEFORMAT </w:instrText>
      </w:r>
      <w:r w:rsidRPr="00D01F45">
        <w:fldChar w:fldCharType="separate"/>
      </w:r>
      <w:r w:rsidR="0043339D" w:rsidRPr="00D01F45">
        <w:t xml:space="preserve">Table </w:t>
      </w:r>
      <w:r w:rsidR="0043339D">
        <w:rPr>
          <w:noProof/>
        </w:rPr>
        <w:t>17</w:t>
      </w:r>
      <w:r w:rsidRPr="00D01F45">
        <w:fldChar w:fldCharType="end"/>
      </w:r>
      <w:r w:rsidRPr="00D01F45">
        <w:t xml:space="preserve"> below.</w:t>
      </w:r>
    </w:p>
    <w:p w14:paraId="06738B68" w14:textId="2D1EAC28" w:rsidR="00DB5B2D" w:rsidRPr="00D01F45" w:rsidRDefault="00DB5B2D" w:rsidP="00B769F9">
      <w:pPr>
        <w:pStyle w:val="Caption"/>
      </w:pPr>
      <w:bookmarkStart w:id="75" w:name="_Ref135227967"/>
      <w:r w:rsidRPr="00D01F45">
        <w:t xml:space="preserve">Table </w:t>
      </w:r>
      <w:r w:rsidR="000A217C">
        <w:fldChar w:fldCharType="begin"/>
      </w:r>
      <w:r w:rsidR="000A217C">
        <w:instrText xml:space="preserve"> SEQ Table \* ARABIC </w:instrText>
      </w:r>
      <w:r w:rsidR="000A217C">
        <w:fldChar w:fldCharType="separate"/>
      </w:r>
      <w:r w:rsidR="0043339D">
        <w:rPr>
          <w:noProof/>
        </w:rPr>
        <w:t>17</w:t>
      </w:r>
      <w:r w:rsidR="000A217C">
        <w:rPr>
          <w:noProof/>
        </w:rPr>
        <w:fldChar w:fldCharType="end"/>
      </w:r>
      <w:bookmarkEnd w:id="75"/>
      <w:r w:rsidRPr="00D01F45">
        <w:t xml:space="preserve">: Commonwealth expenditure on LCIG, </w:t>
      </w:r>
      <w:r w:rsidR="004B6FE2" w:rsidRPr="00CC3805">
        <w:rPr>
          <w:color w:val="000000"/>
          <w:spacing w:val="10"/>
          <w:shd w:val="solid" w:color="000000" w:fill="000000"/>
          <w:fitText w:val="330" w:id="-930964220"/>
          <w14:textFill>
            <w14:solidFill>
              <w14:srgbClr w14:val="000000">
                <w14:alpha w14:val="100000"/>
              </w14:srgbClr>
            </w14:solidFill>
          </w14:textFill>
        </w:rPr>
        <w:t>||  |</w:t>
      </w:r>
      <w:r w:rsidR="004B6FE2" w:rsidRPr="00CC3805">
        <w:rPr>
          <w:color w:val="000000"/>
          <w:spacing w:val="5"/>
          <w:shd w:val="solid" w:color="000000" w:fill="000000"/>
          <w:fitText w:val="330" w:id="-930964220"/>
          <w14:textFill>
            <w14:solidFill>
              <w14:srgbClr w14:val="000000">
                <w14:alpha w14:val="100000"/>
              </w14:srgbClr>
            </w14:solidFill>
          </w14:textFill>
        </w:rPr>
        <w:t>|</w:t>
      </w:r>
      <w:r w:rsidRPr="00D01F45">
        <w:t xml:space="preserve"> 2017 to </w:t>
      </w:r>
      <w:r w:rsidR="004B6FE2" w:rsidRPr="00CC3805">
        <w:rPr>
          <w:color w:val="000000"/>
          <w:spacing w:val="12"/>
          <w:shd w:val="solid" w:color="000000" w:fill="000000"/>
          <w:fitText w:val="340" w:id="-930964219"/>
          <w14:textFill>
            <w14:solidFill>
              <w14:srgbClr w14:val="000000">
                <w14:alpha w14:val="100000"/>
              </w14:srgbClr>
            </w14:solidFill>
          </w14:textFill>
        </w:rPr>
        <w:t>||  |</w:t>
      </w:r>
      <w:r w:rsidR="004B6FE2" w:rsidRPr="00CC3805">
        <w:rPr>
          <w:color w:val="000000"/>
          <w:spacing w:val="5"/>
          <w:shd w:val="solid" w:color="000000" w:fill="000000"/>
          <w:fitText w:val="340" w:id="-930964219"/>
          <w14:textFill>
            <w14:solidFill>
              <w14:srgbClr w14:val="000000">
                <w14:alpha w14:val="100000"/>
              </w14:srgbClr>
            </w14:solidFill>
          </w14:textFill>
        </w:rPr>
        <w:t>|</w:t>
      </w:r>
      <w:r w:rsidRPr="00D01F45">
        <w:t>2023</w:t>
      </w:r>
    </w:p>
    <w:tbl>
      <w:tblPr>
        <w:tblW w:w="5000" w:type="pct"/>
        <w:tblLayout w:type="fixed"/>
        <w:tblCellMar>
          <w:left w:w="28" w:type="dxa"/>
          <w:right w:w="28" w:type="dxa"/>
        </w:tblCellMar>
        <w:tblLook w:val="04A0" w:firstRow="1" w:lastRow="0" w:firstColumn="1" w:lastColumn="0" w:noHBand="0" w:noVBand="1"/>
      </w:tblPr>
      <w:tblGrid>
        <w:gridCol w:w="1525"/>
        <w:gridCol w:w="1534"/>
        <w:gridCol w:w="2644"/>
        <w:gridCol w:w="1852"/>
        <w:gridCol w:w="1451"/>
      </w:tblGrid>
      <w:tr w:rsidR="00472431" w:rsidRPr="00D01F45" w14:paraId="28AF3428" w14:textId="77777777" w:rsidTr="004B6FE2">
        <w:trPr>
          <w:trHeight w:val="227"/>
        </w:trPr>
        <w:tc>
          <w:tcPr>
            <w:tcW w:w="155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6E50606" w14:textId="77777777" w:rsidR="00DB5B2D" w:rsidRPr="00D01F45" w:rsidRDefault="00DB5B2D">
            <w:pPr>
              <w:rPr>
                <w:rFonts w:ascii="Arial Narrow" w:hAnsi="Arial Narrow" w:cs="Calibri"/>
                <w:b/>
                <w:bCs/>
                <w:color w:val="000000"/>
                <w:sz w:val="20"/>
                <w:szCs w:val="20"/>
              </w:rPr>
            </w:pPr>
            <w:r w:rsidRPr="00D01F45">
              <w:rPr>
                <w:rFonts w:ascii="Arial Narrow" w:hAnsi="Arial Narrow"/>
                <w:b/>
                <w:bCs/>
                <w:color w:val="000000"/>
                <w:sz w:val="20"/>
                <w:szCs w:val="20"/>
              </w:rPr>
              <w:t>Cap year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4C616" w14:textId="61E28251" w:rsidR="00DB5B2D" w:rsidRPr="00D01F45" w:rsidRDefault="00DB5B2D" w:rsidP="007D2204">
            <w:pPr>
              <w:jc w:val="center"/>
              <w:rPr>
                <w:rFonts w:ascii="Arial Narrow" w:hAnsi="Arial Narrow"/>
                <w:b/>
                <w:bCs/>
                <w:color w:val="000000"/>
                <w:sz w:val="20"/>
                <w:szCs w:val="20"/>
              </w:rPr>
            </w:pPr>
            <w:r w:rsidRPr="00D01F45">
              <w:rPr>
                <w:rFonts w:ascii="Arial Narrow" w:hAnsi="Arial Narrow"/>
                <w:b/>
                <w:bCs/>
                <w:color w:val="000000"/>
                <w:sz w:val="20"/>
                <w:szCs w:val="20"/>
              </w:rPr>
              <w:t>Cap threshold</w:t>
            </w:r>
            <w:r w:rsidR="00F5486A">
              <w:rPr>
                <w:rFonts w:ascii="Arial Narrow" w:hAnsi="Arial Narrow"/>
                <w:b/>
                <w:bCs/>
                <w:color w:val="000000"/>
                <w:sz w:val="20"/>
                <w:szCs w:val="20"/>
              </w:rPr>
              <w:t xml:space="preserve"> ($)</w:t>
            </w:r>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5CDA0" w14:textId="44BE87DF" w:rsidR="00DB5B2D" w:rsidRPr="00D01F45" w:rsidRDefault="00DB5B2D" w:rsidP="007D2204">
            <w:pPr>
              <w:jc w:val="center"/>
              <w:rPr>
                <w:rFonts w:ascii="Arial Narrow" w:hAnsi="Arial Narrow"/>
                <w:b/>
                <w:bCs/>
                <w:color w:val="000000"/>
                <w:sz w:val="20"/>
                <w:szCs w:val="20"/>
              </w:rPr>
            </w:pPr>
            <w:r w:rsidRPr="00D01F45">
              <w:rPr>
                <w:rFonts w:ascii="Arial Narrow" w:hAnsi="Arial Narrow"/>
                <w:b/>
                <w:bCs/>
                <w:color w:val="000000"/>
                <w:sz w:val="20"/>
                <w:szCs w:val="20"/>
              </w:rPr>
              <w:t xml:space="preserve">Total Commonwealth </w:t>
            </w:r>
            <w:r w:rsidR="007D2204">
              <w:rPr>
                <w:rFonts w:ascii="Arial Narrow" w:hAnsi="Arial Narrow"/>
                <w:b/>
                <w:bCs/>
                <w:color w:val="000000"/>
                <w:sz w:val="20"/>
                <w:szCs w:val="20"/>
              </w:rPr>
              <w:t>p</w:t>
            </w:r>
            <w:r w:rsidRPr="00D01F45">
              <w:rPr>
                <w:rFonts w:ascii="Arial Narrow" w:hAnsi="Arial Narrow"/>
                <w:b/>
                <w:bCs/>
                <w:color w:val="000000"/>
                <w:sz w:val="20"/>
                <w:szCs w:val="20"/>
              </w:rPr>
              <w:t>ayment</w:t>
            </w:r>
            <w:r w:rsidR="00F5486A">
              <w:rPr>
                <w:rFonts w:ascii="Arial Narrow" w:hAnsi="Arial Narrow"/>
                <w:b/>
                <w:bCs/>
                <w:color w:val="000000"/>
                <w:sz w:val="20"/>
                <w:szCs w:val="20"/>
              </w:rPr>
              <w:t xml:space="preserve">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D78E5E" w14:textId="6806C2E7" w:rsidR="00DB5B2D" w:rsidRPr="00D01F45" w:rsidRDefault="00DB5B2D" w:rsidP="007D2204">
            <w:pPr>
              <w:jc w:val="center"/>
              <w:rPr>
                <w:rFonts w:ascii="Arial Narrow" w:hAnsi="Arial Narrow"/>
                <w:b/>
                <w:bCs/>
                <w:color w:val="000000"/>
                <w:sz w:val="20"/>
                <w:szCs w:val="20"/>
              </w:rPr>
            </w:pPr>
            <w:r w:rsidRPr="00D01F45">
              <w:rPr>
                <w:rFonts w:ascii="Arial Narrow" w:hAnsi="Arial Narrow"/>
                <w:b/>
                <w:bCs/>
                <w:color w:val="000000"/>
                <w:sz w:val="20"/>
                <w:szCs w:val="20"/>
              </w:rPr>
              <w:t>C</w:t>
            </w:r>
            <w:r w:rsidR="000F482A">
              <w:rPr>
                <w:rFonts w:ascii="Arial Narrow" w:hAnsi="Arial Narrow"/>
                <w:b/>
                <w:bCs/>
                <w:color w:val="000000"/>
                <w:sz w:val="20"/>
                <w:szCs w:val="20"/>
              </w:rPr>
              <w:t>ap</w:t>
            </w:r>
            <w:r w:rsidRPr="00D01F45">
              <w:rPr>
                <w:rFonts w:ascii="Arial Narrow" w:hAnsi="Arial Narrow"/>
                <w:b/>
                <w:bCs/>
                <w:color w:val="000000"/>
                <w:sz w:val="20"/>
                <w:szCs w:val="20"/>
              </w:rPr>
              <w:t xml:space="preserve"> reimbursement</w:t>
            </w:r>
            <w:r w:rsidR="00F5486A">
              <w:rPr>
                <w:rFonts w:ascii="Arial Narrow" w:hAnsi="Arial Narrow"/>
                <w:b/>
                <w:bCs/>
                <w:color w:val="000000"/>
                <w:sz w:val="20"/>
                <w:szCs w:val="20"/>
              </w:rPr>
              <w:t xml:space="preserve"> ($)</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DAE4D" w14:textId="77777777" w:rsidR="00DB5B2D" w:rsidRPr="00D01F45" w:rsidRDefault="00DB5B2D" w:rsidP="007D2204">
            <w:pPr>
              <w:jc w:val="center"/>
              <w:rPr>
                <w:rFonts w:ascii="Arial Narrow" w:hAnsi="Arial Narrow"/>
                <w:b/>
                <w:bCs/>
                <w:color w:val="000000"/>
                <w:sz w:val="20"/>
                <w:szCs w:val="20"/>
              </w:rPr>
            </w:pPr>
            <w:r w:rsidRPr="00D01F45">
              <w:rPr>
                <w:rFonts w:ascii="Arial Narrow" w:hAnsi="Arial Narrow"/>
                <w:b/>
                <w:bCs/>
                <w:color w:val="000000"/>
                <w:sz w:val="20"/>
                <w:szCs w:val="20"/>
              </w:rPr>
              <w:t>% cap reached</w:t>
            </w:r>
          </w:p>
        </w:tc>
      </w:tr>
      <w:tr w:rsidR="00472431" w:rsidRPr="00D01F45" w14:paraId="0BE4A9DE" w14:textId="77777777" w:rsidTr="004B6FE2">
        <w:trPr>
          <w:trHeight w:val="227"/>
        </w:trPr>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10EF291" w14:textId="3865EDFE" w:rsidR="00DB5B2D" w:rsidRPr="00D01F45" w:rsidRDefault="004B6FE2">
            <w:pPr>
              <w:rPr>
                <w:rFonts w:ascii="Arial Narrow" w:hAnsi="Arial Narrow"/>
                <w:color w:val="000000"/>
                <w:sz w:val="20"/>
                <w:szCs w:val="20"/>
              </w:rPr>
            </w:pPr>
            <w:r w:rsidRPr="004B6FE2">
              <w:rPr>
                <w:rFonts w:ascii="Arial Narrow" w:hAnsi="Arial Narrow"/>
                <w:color w:val="000000"/>
                <w:spacing w:val="9"/>
                <w:sz w:val="20"/>
                <w:szCs w:val="20"/>
                <w:shd w:val="solid" w:color="000000" w:fill="000000"/>
                <w:fitText w:val="310" w:id="-930964218"/>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4218"/>
                <w14:textFill>
                  <w14:solidFill>
                    <w14:srgbClr w14:val="000000">
                      <w14:alpha w14:val="100000"/>
                    </w14:srgbClr>
                  </w14:solidFill>
                </w14:textFill>
              </w:rPr>
              <w:t>|</w:t>
            </w:r>
            <w:r w:rsidR="00E967E8" w:rsidRPr="00080AAF">
              <w:rPr>
                <w:rFonts w:ascii="Arial Narrow" w:hAnsi="Arial Narrow"/>
                <w:color w:val="000000"/>
                <w:sz w:val="20"/>
                <w:szCs w:val="20"/>
              </w:rPr>
              <w:t xml:space="preserve"> </w:t>
            </w:r>
            <w:r w:rsidR="00DB5B2D" w:rsidRPr="00D01F45">
              <w:rPr>
                <w:rFonts w:ascii="Arial Narrow" w:hAnsi="Arial Narrow"/>
                <w:color w:val="000000"/>
                <w:sz w:val="20"/>
                <w:szCs w:val="20"/>
              </w:rPr>
              <w:t>17</w:t>
            </w:r>
            <w:r w:rsidR="007D2204">
              <w:rPr>
                <w:rFonts w:ascii="Arial Narrow" w:hAnsi="Arial Narrow"/>
                <w:color w:val="000000"/>
                <w:sz w:val="20"/>
                <w:szCs w:val="20"/>
              </w:rPr>
              <w:t xml:space="preserve"> </w:t>
            </w:r>
            <w:r w:rsidR="00DB5B2D" w:rsidRPr="00D01F45">
              <w:rPr>
                <w:rFonts w:ascii="Arial Narrow" w:hAnsi="Arial Narrow"/>
                <w:color w:val="000000"/>
                <w:sz w:val="20"/>
                <w:szCs w:val="20"/>
              </w:rPr>
              <w:t xml:space="preserve">- </w:t>
            </w:r>
            <w:r w:rsidRPr="004B6FE2">
              <w:rPr>
                <w:rFonts w:ascii="Arial Narrow" w:hAnsi="Arial Narrow"/>
                <w:color w:val="000000"/>
                <w:spacing w:val="9"/>
                <w:sz w:val="20"/>
                <w:szCs w:val="20"/>
                <w:shd w:val="solid" w:color="000000" w:fill="000000"/>
                <w:fitText w:val="310" w:id="-930964217"/>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4217"/>
                <w14:textFill>
                  <w14:solidFill>
                    <w14:srgbClr w14:val="000000">
                      <w14:alpha w14:val="100000"/>
                    </w14:srgbClr>
                  </w14:solidFill>
                </w14:textFill>
              </w:rPr>
              <w:t>|</w:t>
            </w:r>
            <w:r w:rsidR="00DB5B2D" w:rsidRPr="00080AAF">
              <w:rPr>
                <w:rFonts w:ascii="Arial Narrow" w:hAnsi="Arial Narrow"/>
                <w:color w:val="000000"/>
                <w:sz w:val="20"/>
                <w:szCs w:val="20"/>
              </w:rPr>
              <w:t xml:space="preserve"> </w:t>
            </w:r>
            <w:r w:rsidR="00DB5B2D" w:rsidRPr="00D01F45">
              <w:rPr>
                <w:rFonts w:ascii="Arial Narrow" w:hAnsi="Arial Narrow"/>
                <w:color w:val="000000"/>
                <w:sz w:val="20"/>
                <w:szCs w:val="20"/>
              </w:rPr>
              <w:t>18</w:t>
            </w:r>
          </w:p>
        </w:tc>
        <w:tc>
          <w:tcPr>
            <w:tcW w:w="1560"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457C7885" w14:textId="4B01D22C"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269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6365C3F5" w14:textId="5FC962B6"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884"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00491CB2" w14:textId="60256C50"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475"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0FDE96C8" w14:textId="23F437BA"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r>
      <w:tr w:rsidR="00472431" w:rsidRPr="00D01F45" w14:paraId="0A98B1DF" w14:textId="77777777" w:rsidTr="004B6FE2">
        <w:trPr>
          <w:trHeight w:val="227"/>
        </w:trPr>
        <w:tc>
          <w:tcPr>
            <w:tcW w:w="15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F1F3FC" w14:textId="15DC53D2" w:rsidR="00DB5B2D" w:rsidRPr="00D01F45" w:rsidRDefault="004B6FE2">
            <w:pPr>
              <w:rPr>
                <w:rFonts w:ascii="Arial Narrow" w:hAnsi="Arial Narrow"/>
                <w:color w:val="000000"/>
                <w:sz w:val="20"/>
                <w:szCs w:val="20"/>
              </w:rPr>
            </w:pPr>
            <w:r w:rsidRPr="004B6FE2">
              <w:rPr>
                <w:rFonts w:ascii="Arial Narrow" w:hAnsi="Arial Narrow"/>
                <w:color w:val="000000"/>
                <w:spacing w:val="9"/>
                <w:sz w:val="20"/>
                <w:szCs w:val="20"/>
                <w:shd w:val="solid" w:color="000000" w:fill="000000"/>
                <w:fitText w:val="310" w:id="-930964216"/>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4216"/>
                <w14:textFill>
                  <w14:solidFill>
                    <w14:srgbClr w14:val="000000">
                      <w14:alpha w14:val="100000"/>
                    </w14:srgbClr>
                  </w14:solidFill>
                </w14:textFill>
              </w:rPr>
              <w:t>|</w:t>
            </w:r>
            <w:r w:rsidR="00E967E8" w:rsidRPr="00080AAF">
              <w:rPr>
                <w:rFonts w:ascii="Arial Narrow" w:hAnsi="Arial Narrow"/>
                <w:color w:val="000000"/>
                <w:sz w:val="20"/>
                <w:szCs w:val="20"/>
              </w:rPr>
              <w:t xml:space="preserve"> </w:t>
            </w:r>
            <w:r w:rsidR="00DB5B2D" w:rsidRPr="00D01F45">
              <w:rPr>
                <w:rFonts w:ascii="Arial Narrow" w:hAnsi="Arial Narrow"/>
                <w:color w:val="000000"/>
                <w:sz w:val="20"/>
                <w:szCs w:val="20"/>
              </w:rPr>
              <w:t>18</w:t>
            </w:r>
            <w:r w:rsidR="007D2204">
              <w:rPr>
                <w:rFonts w:ascii="Arial Narrow" w:hAnsi="Arial Narrow"/>
                <w:color w:val="000000"/>
                <w:sz w:val="20"/>
                <w:szCs w:val="20"/>
              </w:rPr>
              <w:t xml:space="preserve"> </w:t>
            </w:r>
            <w:r w:rsidR="00DB5B2D" w:rsidRPr="00D01F45">
              <w:rPr>
                <w:rFonts w:ascii="Arial Narrow" w:hAnsi="Arial Narrow"/>
                <w:color w:val="000000"/>
                <w:sz w:val="20"/>
                <w:szCs w:val="20"/>
              </w:rPr>
              <w:t xml:space="preserve">- </w:t>
            </w:r>
            <w:r w:rsidRPr="004B6FE2">
              <w:rPr>
                <w:rFonts w:ascii="Arial Narrow" w:hAnsi="Arial Narrow"/>
                <w:color w:val="000000"/>
                <w:spacing w:val="9"/>
                <w:sz w:val="20"/>
                <w:szCs w:val="20"/>
                <w:shd w:val="solid" w:color="000000" w:fill="000000"/>
                <w:fitText w:val="310" w:id="-930964215"/>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4215"/>
                <w14:textFill>
                  <w14:solidFill>
                    <w14:srgbClr w14:val="000000">
                      <w14:alpha w14:val="100000"/>
                    </w14:srgbClr>
                  </w14:solidFill>
                </w14:textFill>
              </w:rPr>
              <w:t>|</w:t>
            </w:r>
            <w:r w:rsidR="00DB5B2D" w:rsidRPr="00D01F45">
              <w:rPr>
                <w:rFonts w:ascii="Arial Narrow" w:hAnsi="Arial Narrow"/>
                <w:color w:val="000000"/>
                <w:sz w:val="20"/>
                <w:szCs w:val="20"/>
              </w:rPr>
              <w:t xml:space="preserve"> 19</w:t>
            </w:r>
          </w:p>
        </w:tc>
        <w:tc>
          <w:tcPr>
            <w:tcW w:w="1560"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0B29C452" w14:textId="33E40FBC"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269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266EF2C0" w14:textId="662A08A4"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884"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4A2F3CB3" w14:textId="4395120F"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475"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113883CF" w14:textId="5AFDE713"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r>
      <w:tr w:rsidR="00472431" w:rsidRPr="00D01F45" w14:paraId="514671AA" w14:textId="77777777" w:rsidTr="004B6FE2">
        <w:trPr>
          <w:trHeight w:val="227"/>
        </w:trPr>
        <w:tc>
          <w:tcPr>
            <w:tcW w:w="15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31BD36" w14:textId="42425FF9" w:rsidR="00DB5B2D" w:rsidRPr="00D01F45" w:rsidRDefault="004B6FE2">
            <w:pPr>
              <w:rPr>
                <w:rFonts w:ascii="Arial Narrow" w:hAnsi="Arial Narrow"/>
                <w:color w:val="000000"/>
                <w:sz w:val="20"/>
                <w:szCs w:val="20"/>
              </w:rPr>
            </w:pPr>
            <w:r w:rsidRPr="004B6FE2">
              <w:rPr>
                <w:rFonts w:ascii="Arial Narrow" w:hAnsi="Arial Narrow"/>
                <w:color w:val="000000"/>
                <w:spacing w:val="9"/>
                <w:sz w:val="20"/>
                <w:szCs w:val="20"/>
                <w:shd w:val="solid" w:color="000000" w:fill="000000"/>
                <w:fitText w:val="310" w:id="-930964214"/>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4214"/>
                <w14:textFill>
                  <w14:solidFill>
                    <w14:srgbClr w14:val="000000">
                      <w14:alpha w14:val="100000"/>
                    </w14:srgbClr>
                  </w14:solidFill>
                </w14:textFill>
              </w:rPr>
              <w:t>|</w:t>
            </w:r>
            <w:r w:rsidR="00E967E8" w:rsidRPr="00080AAF">
              <w:rPr>
                <w:rFonts w:ascii="Arial Narrow" w:hAnsi="Arial Narrow"/>
                <w:color w:val="000000"/>
                <w:sz w:val="20"/>
                <w:szCs w:val="20"/>
              </w:rPr>
              <w:t xml:space="preserve"> </w:t>
            </w:r>
            <w:r w:rsidR="00DB5B2D" w:rsidRPr="00D01F45">
              <w:rPr>
                <w:rFonts w:ascii="Arial Narrow" w:hAnsi="Arial Narrow"/>
                <w:color w:val="000000"/>
                <w:sz w:val="20"/>
                <w:szCs w:val="20"/>
              </w:rPr>
              <w:t>19</w:t>
            </w:r>
            <w:r w:rsidR="007D2204">
              <w:rPr>
                <w:rFonts w:ascii="Arial Narrow" w:hAnsi="Arial Narrow"/>
                <w:color w:val="000000"/>
                <w:sz w:val="20"/>
                <w:szCs w:val="20"/>
              </w:rPr>
              <w:t xml:space="preserve"> </w:t>
            </w:r>
            <w:r w:rsidR="00DB5B2D" w:rsidRPr="00D01F45">
              <w:rPr>
                <w:rFonts w:ascii="Arial Narrow" w:hAnsi="Arial Narrow"/>
                <w:color w:val="000000"/>
                <w:sz w:val="20"/>
                <w:szCs w:val="20"/>
              </w:rPr>
              <w:t xml:space="preserve">- </w:t>
            </w:r>
            <w:r w:rsidRPr="004B6FE2">
              <w:rPr>
                <w:rFonts w:ascii="Arial Narrow" w:hAnsi="Arial Narrow"/>
                <w:color w:val="000000"/>
                <w:spacing w:val="9"/>
                <w:sz w:val="20"/>
                <w:szCs w:val="20"/>
                <w:shd w:val="solid" w:color="000000" w:fill="000000"/>
                <w:fitText w:val="310" w:id="-930963968"/>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3968"/>
                <w14:textFill>
                  <w14:solidFill>
                    <w14:srgbClr w14:val="000000">
                      <w14:alpha w14:val="100000"/>
                    </w14:srgbClr>
                  </w14:solidFill>
                </w14:textFill>
              </w:rPr>
              <w:t>|</w:t>
            </w:r>
            <w:r w:rsidR="00DB5B2D" w:rsidRPr="00D01F45">
              <w:rPr>
                <w:rFonts w:ascii="Arial Narrow" w:hAnsi="Arial Narrow"/>
                <w:color w:val="000000"/>
                <w:sz w:val="20"/>
                <w:szCs w:val="20"/>
              </w:rPr>
              <w:t xml:space="preserve"> 20</w:t>
            </w:r>
          </w:p>
        </w:tc>
        <w:tc>
          <w:tcPr>
            <w:tcW w:w="1560"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3334C58B" w14:textId="55004B84"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269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7E43A041" w14:textId="46F2BC4E"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884"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41F4D543" w14:textId="3C8E888D"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475"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68A64C4B" w14:textId="304DCB0E"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r>
      <w:tr w:rsidR="00472431" w:rsidRPr="00D01F45" w14:paraId="3C56BADE" w14:textId="77777777" w:rsidTr="004B6FE2">
        <w:trPr>
          <w:trHeight w:val="227"/>
        </w:trPr>
        <w:tc>
          <w:tcPr>
            <w:tcW w:w="15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E71F9B" w14:textId="76839622" w:rsidR="00DB5B2D" w:rsidRPr="00D01F45" w:rsidRDefault="004B6FE2">
            <w:pPr>
              <w:rPr>
                <w:rFonts w:ascii="Arial Narrow" w:hAnsi="Arial Narrow"/>
                <w:color w:val="000000"/>
                <w:sz w:val="20"/>
                <w:szCs w:val="20"/>
              </w:rPr>
            </w:pPr>
            <w:r w:rsidRPr="004B6FE2">
              <w:rPr>
                <w:rFonts w:ascii="Arial Narrow" w:hAnsi="Arial Narrow"/>
                <w:color w:val="000000"/>
                <w:spacing w:val="9"/>
                <w:sz w:val="20"/>
                <w:szCs w:val="20"/>
                <w:shd w:val="solid" w:color="000000" w:fill="000000"/>
                <w:fitText w:val="310" w:id="-930963967"/>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3967"/>
                <w14:textFill>
                  <w14:solidFill>
                    <w14:srgbClr w14:val="000000">
                      <w14:alpha w14:val="100000"/>
                    </w14:srgbClr>
                  </w14:solidFill>
                </w14:textFill>
              </w:rPr>
              <w:t>|</w:t>
            </w:r>
            <w:r w:rsidR="00E967E8">
              <w:rPr>
                <w:rFonts w:ascii="Arial Narrow" w:hAnsi="Arial Narrow"/>
                <w:color w:val="000000"/>
                <w:sz w:val="20"/>
                <w:szCs w:val="20"/>
              </w:rPr>
              <w:t xml:space="preserve"> </w:t>
            </w:r>
            <w:r w:rsidR="00DB5B2D" w:rsidRPr="00D01F45">
              <w:rPr>
                <w:rFonts w:ascii="Arial Narrow" w:hAnsi="Arial Narrow"/>
                <w:color w:val="000000"/>
                <w:sz w:val="20"/>
                <w:szCs w:val="20"/>
              </w:rPr>
              <w:t>20</w:t>
            </w:r>
            <w:r w:rsidR="007D2204">
              <w:rPr>
                <w:rFonts w:ascii="Arial Narrow" w:hAnsi="Arial Narrow"/>
                <w:color w:val="000000"/>
                <w:sz w:val="20"/>
                <w:szCs w:val="20"/>
              </w:rPr>
              <w:t xml:space="preserve"> </w:t>
            </w:r>
            <w:r w:rsidR="00DB5B2D" w:rsidRPr="00D01F45">
              <w:rPr>
                <w:rFonts w:ascii="Arial Narrow" w:hAnsi="Arial Narrow"/>
                <w:color w:val="000000"/>
                <w:sz w:val="20"/>
                <w:szCs w:val="20"/>
              </w:rPr>
              <w:t xml:space="preserve">- </w:t>
            </w:r>
            <w:r w:rsidRPr="004B6FE2">
              <w:rPr>
                <w:rFonts w:ascii="Arial Narrow" w:hAnsi="Arial Narrow"/>
                <w:color w:val="000000"/>
                <w:spacing w:val="9"/>
                <w:sz w:val="20"/>
                <w:szCs w:val="20"/>
                <w:shd w:val="solid" w:color="000000" w:fill="000000"/>
                <w:fitText w:val="310" w:id="-930963966"/>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3966"/>
                <w14:textFill>
                  <w14:solidFill>
                    <w14:srgbClr w14:val="000000">
                      <w14:alpha w14:val="100000"/>
                    </w14:srgbClr>
                  </w14:solidFill>
                </w14:textFill>
              </w:rPr>
              <w:t>|</w:t>
            </w:r>
            <w:r w:rsidR="00DB5B2D" w:rsidRPr="00D01F45">
              <w:rPr>
                <w:rFonts w:ascii="Arial Narrow" w:hAnsi="Arial Narrow"/>
                <w:color w:val="000000"/>
                <w:sz w:val="20"/>
                <w:szCs w:val="20"/>
              </w:rPr>
              <w:t xml:space="preserve"> 21</w:t>
            </w:r>
          </w:p>
        </w:tc>
        <w:tc>
          <w:tcPr>
            <w:tcW w:w="1560"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2DB448C3" w14:textId="1D6216A0"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269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41DE787C" w14:textId="67A0CA3A"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884"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20BBA6E9" w14:textId="0E47C56C"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475"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59FF0765" w14:textId="54DF21E5"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r>
      <w:tr w:rsidR="00472431" w:rsidRPr="00D01F45" w14:paraId="472DCE38" w14:textId="77777777" w:rsidTr="004B6FE2">
        <w:trPr>
          <w:trHeight w:val="227"/>
        </w:trPr>
        <w:tc>
          <w:tcPr>
            <w:tcW w:w="15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8E646A" w14:textId="69571A6A" w:rsidR="00DB5B2D" w:rsidRPr="00D01F45" w:rsidRDefault="004B6FE2">
            <w:pPr>
              <w:rPr>
                <w:rFonts w:ascii="Arial Narrow" w:hAnsi="Arial Narrow"/>
                <w:color w:val="000000"/>
                <w:sz w:val="20"/>
                <w:szCs w:val="20"/>
              </w:rPr>
            </w:pPr>
            <w:r w:rsidRPr="004B6FE2">
              <w:rPr>
                <w:rFonts w:ascii="Arial Narrow" w:hAnsi="Arial Narrow"/>
                <w:color w:val="000000"/>
                <w:spacing w:val="9"/>
                <w:sz w:val="20"/>
                <w:szCs w:val="20"/>
                <w:shd w:val="solid" w:color="000000" w:fill="000000"/>
                <w:fitText w:val="310" w:id="-930963965"/>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3965"/>
                <w14:textFill>
                  <w14:solidFill>
                    <w14:srgbClr w14:val="000000">
                      <w14:alpha w14:val="100000"/>
                    </w14:srgbClr>
                  </w14:solidFill>
                </w14:textFill>
              </w:rPr>
              <w:t>|</w:t>
            </w:r>
            <w:r w:rsidR="00E967E8">
              <w:rPr>
                <w:rFonts w:ascii="Arial Narrow" w:hAnsi="Arial Narrow"/>
                <w:color w:val="000000"/>
                <w:sz w:val="20"/>
                <w:szCs w:val="20"/>
              </w:rPr>
              <w:t xml:space="preserve"> </w:t>
            </w:r>
            <w:r w:rsidR="00DB5B2D" w:rsidRPr="00D01F45">
              <w:rPr>
                <w:rFonts w:ascii="Arial Narrow" w:hAnsi="Arial Narrow"/>
                <w:color w:val="000000"/>
                <w:sz w:val="20"/>
                <w:szCs w:val="20"/>
              </w:rPr>
              <w:t>21</w:t>
            </w:r>
            <w:r w:rsidR="007D2204">
              <w:rPr>
                <w:rFonts w:ascii="Arial Narrow" w:hAnsi="Arial Narrow"/>
                <w:color w:val="000000"/>
                <w:sz w:val="20"/>
                <w:szCs w:val="20"/>
              </w:rPr>
              <w:t xml:space="preserve"> </w:t>
            </w:r>
            <w:r w:rsidR="00DB5B2D" w:rsidRPr="00D01F45">
              <w:rPr>
                <w:rFonts w:ascii="Arial Narrow" w:hAnsi="Arial Narrow"/>
                <w:color w:val="000000"/>
                <w:sz w:val="20"/>
                <w:szCs w:val="20"/>
              </w:rPr>
              <w:t xml:space="preserve">- </w:t>
            </w:r>
            <w:r w:rsidRPr="004B6FE2">
              <w:rPr>
                <w:rFonts w:ascii="Arial Narrow" w:hAnsi="Arial Narrow"/>
                <w:color w:val="000000"/>
                <w:spacing w:val="9"/>
                <w:sz w:val="20"/>
                <w:szCs w:val="20"/>
                <w:shd w:val="solid" w:color="000000" w:fill="000000"/>
                <w:fitText w:val="310" w:id="-930963964"/>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3964"/>
                <w14:textFill>
                  <w14:solidFill>
                    <w14:srgbClr w14:val="000000">
                      <w14:alpha w14:val="100000"/>
                    </w14:srgbClr>
                  </w14:solidFill>
                </w14:textFill>
              </w:rPr>
              <w:t>|</w:t>
            </w:r>
            <w:r w:rsidR="00DB5B2D" w:rsidRPr="00D01F45">
              <w:rPr>
                <w:rFonts w:ascii="Arial Narrow" w:hAnsi="Arial Narrow"/>
                <w:color w:val="000000"/>
                <w:sz w:val="20"/>
                <w:szCs w:val="20"/>
              </w:rPr>
              <w:t xml:space="preserve"> 22</w:t>
            </w:r>
          </w:p>
        </w:tc>
        <w:tc>
          <w:tcPr>
            <w:tcW w:w="1560"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02AF1A04" w14:textId="507B8189"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269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772D967F" w14:textId="23A406D6"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884"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58E626D6" w14:textId="5D26618F"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475"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106CD2FC" w14:textId="2E9A35DA"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r>
      <w:tr w:rsidR="00472431" w:rsidRPr="00D01F45" w14:paraId="1DBFD731" w14:textId="77777777" w:rsidTr="004B6FE2">
        <w:trPr>
          <w:trHeight w:val="227"/>
        </w:trPr>
        <w:tc>
          <w:tcPr>
            <w:tcW w:w="15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9E7CCB" w14:textId="11193733" w:rsidR="00DB5B2D" w:rsidRPr="00D01F45" w:rsidRDefault="004B6FE2">
            <w:pPr>
              <w:rPr>
                <w:rFonts w:ascii="Arial Narrow" w:hAnsi="Arial Narrow"/>
                <w:color w:val="000000"/>
                <w:sz w:val="20"/>
                <w:szCs w:val="20"/>
              </w:rPr>
            </w:pPr>
            <w:r w:rsidRPr="004B6FE2">
              <w:rPr>
                <w:rFonts w:ascii="Arial Narrow" w:hAnsi="Arial Narrow"/>
                <w:color w:val="000000"/>
                <w:spacing w:val="9"/>
                <w:sz w:val="20"/>
                <w:szCs w:val="20"/>
                <w:shd w:val="solid" w:color="000000" w:fill="000000"/>
                <w:fitText w:val="310" w:id="-930963963"/>
                <w14:textFill>
                  <w14:solidFill>
                    <w14:srgbClr w14:val="000000">
                      <w14:alpha w14:val="100000"/>
                    </w14:srgbClr>
                  </w14:solidFill>
                </w14:textFill>
              </w:rPr>
              <w:t>||  |</w:t>
            </w:r>
            <w:r w:rsidRPr="004B6FE2">
              <w:rPr>
                <w:rFonts w:ascii="Arial Narrow" w:hAnsi="Arial Narrow"/>
                <w:color w:val="000000"/>
                <w:spacing w:val="4"/>
                <w:sz w:val="20"/>
                <w:szCs w:val="20"/>
                <w:shd w:val="solid" w:color="000000" w:fill="000000"/>
                <w:fitText w:val="310" w:id="-930963963"/>
                <w14:textFill>
                  <w14:solidFill>
                    <w14:srgbClr w14:val="000000">
                      <w14:alpha w14:val="100000"/>
                    </w14:srgbClr>
                  </w14:solidFill>
                </w14:textFill>
              </w:rPr>
              <w:t>|</w:t>
            </w:r>
            <w:r w:rsidR="00E967E8">
              <w:rPr>
                <w:rFonts w:ascii="Arial Narrow" w:hAnsi="Arial Narrow"/>
                <w:color w:val="000000"/>
                <w:sz w:val="20"/>
                <w:szCs w:val="20"/>
              </w:rPr>
              <w:t xml:space="preserve"> </w:t>
            </w:r>
            <w:r w:rsidR="00DB5B2D" w:rsidRPr="00D01F45">
              <w:rPr>
                <w:rFonts w:ascii="Arial Narrow" w:hAnsi="Arial Narrow"/>
                <w:color w:val="000000"/>
                <w:sz w:val="20"/>
                <w:szCs w:val="20"/>
              </w:rPr>
              <w:t>22</w:t>
            </w:r>
            <w:r w:rsidR="007D2204">
              <w:rPr>
                <w:rFonts w:ascii="Arial Narrow" w:hAnsi="Arial Narrow"/>
                <w:color w:val="000000"/>
                <w:sz w:val="20"/>
                <w:szCs w:val="20"/>
              </w:rPr>
              <w:t xml:space="preserve"> </w:t>
            </w:r>
            <w:r w:rsidR="00DB5B2D" w:rsidRPr="00D01F45">
              <w:rPr>
                <w:rFonts w:ascii="Arial Narrow" w:hAnsi="Arial Narrow"/>
                <w:color w:val="000000"/>
                <w:sz w:val="20"/>
                <w:szCs w:val="20"/>
              </w:rPr>
              <w:t xml:space="preserve">- </w:t>
            </w:r>
            <w:r w:rsidRPr="0058464C">
              <w:rPr>
                <w:rFonts w:ascii="Arial Narrow" w:hAnsi="Arial Narrow"/>
                <w:color w:val="000000"/>
                <w:spacing w:val="9"/>
                <w:sz w:val="20"/>
                <w:szCs w:val="20"/>
                <w:shd w:val="solid" w:color="000000" w:fill="000000"/>
                <w:fitText w:val="310" w:id="-930963962"/>
                <w14:textFill>
                  <w14:solidFill>
                    <w14:srgbClr w14:val="000000">
                      <w14:alpha w14:val="100000"/>
                    </w14:srgbClr>
                  </w14:solidFill>
                </w14:textFill>
              </w:rPr>
              <w:t>||  |</w:t>
            </w:r>
            <w:r w:rsidRPr="0058464C">
              <w:rPr>
                <w:rFonts w:ascii="Arial Narrow" w:hAnsi="Arial Narrow"/>
                <w:color w:val="000000"/>
                <w:spacing w:val="4"/>
                <w:sz w:val="20"/>
                <w:szCs w:val="20"/>
                <w:shd w:val="solid" w:color="000000" w:fill="000000"/>
                <w:fitText w:val="310" w:id="-930963962"/>
                <w14:textFill>
                  <w14:solidFill>
                    <w14:srgbClr w14:val="000000">
                      <w14:alpha w14:val="100000"/>
                    </w14:srgbClr>
                  </w14:solidFill>
                </w14:textFill>
              </w:rPr>
              <w:t>|</w:t>
            </w:r>
            <w:r w:rsidR="0058464C">
              <w:rPr>
                <w:rFonts w:ascii="Arial Narrow" w:hAnsi="Arial Narrow"/>
                <w:color w:val="000000"/>
                <w:sz w:val="20"/>
                <w:szCs w:val="20"/>
                <w:shd w:val="solid" w:color="000000" w:fill="000000"/>
                <w14:textFill>
                  <w14:solidFill>
                    <w14:srgbClr w14:val="000000">
                      <w14:alpha w14:val="100000"/>
                    </w14:srgbClr>
                  </w14:solidFill>
                </w14:textFill>
              </w:rPr>
              <w:t xml:space="preserve"> </w:t>
            </w:r>
            <w:r w:rsidR="00DB5B2D" w:rsidRPr="00D01F45">
              <w:rPr>
                <w:rFonts w:ascii="Arial Narrow" w:hAnsi="Arial Narrow"/>
                <w:color w:val="000000"/>
                <w:sz w:val="20"/>
                <w:szCs w:val="20"/>
              </w:rPr>
              <w:t>23</w:t>
            </w:r>
          </w:p>
        </w:tc>
        <w:tc>
          <w:tcPr>
            <w:tcW w:w="1560"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6926783F" w14:textId="1504975E"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269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401DAC28" w14:textId="284102B4"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884"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51D28098" w14:textId="42815B44"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c>
          <w:tcPr>
            <w:tcW w:w="1475"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hideMark/>
          </w:tcPr>
          <w:p w14:paraId="139C2F99" w14:textId="1781D655" w:rsidR="00DB5B2D" w:rsidRPr="004B6FE2" w:rsidRDefault="004B6FE2" w:rsidP="007D2204">
            <w:pPr>
              <w:jc w:val="center"/>
              <w:rPr>
                <w:rFonts w:ascii="Arial Narrow" w:hAnsi="Arial Narrow"/>
                <w:color w:val="000000"/>
                <w:sz w:val="20"/>
                <w:szCs w:val="20"/>
              </w:rPr>
            </w:pPr>
            <w:r w:rsidRPr="004B6FE2">
              <w:rPr>
                <w:rFonts w:ascii="Arial Narrow" w:hAnsi="Arial Narrow"/>
                <w:color w:val="000000"/>
                <w:sz w:val="20"/>
                <w:szCs w:val="20"/>
                <w14:textFill>
                  <w14:solidFill>
                    <w14:srgbClr w14:val="000000">
                      <w14:alpha w14:val="100000"/>
                    </w14:srgbClr>
                  </w14:solidFill>
                </w14:textFill>
              </w:rPr>
              <w:t>|</w:t>
            </w:r>
          </w:p>
        </w:tc>
      </w:tr>
    </w:tbl>
    <w:p w14:paraId="6BEDEB7E" w14:textId="2A5A8CEE" w:rsidR="00DB5B2D" w:rsidRDefault="00472431" w:rsidP="00472431">
      <w:pPr>
        <w:pStyle w:val="FooterTableFigure"/>
      </w:pPr>
      <w:r>
        <w:t xml:space="preserve">Source: </w:t>
      </w:r>
      <w:r w:rsidR="00A92384">
        <w:t>c</w:t>
      </w:r>
      <w:r>
        <w:t>ompiled during the evaluation.</w:t>
      </w:r>
    </w:p>
    <w:p w14:paraId="4F84E7C0" w14:textId="77777777" w:rsidR="00EC40E8" w:rsidRPr="00EC40E8" w:rsidRDefault="00EC40E8" w:rsidP="00AF30D8">
      <w:pPr>
        <w:spacing w:after="120"/>
        <w:ind w:firstLine="720"/>
        <w:rPr>
          <w:rFonts w:asciiTheme="minorHAnsi" w:hAnsiTheme="minorHAnsi" w:cs="Times New Roman"/>
          <w:i/>
          <w:lang w:eastAsia="en-US"/>
        </w:rPr>
      </w:pPr>
      <w:bookmarkStart w:id="76" w:name="_Hlk76375324"/>
      <w:r w:rsidRPr="00EC40E8">
        <w:rPr>
          <w:rFonts w:asciiTheme="minorHAnsi" w:hAnsiTheme="minorHAnsi" w:cs="Times New Roman"/>
          <w:i/>
          <w:lang w:eastAsia="en-US"/>
        </w:rPr>
        <w:t>For more detail on PBAC’s view, see section 7 PBAC outcome.</w:t>
      </w:r>
    </w:p>
    <w:bookmarkEnd w:id="76"/>
    <w:p w14:paraId="0958DD99" w14:textId="77777777" w:rsidR="005D5677" w:rsidRPr="00F5486A" w:rsidRDefault="005D5677" w:rsidP="004F7504">
      <w:pPr>
        <w:pStyle w:val="2-SectionHeading"/>
      </w:pPr>
      <w:r w:rsidRPr="005D5677">
        <w:lastRenderedPageBreak/>
        <w:t>PBAC Outcome</w:t>
      </w:r>
    </w:p>
    <w:p w14:paraId="6165ABE6" w14:textId="1975C54E" w:rsidR="009F27FA" w:rsidRDefault="009F27FA" w:rsidP="00730876">
      <w:pPr>
        <w:widowControl w:val="0"/>
        <w:numPr>
          <w:ilvl w:val="1"/>
          <w:numId w:val="1"/>
        </w:numPr>
        <w:spacing w:after="120"/>
        <w:rPr>
          <w:rFonts w:asciiTheme="minorHAnsi" w:hAnsiTheme="minorHAnsi"/>
          <w:snapToGrid w:val="0"/>
          <w:lang w:val="en-GB" w:eastAsia="en-US"/>
        </w:rPr>
      </w:pPr>
      <w:bookmarkStart w:id="77" w:name="_Hlk111543188"/>
      <w:r w:rsidRPr="009F27FA">
        <w:rPr>
          <w:rFonts w:asciiTheme="minorHAnsi" w:hAnsiTheme="minorHAnsi"/>
          <w:snapToGrid w:val="0"/>
          <w:lang w:val="en-GB" w:eastAsia="en-US"/>
        </w:rPr>
        <w:t xml:space="preserve">The PBAC did not recommend the listing of foslevodopa/foscarbidopa (FosLD/FosCD) for the treatment of advanced Parkinson's disease in patients with severe disabling motor fluctuations not </w:t>
      </w:r>
      <w:r w:rsidRPr="00D14356">
        <w:rPr>
          <w:rFonts w:asciiTheme="minorHAnsi" w:hAnsiTheme="minorHAnsi"/>
          <w:snapToGrid w:val="0"/>
          <w:lang w:val="en-GB" w:eastAsia="en-US"/>
        </w:rPr>
        <w:t xml:space="preserve">adequately controlled by oral therapy. In not recommending the listing, the PBAC considered </w:t>
      </w:r>
      <w:r w:rsidR="00B0165A" w:rsidRPr="00D14356">
        <w:rPr>
          <w:rFonts w:asciiTheme="minorHAnsi" w:hAnsiTheme="minorHAnsi"/>
          <w:snapToGrid w:val="0"/>
          <w:lang w:val="en-GB" w:eastAsia="en-US"/>
        </w:rPr>
        <w:t>further data and analyses were required to address concerns regarding</w:t>
      </w:r>
      <w:r w:rsidR="00BF3489" w:rsidRPr="00D14356">
        <w:rPr>
          <w:rFonts w:asciiTheme="minorHAnsi" w:hAnsiTheme="minorHAnsi"/>
          <w:snapToGrid w:val="0"/>
          <w:lang w:val="en-GB" w:eastAsia="en-US"/>
        </w:rPr>
        <w:t xml:space="preserve"> </w:t>
      </w:r>
      <w:r w:rsidR="00E668D1" w:rsidRPr="00D14356">
        <w:rPr>
          <w:rFonts w:asciiTheme="minorHAnsi" w:hAnsiTheme="minorHAnsi"/>
          <w:snapToGrid w:val="0"/>
          <w:lang w:val="en-GB" w:eastAsia="en-US"/>
        </w:rPr>
        <w:t xml:space="preserve">the impact of discontinuations </w:t>
      </w:r>
      <w:r w:rsidR="00D14356" w:rsidRPr="00D14356">
        <w:rPr>
          <w:rFonts w:asciiTheme="minorHAnsi" w:hAnsiTheme="minorHAnsi"/>
          <w:snapToGrid w:val="0"/>
          <w:lang w:val="en-GB" w:eastAsia="en-US"/>
        </w:rPr>
        <w:t>in the pivotal</w:t>
      </w:r>
      <w:r w:rsidR="00D14356" w:rsidRPr="00D14356">
        <w:t xml:space="preserve"> FosLD/FosCD (M15-736)</w:t>
      </w:r>
      <w:r w:rsidR="00D14356" w:rsidRPr="00D14356">
        <w:rPr>
          <w:rFonts w:asciiTheme="minorHAnsi" w:hAnsiTheme="minorHAnsi"/>
          <w:snapToGrid w:val="0"/>
          <w:lang w:val="en-GB" w:eastAsia="en-US"/>
        </w:rPr>
        <w:t xml:space="preserve"> trial </w:t>
      </w:r>
      <w:r w:rsidR="00E668D1" w:rsidRPr="00D14356">
        <w:rPr>
          <w:rFonts w:asciiTheme="minorHAnsi" w:hAnsiTheme="minorHAnsi"/>
          <w:snapToGrid w:val="0"/>
          <w:lang w:val="en-GB" w:eastAsia="en-US"/>
        </w:rPr>
        <w:t xml:space="preserve">on </w:t>
      </w:r>
      <w:r w:rsidR="00D14356" w:rsidRPr="00D14356">
        <w:rPr>
          <w:lang w:val="en-GB" w:eastAsia="en-US"/>
        </w:rPr>
        <w:t xml:space="preserve">both the estimated efficacy for FosLD/FosCD and the indirect comparison with </w:t>
      </w:r>
      <w:r w:rsidR="009431B6">
        <w:rPr>
          <w:lang w:val="en-GB" w:eastAsia="en-US"/>
        </w:rPr>
        <w:t>levodopa/carbidopa intestinal gel (</w:t>
      </w:r>
      <w:r w:rsidR="00D14356" w:rsidRPr="00D14356">
        <w:rPr>
          <w:lang w:val="en-GB" w:eastAsia="en-US"/>
        </w:rPr>
        <w:t>LCIG</w:t>
      </w:r>
      <w:r w:rsidR="009431B6">
        <w:rPr>
          <w:lang w:val="en-GB" w:eastAsia="en-US"/>
        </w:rPr>
        <w:t>)</w:t>
      </w:r>
      <w:r w:rsidR="002E0E82" w:rsidRPr="00D14356">
        <w:rPr>
          <w:rFonts w:asciiTheme="minorHAnsi" w:hAnsiTheme="minorHAnsi"/>
          <w:snapToGrid w:val="0"/>
          <w:lang w:val="en-GB" w:eastAsia="en-US"/>
        </w:rPr>
        <w:t>. The PBAC considered</w:t>
      </w:r>
      <w:r w:rsidRPr="00D14356">
        <w:rPr>
          <w:rFonts w:asciiTheme="minorHAnsi" w:hAnsiTheme="minorHAnsi"/>
          <w:snapToGrid w:val="0"/>
          <w:lang w:val="en-GB" w:eastAsia="en-US"/>
        </w:rPr>
        <w:t xml:space="preserve"> </w:t>
      </w:r>
      <w:r w:rsidR="00D14356" w:rsidRPr="00D14356">
        <w:rPr>
          <w:rFonts w:asciiTheme="minorHAnsi" w:hAnsiTheme="minorHAnsi"/>
          <w:snapToGrid w:val="0"/>
          <w:lang w:val="en-GB" w:eastAsia="en-US"/>
        </w:rPr>
        <w:t xml:space="preserve">a number of inputs for </w:t>
      </w:r>
      <w:r w:rsidRPr="00D14356">
        <w:rPr>
          <w:rFonts w:asciiTheme="minorHAnsi" w:hAnsiTheme="minorHAnsi"/>
          <w:snapToGrid w:val="0"/>
          <w:lang w:val="en-GB" w:eastAsia="en-US"/>
        </w:rPr>
        <w:t>the cost minimisation</w:t>
      </w:r>
      <w:r w:rsidR="009D2829" w:rsidRPr="00D14356">
        <w:rPr>
          <w:rFonts w:asciiTheme="minorHAnsi" w:hAnsiTheme="minorHAnsi"/>
          <w:snapToGrid w:val="0"/>
          <w:lang w:val="en-GB" w:eastAsia="en-US"/>
        </w:rPr>
        <w:t xml:space="preserve"> to be uncertain</w:t>
      </w:r>
      <w:r w:rsidR="00D14356" w:rsidRPr="00D14356">
        <w:rPr>
          <w:rFonts w:asciiTheme="minorHAnsi" w:hAnsiTheme="minorHAnsi"/>
          <w:snapToGrid w:val="0"/>
          <w:lang w:val="en-GB" w:eastAsia="en-US"/>
        </w:rPr>
        <w:t xml:space="preserve"> which likely resulted in the</w:t>
      </w:r>
      <w:r w:rsidR="009D2829" w:rsidRPr="00D14356">
        <w:rPr>
          <w:rFonts w:asciiTheme="minorHAnsi" w:hAnsiTheme="minorHAnsi"/>
          <w:snapToGrid w:val="0"/>
          <w:lang w:val="en-GB" w:eastAsia="en-US"/>
        </w:rPr>
        <w:t xml:space="preserve"> </w:t>
      </w:r>
      <w:r w:rsidR="00D14356" w:rsidRPr="00D14356">
        <w:rPr>
          <w:lang w:val="en-GB" w:eastAsia="en-US"/>
        </w:rPr>
        <w:t>cost of FosLD/FosCD per patient being more than for LCIG,</w:t>
      </w:r>
      <w:r w:rsidR="00D14356" w:rsidRPr="00D14356">
        <w:rPr>
          <w:rFonts w:asciiTheme="minorHAnsi" w:hAnsiTheme="minorHAnsi"/>
          <w:snapToGrid w:val="0"/>
          <w:lang w:val="en-GB" w:eastAsia="en-US"/>
        </w:rPr>
        <w:t xml:space="preserve"> </w:t>
      </w:r>
      <w:r w:rsidR="009D2829" w:rsidRPr="00D14356">
        <w:rPr>
          <w:rFonts w:asciiTheme="minorHAnsi" w:hAnsiTheme="minorHAnsi"/>
          <w:snapToGrid w:val="0"/>
          <w:lang w:val="en-GB" w:eastAsia="en-US"/>
        </w:rPr>
        <w:t xml:space="preserve">and noted </w:t>
      </w:r>
      <w:r w:rsidR="00D14356" w:rsidRPr="00D14356">
        <w:rPr>
          <w:rFonts w:asciiTheme="minorHAnsi" w:hAnsiTheme="minorHAnsi"/>
          <w:snapToGrid w:val="0"/>
          <w:lang w:val="en-GB" w:eastAsia="en-US"/>
        </w:rPr>
        <w:t>the CMA</w:t>
      </w:r>
      <w:r w:rsidR="009D2829" w:rsidRPr="00D14356">
        <w:rPr>
          <w:rFonts w:asciiTheme="minorHAnsi" w:hAnsiTheme="minorHAnsi"/>
          <w:snapToGrid w:val="0"/>
          <w:lang w:val="en-GB" w:eastAsia="en-US"/>
        </w:rPr>
        <w:t xml:space="preserve"> did not include the costs associated with treating adverse events.</w:t>
      </w:r>
      <w:r w:rsidRPr="00D14356">
        <w:rPr>
          <w:rFonts w:asciiTheme="minorHAnsi" w:hAnsiTheme="minorHAnsi"/>
          <w:snapToGrid w:val="0"/>
          <w:lang w:val="en-GB" w:eastAsia="en-US"/>
        </w:rPr>
        <w:t xml:space="preserve"> The PBAC </w:t>
      </w:r>
      <w:r w:rsidR="00D14356" w:rsidRPr="00D14356">
        <w:rPr>
          <w:rFonts w:asciiTheme="minorHAnsi" w:hAnsiTheme="minorHAnsi"/>
          <w:snapToGrid w:val="0"/>
          <w:lang w:val="en-GB" w:eastAsia="en-US"/>
        </w:rPr>
        <w:t>agreed with the submission</w:t>
      </w:r>
      <w:r w:rsidRPr="00D14356">
        <w:rPr>
          <w:rFonts w:asciiTheme="minorHAnsi" w:hAnsiTheme="minorHAnsi"/>
          <w:snapToGrid w:val="0"/>
          <w:lang w:val="en-GB" w:eastAsia="en-US"/>
        </w:rPr>
        <w:t xml:space="preserve"> that as a subcutaneous treatment option, the use of FosLD/FosCD in practice was likely to be greater than the current intestinal gel </w:t>
      </w:r>
      <w:r w:rsidR="00414D0C" w:rsidRPr="00D14356">
        <w:rPr>
          <w:rFonts w:asciiTheme="minorHAnsi" w:hAnsiTheme="minorHAnsi"/>
          <w:snapToGrid w:val="0"/>
          <w:lang w:val="en-GB" w:eastAsia="en-US"/>
        </w:rPr>
        <w:t>option and</w:t>
      </w:r>
      <w:r w:rsidRPr="00D14356">
        <w:rPr>
          <w:rFonts w:asciiTheme="minorHAnsi" w:hAnsiTheme="minorHAnsi"/>
          <w:snapToGrid w:val="0"/>
          <w:lang w:val="en-GB" w:eastAsia="en-US"/>
        </w:rPr>
        <w:t xml:space="preserve"> </w:t>
      </w:r>
      <w:r w:rsidR="00D14356" w:rsidRPr="00D14356">
        <w:rPr>
          <w:rFonts w:asciiTheme="minorHAnsi" w:hAnsiTheme="minorHAnsi"/>
          <w:snapToGrid w:val="0"/>
          <w:lang w:val="en-GB" w:eastAsia="en-US"/>
        </w:rPr>
        <w:t xml:space="preserve">considered </w:t>
      </w:r>
      <w:r w:rsidR="009D2829" w:rsidRPr="00D14356">
        <w:rPr>
          <w:rFonts w:asciiTheme="minorHAnsi" w:hAnsiTheme="minorHAnsi"/>
          <w:snapToGrid w:val="0"/>
          <w:lang w:val="en-GB" w:eastAsia="en-US"/>
        </w:rPr>
        <w:t>that</w:t>
      </w:r>
      <w:r w:rsidRPr="00D14356">
        <w:rPr>
          <w:rFonts w:asciiTheme="minorHAnsi" w:hAnsiTheme="minorHAnsi"/>
          <w:snapToGrid w:val="0"/>
          <w:lang w:val="en-GB" w:eastAsia="en-US"/>
        </w:rPr>
        <w:t xml:space="preserve"> a Risk Sharing Arrangement (RSA) would be appropriate for the listing. The PBAC considered the outstanding issues could be addressed in an early</w:t>
      </w:r>
      <w:r w:rsidRPr="009F27FA">
        <w:rPr>
          <w:rFonts w:asciiTheme="minorHAnsi" w:hAnsiTheme="minorHAnsi"/>
          <w:snapToGrid w:val="0"/>
          <w:lang w:val="en-GB" w:eastAsia="en-US"/>
        </w:rPr>
        <w:t xml:space="preserve"> re-entry submission.</w:t>
      </w:r>
    </w:p>
    <w:p w14:paraId="24831686" w14:textId="74282E6E" w:rsidR="002F0B2F" w:rsidRDefault="002F0B2F" w:rsidP="00730876">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key reason for not recommending FosLD/FosCD was the </w:t>
      </w:r>
      <w:r w:rsidR="00FB14BE">
        <w:rPr>
          <w:rFonts w:asciiTheme="minorHAnsi" w:hAnsiTheme="minorHAnsi"/>
          <w:snapToGrid w:val="0"/>
          <w:lang w:val="en-GB" w:eastAsia="en-US"/>
        </w:rPr>
        <w:t>comparative clinical evidence</w:t>
      </w:r>
      <w:r>
        <w:rPr>
          <w:rFonts w:asciiTheme="minorHAnsi" w:hAnsiTheme="minorHAnsi"/>
          <w:snapToGrid w:val="0"/>
          <w:lang w:val="en-GB" w:eastAsia="en-US"/>
        </w:rPr>
        <w:t>.</w:t>
      </w:r>
    </w:p>
    <w:p w14:paraId="09C2B2E4" w14:textId="77777777" w:rsidR="00E967E8" w:rsidRDefault="009F27FA" w:rsidP="00730876">
      <w:pPr>
        <w:widowControl w:val="0"/>
        <w:numPr>
          <w:ilvl w:val="1"/>
          <w:numId w:val="1"/>
        </w:numPr>
        <w:spacing w:after="120"/>
        <w:rPr>
          <w:rFonts w:asciiTheme="minorHAnsi" w:hAnsiTheme="minorHAnsi"/>
          <w:snapToGrid w:val="0"/>
          <w:lang w:val="en-GB" w:eastAsia="en-US"/>
        </w:rPr>
      </w:pPr>
      <w:bookmarkStart w:id="78" w:name="_Ref168751141"/>
      <w:r w:rsidRPr="009F27FA">
        <w:rPr>
          <w:rFonts w:asciiTheme="minorHAnsi" w:hAnsiTheme="minorHAnsi"/>
          <w:snapToGrid w:val="0"/>
          <w:lang w:val="en-GB" w:eastAsia="en-US"/>
        </w:rPr>
        <w:t xml:space="preserve">The PBAC </w:t>
      </w:r>
      <w:r w:rsidR="00E07290">
        <w:rPr>
          <w:rFonts w:asciiTheme="minorHAnsi" w:hAnsiTheme="minorHAnsi"/>
          <w:snapToGrid w:val="0"/>
          <w:lang w:val="en-GB" w:eastAsia="en-US"/>
        </w:rPr>
        <w:t>considered</w:t>
      </w:r>
      <w:r w:rsidRPr="009F27FA">
        <w:rPr>
          <w:rFonts w:asciiTheme="minorHAnsi" w:hAnsiTheme="minorHAnsi"/>
          <w:snapToGrid w:val="0"/>
          <w:lang w:val="en-GB" w:eastAsia="en-US"/>
        </w:rPr>
        <w:t xml:space="preserve"> there was a clinical need for additional treatment modalities for patients experiencing severe motor symptoms from Parkinson's disease where oral therapies were no longer providing adequate control</w:t>
      </w:r>
      <w:r w:rsidR="002E0E82">
        <w:rPr>
          <w:rFonts w:asciiTheme="minorHAnsi" w:hAnsiTheme="minorHAnsi"/>
          <w:snapToGrid w:val="0"/>
          <w:lang w:val="en-GB" w:eastAsia="en-US"/>
        </w:rPr>
        <w:t>. The Committee considered</w:t>
      </w:r>
      <w:r w:rsidRPr="009F27FA">
        <w:rPr>
          <w:rFonts w:asciiTheme="minorHAnsi" w:hAnsiTheme="minorHAnsi"/>
          <w:snapToGrid w:val="0"/>
          <w:lang w:val="en-GB" w:eastAsia="en-US"/>
        </w:rPr>
        <w:t xml:space="preserve"> that current treatment options</w:t>
      </w:r>
      <w:r w:rsidR="0056655E">
        <w:rPr>
          <w:rFonts w:asciiTheme="minorHAnsi" w:hAnsiTheme="minorHAnsi"/>
          <w:snapToGrid w:val="0"/>
          <w:lang w:val="en-GB" w:eastAsia="en-US"/>
        </w:rPr>
        <w:t xml:space="preserve"> had substantial limitations, as</w:t>
      </w:r>
      <w:r w:rsidRPr="009F27FA">
        <w:rPr>
          <w:rFonts w:asciiTheme="minorHAnsi" w:hAnsiTheme="minorHAnsi"/>
          <w:snapToGrid w:val="0"/>
          <w:lang w:val="en-GB" w:eastAsia="en-US"/>
        </w:rPr>
        <w:t xml:space="preserve"> apomorphine</w:t>
      </w:r>
      <w:r w:rsidR="0056655E">
        <w:rPr>
          <w:rFonts w:asciiTheme="minorHAnsi" w:hAnsiTheme="minorHAnsi"/>
          <w:snapToGrid w:val="0"/>
          <w:lang w:val="en-GB" w:eastAsia="en-US"/>
        </w:rPr>
        <w:t xml:space="preserve"> subcutaneous</w:t>
      </w:r>
      <w:r w:rsidRPr="009F27FA">
        <w:rPr>
          <w:rFonts w:asciiTheme="minorHAnsi" w:hAnsiTheme="minorHAnsi"/>
          <w:snapToGrid w:val="0"/>
          <w:lang w:val="en-GB" w:eastAsia="en-US"/>
        </w:rPr>
        <w:t xml:space="preserve"> infusion</w:t>
      </w:r>
      <w:r w:rsidR="0056655E">
        <w:rPr>
          <w:rFonts w:asciiTheme="minorHAnsi" w:hAnsiTheme="minorHAnsi"/>
          <w:snapToGrid w:val="0"/>
          <w:lang w:val="en-GB" w:eastAsia="en-US"/>
        </w:rPr>
        <w:t xml:space="preserve"> is associated with prohibitive side effects that precludes </w:t>
      </w:r>
      <w:r w:rsidR="00681DA9">
        <w:rPr>
          <w:rFonts w:asciiTheme="minorHAnsi" w:hAnsiTheme="minorHAnsi"/>
          <w:snapToGrid w:val="0"/>
          <w:lang w:val="en-GB" w:eastAsia="en-US"/>
        </w:rPr>
        <w:t>24-hour</w:t>
      </w:r>
      <w:r w:rsidR="0056655E">
        <w:rPr>
          <w:rFonts w:asciiTheme="minorHAnsi" w:hAnsiTheme="minorHAnsi"/>
          <w:snapToGrid w:val="0"/>
          <w:lang w:val="en-GB" w:eastAsia="en-US"/>
        </w:rPr>
        <w:t xml:space="preserve"> administration for many patients</w:t>
      </w:r>
      <w:r w:rsidRPr="009F27FA">
        <w:rPr>
          <w:rFonts w:asciiTheme="minorHAnsi" w:hAnsiTheme="minorHAnsi"/>
          <w:snapToGrid w:val="0"/>
          <w:lang w:val="en-GB" w:eastAsia="en-US"/>
        </w:rPr>
        <w:t xml:space="preserve"> and LCIG </w:t>
      </w:r>
      <w:r w:rsidR="0056655E">
        <w:rPr>
          <w:rFonts w:asciiTheme="minorHAnsi" w:hAnsiTheme="minorHAnsi"/>
          <w:snapToGrid w:val="0"/>
          <w:lang w:val="en-GB" w:eastAsia="en-US"/>
        </w:rPr>
        <w:t>require</w:t>
      </w:r>
      <w:r w:rsidR="002C003D">
        <w:rPr>
          <w:rFonts w:asciiTheme="minorHAnsi" w:hAnsiTheme="minorHAnsi"/>
          <w:snapToGrid w:val="0"/>
          <w:lang w:val="en-GB" w:eastAsia="en-US"/>
        </w:rPr>
        <w:t>s</w:t>
      </w:r>
      <w:r w:rsidR="0056655E">
        <w:rPr>
          <w:rFonts w:asciiTheme="minorHAnsi" w:hAnsiTheme="minorHAnsi"/>
          <w:snapToGrid w:val="0"/>
          <w:lang w:val="en-GB" w:eastAsia="en-US"/>
        </w:rPr>
        <w:t xml:space="preserve"> invasive surgery prior to commencing treatment</w:t>
      </w:r>
      <w:r w:rsidRPr="009F27FA">
        <w:rPr>
          <w:rFonts w:asciiTheme="minorHAnsi" w:hAnsiTheme="minorHAnsi"/>
          <w:snapToGrid w:val="0"/>
          <w:lang w:val="en-GB" w:eastAsia="en-US"/>
        </w:rPr>
        <w:t xml:space="preserve">. The Committee recognised that a </w:t>
      </w:r>
      <w:r w:rsidR="008C2180" w:rsidRPr="009F27FA">
        <w:rPr>
          <w:rFonts w:asciiTheme="minorHAnsi" w:hAnsiTheme="minorHAnsi"/>
          <w:snapToGrid w:val="0"/>
          <w:lang w:val="en-GB" w:eastAsia="en-US"/>
        </w:rPr>
        <w:t>subcutaneous</w:t>
      </w:r>
      <w:r w:rsidRPr="009F27FA">
        <w:rPr>
          <w:rFonts w:asciiTheme="minorHAnsi" w:hAnsiTheme="minorHAnsi"/>
          <w:snapToGrid w:val="0"/>
          <w:lang w:val="en-GB" w:eastAsia="en-US"/>
        </w:rPr>
        <w:t xml:space="preserve"> pump modality like FosLD/FosCD provides a new and minimally invasive treatment option</w:t>
      </w:r>
      <w:r w:rsidR="002C003D">
        <w:rPr>
          <w:rFonts w:asciiTheme="minorHAnsi" w:hAnsiTheme="minorHAnsi"/>
          <w:snapToGrid w:val="0"/>
          <w:lang w:val="en-GB" w:eastAsia="en-US"/>
        </w:rPr>
        <w:t xml:space="preserve"> that can readily be used 24 hours a day and</w:t>
      </w:r>
      <w:r w:rsidRPr="009F27FA">
        <w:rPr>
          <w:rFonts w:asciiTheme="minorHAnsi" w:hAnsiTheme="minorHAnsi"/>
          <w:snapToGrid w:val="0"/>
          <w:lang w:val="en-GB" w:eastAsia="en-US"/>
        </w:rPr>
        <w:t xml:space="preserve"> is deliverable in an outpatient setting (in some circumstances)</w:t>
      </w:r>
      <w:r w:rsidR="00B96C52">
        <w:rPr>
          <w:rFonts w:asciiTheme="minorHAnsi" w:hAnsiTheme="minorHAnsi"/>
          <w:snapToGrid w:val="0"/>
          <w:lang w:val="en-GB" w:eastAsia="en-US"/>
        </w:rPr>
        <w:t>. The Committee recognised that this</w:t>
      </w:r>
      <w:r w:rsidRPr="009F27FA">
        <w:rPr>
          <w:rFonts w:asciiTheme="minorHAnsi" w:hAnsiTheme="minorHAnsi"/>
          <w:snapToGrid w:val="0"/>
          <w:lang w:val="en-GB" w:eastAsia="en-US"/>
        </w:rPr>
        <w:t xml:space="preserve"> would provide </w:t>
      </w:r>
      <w:r w:rsidR="008A4A8E" w:rsidRPr="009F27FA">
        <w:rPr>
          <w:rFonts w:asciiTheme="minorHAnsi" w:hAnsiTheme="minorHAnsi"/>
          <w:snapToGrid w:val="0"/>
          <w:lang w:val="en-GB" w:eastAsia="en-US"/>
        </w:rPr>
        <w:t>benefits</w:t>
      </w:r>
      <w:r w:rsidRPr="009F27FA">
        <w:rPr>
          <w:rFonts w:asciiTheme="minorHAnsi" w:hAnsiTheme="minorHAnsi"/>
          <w:snapToGrid w:val="0"/>
          <w:lang w:val="en-GB" w:eastAsia="en-US"/>
        </w:rPr>
        <w:t xml:space="preserve"> to regional and rural patients who otherwise may need to travel significant distances to access the current treatment options.</w:t>
      </w:r>
      <w:bookmarkEnd w:id="78"/>
    </w:p>
    <w:p w14:paraId="248073D7" w14:textId="77777777" w:rsidR="00E967E8" w:rsidRDefault="009F27FA" w:rsidP="003945B8">
      <w:pPr>
        <w:pStyle w:val="3-BodyText"/>
        <w:rPr>
          <w:lang w:val="en-GB" w:eastAsia="en-US"/>
        </w:rPr>
      </w:pPr>
      <w:r w:rsidRPr="009F27FA">
        <w:rPr>
          <w:lang w:val="en-GB" w:eastAsia="en-US"/>
        </w:rPr>
        <w:t>The PBAC noted the clinician input in the Sponsor hearing that many patients find LCIG to not be an acceptable treatment, that only a small number of patients were considered for this treatment option, that significantly more patients would likely consider, and be considered for, this less invasive treatment option</w:t>
      </w:r>
      <w:r w:rsidR="008A429D">
        <w:rPr>
          <w:lang w:val="en-GB" w:eastAsia="en-US"/>
        </w:rPr>
        <w:t>, and that in some cases, administration could occur in an outpatient setting</w:t>
      </w:r>
      <w:r w:rsidRPr="009F27FA">
        <w:rPr>
          <w:lang w:val="en-GB" w:eastAsia="en-US"/>
        </w:rPr>
        <w:t>.</w:t>
      </w:r>
    </w:p>
    <w:p w14:paraId="4075C611" w14:textId="0D55829D" w:rsidR="009F27FA" w:rsidRDefault="009F27FA" w:rsidP="003945B8">
      <w:pPr>
        <w:pStyle w:val="3-BodyText"/>
        <w:rPr>
          <w:lang w:val="en-GB" w:eastAsia="en-US"/>
        </w:rPr>
      </w:pPr>
      <w:r w:rsidRPr="009F27FA">
        <w:rPr>
          <w:lang w:val="en-GB" w:eastAsia="en-US"/>
        </w:rPr>
        <w:t xml:space="preserve">The Committee considered a listing in both the General Schedule and Section 100 (Highly Specialised Drugs Program </w:t>
      </w:r>
      <w:r>
        <w:rPr>
          <w:lang w:val="en-GB" w:eastAsia="en-US"/>
        </w:rPr>
        <w:t>–</w:t>
      </w:r>
      <w:r w:rsidRPr="009F27FA">
        <w:rPr>
          <w:lang w:val="en-GB" w:eastAsia="en-US"/>
        </w:rPr>
        <w:t xml:space="preserve"> Public and Private Hospitals) was reasonable, to allow for prescribing both in the community and from </w:t>
      </w:r>
      <w:r w:rsidR="008C2180" w:rsidRPr="009F27FA">
        <w:rPr>
          <w:lang w:val="en-GB" w:eastAsia="en-US"/>
        </w:rPr>
        <w:t>hospital-based</w:t>
      </w:r>
      <w:r w:rsidRPr="009F27FA">
        <w:rPr>
          <w:lang w:val="en-GB" w:eastAsia="en-US"/>
        </w:rPr>
        <w:t xml:space="preserve"> specialists and movement disorder clinics. The PBAC considered that given the nature of FosLD/FosCD it was appropriate to allow for out of hospital initiation by a neurologist or physician with experience in the management of Parkinson</w:t>
      </w:r>
      <w:r>
        <w:rPr>
          <w:lang w:val="en-GB" w:eastAsia="en-US"/>
        </w:rPr>
        <w:t>’</w:t>
      </w:r>
      <w:r w:rsidRPr="009F27FA">
        <w:rPr>
          <w:lang w:val="en-GB" w:eastAsia="en-US"/>
        </w:rPr>
        <w:t>s disease</w:t>
      </w:r>
      <w:r w:rsidR="006E651B">
        <w:rPr>
          <w:lang w:val="en-GB" w:eastAsia="en-US"/>
        </w:rPr>
        <w:t xml:space="preserve"> (or movement </w:t>
      </w:r>
      <w:r w:rsidR="006E651B">
        <w:rPr>
          <w:lang w:val="en-GB" w:eastAsia="en-US"/>
        </w:rPr>
        <w:lastRenderedPageBreak/>
        <w:t>disorders more broadly)</w:t>
      </w:r>
      <w:r w:rsidRPr="009F27FA">
        <w:rPr>
          <w:lang w:val="en-GB" w:eastAsia="en-US"/>
        </w:rPr>
        <w:t>.</w:t>
      </w:r>
      <w:r>
        <w:rPr>
          <w:lang w:val="en-GB" w:eastAsia="en-US"/>
        </w:rPr>
        <w:t xml:space="preserve"> </w:t>
      </w:r>
      <w:r w:rsidR="00C40BF5">
        <w:rPr>
          <w:lang w:val="en-GB" w:eastAsia="en-US"/>
        </w:rPr>
        <w:t>For continuing therapy, the PBAC considered a General Schedule listing was appropriate.</w:t>
      </w:r>
    </w:p>
    <w:p w14:paraId="44550311" w14:textId="5B1B0832" w:rsidR="00D338D7" w:rsidRDefault="00D338D7" w:rsidP="003945B8">
      <w:pPr>
        <w:pStyle w:val="3-BodyText"/>
        <w:rPr>
          <w:lang w:val="en-GB" w:eastAsia="en-US"/>
        </w:rPr>
      </w:pPr>
      <w:r>
        <w:rPr>
          <w:lang w:val="en-GB" w:eastAsia="en-US"/>
        </w:rPr>
        <w:t xml:space="preserve">The PBAC considered it was appropriate for the listing to include an administrative note </w:t>
      </w:r>
      <w:r w:rsidR="00680F5F">
        <w:rPr>
          <w:lang w:val="en-GB" w:eastAsia="en-US"/>
        </w:rPr>
        <w:t xml:space="preserve">requiring </w:t>
      </w:r>
      <w:r w:rsidR="00680F5F" w:rsidRPr="00C95A87">
        <w:rPr>
          <w:iCs/>
        </w:rPr>
        <w:t xml:space="preserve">patients </w:t>
      </w:r>
      <w:r w:rsidR="00680F5F">
        <w:rPr>
          <w:iCs/>
        </w:rPr>
        <w:t>to have</w:t>
      </w:r>
      <w:r w:rsidR="00680F5F" w:rsidRPr="00C95A87">
        <w:rPr>
          <w:iCs/>
        </w:rPr>
        <w:t xml:space="preserve"> adequate cognitive function to </w:t>
      </w:r>
      <w:r w:rsidR="00680F5F">
        <w:rPr>
          <w:iCs/>
        </w:rPr>
        <w:t xml:space="preserve">be able to </w:t>
      </w:r>
      <w:r w:rsidR="00680F5F" w:rsidRPr="00C95A87">
        <w:rPr>
          <w:iCs/>
        </w:rPr>
        <w:t>manage administration with a portable continuous infusion pump</w:t>
      </w:r>
      <w:r w:rsidR="00680F5F">
        <w:rPr>
          <w:lang w:val="en-GB" w:eastAsia="en-US"/>
        </w:rPr>
        <w:t xml:space="preserve"> </w:t>
      </w:r>
      <w:r>
        <w:rPr>
          <w:lang w:val="en-GB" w:eastAsia="en-US"/>
        </w:rPr>
        <w:t>(paragraph 3.</w:t>
      </w:r>
      <w:r w:rsidR="00680F5F">
        <w:rPr>
          <w:lang w:val="en-GB" w:eastAsia="en-US"/>
        </w:rPr>
        <w:t>6</w:t>
      </w:r>
      <w:r>
        <w:rPr>
          <w:lang w:val="en-GB" w:eastAsia="en-US"/>
        </w:rPr>
        <w:t>)</w:t>
      </w:r>
      <w:r w:rsidR="00680F5F">
        <w:rPr>
          <w:lang w:val="en-GB" w:eastAsia="en-US"/>
        </w:rPr>
        <w:t xml:space="preserve">, and that </w:t>
      </w:r>
      <w:r>
        <w:rPr>
          <w:lang w:val="en-GB" w:eastAsia="en-US"/>
        </w:rPr>
        <w:t xml:space="preserve">it was </w:t>
      </w:r>
      <w:r w:rsidR="00680F5F">
        <w:rPr>
          <w:lang w:val="en-GB" w:eastAsia="en-US"/>
        </w:rPr>
        <w:t xml:space="preserve">also </w:t>
      </w:r>
      <w:r>
        <w:rPr>
          <w:lang w:val="en-GB" w:eastAsia="en-US"/>
        </w:rPr>
        <w:t xml:space="preserve">appropriate for </w:t>
      </w:r>
      <w:r>
        <w:rPr>
          <w:iCs/>
        </w:rPr>
        <w:t xml:space="preserve">the restriction for the maximum quantity of 8 packs to include </w:t>
      </w:r>
      <w:r w:rsidR="00680F5F">
        <w:rPr>
          <w:iCs/>
        </w:rPr>
        <w:t>as</w:t>
      </w:r>
      <w:r>
        <w:rPr>
          <w:iCs/>
        </w:rPr>
        <w:t xml:space="preserve"> clinical criteria that the “Patient must require continuous administration without an overnight break</w:t>
      </w:r>
      <w:r w:rsidR="00680F5F">
        <w:rPr>
          <w:iCs/>
        </w:rPr>
        <w:t xml:space="preserve">; OR Patient must require a total daily dose of more than </w:t>
      </w:r>
      <w:r>
        <w:rPr>
          <w:iCs/>
        </w:rPr>
        <w:t>2400 mg of foslevodopa per day”</w:t>
      </w:r>
      <w:r w:rsidR="00680F5F">
        <w:rPr>
          <w:iCs/>
        </w:rPr>
        <w:t xml:space="preserve"> (paragraph 3.3)</w:t>
      </w:r>
      <w:r>
        <w:rPr>
          <w:iCs/>
        </w:rPr>
        <w:t>.</w:t>
      </w:r>
    </w:p>
    <w:p w14:paraId="70F805B6" w14:textId="269AB4F1" w:rsidR="00E967E8" w:rsidRDefault="009F27FA" w:rsidP="003945B8">
      <w:pPr>
        <w:pStyle w:val="3-BodyText"/>
        <w:rPr>
          <w:lang w:val="en-GB" w:eastAsia="en-US"/>
        </w:rPr>
      </w:pPr>
      <w:r w:rsidRPr="009F27FA">
        <w:rPr>
          <w:lang w:val="en-GB" w:eastAsia="en-US"/>
        </w:rPr>
        <w:t>The PBAC considered there was a clinical place for FosLD/FosCD as an alternative to more invasive</w:t>
      </w:r>
      <w:r w:rsidR="002C003D">
        <w:rPr>
          <w:lang w:val="en-GB" w:eastAsia="en-US"/>
        </w:rPr>
        <w:t xml:space="preserve"> and/or less tolerable</w:t>
      </w:r>
      <w:r w:rsidRPr="009F27FA">
        <w:rPr>
          <w:lang w:val="en-GB" w:eastAsia="en-US"/>
        </w:rPr>
        <w:t xml:space="preserve"> treatment options like apomorphine infusion and LCIG</w:t>
      </w:r>
      <w:r w:rsidR="001365F8">
        <w:rPr>
          <w:lang w:val="en-GB" w:eastAsia="en-US"/>
        </w:rPr>
        <w:t>.</w:t>
      </w:r>
      <w:r w:rsidRPr="009F27FA">
        <w:rPr>
          <w:lang w:val="en-GB" w:eastAsia="en-US"/>
        </w:rPr>
        <w:t xml:space="preserve"> </w:t>
      </w:r>
      <w:r w:rsidR="001365F8">
        <w:rPr>
          <w:lang w:val="en-GB" w:eastAsia="en-US"/>
        </w:rPr>
        <w:t xml:space="preserve">The PBAC acknowledged the </w:t>
      </w:r>
      <w:r w:rsidR="00AF49AA">
        <w:rPr>
          <w:lang w:val="en-GB" w:eastAsia="en-US"/>
        </w:rPr>
        <w:t xml:space="preserve">use of apomorphine and LCIG was limited for the reasons outlined in paragraph </w:t>
      </w:r>
      <w:r w:rsidR="00AF49AA">
        <w:rPr>
          <w:lang w:val="en-GB" w:eastAsia="en-US"/>
        </w:rPr>
        <w:fldChar w:fldCharType="begin"/>
      </w:r>
      <w:r w:rsidR="00AF49AA">
        <w:rPr>
          <w:lang w:val="en-GB" w:eastAsia="en-US"/>
        </w:rPr>
        <w:instrText xml:space="preserve"> REF _Ref168751141 \r \h </w:instrText>
      </w:r>
      <w:r w:rsidR="00AF49AA">
        <w:rPr>
          <w:lang w:val="en-GB" w:eastAsia="en-US"/>
        </w:rPr>
      </w:r>
      <w:r w:rsidR="00AF49AA">
        <w:rPr>
          <w:lang w:val="en-GB" w:eastAsia="en-US"/>
        </w:rPr>
        <w:fldChar w:fldCharType="separate"/>
      </w:r>
      <w:r w:rsidR="0043339D">
        <w:rPr>
          <w:lang w:val="en-GB" w:eastAsia="en-US"/>
        </w:rPr>
        <w:t>7.3</w:t>
      </w:r>
      <w:r w:rsidR="00AF49AA">
        <w:rPr>
          <w:lang w:val="en-GB" w:eastAsia="en-US"/>
        </w:rPr>
        <w:fldChar w:fldCharType="end"/>
      </w:r>
      <w:r w:rsidR="001365F8">
        <w:rPr>
          <w:lang w:val="en-GB" w:eastAsia="en-US"/>
        </w:rPr>
        <w:t>,</w:t>
      </w:r>
      <w:r w:rsidR="00AF49AA">
        <w:rPr>
          <w:lang w:val="en-GB" w:eastAsia="en-US"/>
        </w:rPr>
        <w:t xml:space="preserve"> and that </w:t>
      </w:r>
      <w:r w:rsidRPr="009F27FA">
        <w:rPr>
          <w:lang w:val="en-GB" w:eastAsia="en-US"/>
        </w:rPr>
        <w:t xml:space="preserve">given the relative simplicity of commencing and continuing </w:t>
      </w:r>
      <w:r w:rsidR="001365F8">
        <w:rPr>
          <w:lang w:val="en-GB" w:eastAsia="en-US"/>
        </w:rPr>
        <w:t xml:space="preserve">FosLD/FosCD </w:t>
      </w:r>
      <w:r w:rsidRPr="009F27FA">
        <w:rPr>
          <w:lang w:val="en-GB" w:eastAsia="en-US"/>
        </w:rPr>
        <w:t>treatment</w:t>
      </w:r>
      <w:r w:rsidR="007C450D">
        <w:rPr>
          <w:lang w:val="en-GB" w:eastAsia="en-US"/>
        </w:rPr>
        <w:t>,</w:t>
      </w:r>
      <w:r w:rsidRPr="009F27FA">
        <w:rPr>
          <w:lang w:val="en-GB" w:eastAsia="en-US"/>
        </w:rPr>
        <w:t xml:space="preserve"> it was likely to be used in a </w:t>
      </w:r>
      <w:r w:rsidR="003022BE">
        <w:rPr>
          <w:lang w:val="en-GB" w:eastAsia="en-US"/>
        </w:rPr>
        <w:t>larger</w:t>
      </w:r>
      <w:r w:rsidR="003022BE" w:rsidRPr="009F27FA">
        <w:rPr>
          <w:lang w:val="en-GB" w:eastAsia="en-US"/>
        </w:rPr>
        <w:t xml:space="preserve"> </w:t>
      </w:r>
      <w:r w:rsidRPr="009F27FA">
        <w:rPr>
          <w:lang w:val="en-GB" w:eastAsia="en-US"/>
        </w:rPr>
        <w:t>population</w:t>
      </w:r>
      <w:r w:rsidR="00AF49AA">
        <w:rPr>
          <w:lang w:val="en-GB" w:eastAsia="en-US"/>
        </w:rPr>
        <w:t xml:space="preserve">. </w:t>
      </w:r>
      <w:r w:rsidR="003022BE">
        <w:rPr>
          <w:lang w:val="en-GB" w:eastAsia="en-US"/>
        </w:rPr>
        <w:t>T</w:t>
      </w:r>
      <w:r w:rsidRPr="009F27FA">
        <w:rPr>
          <w:lang w:val="en-GB" w:eastAsia="en-US"/>
        </w:rPr>
        <w:t xml:space="preserve">he Committee considered LCIG to be </w:t>
      </w:r>
      <w:r w:rsidR="00255E00">
        <w:rPr>
          <w:lang w:val="en-GB" w:eastAsia="en-US"/>
        </w:rPr>
        <w:t>an</w:t>
      </w:r>
      <w:r w:rsidRPr="009F27FA">
        <w:rPr>
          <w:lang w:val="en-GB" w:eastAsia="en-US"/>
        </w:rPr>
        <w:t xml:space="preserve"> appropriate comparator</w:t>
      </w:r>
      <w:r w:rsidR="00AF49AA">
        <w:rPr>
          <w:lang w:val="en-GB" w:eastAsia="en-US"/>
        </w:rPr>
        <w:t xml:space="preserve"> given the extent of replacement of LCIG (in the first 6 years the majority of use of FosLD/FosCD is expected to replace LCIG</w:t>
      </w:r>
      <w:r w:rsidR="003022BE">
        <w:rPr>
          <w:lang w:val="en-GB" w:eastAsia="en-US"/>
        </w:rPr>
        <w:t xml:space="preserve">, </w:t>
      </w:r>
      <w:r w:rsidR="003022BE">
        <w:rPr>
          <w:lang w:val="en-GB" w:eastAsia="en-US"/>
        </w:rPr>
        <w:fldChar w:fldCharType="begin"/>
      </w:r>
      <w:r w:rsidR="003022BE">
        <w:rPr>
          <w:lang w:val="en-GB" w:eastAsia="en-US"/>
        </w:rPr>
        <w:instrText xml:space="preserve"> REF _Ref133678810 \h </w:instrText>
      </w:r>
      <w:r w:rsidR="003022BE">
        <w:rPr>
          <w:lang w:val="en-GB" w:eastAsia="en-US"/>
        </w:rPr>
      </w:r>
      <w:r w:rsidR="003022BE">
        <w:rPr>
          <w:lang w:val="en-GB" w:eastAsia="en-US"/>
        </w:rPr>
        <w:fldChar w:fldCharType="separate"/>
      </w:r>
      <w:r w:rsidR="0043339D">
        <w:t xml:space="preserve">Table </w:t>
      </w:r>
      <w:r w:rsidR="0043339D">
        <w:rPr>
          <w:noProof/>
        </w:rPr>
        <w:t>14</w:t>
      </w:r>
      <w:r w:rsidR="003022BE">
        <w:rPr>
          <w:lang w:val="en-GB" w:eastAsia="en-US"/>
        </w:rPr>
        <w:fldChar w:fldCharType="end"/>
      </w:r>
      <w:r w:rsidR="00AF49AA">
        <w:rPr>
          <w:lang w:val="en-GB" w:eastAsia="en-US"/>
        </w:rPr>
        <w:t xml:space="preserve">) and </w:t>
      </w:r>
      <w:r w:rsidR="00710182">
        <w:rPr>
          <w:lang w:val="en-GB" w:eastAsia="en-US"/>
        </w:rPr>
        <w:t xml:space="preserve">both treatments are used in the same patient population (patients with severe disabling motor fluctuations </w:t>
      </w:r>
      <w:r w:rsidR="00710182" w:rsidRPr="009F27FA">
        <w:rPr>
          <w:lang w:val="en-GB" w:eastAsia="en-US"/>
        </w:rPr>
        <w:t>not adequately controlled by oral therapy</w:t>
      </w:r>
      <w:r w:rsidR="00710182">
        <w:rPr>
          <w:lang w:val="en-GB" w:eastAsia="en-US"/>
        </w:rPr>
        <w:t>)</w:t>
      </w:r>
      <w:r w:rsidRPr="009F27FA">
        <w:rPr>
          <w:lang w:val="en-GB" w:eastAsia="en-US"/>
        </w:rPr>
        <w:t>.</w:t>
      </w:r>
    </w:p>
    <w:p w14:paraId="7DE5CE02" w14:textId="2C718013" w:rsidR="0012667A" w:rsidRPr="009466EA" w:rsidRDefault="00A267BE" w:rsidP="003945B8">
      <w:pPr>
        <w:pStyle w:val="3-BodyText"/>
        <w:rPr>
          <w:lang w:val="en-GB" w:eastAsia="en-US"/>
        </w:rPr>
      </w:pPr>
      <w:bookmarkStart w:id="79" w:name="_Ref168903751"/>
      <w:r w:rsidRPr="0012667A">
        <w:rPr>
          <w:lang w:val="en-GB" w:eastAsia="en-US"/>
        </w:rPr>
        <w:t xml:space="preserve">The submission presented an anchored indirect comparison of FosLD/FosCD and LCIG using (i) M15-736: </w:t>
      </w:r>
      <w:r w:rsidR="002B332C">
        <w:rPr>
          <w:lang w:val="en-GB" w:eastAsia="en-US"/>
        </w:rPr>
        <w:t xml:space="preserve">a </w:t>
      </w:r>
      <w:r w:rsidR="003022BE">
        <w:rPr>
          <w:lang w:val="en-GB" w:eastAsia="en-US"/>
        </w:rPr>
        <w:t>randomised</w:t>
      </w:r>
      <w:r w:rsidRPr="0012667A">
        <w:rPr>
          <w:lang w:val="en-GB" w:eastAsia="en-US"/>
        </w:rPr>
        <w:t>, double-blind, double-dummy</w:t>
      </w:r>
      <w:r w:rsidR="002B332C">
        <w:rPr>
          <w:lang w:val="en-GB" w:eastAsia="en-US"/>
        </w:rPr>
        <w:t xml:space="preserve"> </w:t>
      </w:r>
      <w:r w:rsidRPr="0012667A">
        <w:rPr>
          <w:lang w:val="en-GB" w:eastAsia="en-US"/>
        </w:rPr>
        <w:t xml:space="preserve">study comparing FosLD/FosCD with oral LD/CD (n = 141) and (ii) Olanow 2014: </w:t>
      </w:r>
      <w:r w:rsidR="002B332C">
        <w:rPr>
          <w:lang w:val="en-GB" w:eastAsia="en-US"/>
        </w:rPr>
        <w:t xml:space="preserve">a </w:t>
      </w:r>
      <w:r w:rsidR="003022BE">
        <w:rPr>
          <w:lang w:val="en-GB" w:eastAsia="en-US"/>
        </w:rPr>
        <w:t>randomised</w:t>
      </w:r>
      <w:r w:rsidRPr="0012667A">
        <w:rPr>
          <w:lang w:val="en-GB" w:eastAsia="en-US"/>
        </w:rPr>
        <w:t>, double-blind, double-dummy study comparing LCIG with oral LD/CD (n = 71).</w:t>
      </w:r>
      <w:r w:rsidRPr="002B332C">
        <w:rPr>
          <w:lang w:val="en-GB" w:eastAsia="en-US"/>
        </w:rPr>
        <w:t xml:space="preserve"> </w:t>
      </w:r>
      <w:r w:rsidR="00CE0D97" w:rsidRPr="002B332C">
        <w:rPr>
          <w:lang w:val="en-GB" w:eastAsia="en-US"/>
        </w:rPr>
        <w:t xml:space="preserve">The PBAC </w:t>
      </w:r>
      <w:r w:rsidRPr="002B332C">
        <w:rPr>
          <w:lang w:val="en-GB" w:eastAsia="en-US"/>
        </w:rPr>
        <w:t>noted</w:t>
      </w:r>
      <w:r w:rsidR="00CE0D97" w:rsidRPr="002B332C">
        <w:rPr>
          <w:lang w:val="en-GB" w:eastAsia="en-US"/>
        </w:rPr>
        <w:t xml:space="preserve"> the small size</w:t>
      </w:r>
      <w:r w:rsidRPr="002B332C">
        <w:rPr>
          <w:lang w:val="en-GB" w:eastAsia="en-US"/>
        </w:rPr>
        <w:t>s</w:t>
      </w:r>
      <w:r w:rsidR="00CE0D97" w:rsidRPr="002B332C">
        <w:rPr>
          <w:lang w:val="en-GB" w:eastAsia="en-US"/>
        </w:rPr>
        <w:t xml:space="preserve"> and short duration of the trials</w:t>
      </w:r>
      <w:r w:rsidR="003A2BB6" w:rsidRPr="002B332C">
        <w:rPr>
          <w:lang w:val="en-GB" w:eastAsia="en-US"/>
        </w:rPr>
        <w:t xml:space="preserve"> (12 weeks)</w:t>
      </w:r>
      <w:r w:rsidR="00FC4AD3" w:rsidRPr="002B332C">
        <w:rPr>
          <w:lang w:val="en-GB" w:eastAsia="en-US"/>
        </w:rPr>
        <w:t>, as well as differences</w:t>
      </w:r>
      <w:r w:rsidR="005E6B55" w:rsidRPr="002B332C">
        <w:rPr>
          <w:lang w:val="en-GB" w:eastAsia="en-US"/>
        </w:rPr>
        <w:t xml:space="preserve"> across the trials</w:t>
      </w:r>
      <w:r w:rsidR="00FC4AD3" w:rsidRPr="002B332C">
        <w:rPr>
          <w:lang w:val="en-GB" w:eastAsia="en-US"/>
        </w:rPr>
        <w:t xml:space="preserve"> in inclusion criteria</w:t>
      </w:r>
      <w:r w:rsidR="00CE0D97" w:rsidRPr="002B332C">
        <w:rPr>
          <w:lang w:val="en-GB" w:eastAsia="en-US"/>
        </w:rPr>
        <w:t xml:space="preserve"> and patient characteristics (including duration of disease). The Committee also noted the high drop-out rates in M15-736</w:t>
      </w:r>
      <w:r w:rsidR="003022BE">
        <w:rPr>
          <w:lang w:val="en-GB" w:eastAsia="en-US"/>
        </w:rPr>
        <w:t xml:space="preserve"> </w:t>
      </w:r>
      <w:r w:rsidR="001A3161" w:rsidRPr="002B332C">
        <w:rPr>
          <w:lang w:val="en-GB" w:eastAsia="en-US"/>
        </w:rPr>
        <w:t xml:space="preserve">(paragraphs </w:t>
      </w:r>
      <w:r w:rsidR="005E6B55" w:rsidRPr="002B332C">
        <w:rPr>
          <w:lang w:val="en-GB" w:eastAsia="en-US"/>
        </w:rPr>
        <w:fldChar w:fldCharType="begin"/>
      </w:r>
      <w:r w:rsidR="005E6B55" w:rsidRPr="002B332C">
        <w:rPr>
          <w:lang w:val="en-GB" w:eastAsia="en-US"/>
        </w:rPr>
        <w:instrText xml:space="preserve"> REF _Ref168769808 \r \h </w:instrText>
      </w:r>
      <w:r w:rsidR="005E6B55" w:rsidRPr="002B332C">
        <w:rPr>
          <w:lang w:val="en-GB" w:eastAsia="en-US"/>
        </w:rPr>
      </w:r>
      <w:r w:rsidR="005E6B55" w:rsidRPr="002B332C">
        <w:rPr>
          <w:lang w:val="en-GB" w:eastAsia="en-US"/>
        </w:rPr>
        <w:fldChar w:fldCharType="separate"/>
      </w:r>
      <w:r w:rsidR="0043339D">
        <w:rPr>
          <w:lang w:val="en-GB" w:eastAsia="en-US"/>
        </w:rPr>
        <w:t>6.8</w:t>
      </w:r>
      <w:r w:rsidR="005E6B55" w:rsidRPr="002B332C">
        <w:rPr>
          <w:lang w:val="en-GB" w:eastAsia="en-US"/>
        </w:rPr>
        <w:fldChar w:fldCharType="end"/>
      </w:r>
      <w:r w:rsidR="001A3161" w:rsidRPr="002B332C">
        <w:rPr>
          <w:lang w:val="en-GB" w:eastAsia="en-US"/>
        </w:rPr>
        <w:t xml:space="preserve"> and </w:t>
      </w:r>
      <w:r w:rsidR="005E6B55" w:rsidRPr="002B332C">
        <w:rPr>
          <w:lang w:val="en-GB" w:eastAsia="en-US"/>
        </w:rPr>
        <w:fldChar w:fldCharType="begin"/>
      </w:r>
      <w:r w:rsidR="005E6B55" w:rsidRPr="002B332C">
        <w:rPr>
          <w:lang w:val="en-GB" w:eastAsia="en-US"/>
        </w:rPr>
        <w:instrText xml:space="preserve"> REF _Ref168769968 \r \h </w:instrText>
      </w:r>
      <w:r w:rsidR="005E6B55" w:rsidRPr="002B332C">
        <w:rPr>
          <w:lang w:val="en-GB" w:eastAsia="en-US"/>
        </w:rPr>
      </w:r>
      <w:r w:rsidR="005E6B55" w:rsidRPr="002B332C">
        <w:rPr>
          <w:lang w:val="en-GB" w:eastAsia="en-US"/>
        </w:rPr>
        <w:fldChar w:fldCharType="separate"/>
      </w:r>
      <w:r w:rsidR="0043339D">
        <w:rPr>
          <w:lang w:val="en-GB" w:eastAsia="en-US"/>
        </w:rPr>
        <w:t>6.21</w:t>
      </w:r>
      <w:r w:rsidR="005E6B55" w:rsidRPr="002B332C">
        <w:rPr>
          <w:lang w:val="en-GB" w:eastAsia="en-US"/>
        </w:rPr>
        <w:fldChar w:fldCharType="end"/>
      </w:r>
      <w:r w:rsidR="001A3161" w:rsidRPr="002B332C">
        <w:rPr>
          <w:lang w:val="en-GB" w:eastAsia="en-US"/>
        </w:rPr>
        <w:t xml:space="preserve">) and </w:t>
      </w:r>
      <w:r w:rsidR="002B332C">
        <w:rPr>
          <w:lang w:val="en-GB" w:eastAsia="en-US"/>
        </w:rPr>
        <w:t xml:space="preserve">that </w:t>
      </w:r>
      <w:r w:rsidR="003A2BB6" w:rsidRPr="002B332C">
        <w:rPr>
          <w:lang w:val="en-GB" w:eastAsia="en-US"/>
        </w:rPr>
        <w:t xml:space="preserve">missing data </w:t>
      </w:r>
      <w:r w:rsidR="0012667A">
        <w:rPr>
          <w:lang w:val="en-GB" w:eastAsia="en-US"/>
        </w:rPr>
        <w:t>for</w:t>
      </w:r>
      <w:r w:rsidR="003A2BB6" w:rsidRPr="002B332C">
        <w:rPr>
          <w:lang w:val="en-GB" w:eastAsia="en-US"/>
        </w:rPr>
        <w:t xml:space="preserve"> patients who discontinued </w:t>
      </w:r>
      <w:r w:rsidR="001A3161" w:rsidRPr="002B332C">
        <w:rPr>
          <w:lang w:val="en-GB" w:eastAsia="en-US"/>
        </w:rPr>
        <w:t>was assumed to be random</w:t>
      </w:r>
      <w:r w:rsidR="005E6B55" w:rsidRPr="002B332C">
        <w:rPr>
          <w:lang w:val="en-GB" w:eastAsia="en-US"/>
        </w:rPr>
        <w:t xml:space="preserve"> in the primary analyses.</w:t>
      </w:r>
      <w:r w:rsidR="002B332C" w:rsidRPr="002B332C">
        <w:rPr>
          <w:lang w:val="en-GB" w:eastAsia="en-US"/>
        </w:rPr>
        <w:t xml:space="preserve"> A further concern in M15-736 was the apparent unblinding with more </w:t>
      </w:r>
      <w:r w:rsidR="002B332C" w:rsidRPr="004F7504">
        <w:rPr>
          <w:lang w:val="en-GB" w:eastAsia="en-US"/>
        </w:rPr>
        <w:t>than 70%</w:t>
      </w:r>
      <w:r w:rsidR="0050072C">
        <w:rPr>
          <w:rStyle w:val="FootnoteReference"/>
          <w:lang w:val="en-GB" w:eastAsia="en-US"/>
        </w:rPr>
        <w:footnoteReference w:id="12"/>
      </w:r>
      <w:r w:rsidR="002B332C" w:rsidRPr="004F7504">
        <w:rPr>
          <w:lang w:val="en-GB" w:eastAsia="en-US"/>
        </w:rPr>
        <w:t xml:space="preserve"> of patients in each arm correctly guessing the treatment they were receiving despite the trial being double</w:t>
      </w:r>
      <w:r w:rsidR="003022BE" w:rsidRPr="004F7504">
        <w:rPr>
          <w:lang w:val="en-GB" w:eastAsia="en-US"/>
        </w:rPr>
        <w:t xml:space="preserve">-dummy </w:t>
      </w:r>
      <w:r w:rsidR="002B332C" w:rsidRPr="004F7504">
        <w:rPr>
          <w:lang w:val="en-GB" w:eastAsia="en-US"/>
        </w:rPr>
        <w:t xml:space="preserve">with all patients receiving both infusions and tablets </w:t>
      </w:r>
      <w:r w:rsidR="00A5041D" w:rsidRPr="004F7504">
        <w:rPr>
          <w:lang w:val="en-GB" w:eastAsia="en-US"/>
        </w:rPr>
        <w:t>(M15-736 Clinical Study</w:t>
      </w:r>
      <w:r w:rsidR="007F0DF7" w:rsidRPr="004F7504">
        <w:rPr>
          <w:lang w:val="en-GB" w:eastAsia="en-US"/>
        </w:rPr>
        <w:t xml:space="preserve"> Report</w:t>
      </w:r>
      <w:r w:rsidR="002B332C" w:rsidRPr="004F7504">
        <w:rPr>
          <w:lang w:val="en-GB" w:eastAsia="en-US"/>
        </w:rPr>
        <w:t xml:space="preserve"> Table 14.1_15</w:t>
      </w:r>
      <w:r w:rsidR="0050072C" w:rsidRPr="0050072C">
        <w:rPr>
          <w:rStyle w:val="FootnoteReference"/>
          <w:lang w:val="en-GB" w:eastAsia="en-US"/>
        </w:rPr>
        <w:t xml:space="preserve"> </w:t>
      </w:r>
      <w:r w:rsidR="0050072C">
        <w:rPr>
          <w:rStyle w:val="FootnoteReference"/>
          <w:lang w:val="en-GB" w:eastAsia="en-US"/>
        </w:rPr>
        <w:footnoteReference w:id="13"/>
      </w:r>
      <w:r w:rsidR="002B332C" w:rsidRPr="004F7504">
        <w:rPr>
          <w:lang w:val="en-GB" w:eastAsia="en-US"/>
        </w:rPr>
        <w:t>)</w:t>
      </w:r>
      <w:r w:rsidR="00CE0D97" w:rsidRPr="004F7504">
        <w:rPr>
          <w:lang w:val="en-GB" w:eastAsia="en-US"/>
        </w:rPr>
        <w:t>.</w:t>
      </w:r>
      <w:r w:rsidR="00CE0D97" w:rsidRPr="002B332C">
        <w:rPr>
          <w:lang w:val="en-GB" w:eastAsia="en-US"/>
        </w:rPr>
        <w:t xml:space="preserve"> </w:t>
      </w:r>
      <w:r w:rsidR="0012667A">
        <w:rPr>
          <w:lang w:val="en-GB" w:eastAsia="en-US"/>
        </w:rPr>
        <w:t>The PBAC noted the results for the common comparator (oral LD/CD) differed markedly across the trials for the key outcomes of ‘on-time’</w:t>
      </w:r>
      <w:r w:rsidR="009466EA">
        <w:rPr>
          <w:lang w:val="en-GB" w:eastAsia="en-US"/>
        </w:rPr>
        <w:t xml:space="preserve"> and ‘off-time’</w:t>
      </w:r>
      <w:r w:rsidR="0012667A">
        <w:rPr>
          <w:lang w:val="en-GB" w:eastAsia="en-US"/>
        </w:rPr>
        <w:t xml:space="preserve"> (</w:t>
      </w:r>
      <w:r w:rsidR="009466EA">
        <w:rPr>
          <w:lang w:val="en-GB" w:eastAsia="en-US"/>
        </w:rPr>
        <w:t xml:space="preserve">Table 6) and </w:t>
      </w:r>
      <w:r w:rsidR="003022BE">
        <w:rPr>
          <w:lang w:val="en-GB" w:eastAsia="en-US"/>
        </w:rPr>
        <w:t xml:space="preserve">that </w:t>
      </w:r>
      <w:r w:rsidR="009466EA">
        <w:rPr>
          <w:lang w:val="en-GB" w:eastAsia="en-US"/>
        </w:rPr>
        <w:t xml:space="preserve">this may have been due to factors such as </w:t>
      </w:r>
      <w:r w:rsidR="009466EA" w:rsidRPr="009466EA">
        <w:rPr>
          <w:lang w:val="en-US" w:eastAsia="en-US"/>
        </w:rPr>
        <w:t>differen</w:t>
      </w:r>
      <w:r w:rsidR="009466EA">
        <w:rPr>
          <w:lang w:val="en-US" w:eastAsia="en-US"/>
        </w:rPr>
        <w:t>ce</w:t>
      </w:r>
      <w:r w:rsidR="003022BE">
        <w:rPr>
          <w:lang w:val="en-US" w:eastAsia="en-US"/>
        </w:rPr>
        <w:t>s</w:t>
      </w:r>
      <w:r w:rsidR="009466EA">
        <w:rPr>
          <w:lang w:val="en-US" w:eastAsia="en-US"/>
        </w:rPr>
        <w:t xml:space="preserve"> in the</w:t>
      </w:r>
      <w:r w:rsidR="009466EA" w:rsidRPr="009466EA">
        <w:rPr>
          <w:lang w:val="en-US" w:eastAsia="en-US"/>
        </w:rPr>
        <w:t xml:space="preserve"> trial populations, improvement</w:t>
      </w:r>
      <w:r w:rsidR="009466EA">
        <w:rPr>
          <w:lang w:val="en-US" w:eastAsia="en-US"/>
        </w:rPr>
        <w:t>s</w:t>
      </w:r>
      <w:r w:rsidR="009466EA" w:rsidRPr="009466EA">
        <w:rPr>
          <w:lang w:val="en-US" w:eastAsia="en-US"/>
        </w:rPr>
        <w:t xml:space="preserve"> </w:t>
      </w:r>
      <w:r w:rsidR="009466EA">
        <w:rPr>
          <w:lang w:val="en-US" w:eastAsia="en-US"/>
        </w:rPr>
        <w:t>in</w:t>
      </w:r>
      <w:r w:rsidR="009466EA" w:rsidRPr="009466EA">
        <w:rPr>
          <w:lang w:val="en-US" w:eastAsia="en-US"/>
        </w:rPr>
        <w:t xml:space="preserve"> standard care over time</w:t>
      </w:r>
      <w:r w:rsidR="009466EA">
        <w:rPr>
          <w:lang w:val="en-US" w:eastAsia="en-US"/>
        </w:rPr>
        <w:t xml:space="preserve"> with M15-736 being conducted approximately 8 years later</w:t>
      </w:r>
      <w:r w:rsidR="009466EA" w:rsidRPr="009466EA">
        <w:rPr>
          <w:lang w:val="en-US" w:eastAsia="en-US"/>
        </w:rPr>
        <w:t>, or participant expectation and unblinding</w:t>
      </w:r>
      <w:r w:rsidR="009466EA">
        <w:rPr>
          <w:lang w:val="en-US" w:eastAsia="en-US"/>
        </w:rPr>
        <w:t>.</w:t>
      </w:r>
      <w:bookmarkEnd w:id="79"/>
    </w:p>
    <w:p w14:paraId="21A6617D" w14:textId="77777777" w:rsidR="00E967E8" w:rsidRDefault="00CE0D97" w:rsidP="003945B8">
      <w:pPr>
        <w:pStyle w:val="3-BodyText"/>
        <w:rPr>
          <w:lang w:val="en-GB" w:eastAsia="en-US"/>
        </w:rPr>
      </w:pPr>
      <w:bookmarkStart w:id="80" w:name="_Ref168903770"/>
      <w:r w:rsidRPr="00CE0D97">
        <w:rPr>
          <w:lang w:val="en-GB" w:eastAsia="en-US"/>
        </w:rPr>
        <w:t xml:space="preserve">With regards to comparative effectiveness, the PBAC considered a claim of non-inferior comparative effectiveness </w:t>
      </w:r>
      <w:r w:rsidR="003022BE">
        <w:rPr>
          <w:lang w:val="en-GB" w:eastAsia="en-US"/>
        </w:rPr>
        <w:t xml:space="preserve">was uncertain given the above, </w:t>
      </w:r>
      <w:r w:rsidR="007C02A6">
        <w:rPr>
          <w:lang w:val="en-GB" w:eastAsia="en-US"/>
        </w:rPr>
        <w:t>although</w:t>
      </w:r>
      <w:r w:rsidR="003022BE">
        <w:rPr>
          <w:lang w:val="en-GB" w:eastAsia="en-US"/>
        </w:rPr>
        <w:t xml:space="preserve"> </w:t>
      </w:r>
      <w:r w:rsidRPr="00CE0D97">
        <w:rPr>
          <w:lang w:val="en-GB" w:eastAsia="en-US"/>
        </w:rPr>
        <w:t xml:space="preserve">may be </w:t>
      </w:r>
      <w:r w:rsidR="00E07290">
        <w:rPr>
          <w:lang w:val="en-GB" w:eastAsia="en-US"/>
        </w:rPr>
        <w:t>supported</w:t>
      </w:r>
      <w:r w:rsidR="007C02A6">
        <w:rPr>
          <w:lang w:val="en-GB" w:eastAsia="en-US"/>
        </w:rPr>
        <w:t>. However, the Committee considered</w:t>
      </w:r>
      <w:r w:rsidR="007C02A6" w:rsidRPr="00CE0D97">
        <w:rPr>
          <w:lang w:val="en-GB" w:eastAsia="en-US"/>
        </w:rPr>
        <w:t xml:space="preserve"> </w:t>
      </w:r>
      <w:r w:rsidRPr="00CE0D97">
        <w:rPr>
          <w:lang w:val="en-GB" w:eastAsia="en-US"/>
        </w:rPr>
        <w:t xml:space="preserve">the impact of </w:t>
      </w:r>
      <w:r w:rsidR="00E668D1">
        <w:rPr>
          <w:lang w:val="en-GB" w:eastAsia="en-US"/>
        </w:rPr>
        <w:t>di</w:t>
      </w:r>
      <w:r w:rsidR="00164A78">
        <w:rPr>
          <w:lang w:val="en-GB" w:eastAsia="en-US"/>
        </w:rPr>
        <w:t>s</w:t>
      </w:r>
      <w:r w:rsidR="00E668D1">
        <w:rPr>
          <w:lang w:val="en-GB" w:eastAsia="en-US"/>
        </w:rPr>
        <w:t>continuations</w:t>
      </w:r>
      <w:r w:rsidR="009466EA">
        <w:rPr>
          <w:lang w:val="en-GB" w:eastAsia="en-US"/>
        </w:rPr>
        <w:t xml:space="preserve"> in </w:t>
      </w:r>
      <w:r w:rsidR="009466EA">
        <w:rPr>
          <w:lang w:val="en-GB" w:eastAsia="en-US"/>
        </w:rPr>
        <w:lastRenderedPageBreak/>
        <w:t>M15-736</w:t>
      </w:r>
      <w:r w:rsidR="001F2DE0">
        <w:rPr>
          <w:lang w:val="en-GB" w:eastAsia="en-US"/>
        </w:rPr>
        <w:t xml:space="preserve"> on the both the estimated efficacy for FosLD/FosCD and the indirect comparison with LCIG</w:t>
      </w:r>
      <w:r w:rsidRPr="00CE0D97">
        <w:rPr>
          <w:lang w:val="en-GB" w:eastAsia="en-US"/>
        </w:rPr>
        <w:t xml:space="preserve"> required further exploration. </w:t>
      </w:r>
      <w:r w:rsidR="007F496F">
        <w:rPr>
          <w:lang w:val="en-GB" w:eastAsia="en-US"/>
        </w:rPr>
        <w:t>As such,</w:t>
      </w:r>
      <w:r w:rsidRPr="00CE0D97">
        <w:rPr>
          <w:lang w:val="en-GB" w:eastAsia="en-US"/>
        </w:rPr>
        <w:t xml:space="preserve"> the PBAC considered a re-submission should include further detail on baseline characteristics for patients who dropped out </w:t>
      </w:r>
      <w:r w:rsidR="007F496F">
        <w:rPr>
          <w:lang w:val="en-GB" w:eastAsia="en-US"/>
        </w:rPr>
        <w:t>versus completed the trial</w:t>
      </w:r>
      <w:r w:rsidR="007F496F" w:rsidRPr="00CE0D97">
        <w:rPr>
          <w:lang w:val="en-GB" w:eastAsia="en-US"/>
        </w:rPr>
        <w:t xml:space="preserve"> </w:t>
      </w:r>
      <w:r w:rsidR="007F496F">
        <w:rPr>
          <w:lang w:val="en-GB" w:eastAsia="en-US"/>
        </w:rPr>
        <w:t>for</w:t>
      </w:r>
      <w:r w:rsidRPr="00CE0D97">
        <w:rPr>
          <w:lang w:val="en-GB" w:eastAsia="en-US"/>
        </w:rPr>
        <w:t xml:space="preserve"> </w:t>
      </w:r>
      <w:r w:rsidR="00E76F17">
        <w:rPr>
          <w:lang w:val="en-GB" w:eastAsia="en-US"/>
        </w:rPr>
        <w:t xml:space="preserve">both the FosLD/FosCD </w:t>
      </w:r>
      <w:r w:rsidR="003E3A5A">
        <w:rPr>
          <w:lang w:val="en-GB" w:eastAsia="en-US"/>
        </w:rPr>
        <w:t>and oral LD/CD groups</w:t>
      </w:r>
      <w:r w:rsidR="007F496F">
        <w:rPr>
          <w:lang w:val="en-GB" w:eastAsia="en-US"/>
        </w:rPr>
        <w:t>,</w:t>
      </w:r>
      <w:r w:rsidR="003E3A5A">
        <w:rPr>
          <w:lang w:val="en-GB" w:eastAsia="en-US"/>
        </w:rPr>
        <w:t xml:space="preserve"> and</w:t>
      </w:r>
      <w:r w:rsidR="00E76F17">
        <w:rPr>
          <w:lang w:val="en-GB" w:eastAsia="en-US"/>
        </w:rPr>
        <w:t xml:space="preserve"> </w:t>
      </w:r>
      <w:r w:rsidR="00343515">
        <w:rPr>
          <w:lang w:val="en-GB" w:eastAsia="en-US"/>
        </w:rPr>
        <w:t xml:space="preserve">sensitivity </w:t>
      </w:r>
      <w:r w:rsidRPr="00CE0D97">
        <w:rPr>
          <w:lang w:val="en-GB" w:eastAsia="en-US"/>
        </w:rPr>
        <w:t xml:space="preserve">analyses </w:t>
      </w:r>
      <w:r w:rsidR="00E22AE6">
        <w:rPr>
          <w:lang w:val="en-GB" w:eastAsia="en-US"/>
        </w:rPr>
        <w:t xml:space="preserve">that look at the impact of using </w:t>
      </w:r>
      <w:r w:rsidR="00343515">
        <w:rPr>
          <w:lang w:val="en-GB" w:eastAsia="en-US"/>
        </w:rPr>
        <w:t xml:space="preserve">alternative ways </w:t>
      </w:r>
      <w:r w:rsidR="00E22AE6">
        <w:rPr>
          <w:lang w:val="en-GB" w:eastAsia="en-US"/>
        </w:rPr>
        <w:t>to</w:t>
      </w:r>
      <w:r w:rsidR="00343515">
        <w:rPr>
          <w:lang w:val="en-GB" w:eastAsia="en-US"/>
        </w:rPr>
        <w:t xml:space="preserve"> handl</w:t>
      </w:r>
      <w:r w:rsidR="00E22AE6">
        <w:rPr>
          <w:lang w:val="en-GB" w:eastAsia="en-US"/>
        </w:rPr>
        <w:t>e</w:t>
      </w:r>
      <w:r w:rsidRPr="00CE0D97">
        <w:rPr>
          <w:lang w:val="en-GB" w:eastAsia="en-US"/>
        </w:rPr>
        <w:t xml:space="preserve"> </w:t>
      </w:r>
      <w:r w:rsidR="007C02A6">
        <w:rPr>
          <w:lang w:val="en-GB" w:eastAsia="en-US"/>
        </w:rPr>
        <w:t xml:space="preserve">the </w:t>
      </w:r>
      <w:r w:rsidRPr="00CE0D97">
        <w:rPr>
          <w:lang w:val="en-GB" w:eastAsia="en-US"/>
        </w:rPr>
        <w:t>missing data.</w:t>
      </w:r>
      <w:bookmarkEnd w:id="80"/>
    </w:p>
    <w:p w14:paraId="1C654BF1" w14:textId="664C8C11" w:rsidR="005E5FFB" w:rsidRPr="007D7986" w:rsidRDefault="00CE0D97" w:rsidP="003945B8">
      <w:pPr>
        <w:pStyle w:val="3-BodyText"/>
        <w:rPr>
          <w:lang w:val="en-GB" w:eastAsia="en-US"/>
        </w:rPr>
      </w:pPr>
      <w:r w:rsidRPr="00CE0D97">
        <w:rPr>
          <w:lang w:val="en-GB" w:eastAsia="en-US"/>
        </w:rPr>
        <w:t xml:space="preserve">The PBAC considered the claim of non-inferior comparative safety to be poorly supported and noted FosLD/FosCD </w:t>
      </w:r>
      <w:r w:rsidR="00BE757A">
        <w:rPr>
          <w:lang w:val="en-GB" w:eastAsia="en-US"/>
        </w:rPr>
        <w:t>was</w:t>
      </w:r>
      <w:r w:rsidRPr="00CE0D97">
        <w:rPr>
          <w:lang w:val="en-GB" w:eastAsia="en-US"/>
        </w:rPr>
        <w:t xml:space="preserve"> associated with more adverse events </w:t>
      </w:r>
      <w:r w:rsidR="00BE757A">
        <w:rPr>
          <w:lang w:val="en-GB" w:eastAsia="en-US"/>
        </w:rPr>
        <w:t>leading to discontinuation and reports of hallucination</w:t>
      </w:r>
      <w:r w:rsidRPr="00CE0D97">
        <w:rPr>
          <w:lang w:val="en-GB" w:eastAsia="en-US"/>
        </w:rPr>
        <w:t xml:space="preserve"> than LCIG.</w:t>
      </w:r>
      <w:r w:rsidR="007C02A6">
        <w:rPr>
          <w:lang w:val="en-GB" w:eastAsia="en-US"/>
        </w:rPr>
        <w:t xml:space="preserve"> The PBAC also noted FosLD/FosCD was associated with higher rates of infusion site reactions and infections than oral LD/CD even though both treatment arms received infusions.</w:t>
      </w:r>
      <w:r w:rsidRPr="00CE0D97">
        <w:rPr>
          <w:lang w:val="en-GB" w:eastAsia="en-US"/>
        </w:rPr>
        <w:t xml:space="preserve"> </w:t>
      </w:r>
      <w:r w:rsidR="00BE757A">
        <w:rPr>
          <w:lang w:val="en-GB" w:eastAsia="en-US"/>
        </w:rPr>
        <w:t>T</w:t>
      </w:r>
      <w:r w:rsidRPr="00CE0D97">
        <w:rPr>
          <w:lang w:val="en-GB" w:eastAsia="en-US"/>
        </w:rPr>
        <w:t xml:space="preserve">he PBAC </w:t>
      </w:r>
      <w:r w:rsidR="007C02A6">
        <w:rPr>
          <w:lang w:val="en-GB" w:eastAsia="en-US"/>
        </w:rPr>
        <w:t>considered</w:t>
      </w:r>
      <w:r w:rsidR="007C02A6" w:rsidRPr="00CE0D97">
        <w:rPr>
          <w:lang w:val="en-GB" w:eastAsia="en-US"/>
        </w:rPr>
        <w:t xml:space="preserve"> </w:t>
      </w:r>
      <w:r w:rsidRPr="00CE0D97">
        <w:rPr>
          <w:lang w:val="en-GB" w:eastAsia="en-US"/>
        </w:rPr>
        <w:t xml:space="preserve">that the high rates of hallucinations observed </w:t>
      </w:r>
      <w:r w:rsidR="00BE757A">
        <w:rPr>
          <w:lang w:val="en-GB" w:eastAsia="en-US"/>
        </w:rPr>
        <w:t>with FosLD/FosCD</w:t>
      </w:r>
      <w:r w:rsidRPr="00CE0D97">
        <w:rPr>
          <w:lang w:val="en-GB" w:eastAsia="en-US"/>
        </w:rPr>
        <w:t xml:space="preserve"> (approximately 15%) may dissuade some patients from continuing therapy or lead to dose reductions in practice. The PBAC considered it </w:t>
      </w:r>
      <w:r w:rsidR="00BE757A">
        <w:rPr>
          <w:lang w:val="en-GB" w:eastAsia="en-US"/>
        </w:rPr>
        <w:t>would</w:t>
      </w:r>
      <w:r w:rsidR="00BE757A" w:rsidRPr="00CE0D97">
        <w:rPr>
          <w:lang w:val="en-GB" w:eastAsia="en-US"/>
        </w:rPr>
        <w:t xml:space="preserve"> </w:t>
      </w:r>
      <w:r w:rsidRPr="00CE0D97">
        <w:rPr>
          <w:lang w:val="en-GB" w:eastAsia="en-US"/>
        </w:rPr>
        <w:t xml:space="preserve">be </w:t>
      </w:r>
      <w:r w:rsidR="00BE757A">
        <w:rPr>
          <w:lang w:val="en-GB" w:eastAsia="en-US"/>
        </w:rPr>
        <w:t>appropriate</w:t>
      </w:r>
      <w:r w:rsidR="00BE757A" w:rsidRPr="00CE0D97">
        <w:rPr>
          <w:lang w:val="en-GB" w:eastAsia="en-US"/>
        </w:rPr>
        <w:t xml:space="preserve"> </w:t>
      </w:r>
      <w:r w:rsidRPr="00CE0D97">
        <w:rPr>
          <w:lang w:val="en-GB" w:eastAsia="en-US"/>
        </w:rPr>
        <w:t xml:space="preserve">to </w:t>
      </w:r>
      <w:r w:rsidR="007C02A6">
        <w:rPr>
          <w:lang w:val="en-GB" w:eastAsia="en-US"/>
        </w:rPr>
        <w:t>account for the costs of</w:t>
      </w:r>
      <w:r w:rsidRPr="00CE0D97">
        <w:rPr>
          <w:lang w:val="en-GB" w:eastAsia="en-US"/>
        </w:rPr>
        <w:t xml:space="preserve"> adverse events in the cost</w:t>
      </w:r>
      <w:r w:rsidR="004C60AE">
        <w:rPr>
          <w:lang w:val="en-GB" w:eastAsia="en-US"/>
        </w:rPr>
        <w:t>-</w:t>
      </w:r>
      <w:r w:rsidRPr="00CE0D97">
        <w:rPr>
          <w:lang w:val="en-GB" w:eastAsia="en-US"/>
        </w:rPr>
        <w:t>minimisation approach</w:t>
      </w:r>
      <w:r w:rsidR="00F15510">
        <w:rPr>
          <w:lang w:val="en-GB" w:eastAsia="en-US"/>
        </w:rPr>
        <w:t xml:space="preserve"> (CMA)</w:t>
      </w:r>
      <w:r w:rsidRPr="00CE0D97">
        <w:rPr>
          <w:lang w:val="en-GB" w:eastAsia="en-US"/>
        </w:rPr>
        <w:t>.</w:t>
      </w:r>
    </w:p>
    <w:p w14:paraId="1E2A658E" w14:textId="41E39A0D" w:rsidR="004F7D5E" w:rsidRDefault="004F7D5E" w:rsidP="003945B8">
      <w:pPr>
        <w:pStyle w:val="3-BodyText"/>
        <w:rPr>
          <w:lang w:val="en-GB" w:eastAsia="en-US"/>
        </w:rPr>
      </w:pPr>
      <w:bookmarkStart w:id="81" w:name="_Ref168903850"/>
      <w:r>
        <w:rPr>
          <w:lang w:val="en-GB" w:eastAsia="en-US"/>
        </w:rPr>
        <w:t xml:space="preserve">Based on </w:t>
      </w:r>
      <w:r w:rsidR="008C2180" w:rsidRPr="008C2180">
        <w:rPr>
          <w:lang w:val="en-GB" w:eastAsia="en-US"/>
        </w:rPr>
        <w:t xml:space="preserve">the </w:t>
      </w:r>
      <w:r w:rsidR="00F15510">
        <w:rPr>
          <w:lang w:val="en-GB" w:eastAsia="en-US"/>
        </w:rPr>
        <w:t xml:space="preserve">CMA </w:t>
      </w:r>
      <w:r>
        <w:rPr>
          <w:lang w:val="en-GB" w:eastAsia="en-US"/>
        </w:rPr>
        <w:t xml:space="preserve">presented </w:t>
      </w:r>
      <w:r w:rsidR="00EC1405">
        <w:rPr>
          <w:lang w:val="en-GB" w:eastAsia="en-US"/>
        </w:rPr>
        <w:t xml:space="preserve">in the submission </w:t>
      </w:r>
      <w:r>
        <w:rPr>
          <w:lang w:val="en-GB" w:eastAsia="en-US"/>
        </w:rPr>
        <w:t xml:space="preserve">the PBAC </w:t>
      </w:r>
      <w:r w:rsidR="00903F11">
        <w:rPr>
          <w:lang w:val="en-GB" w:eastAsia="en-US"/>
        </w:rPr>
        <w:t>considered</w:t>
      </w:r>
      <w:r>
        <w:rPr>
          <w:lang w:val="en-GB" w:eastAsia="en-US"/>
        </w:rPr>
        <w:t xml:space="preserve"> the cost of FosLD/FosCD </w:t>
      </w:r>
      <w:r w:rsidR="007C02A6">
        <w:rPr>
          <w:lang w:val="en-GB" w:eastAsia="en-US"/>
        </w:rPr>
        <w:t xml:space="preserve">per patient </w:t>
      </w:r>
      <w:r>
        <w:rPr>
          <w:lang w:val="en-GB" w:eastAsia="en-US"/>
        </w:rPr>
        <w:t xml:space="preserve">was </w:t>
      </w:r>
      <w:r w:rsidR="00903F11">
        <w:rPr>
          <w:lang w:val="en-GB" w:eastAsia="en-US"/>
        </w:rPr>
        <w:t>likely to be</w:t>
      </w:r>
      <w:r>
        <w:rPr>
          <w:lang w:val="en-GB" w:eastAsia="en-US"/>
        </w:rPr>
        <w:t xml:space="preserve"> higher than the cost of LCIG. This was due to:</w:t>
      </w:r>
      <w:bookmarkEnd w:id="81"/>
    </w:p>
    <w:p w14:paraId="66C2B5DC" w14:textId="74599B08" w:rsidR="004F7D5E" w:rsidRDefault="00903F11" w:rsidP="003945B8">
      <w:pPr>
        <w:pStyle w:val="3-BodyText"/>
        <w:numPr>
          <w:ilvl w:val="0"/>
          <w:numId w:val="28"/>
        </w:numPr>
        <w:rPr>
          <w:lang w:val="en-GB" w:eastAsia="en-US"/>
        </w:rPr>
      </w:pPr>
      <w:r>
        <w:t>T</w:t>
      </w:r>
      <w:r w:rsidRPr="00B42BBE">
        <w:t xml:space="preserve">he initiation cost for FosLD/FosCD </w:t>
      </w:r>
      <w:r w:rsidR="004F7D5E">
        <w:rPr>
          <w:lang w:val="en-GB" w:eastAsia="en-US"/>
        </w:rPr>
        <w:t>being underestimated</w:t>
      </w:r>
      <w:r>
        <w:rPr>
          <w:lang w:val="en-GB" w:eastAsia="en-US"/>
        </w:rPr>
        <w:t xml:space="preserve">. The PBAC agreed with ESC that the </w:t>
      </w:r>
      <w:r w:rsidRPr="00B42BBE">
        <w:t xml:space="preserve">training of patients and carers to use the pump and undertake the infusions </w:t>
      </w:r>
      <w:r w:rsidR="007C02A6">
        <w:t>will be</w:t>
      </w:r>
      <w:r w:rsidRPr="00B42BBE">
        <w:t xml:space="preserve"> resource intensive and the clinicians will need the support of a multidisciplinary team</w:t>
      </w:r>
      <w:r w:rsidR="00542CE4">
        <w:t xml:space="preserve"> (paragraph </w:t>
      </w:r>
      <w:r w:rsidR="00EC1405">
        <w:fldChar w:fldCharType="begin"/>
      </w:r>
      <w:r w:rsidR="00EC1405">
        <w:instrText xml:space="preserve"> REF _Ref168825314 \r \h </w:instrText>
      </w:r>
      <w:r w:rsidR="00EC1405">
        <w:fldChar w:fldCharType="separate"/>
      </w:r>
      <w:r w:rsidR="0043339D">
        <w:t>6.41</w:t>
      </w:r>
      <w:r w:rsidR="00EC1405">
        <w:fldChar w:fldCharType="end"/>
      </w:r>
      <w:r w:rsidR="00EC1405">
        <w:t>). The PBAC further noted that not all patients would initiate FosLD/FosCD in the outpatient setting</w:t>
      </w:r>
      <w:r w:rsidR="008A429D">
        <w:t xml:space="preserve"> (paragraph 7.4)</w:t>
      </w:r>
      <w:r>
        <w:t>;</w:t>
      </w:r>
    </w:p>
    <w:p w14:paraId="2C8E68E5" w14:textId="2D484F61" w:rsidR="004F7D5E" w:rsidRDefault="00542CE4" w:rsidP="003945B8">
      <w:pPr>
        <w:pStyle w:val="3-BodyText"/>
        <w:numPr>
          <w:ilvl w:val="0"/>
          <w:numId w:val="28"/>
        </w:numPr>
        <w:rPr>
          <w:lang w:val="en-GB" w:eastAsia="en-US"/>
        </w:rPr>
      </w:pPr>
      <w:r>
        <w:t>T</w:t>
      </w:r>
      <w:r w:rsidRPr="00D01F45">
        <w:t>he costs for</w:t>
      </w:r>
      <w:r>
        <w:t xml:space="preserve"> the</w:t>
      </w:r>
      <w:r w:rsidRPr="00D01F45">
        <w:t xml:space="preserve"> surgical insertion of the PEG-J tubes</w:t>
      </w:r>
      <w:r>
        <w:t xml:space="preserve"> for LCIG</w:t>
      </w:r>
      <w:r w:rsidRPr="00D01F45">
        <w:t xml:space="preserve"> </w:t>
      </w:r>
      <w:r>
        <w:rPr>
          <w:lang w:val="en-GB" w:eastAsia="en-US"/>
        </w:rPr>
        <w:t xml:space="preserve">being likely overestimated (paragraph </w:t>
      </w:r>
      <w:r w:rsidR="00EC1405">
        <w:rPr>
          <w:lang w:val="en-GB" w:eastAsia="en-US"/>
        </w:rPr>
        <w:fldChar w:fldCharType="begin"/>
      </w:r>
      <w:r w:rsidR="00EC1405">
        <w:rPr>
          <w:lang w:val="en-GB" w:eastAsia="en-US"/>
        </w:rPr>
        <w:instrText xml:space="preserve"> REF _Ref168825489 \r \h </w:instrText>
      </w:r>
      <w:r w:rsidR="00EC1405">
        <w:rPr>
          <w:lang w:val="en-GB" w:eastAsia="en-US"/>
        </w:rPr>
      </w:r>
      <w:r w:rsidR="00EC1405">
        <w:rPr>
          <w:lang w:val="en-GB" w:eastAsia="en-US"/>
        </w:rPr>
        <w:fldChar w:fldCharType="separate"/>
      </w:r>
      <w:r w:rsidR="0043339D">
        <w:rPr>
          <w:lang w:val="en-GB" w:eastAsia="en-US"/>
        </w:rPr>
        <w:t>6.43</w:t>
      </w:r>
      <w:r w:rsidR="00EC1405">
        <w:rPr>
          <w:lang w:val="en-GB" w:eastAsia="en-US"/>
        </w:rPr>
        <w:fldChar w:fldCharType="end"/>
      </w:r>
      <w:r w:rsidR="00EC1405">
        <w:rPr>
          <w:lang w:val="en-GB" w:eastAsia="en-US"/>
        </w:rPr>
        <w:t>)</w:t>
      </w:r>
      <w:r>
        <w:rPr>
          <w:lang w:val="en-GB" w:eastAsia="en-US"/>
        </w:rPr>
        <w:t>;</w:t>
      </w:r>
    </w:p>
    <w:p w14:paraId="5D2A54CD" w14:textId="60CEA87C" w:rsidR="004F7D5E" w:rsidRDefault="00542CE4" w:rsidP="003945B8">
      <w:pPr>
        <w:pStyle w:val="3-BodyText"/>
        <w:numPr>
          <w:ilvl w:val="0"/>
          <w:numId w:val="28"/>
        </w:numPr>
        <w:rPr>
          <w:lang w:val="en-GB" w:eastAsia="en-US"/>
        </w:rPr>
      </w:pPr>
      <w:r>
        <w:rPr>
          <w:lang w:val="en-GB" w:eastAsia="en-US"/>
        </w:rPr>
        <w:t xml:space="preserve">The duration over which the CMA was conducted being too short. The PBAC noted the duration was increased from 2 years to 4.13 years in the </w:t>
      </w:r>
      <w:r w:rsidR="00640F71">
        <w:rPr>
          <w:lang w:val="en-GB" w:eastAsia="en-US"/>
        </w:rPr>
        <w:t>P</w:t>
      </w:r>
      <w:r>
        <w:rPr>
          <w:lang w:val="en-GB" w:eastAsia="en-US"/>
        </w:rPr>
        <w:t>re</w:t>
      </w:r>
      <w:r w:rsidR="00BB1EA5">
        <w:rPr>
          <w:lang w:val="en-GB" w:eastAsia="en-US"/>
        </w:rPr>
        <w:t>-</w:t>
      </w:r>
      <w:r>
        <w:rPr>
          <w:lang w:val="en-GB" w:eastAsia="en-US"/>
        </w:rPr>
        <w:t xml:space="preserve">PBAC </w:t>
      </w:r>
      <w:r w:rsidR="00640F71">
        <w:rPr>
          <w:lang w:val="en-GB" w:eastAsia="en-US"/>
        </w:rPr>
        <w:t>R</w:t>
      </w:r>
      <w:r>
        <w:rPr>
          <w:lang w:val="en-GB" w:eastAsia="en-US"/>
        </w:rPr>
        <w:t xml:space="preserve">esponse on the basis that the average persistence with LCIG was </w:t>
      </w:r>
      <w:r w:rsidR="00314E14">
        <w:rPr>
          <w:lang w:val="en-GB" w:eastAsia="en-US"/>
        </w:rPr>
        <w:t xml:space="preserve">stated to be </w:t>
      </w:r>
      <w:r>
        <w:rPr>
          <w:lang w:val="en-GB" w:eastAsia="en-US"/>
        </w:rPr>
        <w:t xml:space="preserve">4.13 years (paragraph </w:t>
      </w:r>
      <w:r w:rsidR="00EC1405">
        <w:rPr>
          <w:lang w:val="en-GB" w:eastAsia="en-US"/>
        </w:rPr>
        <w:fldChar w:fldCharType="begin"/>
      </w:r>
      <w:r w:rsidR="00EC1405">
        <w:rPr>
          <w:lang w:val="en-GB" w:eastAsia="en-US"/>
        </w:rPr>
        <w:instrText xml:space="preserve"> REF _Ref168825518 \r \h </w:instrText>
      </w:r>
      <w:r w:rsidR="00EC1405">
        <w:rPr>
          <w:lang w:val="en-GB" w:eastAsia="en-US"/>
        </w:rPr>
      </w:r>
      <w:r w:rsidR="00EC1405">
        <w:rPr>
          <w:lang w:val="en-GB" w:eastAsia="en-US"/>
        </w:rPr>
        <w:fldChar w:fldCharType="separate"/>
      </w:r>
      <w:r w:rsidR="0043339D">
        <w:rPr>
          <w:lang w:val="en-GB" w:eastAsia="en-US"/>
        </w:rPr>
        <w:t>6.44</w:t>
      </w:r>
      <w:r w:rsidR="00EC1405">
        <w:rPr>
          <w:lang w:val="en-GB" w:eastAsia="en-US"/>
        </w:rPr>
        <w:fldChar w:fldCharType="end"/>
      </w:r>
      <w:r w:rsidR="00EC1405">
        <w:rPr>
          <w:lang w:val="en-GB" w:eastAsia="en-US"/>
        </w:rPr>
        <w:t>)</w:t>
      </w:r>
      <w:r>
        <w:rPr>
          <w:lang w:val="en-GB" w:eastAsia="en-US"/>
        </w:rPr>
        <w:t xml:space="preserve">. The PBAC considered a time horizon of 4.13 years may be reasonable if there was more certainty that the </w:t>
      </w:r>
      <w:r w:rsidR="007B570E">
        <w:rPr>
          <w:lang w:val="en-GB" w:eastAsia="en-US"/>
        </w:rPr>
        <w:t>surgical costs for LCIG were not overestimated;</w:t>
      </w:r>
    </w:p>
    <w:p w14:paraId="1068A675" w14:textId="10C3DFC3" w:rsidR="00C34A8A" w:rsidRDefault="007B570E" w:rsidP="003945B8">
      <w:pPr>
        <w:pStyle w:val="3-BodyText"/>
        <w:numPr>
          <w:ilvl w:val="0"/>
          <w:numId w:val="28"/>
        </w:numPr>
        <w:rPr>
          <w:lang w:val="en-GB" w:eastAsia="en-US"/>
        </w:rPr>
      </w:pPr>
      <w:r>
        <w:rPr>
          <w:lang w:val="en-GB" w:eastAsia="en-US"/>
        </w:rPr>
        <w:t xml:space="preserve">It being unclear if additional doses for FosLD/FosCD were accounted for (paragraph </w:t>
      </w:r>
      <w:r>
        <w:rPr>
          <w:lang w:val="en-GB" w:eastAsia="en-US"/>
        </w:rPr>
        <w:fldChar w:fldCharType="begin"/>
      </w:r>
      <w:r>
        <w:rPr>
          <w:lang w:val="en-GB" w:eastAsia="en-US"/>
        </w:rPr>
        <w:instrText xml:space="preserve"> REF _Ref168824826 \r \h </w:instrText>
      </w:r>
      <w:r>
        <w:rPr>
          <w:lang w:val="en-GB" w:eastAsia="en-US"/>
        </w:rPr>
      </w:r>
      <w:r>
        <w:rPr>
          <w:lang w:val="en-GB" w:eastAsia="en-US"/>
        </w:rPr>
        <w:fldChar w:fldCharType="separate"/>
      </w:r>
      <w:r w:rsidR="0043339D">
        <w:rPr>
          <w:lang w:val="en-GB" w:eastAsia="en-US"/>
        </w:rPr>
        <w:t>6.29</w:t>
      </w:r>
      <w:r>
        <w:rPr>
          <w:lang w:val="en-GB" w:eastAsia="en-US"/>
        </w:rPr>
        <w:fldChar w:fldCharType="end"/>
      </w:r>
      <w:r>
        <w:rPr>
          <w:lang w:val="en-GB" w:eastAsia="en-US"/>
        </w:rPr>
        <w:t xml:space="preserve">); </w:t>
      </w:r>
      <w:r w:rsidR="00F15510">
        <w:rPr>
          <w:lang w:val="en-GB" w:eastAsia="en-US"/>
        </w:rPr>
        <w:t>and</w:t>
      </w:r>
    </w:p>
    <w:p w14:paraId="409D1018" w14:textId="77777777" w:rsidR="00E967E8" w:rsidRDefault="007B570E" w:rsidP="003945B8">
      <w:pPr>
        <w:pStyle w:val="3-BodyText"/>
        <w:numPr>
          <w:ilvl w:val="0"/>
          <w:numId w:val="28"/>
        </w:numPr>
        <w:rPr>
          <w:lang w:val="en-GB" w:eastAsia="en-US"/>
        </w:rPr>
      </w:pPr>
      <w:r>
        <w:rPr>
          <w:lang w:val="en-GB" w:eastAsia="en-US"/>
        </w:rPr>
        <w:t>Not including costs associated with managing adverse events, and in particular the</w:t>
      </w:r>
      <w:r w:rsidR="00F15510">
        <w:rPr>
          <w:lang w:val="en-GB" w:eastAsia="en-US"/>
        </w:rPr>
        <w:t xml:space="preserve"> costs associated with treating the</w:t>
      </w:r>
      <w:r>
        <w:rPr>
          <w:lang w:val="en-GB" w:eastAsia="en-US"/>
        </w:rPr>
        <w:t xml:space="preserve"> hallucination events with FosLD/FosCD.</w:t>
      </w:r>
    </w:p>
    <w:p w14:paraId="650E7ACB" w14:textId="77FEDA18" w:rsidR="00D81A85" w:rsidRDefault="00154BDE" w:rsidP="003945B8">
      <w:pPr>
        <w:pStyle w:val="3-BodyText"/>
        <w:rPr>
          <w:lang w:val="en-GB" w:eastAsia="en-US"/>
        </w:rPr>
      </w:pPr>
      <w:r w:rsidRPr="00AB70BB">
        <w:rPr>
          <w:lang w:val="en-GB" w:eastAsia="en-US"/>
        </w:rPr>
        <w:t xml:space="preserve">The PBAC noted </w:t>
      </w:r>
      <w:r>
        <w:t>that d</w:t>
      </w:r>
      <w:r w:rsidRPr="00EA3E33">
        <w:t xml:space="preserve">espite taking a </w:t>
      </w:r>
      <w:r w:rsidR="00F15510">
        <w:t>CMA</w:t>
      </w:r>
      <w:r w:rsidRPr="00EA3E33">
        <w:t xml:space="preserve"> the net cost to the PBS/RPBS </w:t>
      </w:r>
      <w:r>
        <w:t>wa</w:t>
      </w:r>
      <w:r w:rsidRPr="00EA3E33">
        <w:t xml:space="preserve">s </w:t>
      </w:r>
      <w:r w:rsidR="00AB70BB">
        <w:t>substantial ($</w:t>
      </w:r>
      <w:r w:rsidR="00F5486A">
        <w:t>60 million to &lt; $70</w:t>
      </w:r>
      <w:r w:rsidR="00AB70BB">
        <w:t xml:space="preserve"> million over 6 years),</w:t>
      </w:r>
      <w:r>
        <w:t xml:space="preserve"> </w:t>
      </w:r>
      <w:r w:rsidR="00AB70BB">
        <w:t xml:space="preserve">primarily </w:t>
      </w:r>
      <w:r>
        <w:t>due to uptake</w:t>
      </w:r>
      <w:r w:rsidR="00AB70BB">
        <w:t xml:space="preserve"> of FosLD/Fo</w:t>
      </w:r>
      <w:r w:rsidR="00BB1EA5">
        <w:t>s</w:t>
      </w:r>
      <w:r w:rsidR="00F15510">
        <w:t>CD</w:t>
      </w:r>
      <w:r>
        <w:t xml:space="preserve"> </w:t>
      </w:r>
      <w:r w:rsidR="00C34A8A">
        <w:t xml:space="preserve">being greater than that for </w:t>
      </w:r>
      <w:r>
        <w:t>LCIG</w:t>
      </w:r>
      <w:r w:rsidR="00AB70BB">
        <w:t>,</w:t>
      </w:r>
      <w:r w:rsidR="00C34A8A">
        <w:t xml:space="preserve"> and</w:t>
      </w:r>
      <w:r w:rsidR="00AB70BB">
        <w:t xml:space="preserve"> also due to</w:t>
      </w:r>
      <w:r w:rsidR="00C34A8A">
        <w:t xml:space="preserve"> </w:t>
      </w:r>
      <w:r w:rsidRPr="00AB70BB">
        <w:rPr>
          <w:iCs/>
        </w:rPr>
        <w:t xml:space="preserve">the higher yearly cost of FosLD/FosCD associated with the inclusion of substantial initiation costs for LCIG in </w:t>
      </w:r>
      <w:r w:rsidRPr="00AB70BB">
        <w:rPr>
          <w:iCs/>
        </w:rPr>
        <w:lastRenderedPageBreak/>
        <w:t>the CMA.</w:t>
      </w:r>
      <w:r w:rsidR="00AB70BB" w:rsidRPr="00AB70BB">
        <w:rPr>
          <w:iCs/>
        </w:rPr>
        <w:t xml:space="preserve"> The PBAC agreed that the uptake </w:t>
      </w:r>
      <w:r w:rsidR="00AB70BB" w:rsidRPr="00AB70BB">
        <w:rPr>
          <w:lang w:val="en-GB" w:eastAsia="en-US"/>
        </w:rPr>
        <w:t xml:space="preserve">of FosLD/FosCD was likely to be higher than for </w:t>
      </w:r>
      <w:r w:rsidR="00DC584C" w:rsidRPr="00AB70BB">
        <w:rPr>
          <w:lang w:val="en-GB" w:eastAsia="en-US"/>
        </w:rPr>
        <w:t>LCIG given</w:t>
      </w:r>
      <w:r w:rsidR="00AA192C" w:rsidRPr="00AB70BB">
        <w:rPr>
          <w:lang w:val="en-GB" w:eastAsia="en-US"/>
        </w:rPr>
        <w:t xml:space="preserve"> reluctance by patients and clinicians to use LCIG in practice </w:t>
      </w:r>
      <w:r w:rsidR="00AB70BB">
        <w:rPr>
          <w:lang w:val="en-GB" w:eastAsia="en-US"/>
        </w:rPr>
        <w:t>and</w:t>
      </w:r>
      <w:r w:rsidR="00AA192C" w:rsidRPr="00AB70BB">
        <w:rPr>
          <w:lang w:val="en-GB" w:eastAsia="en-US"/>
        </w:rPr>
        <w:t xml:space="preserve"> the relative simplicity of</w:t>
      </w:r>
      <w:r w:rsidR="00AB70BB">
        <w:rPr>
          <w:lang w:val="en-GB" w:eastAsia="en-US"/>
        </w:rPr>
        <w:t xml:space="preserve"> use of FosLD/FosCD.</w:t>
      </w:r>
      <w:r w:rsidR="00AA192C" w:rsidRPr="00AB70BB">
        <w:rPr>
          <w:lang w:val="en-GB" w:eastAsia="en-US"/>
        </w:rPr>
        <w:t xml:space="preserve"> </w:t>
      </w:r>
      <w:r w:rsidR="00AB70BB">
        <w:rPr>
          <w:lang w:val="en-GB" w:eastAsia="en-US"/>
        </w:rPr>
        <w:t>However,</w:t>
      </w:r>
      <w:r w:rsidR="00D81A85">
        <w:rPr>
          <w:lang w:val="en-GB" w:eastAsia="en-US"/>
        </w:rPr>
        <w:t xml:space="preserve"> </w:t>
      </w:r>
      <w:r w:rsidR="00AB70BB">
        <w:rPr>
          <w:lang w:val="en-GB" w:eastAsia="en-US"/>
        </w:rPr>
        <w:t>t</w:t>
      </w:r>
      <w:r w:rsidR="00AA192C" w:rsidRPr="00AB70BB">
        <w:rPr>
          <w:lang w:val="en-GB" w:eastAsia="en-US"/>
        </w:rPr>
        <w:t xml:space="preserve">he Committee considered that </w:t>
      </w:r>
      <w:r w:rsidR="00D81A85">
        <w:rPr>
          <w:lang w:val="en-GB" w:eastAsia="en-US"/>
        </w:rPr>
        <w:t xml:space="preserve">the extent of uptake of FosLD/FosCD </w:t>
      </w:r>
      <w:r w:rsidR="002E6CA7">
        <w:rPr>
          <w:lang w:val="en-GB" w:eastAsia="en-US"/>
        </w:rPr>
        <w:t xml:space="preserve">in clinical practice </w:t>
      </w:r>
      <w:r w:rsidR="00D81A85">
        <w:rPr>
          <w:lang w:val="en-GB" w:eastAsia="en-US"/>
        </w:rPr>
        <w:t>was uncertain</w:t>
      </w:r>
      <w:r w:rsidR="002E6CA7">
        <w:rPr>
          <w:lang w:val="en-GB" w:eastAsia="en-US"/>
        </w:rPr>
        <w:t>, and although the relative simplicity of FosLD/FosCD is likely to expand use, adverse events such as hallucinations may limit use in practice.</w:t>
      </w:r>
      <w:r w:rsidR="00D81A85">
        <w:rPr>
          <w:lang w:val="en-GB" w:eastAsia="en-US"/>
        </w:rPr>
        <w:t xml:space="preserve"> </w:t>
      </w:r>
      <w:r w:rsidR="00C53798">
        <w:rPr>
          <w:lang w:val="en-GB" w:eastAsia="en-US"/>
        </w:rPr>
        <w:t>Overall, the PBAC considered the uptake estimates in the submission to be plausible.</w:t>
      </w:r>
    </w:p>
    <w:p w14:paraId="25EC95F6" w14:textId="5B91A806" w:rsidR="00F15510" w:rsidRPr="00B42BBE" w:rsidRDefault="00F15510" w:rsidP="003945B8">
      <w:pPr>
        <w:pStyle w:val="3-BodyText"/>
        <w:rPr>
          <w:iCs/>
        </w:rPr>
      </w:pPr>
      <w:bookmarkStart w:id="82" w:name="_Ref168903997"/>
      <w:r>
        <w:rPr>
          <w:lang w:val="en-GB" w:eastAsia="en-US"/>
        </w:rPr>
        <w:t xml:space="preserve">The PBAC noted the financial estimates </w:t>
      </w:r>
      <w:r w:rsidR="00075A1F">
        <w:rPr>
          <w:lang w:val="en-GB" w:eastAsia="en-US"/>
        </w:rPr>
        <w:t xml:space="preserve">presented in the submission </w:t>
      </w:r>
      <w:r>
        <w:rPr>
          <w:lang w:val="en-GB" w:eastAsia="en-US"/>
        </w:rPr>
        <w:t xml:space="preserve">assumed </w:t>
      </w:r>
      <w:r w:rsidR="00DC584C">
        <w:rPr>
          <w:lang w:val="en-GB" w:eastAsia="en-US"/>
        </w:rPr>
        <w:t xml:space="preserve">a </w:t>
      </w:r>
      <w:r w:rsidR="001E2CB9">
        <w:rPr>
          <w:lang w:val="en-GB" w:eastAsia="en-US"/>
        </w:rPr>
        <w:t>different</w:t>
      </w:r>
      <w:r>
        <w:rPr>
          <w:lang w:val="en-GB" w:eastAsia="en-US"/>
        </w:rPr>
        <w:t xml:space="preserve"> discontinuation rate for Fo</w:t>
      </w:r>
      <w:r w:rsidR="00075A1F">
        <w:rPr>
          <w:lang w:val="en-GB" w:eastAsia="en-US"/>
        </w:rPr>
        <w:t>s</w:t>
      </w:r>
      <w:r>
        <w:rPr>
          <w:lang w:val="en-GB" w:eastAsia="en-US"/>
        </w:rPr>
        <w:t>LD/FosCD</w:t>
      </w:r>
      <w:r w:rsidR="001E2CB9">
        <w:rPr>
          <w:lang w:val="en-GB" w:eastAsia="en-US"/>
        </w:rPr>
        <w:t xml:space="preserve"> (65% in year 1 followed by 89%)</w:t>
      </w:r>
      <w:r>
        <w:rPr>
          <w:lang w:val="en-GB" w:eastAsia="en-US"/>
        </w:rPr>
        <w:t xml:space="preserve"> than for LCIG</w:t>
      </w:r>
      <w:r w:rsidR="001E2CB9">
        <w:rPr>
          <w:lang w:val="en-GB" w:eastAsia="en-US"/>
        </w:rPr>
        <w:t xml:space="preserve"> (85%)</w:t>
      </w:r>
      <w:r w:rsidR="00075A1F">
        <w:rPr>
          <w:lang w:val="en-GB" w:eastAsia="en-US"/>
        </w:rPr>
        <w:t xml:space="preserve">, and during the evaluation sensitivity analyses were undertaken assuming </w:t>
      </w:r>
      <w:r w:rsidR="00075A1F" w:rsidRPr="00B42BBE">
        <w:rPr>
          <w:iCs/>
        </w:rPr>
        <w:t>treatment persistence of 90-100%</w:t>
      </w:r>
      <w:r w:rsidR="00075A1F">
        <w:rPr>
          <w:iCs/>
        </w:rPr>
        <w:t xml:space="preserve"> for both treatments</w:t>
      </w:r>
      <w:r>
        <w:rPr>
          <w:lang w:val="en-GB" w:eastAsia="en-US"/>
        </w:rPr>
        <w:t xml:space="preserve">. </w:t>
      </w:r>
      <w:r w:rsidR="00075A1F">
        <w:rPr>
          <w:lang w:val="en-GB" w:eastAsia="en-US"/>
        </w:rPr>
        <w:t xml:space="preserve">The PBAC noted the comments in the PSCR that the persistence observed in the clinical trials was lower than 90% and that </w:t>
      </w:r>
      <w:r w:rsidRPr="00B42BBE">
        <w:rPr>
          <w:iCs/>
        </w:rPr>
        <w:t>proper use of the</w:t>
      </w:r>
      <w:r w:rsidR="00075A1F">
        <w:rPr>
          <w:iCs/>
        </w:rPr>
        <w:t xml:space="preserve"> Fo</w:t>
      </w:r>
      <w:r w:rsidR="00BB1EA5">
        <w:rPr>
          <w:iCs/>
        </w:rPr>
        <w:t>s</w:t>
      </w:r>
      <w:r w:rsidR="00075A1F">
        <w:rPr>
          <w:iCs/>
        </w:rPr>
        <w:t>LD/FosCD</w:t>
      </w:r>
      <w:r w:rsidRPr="00B42BBE">
        <w:rPr>
          <w:iCs/>
        </w:rPr>
        <w:t xml:space="preserve"> delivery system remains complex, especially considering advanced PD is a movement disorder and treatment/assistance can be burdensome to carers/family</w:t>
      </w:r>
      <w:r w:rsidR="00075A1F">
        <w:rPr>
          <w:iCs/>
        </w:rPr>
        <w:t xml:space="preserve"> (paragraph </w:t>
      </w:r>
      <w:r w:rsidR="00075A1F">
        <w:rPr>
          <w:iCs/>
        </w:rPr>
        <w:fldChar w:fldCharType="begin"/>
      </w:r>
      <w:r w:rsidR="00075A1F">
        <w:rPr>
          <w:iCs/>
        </w:rPr>
        <w:instrText xml:space="preserve"> REF _Ref168902868 \r \h </w:instrText>
      </w:r>
      <w:r w:rsidR="00075A1F">
        <w:rPr>
          <w:iCs/>
        </w:rPr>
      </w:r>
      <w:r w:rsidR="00075A1F">
        <w:rPr>
          <w:iCs/>
        </w:rPr>
        <w:fldChar w:fldCharType="separate"/>
      </w:r>
      <w:r w:rsidR="0043339D">
        <w:rPr>
          <w:iCs/>
        </w:rPr>
        <w:t>6.59</w:t>
      </w:r>
      <w:r w:rsidR="00075A1F">
        <w:rPr>
          <w:iCs/>
        </w:rPr>
        <w:fldChar w:fldCharType="end"/>
      </w:r>
      <w:r w:rsidR="00075A1F">
        <w:rPr>
          <w:iCs/>
        </w:rPr>
        <w:t xml:space="preserve">), and considered </w:t>
      </w:r>
      <w:r w:rsidR="001E2CB9">
        <w:rPr>
          <w:iCs/>
        </w:rPr>
        <w:t>treatment persistence in clinical practice would likely be lower than 90%</w:t>
      </w:r>
      <w:r w:rsidRPr="00B42BBE">
        <w:rPr>
          <w:iCs/>
        </w:rPr>
        <w:t>.</w:t>
      </w:r>
      <w:r w:rsidR="001E2CB9">
        <w:rPr>
          <w:iCs/>
        </w:rPr>
        <w:t xml:space="preserve"> The PBAC considered, if possible, the persistence should be informed by that observed for LCIG on the PBS.</w:t>
      </w:r>
      <w:bookmarkEnd w:id="82"/>
    </w:p>
    <w:p w14:paraId="7C37B485" w14:textId="7412D790" w:rsidR="008C2180" w:rsidRPr="001E2CB9" w:rsidRDefault="001E2CB9" w:rsidP="003945B8">
      <w:pPr>
        <w:pStyle w:val="3-BodyText"/>
        <w:rPr>
          <w:lang w:val="en-GB" w:eastAsia="en-US"/>
        </w:rPr>
      </w:pPr>
      <w:bookmarkStart w:id="83" w:name="_Ref168904068"/>
      <w:r w:rsidRPr="001E2CB9">
        <w:rPr>
          <w:lang w:val="en-GB" w:eastAsia="en-US"/>
        </w:rPr>
        <w:t xml:space="preserve">The PBAC considered </w:t>
      </w:r>
      <w:r w:rsidR="00AA192C" w:rsidRPr="001E2CB9">
        <w:rPr>
          <w:lang w:val="en-GB" w:eastAsia="en-US"/>
        </w:rPr>
        <w:t xml:space="preserve">given the uncertain use of FosLD/FosCD in practice and given the magnitude of differences in costs between oral therapies and later-stage treatments like apomorphine and LCIG, that a </w:t>
      </w:r>
      <w:r w:rsidR="007542FB" w:rsidRPr="001E2CB9">
        <w:rPr>
          <w:lang w:val="en-GB" w:eastAsia="en-US"/>
        </w:rPr>
        <w:t xml:space="preserve">RSA </w:t>
      </w:r>
      <w:r w:rsidR="00AA192C" w:rsidRPr="001E2CB9">
        <w:rPr>
          <w:lang w:val="en-GB" w:eastAsia="en-US"/>
        </w:rPr>
        <w:t xml:space="preserve">would be required to mitigate the risk of substantially higher use than predicted, and that the level of rebate would need to be higher than the </w:t>
      </w:r>
      <w:r w:rsidR="004B6FE2" w:rsidRPr="0043339D">
        <w:rPr>
          <w:color w:val="000000"/>
          <w:w w:val="15"/>
          <w:shd w:val="solid" w:color="000000" w:fill="000000"/>
          <w:fitText w:val="-20" w:id="-930963961"/>
          <w:lang w:val="en-GB" w:eastAsia="en-US"/>
          <w14:textFill>
            <w14:solidFill>
              <w14:srgbClr w14:val="000000">
                <w14:alpha w14:val="100000"/>
              </w14:srgbClr>
            </w14:solidFill>
          </w14:textFill>
        </w:rPr>
        <w:t xml:space="preserve">|  </w:t>
      </w:r>
      <w:r w:rsidR="004B6FE2" w:rsidRPr="0043339D">
        <w:rPr>
          <w:color w:val="000000"/>
          <w:spacing w:val="-69"/>
          <w:w w:val="15"/>
          <w:shd w:val="solid" w:color="000000" w:fill="000000"/>
          <w:fitText w:val="-20" w:id="-930963961"/>
          <w:lang w:val="en-GB" w:eastAsia="en-US"/>
          <w14:textFill>
            <w14:solidFill>
              <w14:srgbClr w14:val="000000">
                <w14:alpha w14:val="100000"/>
              </w14:srgbClr>
            </w14:solidFill>
          </w14:textFill>
        </w:rPr>
        <w:t>|</w:t>
      </w:r>
      <w:r w:rsidR="00AA192C" w:rsidRPr="001E2CB9">
        <w:rPr>
          <w:lang w:val="en-GB" w:eastAsia="en-US"/>
        </w:rPr>
        <w:t>% currently in place for LCIG.</w:t>
      </w:r>
      <w:bookmarkEnd w:id="83"/>
    </w:p>
    <w:bookmarkEnd w:id="77"/>
    <w:p w14:paraId="5B5530AD" w14:textId="07C061F2" w:rsidR="00740EFB" w:rsidRPr="00740EFB" w:rsidRDefault="005D5677" w:rsidP="003866AB">
      <w:pPr>
        <w:widowControl w:val="0"/>
        <w:numPr>
          <w:ilvl w:val="1"/>
          <w:numId w:val="1"/>
        </w:numPr>
        <w:spacing w:after="120"/>
        <w:rPr>
          <w:rFonts w:asciiTheme="minorHAnsi" w:hAnsiTheme="minorHAnsi"/>
          <w:snapToGrid w:val="0"/>
          <w:u w:val="single"/>
          <w:lang w:val="en-GB" w:eastAsia="en-US"/>
        </w:rPr>
      </w:pPr>
      <w:r w:rsidRPr="00AA192C">
        <w:rPr>
          <w:rFonts w:asciiTheme="minorHAnsi" w:hAnsiTheme="minorHAnsi"/>
          <w:snapToGrid w:val="0"/>
          <w:lang w:val="en-GB" w:eastAsia="en-US"/>
        </w:rPr>
        <w:t xml:space="preserve">The PBAC considered the outstanding issues could be easily resolved in a simple resubmission for </w:t>
      </w:r>
      <w:r w:rsidR="00AA192C" w:rsidRPr="00AA192C">
        <w:rPr>
          <w:lang w:val="en-GB" w:eastAsia="en-US"/>
        </w:rPr>
        <w:t>FosLD/FosCD</w:t>
      </w:r>
      <w:r w:rsidRPr="00AA192C">
        <w:rPr>
          <w:rFonts w:asciiTheme="minorHAnsi" w:hAnsiTheme="minorHAnsi"/>
          <w:snapToGrid w:val="0"/>
          <w:lang w:val="en-GB" w:eastAsia="en-US"/>
        </w:rPr>
        <w:t xml:space="preserve"> using the early re-entry pathway. If the </w:t>
      </w:r>
      <w:r w:rsidR="009431B6">
        <w:rPr>
          <w:rFonts w:asciiTheme="minorHAnsi" w:hAnsiTheme="minorHAnsi"/>
          <w:snapToGrid w:val="0"/>
          <w:lang w:val="en-GB" w:eastAsia="en-US"/>
        </w:rPr>
        <w:t>S</w:t>
      </w:r>
      <w:r w:rsidRPr="00AA192C">
        <w:rPr>
          <w:rFonts w:asciiTheme="minorHAnsi" w:hAnsiTheme="minorHAnsi"/>
          <w:snapToGrid w:val="0"/>
          <w:lang w:val="en-GB" w:eastAsia="en-US"/>
        </w:rPr>
        <w:t xml:space="preserve">ponsor accepts this pathway, </w:t>
      </w:r>
      <w:r w:rsidR="00F07D20">
        <w:rPr>
          <w:rFonts w:asciiTheme="minorHAnsi" w:hAnsiTheme="minorHAnsi"/>
          <w:snapToGrid w:val="0"/>
          <w:lang w:val="en-GB" w:eastAsia="en-US"/>
        </w:rPr>
        <w:t>provision of the following</w:t>
      </w:r>
      <w:r w:rsidRPr="00AA192C">
        <w:rPr>
          <w:rFonts w:asciiTheme="minorHAnsi" w:hAnsiTheme="minorHAnsi"/>
          <w:snapToGrid w:val="0"/>
          <w:lang w:val="en-GB" w:eastAsia="en-US"/>
        </w:rPr>
        <w:t xml:space="preserve"> may address these outstanding issues without requiring further re-evaluation. </w:t>
      </w:r>
      <w:r w:rsidR="00AA192C">
        <w:rPr>
          <w:rFonts w:asciiTheme="minorHAnsi" w:hAnsiTheme="minorHAnsi"/>
          <w:snapToGrid w:val="0"/>
          <w:lang w:val="en-GB" w:eastAsia="en-US"/>
        </w:rPr>
        <w:t>The Committee considered an early re-entry submission should include:</w:t>
      </w:r>
    </w:p>
    <w:p w14:paraId="74D1FB82" w14:textId="4326CFCA" w:rsidR="00E967E8" w:rsidRDefault="00E668D1" w:rsidP="004F7504">
      <w:pPr>
        <w:pStyle w:val="ListParagraph"/>
        <w:numPr>
          <w:ilvl w:val="0"/>
          <w:numId w:val="23"/>
        </w:numPr>
        <w:rPr>
          <w:lang w:val="en-GB" w:eastAsia="en-US"/>
        </w:rPr>
      </w:pPr>
      <w:r>
        <w:rPr>
          <w:lang w:val="en-GB" w:eastAsia="en-US"/>
        </w:rPr>
        <w:t xml:space="preserve">Additional data and analyses exploring </w:t>
      </w:r>
      <w:r w:rsidRPr="00CE0D97">
        <w:rPr>
          <w:lang w:val="en-GB" w:eastAsia="en-US"/>
        </w:rPr>
        <w:t xml:space="preserve">the impact of </w:t>
      </w:r>
      <w:proofErr w:type="gramStart"/>
      <w:r>
        <w:rPr>
          <w:lang w:val="en-GB" w:eastAsia="en-US"/>
        </w:rPr>
        <w:t>drop-outs</w:t>
      </w:r>
      <w:proofErr w:type="gramEnd"/>
      <w:r>
        <w:rPr>
          <w:lang w:val="en-GB" w:eastAsia="en-US"/>
        </w:rPr>
        <w:t xml:space="preserve"> in </w:t>
      </w:r>
      <w:r w:rsidR="00DC584C">
        <w:rPr>
          <w:lang w:val="en-GB" w:eastAsia="en-US"/>
        </w:rPr>
        <w:t xml:space="preserve">Study </w:t>
      </w:r>
      <w:r>
        <w:rPr>
          <w:lang w:val="en-GB" w:eastAsia="en-US"/>
        </w:rPr>
        <w:t>M15-736 on the both the estimated efficacy for FosLD/FosCD and the indirect comparison with LCIG</w:t>
      </w:r>
      <w:r w:rsidRPr="00CE0D97">
        <w:rPr>
          <w:lang w:val="en-GB" w:eastAsia="en-US"/>
        </w:rPr>
        <w:t xml:space="preserve"> </w:t>
      </w:r>
      <w:r>
        <w:rPr>
          <w:lang w:val="en-GB" w:eastAsia="en-US"/>
        </w:rPr>
        <w:t xml:space="preserve">(paragraphs </w:t>
      </w:r>
      <w:r>
        <w:rPr>
          <w:lang w:val="en-GB" w:eastAsia="en-US"/>
        </w:rPr>
        <w:fldChar w:fldCharType="begin"/>
      </w:r>
      <w:r>
        <w:rPr>
          <w:lang w:val="en-GB" w:eastAsia="en-US"/>
        </w:rPr>
        <w:instrText xml:space="preserve"> REF _Ref168903751 \r \h </w:instrText>
      </w:r>
      <w:r>
        <w:rPr>
          <w:lang w:val="en-GB" w:eastAsia="en-US"/>
        </w:rPr>
      </w:r>
      <w:r>
        <w:rPr>
          <w:lang w:val="en-GB" w:eastAsia="en-US"/>
        </w:rPr>
        <w:fldChar w:fldCharType="separate"/>
      </w:r>
      <w:r w:rsidR="0043339D">
        <w:rPr>
          <w:lang w:val="en-GB" w:eastAsia="en-US"/>
        </w:rPr>
        <w:t>7.8</w:t>
      </w:r>
      <w:r>
        <w:rPr>
          <w:lang w:val="en-GB" w:eastAsia="en-US"/>
        </w:rPr>
        <w:fldChar w:fldCharType="end"/>
      </w:r>
      <w:r>
        <w:rPr>
          <w:lang w:val="en-GB" w:eastAsia="en-US"/>
        </w:rPr>
        <w:t xml:space="preserve"> and </w:t>
      </w:r>
      <w:r>
        <w:rPr>
          <w:lang w:val="en-GB" w:eastAsia="en-US"/>
        </w:rPr>
        <w:fldChar w:fldCharType="begin"/>
      </w:r>
      <w:r>
        <w:rPr>
          <w:lang w:val="en-GB" w:eastAsia="en-US"/>
        </w:rPr>
        <w:instrText xml:space="preserve"> REF _Ref168903770 \r \h </w:instrText>
      </w:r>
      <w:r>
        <w:rPr>
          <w:lang w:val="en-GB" w:eastAsia="en-US"/>
        </w:rPr>
      </w:r>
      <w:r>
        <w:rPr>
          <w:lang w:val="en-GB" w:eastAsia="en-US"/>
        </w:rPr>
        <w:fldChar w:fldCharType="separate"/>
      </w:r>
      <w:r w:rsidR="0043339D">
        <w:rPr>
          <w:lang w:val="en-GB" w:eastAsia="en-US"/>
        </w:rPr>
        <w:t>7.9</w:t>
      </w:r>
      <w:r>
        <w:rPr>
          <w:lang w:val="en-GB" w:eastAsia="en-US"/>
        </w:rPr>
        <w:fldChar w:fldCharType="end"/>
      </w:r>
      <w:r w:rsidR="00577503">
        <w:rPr>
          <w:lang w:val="en-GB" w:eastAsia="en-US"/>
        </w:rPr>
        <w:t>)</w:t>
      </w:r>
      <w:r w:rsidR="00740EFB">
        <w:rPr>
          <w:lang w:val="en-GB" w:eastAsia="en-US"/>
        </w:rPr>
        <w:t>;</w:t>
      </w:r>
    </w:p>
    <w:p w14:paraId="492E742D" w14:textId="335452FB" w:rsidR="00E967E8" w:rsidRDefault="00740EFB" w:rsidP="004F7504">
      <w:pPr>
        <w:pStyle w:val="ListParagraph"/>
        <w:numPr>
          <w:ilvl w:val="0"/>
          <w:numId w:val="23"/>
        </w:numPr>
        <w:rPr>
          <w:lang w:val="en-GB" w:eastAsia="en-US"/>
        </w:rPr>
      </w:pPr>
      <w:r>
        <w:rPr>
          <w:lang w:val="en-GB" w:eastAsia="en-US"/>
        </w:rPr>
        <w:t xml:space="preserve">A revised </w:t>
      </w:r>
      <w:r w:rsidR="00E668D1">
        <w:rPr>
          <w:lang w:val="en-GB" w:eastAsia="en-US"/>
        </w:rPr>
        <w:t xml:space="preserve">CMA addressing the comments in paragraph </w:t>
      </w:r>
      <w:r w:rsidR="00E668D1">
        <w:rPr>
          <w:lang w:val="en-GB" w:eastAsia="en-US"/>
        </w:rPr>
        <w:fldChar w:fldCharType="begin"/>
      </w:r>
      <w:r w:rsidR="00E668D1">
        <w:rPr>
          <w:lang w:val="en-GB" w:eastAsia="en-US"/>
        </w:rPr>
        <w:instrText xml:space="preserve"> REF _Ref168903850 \r \h </w:instrText>
      </w:r>
      <w:r w:rsidR="00E668D1">
        <w:rPr>
          <w:lang w:val="en-GB" w:eastAsia="en-US"/>
        </w:rPr>
      </w:r>
      <w:r w:rsidR="00E668D1">
        <w:rPr>
          <w:lang w:val="en-GB" w:eastAsia="en-US"/>
        </w:rPr>
        <w:fldChar w:fldCharType="separate"/>
      </w:r>
      <w:r w:rsidR="0043339D">
        <w:rPr>
          <w:lang w:val="en-GB" w:eastAsia="en-US"/>
        </w:rPr>
        <w:t>7.11</w:t>
      </w:r>
      <w:r w:rsidR="00E668D1">
        <w:rPr>
          <w:lang w:val="en-GB" w:eastAsia="en-US"/>
        </w:rPr>
        <w:fldChar w:fldCharType="end"/>
      </w:r>
      <w:r>
        <w:rPr>
          <w:lang w:val="en-GB" w:eastAsia="en-US"/>
        </w:rPr>
        <w:t>;</w:t>
      </w:r>
    </w:p>
    <w:p w14:paraId="0AE54A29" w14:textId="35135D21" w:rsidR="00740EFB" w:rsidRPr="00740EFB" w:rsidRDefault="00E668D1" w:rsidP="004F7504">
      <w:pPr>
        <w:pStyle w:val="ListParagraph"/>
        <w:numPr>
          <w:ilvl w:val="0"/>
          <w:numId w:val="23"/>
        </w:numPr>
        <w:rPr>
          <w:lang w:val="en-GB" w:eastAsia="en-US"/>
        </w:rPr>
      </w:pPr>
      <w:r>
        <w:rPr>
          <w:lang w:val="en-GB" w:eastAsia="en-US"/>
        </w:rPr>
        <w:t xml:space="preserve">Revised financial estimates incorporating the revised CMA price for FosLD/FosCD and potentially revised treatment persistence (paragraph </w:t>
      </w:r>
      <w:r>
        <w:rPr>
          <w:lang w:val="en-GB" w:eastAsia="en-US"/>
        </w:rPr>
        <w:fldChar w:fldCharType="begin"/>
      </w:r>
      <w:r>
        <w:rPr>
          <w:lang w:val="en-GB" w:eastAsia="en-US"/>
        </w:rPr>
        <w:instrText xml:space="preserve"> REF _Ref168903997 \r \h </w:instrText>
      </w:r>
      <w:r>
        <w:rPr>
          <w:lang w:val="en-GB" w:eastAsia="en-US"/>
        </w:rPr>
      </w:r>
      <w:r>
        <w:rPr>
          <w:lang w:val="en-GB" w:eastAsia="en-US"/>
        </w:rPr>
        <w:fldChar w:fldCharType="separate"/>
      </w:r>
      <w:r w:rsidR="0043339D">
        <w:rPr>
          <w:lang w:val="en-GB" w:eastAsia="en-US"/>
        </w:rPr>
        <w:t>7.13</w:t>
      </w:r>
      <w:r>
        <w:rPr>
          <w:lang w:val="en-GB" w:eastAsia="en-US"/>
        </w:rPr>
        <w:fldChar w:fldCharType="end"/>
      </w:r>
      <w:r>
        <w:rPr>
          <w:lang w:val="en-GB" w:eastAsia="en-US"/>
        </w:rPr>
        <w:t xml:space="preserve">); </w:t>
      </w:r>
      <w:r w:rsidR="00740EFB">
        <w:rPr>
          <w:lang w:val="en-GB" w:eastAsia="en-US"/>
        </w:rPr>
        <w:t>and</w:t>
      </w:r>
    </w:p>
    <w:p w14:paraId="29889076" w14:textId="6ED923BD" w:rsidR="00E967E8" w:rsidRDefault="00740EFB" w:rsidP="004F7504">
      <w:pPr>
        <w:pStyle w:val="ListParagraph"/>
        <w:numPr>
          <w:ilvl w:val="0"/>
          <w:numId w:val="23"/>
        </w:numPr>
        <w:rPr>
          <w:lang w:val="en-GB" w:eastAsia="en-US"/>
        </w:rPr>
      </w:pPr>
      <w:r>
        <w:rPr>
          <w:lang w:val="en-GB" w:eastAsia="en-US"/>
        </w:rPr>
        <w:t xml:space="preserve">A RSA </w:t>
      </w:r>
      <w:r w:rsidR="00E668D1">
        <w:rPr>
          <w:lang w:val="en-GB" w:eastAsia="en-US"/>
        </w:rPr>
        <w:t xml:space="preserve">proposal (paragraph </w:t>
      </w:r>
      <w:r w:rsidR="00E668D1">
        <w:rPr>
          <w:lang w:val="en-GB" w:eastAsia="en-US"/>
        </w:rPr>
        <w:fldChar w:fldCharType="begin"/>
      </w:r>
      <w:r w:rsidR="00E668D1">
        <w:rPr>
          <w:lang w:val="en-GB" w:eastAsia="en-US"/>
        </w:rPr>
        <w:instrText xml:space="preserve"> REF _Ref168904068 \r \h </w:instrText>
      </w:r>
      <w:r w:rsidR="00E668D1">
        <w:rPr>
          <w:lang w:val="en-GB" w:eastAsia="en-US"/>
        </w:rPr>
      </w:r>
      <w:r w:rsidR="00E668D1">
        <w:rPr>
          <w:lang w:val="en-GB" w:eastAsia="en-US"/>
        </w:rPr>
        <w:fldChar w:fldCharType="separate"/>
      </w:r>
      <w:r w:rsidR="0043339D">
        <w:rPr>
          <w:lang w:val="en-GB" w:eastAsia="en-US"/>
        </w:rPr>
        <w:t>7.14</w:t>
      </w:r>
      <w:r w:rsidR="00E668D1">
        <w:rPr>
          <w:lang w:val="en-GB" w:eastAsia="en-US"/>
        </w:rPr>
        <w:fldChar w:fldCharType="end"/>
      </w:r>
      <w:r w:rsidR="00E668D1">
        <w:rPr>
          <w:lang w:val="en-GB" w:eastAsia="en-US"/>
        </w:rPr>
        <w:t>)</w:t>
      </w:r>
      <w:r>
        <w:rPr>
          <w:lang w:val="en-GB" w:eastAsia="en-US"/>
        </w:rPr>
        <w:t>.</w:t>
      </w:r>
    </w:p>
    <w:p w14:paraId="766353DF" w14:textId="162BCDF3" w:rsidR="005D5677" w:rsidRPr="005D5677" w:rsidRDefault="005D5677" w:rsidP="005D5677">
      <w:pPr>
        <w:widowControl w:val="0"/>
        <w:spacing w:after="120"/>
        <w:ind w:left="720"/>
        <w:rPr>
          <w:rFonts w:asciiTheme="minorHAnsi" w:hAnsiTheme="minorHAnsi"/>
          <w:snapToGrid w:val="0"/>
          <w:lang w:val="en-GB" w:eastAsia="en-US"/>
        </w:rPr>
      </w:pPr>
      <w:r w:rsidRPr="005D5677">
        <w:rPr>
          <w:rFonts w:asciiTheme="minorHAnsi" w:hAnsiTheme="minorHAnsi"/>
          <w:snapToGrid w:val="0"/>
          <w:lang w:val="en-GB" w:eastAsia="en-US"/>
        </w:rPr>
        <w:t xml:space="preserve">The early re-entry resubmission must be lodged by week 7 of the current PBAC cycle or the next cycle. If the issues cannot be addressed by the </w:t>
      </w:r>
      <w:r w:rsidR="00640F71">
        <w:rPr>
          <w:rFonts w:asciiTheme="minorHAnsi" w:hAnsiTheme="minorHAnsi"/>
          <w:snapToGrid w:val="0"/>
          <w:lang w:val="en-GB" w:eastAsia="en-US"/>
        </w:rPr>
        <w:t>S</w:t>
      </w:r>
      <w:r w:rsidRPr="005D5677">
        <w:rPr>
          <w:rFonts w:asciiTheme="minorHAnsi" w:hAnsiTheme="minorHAnsi"/>
          <w:snapToGrid w:val="0"/>
          <w:lang w:val="en-GB" w:eastAsia="en-US"/>
        </w:rPr>
        <w:t>ponsor in a simple resubmission and the early re-entry timing is not acceptable, a standard re-entry pathway is available.</w:t>
      </w:r>
    </w:p>
    <w:p w14:paraId="5943A898" w14:textId="77777777" w:rsidR="00E967E8" w:rsidRDefault="005D5677" w:rsidP="002B7972">
      <w:pPr>
        <w:widowControl w:val="0"/>
        <w:numPr>
          <w:ilvl w:val="1"/>
          <w:numId w:val="1"/>
        </w:numPr>
        <w:spacing w:after="120"/>
        <w:contextualSpacing/>
        <w:jc w:val="left"/>
        <w:rPr>
          <w:rFonts w:asciiTheme="minorHAnsi" w:hAnsiTheme="minorHAnsi"/>
          <w:bCs/>
          <w:snapToGrid w:val="0"/>
          <w:lang w:val="en-GB" w:eastAsia="en-US"/>
        </w:rPr>
      </w:pPr>
      <w:r w:rsidRPr="003866AB">
        <w:rPr>
          <w:rFonts w:asciiTheme="minorHAnsi" w:hAnsiTheme="minorHAnsi"/>
          <w:bCs/>
          <w:snapToGrid w:val="0"/>
          <w:lang w:val="en-GB" w:eastAsia="en-US"/>
        </w:rPr>
        <w:lastRenderedPageBreak/>
        <w:t>The PBAC noted that this submission is eligible for an Independent Review.</w:t>
      </w:r>
    </w:p>
    <w:p w14:paraId="73DFF10F" w14:textId="771AC6A5" w:rsidR="005D5677" w:rsidRPr="005D5677" w:rsidRDefault="005D5677" w:rsidP="005D5677">
      <w:pPr>
        <w:spacing w:before="240"/>
        <w:rPr>
          <w:rFonts w:asciiTheme="minorHAnsi" w:hAnsiTheme="minorHAnsi"/>
          <w:b/>
          <w:bCs/>
          <w:snapToGrid w:val="0"/>
          <w:lang w:val="en-GB" w:eastAsia="en-US"/>
        </w:rPr>
      </w:pPr>
      <w:r w:rsidRPr="005D5677">
        <w:rPr>
          <w:rFonts w:asciiTheme="minorHAnsi" w:hAnsiTheme="minorHAnsi"/>
          <w:b/>
          <w:bCs/>
          <w:snapToGrid w:val="0"/>
          <w:lang w:val="en-GB" w:eastAsia="en-US"/>
        </w:rPr>
        <w:t>Outcome:</w:t>
      </w:r>
    </w:p>
    <w:p w14:paraId="4243753C" w14:textId="1F094AE5" w:rsidR="00021939" w:rsidRDefault="005D5677" w:rsidP="008728FB">
      <w:pPr>
        <w:spacing w:after="120"/>
        <w:rPr>
          <w:rFonts w:asciiTheme="minorHAnsi" w:hAnsiTheme="minorHAnsi"/>
          <w:bCs/>
          <w:snapToGrid w:val="0"/>
          <w:lang w:val="en-GB" w:eastAsia="en-US"/>
        </w:rPr>
      </w:pPr>
      <w:r w:rsidRPr="005D5677">
        <w:rPr>
          <w:rFonts w:asciiTheme="minorHAnsi" w:hAnsiTheme="minorHAnsi"/>
          <w:bCs/>
          <w:snapToGrid w:val="0"/>
          <w:lang w:val="en-GB" w:eastAsia="en-US"/>
        </w:rPr>
        <w:t>Not recommended</w:t>
      </w:r>
      <w:bookmarkEnd w:id="45"/>
      <w:bookmarkEnd w:id="46"/>
    </w:p>
    <w:p w14:paraId="1338918C" w14:textId="2880EC61" w:rsidR="00E967E8" w:rsidRPr="0038397A" w:rsidRDefault="00E967E8" w:rsidP="00292DE6">
      <w:pPr>
        <w:pStyle w:val="2-SectionHeading"/>
      </w:pPr>
      <w:r w:rsidRPr="00061CBE">
        <w:t>Context for Decision</w:t>
      </w:r>
    </w:p>
    <w:p w14:paraId="7C347482" w14:textId="77777777" w:rsidR="00E967E8" w:rsidRPr="00061CBE" w:rsidRDefault="00E967E8" w:rsidP="00E967E8">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3669877" w14:textId="466D9D36" w:rsidR="00E967E8" w:rsidRPr="00061CBE" w:rsidRDefault="00E967E8" w:rsidP="00292DE6">
      <w:pPr>
        <w:pStyle w:val="2-SectionHeading"/>
      </w:pPr>
      <w:r w:rsidRPr="00061CBE">
        <w:t>Sponsor’s Comment</w:t>
      </w:r>
    </w:p>
    <w:p w14:paraId="1221CB83" w14:textId="48C2FBF9" w:rsidR="00B15BA1" w:rsidRPr="004F7504" w:rsidRDefault="00B15BA1" w:rsidP="00B15BA1">
      <w:pPr>
        <w:ind w:left="720"/>
        <w:rPr>
          <w:bCs/>
          <w:lang w:val="en-GB"/>
        </w:rPr>
      </w:pPr>
      <w:r w:rsidRPr="004F7504">
        <w:rPr>
          <w:bCs/>
          <w:lang w:val="en-GB"/>
        </w:rPr>
        <w:t>AbbVie is disappointed that the PBAC did not recommend foslevodopa</w:t>
      </w:r>
      <w:r w:rsidR="00BB0460">
        <w:rPr>
          <w:bCs/>
          <w:lang w:val="en-GB"/>
        </w:rPr>
        <w:t xml:space="preserve"> </w:t>
      </w:r>
      <w:r w:rsidRPr="004F7504">
        <w:rPr>
          <w:bCs/>
          <w:lang w:val="en-GB"/>
        </w:rPr>
        <w:t xml:space="preserve">and foscarbidopa (Vyalev) given the high clinical need for an alternative treatment option in advanced Parkinson’s disease. AbbVie acknowledges the option of early re-entry and will continue to work with the PBAC and the Department of Health and Aged Care to ensure funded availability as soon as possible. </w:t>
      </w:r>
    </w:p>
    <w:p w14:paraId="417CA567" w14:textId="77777777" w:rsidR="00E967E8" w:rsidRPr="008728FB" w:rsidRDefault="00E967E8" w:rsidP="008728FB">
      <w:pPr>
        <w:spacing w:after="120"/>
        <w:rPr>
          <w:rFonts w:asciiTheme="minorHAnsi" w:hAnsiTheme="minorHAnsi"/>
          <w:bCs/>
          <w:snapToGrid w:val="0"/>
          <w:lang w:val="en-GB" w:eastAsia="en-US"/>
        </w:rPr>
      </w:pPr>
    </w:p>
    <w:sectPr w:rsidR="00E967E8" w:rsidRPr="008728FB" w:rsidSect="00150A70">
      <w:headerReference w:type="even" r:id="rId8"/>
      <w:headerReference w:type="default" r:id="rId9"/>
      <w:footerReference w:type="even" r:id="rId10"/>
      <w:footerReference w:type="default" r:id="rId11"/>
      <w:headerReference w:type="first" r:id="rId12"/>
      <w:footerReference w:type="first" r:id="rId13"/>
      <w:pgSz w:w="11906" w:h="16838"/>
      <w:pgMar w:top="1376" w:right="1440" w:bottom="1350" w:left="1440"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6175" w14:textId="77777777" w:rsidR="00BE2879" w:rsidRDefault="00BE2879" w:rsidP="00124A51">
      <w:r>
        <w:separator/>
      </w:r>
    </w:p>
    <w:p w14:paraId="422D9860" w14:textId="77777777" w:rsidR="00BE2879" w:rsidRDefault="00BE2879"/>
  </w:endnote>
  <w:endnote w:type="continuationSeparator" w:id="0">
    <w:p w14:paraId="055E2924" w14:textId="77777777" w:rsidR="00BE2879" w:rsidRDefault="00BE2879" w:rsidP="00124A51">
      <w:r>
        <w:continuationSeparator/>
      </w:r>
    </w:p>
    <w:p w14:paraId="085CF577" w14:textId="77777777" w:rsidR="00BE2879" w:rsidRDefault="00BE2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1FDA" w14:textId="77777777" w:rsidR="00A0676B" w:rsidRDefault="00A0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688" w14:textId="77777777" w:rsidR="00313182" w:rsidRDefault="00313182" w:rsidP="00753B29">
    <w:pPr>
      <w:pStyle w:val="Footer"/>
      <w:jc w:val="center"/>
    </w:pPr>
  </w:p>
  <w:p w14:paraId="4128D726" w14:textId="4FB92733" w:rsidR="00313182" w:rsidRPr="0083528B" w:rsidRDefault="0043339D" w:rsidP="00753B29">
    <w:pPr>
      <w:pStyle w:val="Footer"/>
      <w:jc w:val="center"/>
      <w:rPr>
        <w:b/>
        <w:bCs/>
      </w:rPr>
    </w:pPr>
    <w:sdt>
      <w:sdtPr>
        <w:id w:val="1036156457"/>
        <w:docPartObj>
          <w:docPartGallery w:val="Page Numbers (Bottom of Page)"/>
          <w:docPartUnique/>
        </w:docPartObj>
      </w:sdtPr>
      <w:sdtEndPr>
        <w:rPr>
          <w:b/>
          <w:bCs/>
          <w:noProof/>
        </w:rPr>
      </w:sdtEndPr>
      <w:sdtContent>
        <w:r w:rsidR="00313182" w:rsidRPr="0083528B">
          <w:rPr>
            <w:b/>
            <w:bCs/>
          </w:rPr>
          <w:fldChar w:fldCharType="begin"/>
        </w:r>
        <w:r w:rsidR="00313182" w:rsidRPr="0083528B">
          <w:rPr>
            <w:b/>
            <w:bCs/>
          </w:rPr>
          <w:instrText xml:space="preserve"> PAGE   \* MERGEFORMAT </w:instrText>
        </w:r>
        <w:r w:rsidR="00313182" w:rsidRPr="0083528B">
          <w:rPr>
            <w:b/>
            <w:bCs/>
          </w:rPr>
          <w:fldChar w:fldCharType="separate"/>
        </w:r>
        <w:r w:rsidR="00313182" w:rsidRPr="0083528B">
          <w:rPr>
            <w:b/>
            <w:bCs/>
            <w:noProof/>
          </w:rPr>
          <w:t>i</w:t>
        </w:r>
        <w:r w:rsidR="00313182" w:rsidRPr="0083528B">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5C71" w14:textId="77777777" w:rsidR="00A0676B" w:rsidRDefault="00A0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F7F0" w14:textId="77777777" w:rsidR="00BE2879" w:rsidRDefault="00BE2879" w:rsidP="00124A51">
      <w:r>
        <w:separator/>
      </w:r>
    </w:p>
  </w:footnote>
  <w:footnote w:type="continuationSeparator" w:id="0">
    <w:p w14:paraId="4AB03063" w14:textId="77777777" w:rsidR="00BE2879" w:rsidRDefault="00BE2879" w:rsidP="00124A51">
      <w:r>
        <w:continuationSeparator/>
      </w:r>
    </w:p>
    <w:p w14:paraId="643D190F" w14:textId="77777777" w:rsidR="00BE2879" w:rsidRDefault="00BE2879"/>
  </w:footnote>
  <w:footnote w:id="1">
    <w:p w14:paraId="7DAB68BA" w14:textId="18C5C732" w:rsidR="00313182" w:rsidRPr="005C158F" w:rsidRDefault="00313182">
      <w:pPr>
        <w:pStyle w:val="FootnoteText"/>
        <w:rPr>
          <w:rFonts w:ascii="Arial Narrow" w:hAnsi="Arial Narrow"/>
          <w:sz w:val="18"/>
          <w:szCs w:val="18"/>
        </w:rPr>
      </w:pPr>
      <w:r w:rsidRPr="005C158F">
        <w:rPr>
          <w:rStyle w:val="FootnoteReference"/>
          <w:rFonts w:ascii="Arial Narrow" w:hAnsi="Arial Narrow"/>
          <w:sz w:val="18"/>
          <w:szCs w:val="18"/>
        </w:rPr>
        <w:footnoteRef/>
      </w:r>
      <w:r w:rsidRPr="005C158F">
        <w:rPr>
          <w:rFonts w:ascii="Arial Narrow" w:hAnsi="Arial Narrow"/>
          <w:sz w:val="18"/>
          <w:szCs w:val="18"/>
        </w:rPr>
        <w:t xml:space="preserve"> </w:t>
      </w:r>
      <w:r w:rsidRPr="005C158F">
        <w:rPr>
          <w:rFonts w:ascii="Arial Narrow" w:hAnsi="Arial Narrow"/>
          <w:noProof/>
          <w:sz w:val="18"/>
          <w:szCs w:val="18"/>
        </w:rPr>
        <w:t xml:space="preserve">Balestrino, R. and A.H.V. Schapira, </w:t>
      </w:r>
      <w:r w:rsidRPr="00C95A87">
        <w:rPr>
          <w:rFonts w:ascii="Arial Narrow" w:hAnsi="Arial Narrow"/>
          <w:noProof/>
          <w:sz w:val="18"/>
          <w:szCs w:val="18"/>
        </w:rPr>
        <w:t>Parkinson disease.</w:t>
      </w:r>
      <w:r w:rsidRPr="005C158F">
        <w:rPr>
          <w:rFonts w:ascii="Arial Narrow" w:hAnsi="Arial Narrow"/>
          <w:noProof/>
          <w:sz w:val="18"/>
          <w:szCs w:val="18"/>
        </w:rPr>
        <w:t xml:space="preserve"> Eur J Neurol, 2020. 27(1): p. 27-42.</w:t>
      </w:r>
    </w:p>
  </w:footnote>
  <w:footnote w:id="2">
    <w:p w14:paraId="735B291E" w14:textId="6D556A3A" w:rsidR="00313182" w:rsidRPr="005C158F" w:rsidRDefault="00313182">
      <w:pPr>
        <w:pStyle w:val="FootnoteText"/>
        <w:rPr>
          <w:rFonts w:ascii="Arial Narrow" w:hAnsi="Arial Narrow"/>
          <w:sz w:val="18"/>
          <w:szCs w:val="18"/>
        </w:rPr>
      </w:pPr>
      <w:r w:rsidRPr="005C158F">
        <w:rPr>
          <w:rStyle w:val="FootnoteReference"/>
          <w:rFonts w:ascii="Arial Narrow" w:hAnsi="Arial Narrow"/>
          <w:sz w:val="18"/>
          <w:szCs w:val="18"/>
        </w:rPr>
        <w:footnoteRef/>
      </w:r>
      <w:r w:rsidRPr="005C158F">
        <w:rPr>
          <w:rFonts w:ascii="Arial Narrow" w:hAnsi="Arial Narrow"/>
          <w:sz w:val="18"/>
          <w:szCs w:val="18"/>
        </w:rPr>
        <w:t xml:space="preserve"> </w:t>
      </w:r>
      <w:r w:rsidRPr="005C158F">
        <w:rPr>
          <w:rFonts w:ascii="Arial Narrow" w:hAnsi="Arial Narrow"/>
          <w:noProof/>
          <w:sz w:val="18"/>
          <w:szCs w:val="18"/>
        </w:rPr>
        <w:t xml:space="preserve">Bivol, S., et al., </w:t>
      </w:r>
      <w:r w:rsidRPr="00C95A87">
        <w:rPr>
          <w:rFonts w:ascii="Arial Narrow" w:hAnsi="Arial Narrow"/>
          <w:noProof/>
          <w:sz w:val="18"/>
          <w:szCs w:val="18"/>
        </w:rPr>
        <w:t xml:space="preserve">Australian Parkinson's </w:t>
      </w:r>
      <w:r w:rsidR="0060078F">
        <w:rPr>
          <w:rFonts w:ascii="Arial Narrow" w:hAnsi="Arial Narrow"/>
          <w:noProof/>
          <w:sz w:val="18"/>
          <w:szCs w:val="18"/>
        </w:rPr>
        <w:t>g</w:t>
      </w:r>
      <w:r w:rsidRPr="00C95A87">
        <w:rPr>
          <w:rFonts w:ascii="Arial Narrow" w:hAnsi="Arial Narrow"/>
          <w:noProof/>
          <w:sz w:val="18"/>
          <w:szCs w:val="18"/>
        </w:rPr>
        <w:t xml:space="preserve">enetics </w:t>
      </w:r>
      <w:r w:rsidR="0060078F">
        <w:rPr>
          <w:rFonts w:ascii="Arial Narrow" w:hAnsi="Arial Narrow"/>
          <w:noProof/>
          <w:sz w:val="18"/>
          <w:szCs w:val="18"/>
        </w:rPr>
        <w:t>s</w:t>
      </w:r>
      <w:r w:rsidRPr="00C95A87">
        <w:rPr>
          <w:rFonts w:ascii="Arial Narrow" w:hAnsi="Arial Narrow"/>
          <w:noProof/>
          <w:sz w:val="18"/>
          <w:szCs w:val="18"/>
        </w:rPr>
        <w:t>tudy (APGS): pilot (n=1532).</w:t>
      </w:r>
      <w:r w:rsidRPr="005C158F">
        <w:rPr>
          <w:rFonts w:ascii="Arial Narrow" w:hAnsi="Arial Narrow"/>
          <w:noProof/>
          <w:sz w:val="18"/>
          <w:szCs w:val="18"/>
        </w:rPr>
        <w:t xml:space="preserve"> BMJ Open, 2022. 12(2): p. e052032.</w:t>
      </w:r>
    </w:p>
  </w:footnote>
  <w:footnote w:id="3">
    <w:p w14:paraId="2794A11C" w14:textId="4D55358F" w:rsidR="00313182" w:rsidRPr="005C158F" w:rsidRDefault="00313182">
      <w:pPr>
        <w:pStyle w:val="FootnoteText"/>
        <w:rPr>
          <w:rFonts w:ascii="Arial Narrow" w:hAnsi="Arial Narrow"/>
          <w:sz w:val="18"/>
          <w:szCs w:val="18"/>
        </w:rPr>
      </w:pPr>
      <w:r w:rsidRPr="005C158F">
        <w:rPr>
          <w:rStyle w:val="FootnoteReference"/>
          <w:rFonts w:ascii="Arial Narrow" w:hAnsi="Arial Narrow"/>
          <w:sz w:val="18"/>
          <w:szCs w:val="18"/>
        </w:rPr>
        <w:footnoteRef/>
      </w:r>
      <w:r w:rsidRPr="005C158F">
        <w:rPr>
          <w:rFonts w:ascii="Arial Narrow" w:hAnsi="Arial Narrow"/>
          <w:sz w:val="18"/>
          <w:szCs w:val="18"/>
        </w:rPr>
        <w:t xml:space="preserve"> </w:t>
      </w:r>
      <w:r w:rsidRPr="005C158F">
        <w:rPr>
          <w:rFonts w:ascii="Arial Narrow" w:hAnsi="Arial Narrow"/>
          <w:noProof/>
          <w:sz w:val="18"/>
          <w:szCs w:val="18"/>
        </w:rPr>
        <w:t xml:space="preserve">Fasano, A., et al., </w:t>
      </w:r>
      <w:r w:rsidRPr="00C95A87">
        <w:rPr>
          <w:rFonts w:ascii="Arial Narrow" w:hAnsi="Arial Narrow"/>
          <w:noProof/>
          <w:sz w:val="18"/>
          <w:szCs w:val="18"/>
        </w:rPr>
        <w:t>Characterizing advanced Parkinson's disease: OBSERVE-PD observational study results of 2615 patients.</w:t>
      </w:r>
      <w:r w:rsidRPr="005C158F">
        <w:rPr>
          <w:rFonts w:ascii="Arial Narrow" w:hAnsi="Arial Narrow"/>
          <w:noProof/>
          <w:sz w:val="18"/>
          <w:szCs w:val="18"/>
        </w:rPr>
        <w:t xml:space="preserve"> BMC Neurol, 2019. 19(1): p. 50.</w:t>
      </w:r>
    </w:p>
  </w:footnote>
  <w:footnote w:id="4">
    <w:p w14:paraId="69EB9FCB" w14:textId="54F758E7" w:rsidR="00313182" w:rsidRPr="005C158F" w:rsidRDefault="00313182">
      <w:pPr>
        <w:pStyle w:val="FootnoteText"/>
        <w:rPr>
          <w:rFonts w:ascii="Arial Narrow" w:hAnsi="Arial Narrow"/>
          <w:sz w:val="18"/>
          <w:szCs w:val="18"/>
        </w:rPr>
      </w:pPr>
      <w:r w:rsidRPr="005C158F">
        <w:rPr>
          <w:rStyle w:val="FootnoteReference"/>
          <w:rFonts w:ascii="Arial Narrow" w:hAnsi="Arial Narrow"/>
          <w:sz w:val="18"/>
          <w:szCs w:val="18"/>
        </w:rPr>
        <w:footnoteRef/>
      </w:r>
      <w:r w:rsidRPr="005C158F">
        <w:rPr>
          <w:rFonts w:ascii="Arial Narrow" w:hAnsi="Arial Narrow"/>
          <w:sz w:val="18"/>
          <w:szCs w:val="18"/>
        </w:rPr>
        <w:t xml:space="preserve"> </w:t>
      </w:r>
      <w:r w:rsidRPr="005C158F">
        <w:rPr>
          <w:rFonts w:ascii="Arial Narrow" w:hAnsi="Arial Narrow"/>
          <w:noProof/>
          <w:sz w:val="18"/>
          <w:szCs w:val="18"/>
        </w:rPr>
        <w:t xml:space="preserve">Rosebraugh, M., et al., </w:t>
      </w:r>
      <w:r w:rsidRPr="00C95A87">
        <w:rPr>
          <w:rFonts w:ascii="Arial Narrow" w:hAnsi="Arial Narrow"/>
          <w:noProof/>
          <w:sz w:val="18"/>
          <w:szCs w:val="18"/>
        </w:rPr>
        <w:t>Foslevodopa/</w:t>
      </w:r>
      <w:r w:rsidR="0060078F">
        <w:rPr>
          <w:rFonts w:ascii="Arial Narrow" w:hAnsi="Arial Narrow"/>
          <w:noProof/>
          <w:sz w:val="18"/>
          <w:szCs w:val="18"/>
        </w:rPr>
        <w:t>f</w:t>
      </w:r>
      <w:r w:rsidRPr="00C95A87">
        <w:rPr>
          <w:rFonts w:ascii="Arial Narrow" w:hAnsi="Arial Narrow"/>
          <w:noProof/>
          <w:sz w:val="18"/>
          <w:szCs w:val="18"/>
        </w:rPr>
        <w:t xml:space="preserve">oscarbidopa: A </w:t>
      </w:r>
      <w:r w:rsidR="0060078F">
        <w:rPr>
          <w:rFonts w:ascii="Arial Narrow" w:hAnsi="Arial Narrow"/>
          <w:noProof/>
          <w:sz w:val="18"/>
          <w:szCs w:val="18"/>
        </w:rPr>
        <w:t>n</w:t>
      </w:r>
      <w:r w:rsidRPr="00C95A87">
        <w:rPr>
          <w:rFonts w:ascii="Arial Narrow" w:hAnsi="Arial Narrow"/>
          <w:noProof/>
          <w:sz w:val="18"/>
          <w:szCs w:val="18"/>
        </w:rPr>
        <w:t xml:space="preserve">ew </w:t>
      </w:r>
      <w:r w:rsidR="0060078F">
        <w:rPr>
          <w:rFonts w:ascii="Arial Narrow" w:hAnsi="Arial Narrow"/>
          <w:noProof/>
          <w:sz w:val="18"/>
          <w:szCs w:val="18"/>
        </w:rPr>
        <w:t>s</w:t>
      </w:r>
      <w:r w:rsidRPr="00C95A87">
        <w:rPr>
          <w:rFonts w:ascii="Arial Narrow" w:hAnsi="Arial Narrow"/>
          <w:noProof/>
          <w:sz w:val="18"/>
          <w:szCs w:val="18"/>
        </w:rPr>
        <w:t xml:space="preserve">ubcutaneous </w:t>
      </w:r>
      <w:r w:rsidR="0060078F">
        <w:rPr>
          <w:rFonts w:ascii="Arial Narrow" w:hAnsi="Arial Narrow"/>
          <w:noProof/>
          <w:sz w:val="18"/>
          <w:szCs w:val="18"/>
        </w:rPr>
        <w:t>t</w:t>
      </w:r>
      <w:r w:rsidRPr="00C95A87">
        <w:rPr>
          <w:rFonts w:ascii="Arial Narrow" w:hAnsi="Arial Narrow"/>
          <w:noProof/>
          <w:sz w:val="18"/>
          <w:szCs w:val="18"/>
        </w:rPr>
        <w:t xml:space="preserve">reatment for Parkinson's </w:t>
      </w:r>
      <w:r w:rsidR="0060078F">
        <w:rPr>
          <w:rFonts w:ascii="Arial Narrow" w:hAnsi="Arial Narrow"/>
          <w:noProof/>
          <w:sz w:val="18"/>
          <w:szCs w:val="18"/>
        </w:rPr>
        <w:t>d</w:t>
      </w:r>
      <w:r w:rsidRPr="00C95A87">
        <w:rPr>
          <w:rFonts w:ascii="Arial Narrow" w:hAnsi="Arial Narrow"/>
          <w:noProof/>
          <w:sz w:val="18"/>
          <w:szCs w:val="18"/>
        </w:rPr>
        <w:t>isease.</w:t>
      </w:r>
      <w:r w:rsidRPr="005C158F">
        <w:rPr>
          <w:rFonts w:ascii="Arial Narrow" w:hAnsi="Arial Narrow"/>
          <w:noProof/>
          <w:sz w:val="18"/>
          <w:szCs w:val="18"/>
        </w:rPr>
        <w:t xml:space="preserve"> Ann Neurol, 2021. 90(1): p. 52-61.</w:t>
      </w:r>
    </w:p>
  </w:footnote>
  <w:footnote w:id="5">
    <w:p w14:paraId="6124A7A7" w14:textId="7077C8B9" w:rsidR="00313182" w:rsidRPr="005C158F" w:rsidRDefault="00313182">
      <w:pPr>
        <w:pStyle w:val="FootnoteText"/>
        <w:rPr>
          <w:rFonts w:ascii="Arial Narrow" w:hAnsi="Arial Narrow"/>
          <w:sz w:val="18"/>
          <w:szCs w:val="18"/>
        </w:rPr>
      </w:pPr>
      <w:r w:rsidRPr="005C158F">
        <w:rPr>
          <w:rStyle w:val="FootnoteReference"/>
          <w:rFonts w:ascii="Arial Narrow" w:hAnsi="Arial Narrow"/>
          <w:sz w:val="18"/>
          <w:szCs w:val="18"/>
        </w:rPr>
        <w:footnoteRef/>
      </w:r>
      <w:r w:rsidRPr="005C158F">
        <w:rPr>
          <w:rFonts w:ascii="Arial Narrow" w:hAnsi="Arial Narrow"/>
          <w:sz w:val="18"/>
          <w:szCs w:val="18"/>
        </w:rPr>
        <w:t xml:space="preserve"> </w:t>
      </w:r>
      <w:r w:rsidRPr="005C158F">
        <w:rPr>
          <w:rFonts w:ascii="Arial Narrow" w:hAnsi="Arial Narrow"/>
          <w:noProof/>
          <w:sz w:val="18"/>
          <w:szCs w:val="18"/>
        </w:rPr>
        <w:t xml:space="preserve">Müller, T., </w:t>
      </w:r>
      <w:r w:rsidRPr="00C95A87">
        <w:rPr>
          <w:rFonts w:ascii="Arial Narrow" w:hAnsi="Arial Narrow"/>
          <w:noProof/>
          <w:sz w:val="18"/>
          <w:szCs w:val="18"/>
        </w:rPr>
        <w:t>Pharmacokinetics and pharmacodynamics of levodopa/carbidopa cotherapies for Parkinson's disease.</w:t>
      </w:r>
      <w:r w:rsidRPr="005C158F">
        <w:rPr>
          <w:rFonts w:ascii="Arial Narrow" w:hAnsi="Arial Narrow"/>
          <w:noProof/>
          <w:sz w:val="18"/>
          <w:szCs w:val="18"/>
        </w:rPr>
        <w:t xml:space="preserve"> Expert Opin Drug Metab Toxicol, 2020. 16(5): p. 403-414.</w:t>
      </w:r>
    </w:p>
  </w:footnote>
  <w:footnote w:id="6">
    <w:p w14:paraId="19E27C01" w14:textId="20B549D7" w:rsidR="00313182" w:rsidRPr="0006688F" w:rsidRDefault="00313182" w:rsidP="00F32FAF">
      <w:pPr>
        <w:pStyle w:val="FootnoteText"/>
        <w:rPr>
          <w:rFonts w:ascii="Arial Narrow" w:hAnsi="Arial Narrow"/>
          <w:sz w:val="18"/>
          <w:szCs w:val="18"/>
        </w:rPr>
      </w:pPr>
      <w:r w:rsidRPr="0006688F">
        <w:rPr>
          <w:rStyle w:val="FootnoteReference"/>
          <w:rFonts w:ascii="Arial Narrow" w:hAnsi="Arial Narrow"/>
          <w:sz w:val="18"/>
          <w:szCs w:val="18"/>
        </w:rPr>
        <w:footnoteRef/>
      </w:r>
      <w:r w:rsidRPr="0006688F">
        <w:rPr>
          <w:rFonts w:ascii="Arial Narrow" w:hAnsi="Arial Narrow"/>
          <w:sz w:val="18"/>
          <w:szCs w:val="18"/>
        </w:rPr>
        <w:t xml:space="preserve"> </w:t>
      </w:r>
      <w:r w:rsidRPr="0006688F">
        <w:rPr>
          <w:rFonts w:ascii="Arial Narrow" w:hAnsi="Arial Narrow"/>
          <w:noProof/>
          <w:sz w:val="18"/>
          <w:szCs w:val="18"/>
        </w:rPr>
        <w:t xml:space="preserve">Moes, H.R., et al., </w:t>
      </w:r>
      <w:r w:rsidRPr="00C95A87">
        <w:rPr>
          <w:rFonts w:ascii="Arial Narrow" w:hAnsi="Arial Narrow"/>
          <w:noProof/>
          <w:sz w:val="18"/>
          <w:szCs w:val="18"/>
        </w:rPr>
        <w:t xml:space="preserve">Predictors of </w:t>
      </w:r>
      <w:r w:rsidR="0060078F">
        <w:rPr>
          <w:rFonts w:ascii="Arial Narrow" w:hAnsi="Arial Narrow"/>
          <w:noProof/>
          <w:sz w:val="18"/>
          <w:szCs w:val="18"/>
        </w:rPr>
        <w:t>t</w:t>
      </w:r>
      <w:r w:rsidRPr="00C95A87">
        <w:rPr>
          <w:rFonts w:ascii="Arial Narrow" w:hAnsi="Arial Narrow"/>
          <w:noProof/>
          <w:sz w:val="18"/>
          <w:szCs w:val="18"/>
        </w:rPr>
        <w:t xml:space="preserve">ime to </w:t>
      </w:r>
      <w:r w:rsidR="0060078F">
        <w:rPr>
          <w:rFonts w:ascii="Arial Narrow" w:hAnsi="Arial Narrow"/>
          <w:noProof/>
          <w:sz w:val="18"/>
          <w:szCs w:val="18"/>
        </w:rPr>
        <w:t>d</w:t>
      </w:r>
      <w:r w:rsidRPr="00C95A87">
        <w:rPr>
          <w:rFonts w:ascii="Arial Narrow" w:hAnsi="Arial Narrow"/>
          <w:noProof/>
          <w:sz w:val="18"/>
          <w:szCs w:val="18"/>
        </w:rPr>
        <w:t xml:space="preserve">iscontinuation of </w:t>
      </w:r>
      <w:r w:rsidR="0060078F">
        <w:rPr>
          <w:rFonts w:ascii="Arial Narrow" w:hAnsi="Arial Narrow"/>
          <w:noProof/>
          <w:sz w:val="18"/>
          <w:szCs w:val="18"/>
        </w:rPr>
        <w:t>l</w:t>
      </w:r>
      <w:r w:rsidRPr="00C95A87">
        <w:rPr>
          <w:rFonts w:ascii="Arial Narrow" w:hAnsi="Arial Narrow"/>
          <w:noProof/>
          <w:sz w:val="18"/>
          <w:szCs w:val="18"/>
        </w:rPr>
        <w:t>evodopa-</w:t>
      </w:r>
      <w:r w:rsidR="0060078F">
        <w:rPr>
          <w:rFonts w:ascii="Arial Narrow" w:hAnsi="Arial Narrow"/>
          <w:noProof/>
          <w:sz w:val="18"/>
          <w:szCs w:val="18"/>
        </w:rPr>
        <w:t>c</w:t>
      </w:r>
      <w:r w:rsidRPr="00C95A87">
        <w:rPr>
          <w:rFonts w:ascii="Arial Narrow" w:hAnsi="Arial Narrow"/>
          <w:noProof/>
          <w:sz w:val="18"/>
          <w:szCs w:val="18"/>
        </w:rPr>
        <w:t xml:space="preserve">arbidopa </w:t>
      </w:r>
      <w:r w:rsidR="0060078F">
        <w:rPr>
          <w:rFonts w:ascii="Arial Narrow" w:hAnsi="Arial Narrow"/>
          <w:noProof/>
          <w:sz w:val="18"/>
          <w:szCs w:val="18"/>
        </w:rPr>
        <w:t>i</w:t>
      </w:r>
      <w:r w:rsidRPr="00C95A87">
        <w:rPr>
          <w:rFonts w:ascii="Arial Narrow" w:hAnsi="Arial Narrow"/>
          <w:noProof/>
          <w:sz w:val="18"/>
          <w:szCs w:val="18"/>
        </w:rPr>
        <w:t xml:space="preserve">ntestinal </w:t>
      </w:r>
      <w:r w:rsidR="0060078F">
        <w:rPr>
          <w:rFonts w:ascii="Arial Narrow" w:hAnsi="Arial Narrow"/>
          <w:noProof/>
          <w:sz w:val="18"/>
          <w:szCs w:val="18"/>
        </w:rPr>
        <w:t>g</w:t>
      </w:r>
      <w:r w:rsidRPr="00C95A87">
        <w:rPr>
          <w:rFonts w:ascii="Arial Narrow" w:hAnsi="Arial Narrow"/>
          <w:noProof/>
          <w:sz w:val="18"/>
          <w:szCs w:val="18"/>
        </w:rPr>
        <w:t xml:space="preserve">el </w:t>
      </w:r>
      <w:r w:rsidR="0060078F">
        <w:rPr>
          <w:rFonts w:ascii="Arial Narrow" w:hAnsi="Arial Narrow"/>
          <w:noProof/>
          <w:sz w:val="18"/>
          <w:szCs w:val="18"/>
        </w:rPr>
        <w:t>i</w:t>
      </w:r>
      <w:r w:rsidRPr="00C95A87">
        <w:rPr>
          <w:rFonts w:ascii="Arial Narrow" w:hAnsi="Arial Narrow"/>
          <w:noProof/>
          <w:sz w:val="18"/>
          <w:szCs w:val="18"/>
        </w:rPr>
        <w:t xml:space="preserve">nfusion: A </w:t>
      </w:r>
      <w:r w:rsidR="0060078F">
        <w:rPr>
          <w:rFonts w:ascii="Arial Narrow" w:hAnsi="Arial Narrow"/>
          <w:noProof/>
          <w:sz w:val="18"/>
          <w:szCs w:val="18"/>
        </w:rPr>
        <w:t>r</w:t>
      </w:r>
      <w:r w:rsidRPr="00C95A87">
        <w:rPr>
          <w:rFonts w:ascii="Arial Narrow" w:hAnsi="Arial Narrow"/>
          <w:noProof/>
          <w:sz w:val="18"/>
          <w:szCs w:val="18"/>
        </w:rPr>
        <w:t xml:space="preserve">etrospective </w:t>
      </w:r>
      <w:r w:rsidR="0060078F">
        <w:rPr>
          <w:rFonts w:ascii="Arial Narrow" w:hAnsi="Arial Narrow"/>
          <w:noProof/>
          <w:sz w:val="18"/>
          <w:szCs w:val="18"/>
        </w:rPr>
        <w:t>c</w:t>
      </w:r>
      <w:r w:rsidRPr="00C95A87">
        <w:rPr>
          <w:rFonts w:ascii="Arial Narrow" w:hAnsi="Arial Narrow"/>
          <w:noProof/>
          <w:sz w:val="18"/>
          <w:szCs w:val="18"/>
        </w:rPr>
        <w:t xml:space="preserve">ohort </w:t>
      </w:r>
      <w:r w:rsidR="0060078F">
        <w:rPr>
          <w:rFonts w:ascii="Arial Narrow" w:hAnsi="Arial Narrow"/>
          <w:noProof/>
          <w:sz w:val="18"/>
          <w:szCs w:val="18"/>
        </w:rPr>
        <w:t>s</w:t>
      </w:r>
      <w:r w:rsidRPr="00C95A87">
        <w:rPr>
          <w:rFonts w:ascii="Arial Narrow" w:hAnsi="Arial Narrow"/>
          <w:noProof/>
          <w:sz w:val="18"/>
          <w:szCs w:val="18"/>
        </w:rPr>
        <w:t>tudy.</w:t>
      </w:r>
      <w:r w:rsidRPr="0006688F">
        <w:rPr>
          <w:rFonts w:ascii="Arial Narrow" w:hAnsi="Arial Narrow"/>
          <w:noProof/>
          <w:sz w:val="18"/>
          <w:szCs w:val="18"/>
        </w:rPr>
        <w:t xml:space="preserve"> J</w:t>
      </w:r>
      <w:r w:rsidR="008C08BD">
        <w:rPr>
          <w:rFonts w:ascii="Arial Narrow" w:hAnsi="Arial Narrow"/>
          <w:noProof/>
          <w:sz w:val="18"/>
          <w:szCs w:val="18"/>
        </w:rPr>
        <w:t> </w:t>
      </w:r>
      <w:r w:rsidRPr="0006688F">
        <w:rPr>
          <w:rFonts w:ascii="Arial Narrow" w:hAnsi="Arial Narrow"/>
          <w:noProof/>
          <w:sz w:val="18"/>
          <w:szCs w:val="18"/>
        </w:rPr>
        <w:t xml:space="preserve">Parkinsons Dis, 2020. </w:t>
      </w:r>
      <w:r w:rsidRPr="006106F1">
        <w:rPr>
          <w:rFonts w:ascii="Arial Narrow" w:hAnsi="Arial Narrow"/>
          <w:bCs/>
          <w:noProof/>
          <w:sz w:val="18"/>
          <w:szCs w:val="18"/>
        </w:rPr>
        <w:t>10</w:t>
      </w:r>
      <w:r w:rsidRPr="0060078F">
        <w:rPr>
          <w:rFonts w:ascii="Arial Narrow" w:hAnsi="Arial Narrow"/>
          <w:bCs/>
          <w:noProof/>
          <w:sz w:val="18"/>
          <w:szCs w:val="18"/>
        </w:rPr>
        <w:t>(3</w:t>
      </w:r>
      <w:r w:rsidRPr="0006688F">
        <w:rPr>
          <w:rFonts w:ascii="Arial Narrow" w:hAnsi="Arial Narrow"/>
          <w:noProof/>
          <w:sz w:val="18"/>
          <w:szCs w:val="18"/>
        </w:rPr>
        <w:t>): p. 935-944.</w:t>
      </w:r>
    </w:p>
  </w:footnote>
  <w:footnote w:id="7">
    <w:p w14:paraId="20BC04F0" w14:textId="5F223DF2" w:rsidR="00313182" w:rsidRPr="0006688F" w:rsidRDefault="00313182" w:rsidP="00F32FAF">
      <w:pPr>
        <w:pStyle w:val="FootnoteText"/>
        <w:rPr>
          <w:rFonts w:ascii="Arial Narrow" w:hAnsi="Arial Narrow"/>
          <w:sz w:val="18"/>
          <w:szCs w:val="18"/>
        </w:rPr>
      </w:pPr>
      <w:r w:rsidRPr="0006688F">
        <w:rPr>
          <w:rStyle w:val="FootnoteReference"/>
          <w:rFonts w:ascii="Arial Narrow" w:hAnsi="Arial Narrow"/>
          <w:sz w:val="18"/>
          <w:szCs w:val="18"/>
        </w:rPr>
        <w:footnoteRef/>
      </w:r>
      <w:r w:rsidRPr="0006688F">
        <w:rPr>
          <w:rFonts w:ascii="Arial Narrow" w:hAnsi="Arial Narrow"/>
          <w:sz w:val="18"/>
          <w:szCs w:val="18"/>
        </w:rPr>
        <w:t xml:space="preserve"> </w:t>
      </w:r>
      <w:r w:rsidRPr="0006688F">
        <w:rPr>
          <w:rFonts w:ascii="Arial Narrow" w:hAnsi="Arial Narrow"/>
          <w:noProof/>
          <w:sz w:val="18"/>
          <w:szCs w:val="18"/>
        </w:rPr>
        <w:t xml:space="preserve">Antonini, A., et al., </w:t>
      </w:r>
      <w:r w:rsidRPr="00C95A87">
        <w:rPr>
          <w:rFonts w:ascii="Arial Narrow" w:hAnsi="Arial Narrow"/>
          <w:noProof/>
          <w:sz w:val="18"/>
          <w:szCs w:val="18"/>
        </w:rPr>
        <w:t xml:space="preserve">The </w:t>
      </w:r>
      <w:r w:rsidR="0060078F">
        <w:rPr>
          <w:rFonts w:ascii="Arial Narrow" w:hAnsi="Arial Narrow"/>
          <w:noProof/>
          <w:sz w:val="18"/>
          <w:szCs w:val="18"/>
        </w:rPr>
        <w:t>l</w:t>
      </w:r>
      <w:r w:rsidRPr="00C95A87">
        <w:rPr>
          <w:rFonts w:ascii="Arial Narrow" w:hAnsi="Arial Narrow"/>
          <w:noProof/>
          <w:sz w:val="18"/>
          <w:szCs w:val="18"/>
        </w:rPr>
        <w:t>ong-</w:t>
      </w:r>
      <w:r w:rsidR="0060078F">
        <w:rPr>
          <w:rFonts w:ascii="Arial Narrow" w:hAnsi="Arial Narrow"/>
          <w:noProof/>
          <w:sz w:val="18"/>
          <w:szCs w:val="18"/>
        </w:rPr>
        <w:t>t</w:t>
      </w:r>
      <w:r w:rsidRPr="00C95A87">
        <w:rPr>
          <w:rFonts w:ascii="Arial Narrow" w:hAnsi="Arial Narrow"/>
          <w:noProof/>
          <w:sz w:val="18"/>
          <w:szCs w:val="18"/>
        </w:rPr>
        <w:t xml:space="preserve">erm </w:t>
      </w:r>
      <w:r w:rsidR="0060078F">
        <w:rPr>
          <w:rFonts w:ascii="Arial Narrow" w:hAnsi="Arial Narrow"/>
          <w:noProof/>
          <w:sz w:val="18"/>
          <w:szCs w:val="18"/>
        </w:rPr>
        <w:t>i</w:t>
      </w:r>
      <w:r w:rsidRPr="00C95A87">
        <w:rPr>
          <w:rFonts w:ascii="Arial Narrow" w:hAnsi="Arial Narrow"/>
          <w:noProof/>
          <w:sz w:val="18"/>
          <w:szCs w:val="18"/>
        </w:rPr>
        <w:t xml:space="preserve">mpact of </w:t>
      </w:r>
      <w:r w:rsidR="0060078F">
        <w:rPr>
          <w:rFonts w:ascii="Arial Narrow" w:hAnsi="Arial Narrow"/>
          <w:noProof/>
          <w:sz w:val="18"/>
          <w:szCs w:val="18"/>
        </w:rPr>
        <w:t>l</w:t>
      </w:r>
      <w:r w:rsidRPr="00C95A87">
        <w:rPr>
          <w:rFonts w:ascii="Arial Narrow" w:hAnsi="Arial Narrow"/>
          <w:noProof/>
          <w:sz w:val="18"/>
          <w:szCs w:val="18"/>
        </w:rPr>
        <w:t>evodopa/</w:t>
      </w:r>
      <w:r w:rsidR="0060078F">
        <w:rPr>
          <w:rFonts w:ascii="Arial Narrow" w:hAnsi="Arial Narrow"/>
          <w:noProof/>
          <w:sz w:val="18"/>
          <w:szCs w:val="18"/>
        </w:rPr>
        <w:t>c</w:t>
      </w:r>
      <w:r w:rsidRPr="00C95A87">
        <w:rPr>
          <w:rFonts w:ascii="Arial Narrow" w:hAnsi="Arial Narrow"/>
          <w:noProof/>
          <w:sz w:val="18"/>
          <w:szCs w:val="18"/>
        </w:rPr>
        <w:t xml:space="preserve">arbidopa </w:t>
      </w:r>
      <w:r w:rsidR="0060078F">
        <w:rPr>
          <w:rFonts w:ascii="Arial Narrow" w:hAnsi="Arial Narrow"/>
          <w:noProof/>
          <w:sz w:val="18"/>
          <w:szCs w:val="18"/>
        </w:rPr>
        <w:t>i</w:t>
      </w:r>
      <w:r w:rsidRPr="00C95A87">
        <w:rPr>
          <w:rFonts w:ascii="Arial Narrow" w:hAnsi="Arial Narrow"/>
          <w:noProof/>
          <w:sz w:val="18"/>
          <w:szCs w:val="18"/>
        </w:rPr>
        <w:t xml:space="preserve">ntestinal </w:t>
      </w:r>
      <w:r w:rsidR="0060078F">
        <w:rPr>
          <w:rFonts w:ascii="Arial Narrow" w:hAnsi="Arial Narrow"/>
          <w:noProof/>
          <w:sz w:val="18"/>
          <w:szCs w:val="18"/>
        </w:rPr>
        <w:t>g</w:t>
      </w:r>
      <w:r w:rsidRPr="00C95A87">
        <w:rPr>
          <w:rFonts w:ascii="Arial Narrow" w:hAnsi="Arial Narrow"/>
          <w:noProof/>
          <w:sz w:val="18"/>
          <w:szCs w:val="18"/>
        </w:rPr>
        <w:t xml:space="preserve">el on 'Off'-time in </w:t>
      </w:r>
      <w:r w:rsidR="0060078F">
        <w:rPr>
          <w:rFonts w:ascii="Arial Narrow" w:hAnsi="Arial Narrow"/>
          <w:noProof/>
          <w:sz w:val="18"/>
          <w:szCs w:val="18"/>
        </w:rPr>
        <w:t>p</w:t>
      </w:r>
      <w:r w:rsidRPr="00C95A87">
        <w:rPr>
          <w:rFonts w:ascii="Arial Narrow" w:hAnsi="Arial Narrow"/>
          <w:noProof/>
          <w:sz w:val="18"/>
          <w:szCs w:val="18"/>
        </w:rPr>
        <w:t xml:space="preserve">atients with </w:t>
      </w:r>
      <w:r w:rsidR="0060078F">
        <w:rPr>
          <w:rFonts w:ascii="Arial Narrow" w:hAnsi="Arial Narrow"/>
          <w:noProof/>
          <w:sz w:val="18"/>
          <w:szCs w:val="18"/>
        </w:rPr>
        <w:t>a</w:t>
      </w:r>
      <w:r w:rsidRPr="00C95A87">
        <w:rPr>
          <w:rFonts w:ascii="Arial Narrow" w:hAnsi="Arial Narrow"/>
          <w:noProof/>
          <w:sz w:val="18"/>
          <w:szCs w:val="18"/>
        </w:rPr>
        <w:t xml:space="preserve">dvanced Parkinson's </w:t>
      </w:r>
      <w:r w:rsidR="0060078F">
        <w:rPr>
          <w:rFonts w:ascii="Arial Narrow" w:hAnsi="Arial Narrow"/>
          <w:noProof/>
          <w:sz w:val="18"/>
          <w:szCs w:val="18"/>
        </w:rPr>
        <w:t>d</w:t>
      </w:r>
      <w:r w:rsidRPr="00C95A87">
        <w:rPr>
          <w:rFonts w:ascii="Arial Narrow" w:hAnsi="Arial Narrow"/>
          <w:noProof/>
          <w:sz w:val="18"/>
          <w:szCs w:val="18"/>
        </w:rPr>
        <w:t xml:space="preserve">isease: A </w:t>
      </w:r>
      <w:r w:rsidR="0060078F">
        <w:rPr>
          <w:rFonts w:ascii="Arial Narrow" w:hAnsi="Arial Narrow"/>
          <w:noProof/>
          <w:sz w:val="18"/>
          <w:szCs w:val="18"/>
        </w:rPr>
        <w:t>s</w:t>
      </w:r>
      <w:r w:rsidRPr="00C95A87">
        <w:rPr>
          <w:rFonts w:ascii="Arial Narrow" w:hAnsi="Arial Narrow"/>
          <w:noProof/>
          <w:sz w:val="18"/>
          <w:szCs w:val="18"/>
        </w:rPr>
        <w:t xml:space="preserve">ystematic </w:t>
      </w:r>
      <w:r w:rsidR="0060078F">
        <w:rPr>
          <w:rFonts w:ascii="Arial Narrow" w:hAnsi="Arial Narrow"/>
          <w:noProof/>
          <w:sz w:val="18"/>
          <w:szCs w:val="18"/>
        </w:rPr>
        <w:t>r</w:t>
      </w:r>
      <w:r w:rsidRPr="00C95A87">
        <w:rPr>
          <w:rFonts w:ascii="Arial Narrow" w:hAnsi="Arial Narrow"/>
          <w:noProof/>
          <w:sz w:val="18"/>
          <w:szCs w:val="18"/>
        </w:rPr>
        <w:t>eview.</w:t>
      </w:r>
      <w:r w:rsidRPr="0006688F">
        <w:rPr>
          <w:rFonts w:ascii="Arial Narrow" w:hAnsi="Arial Narrow"/>
          <w:noProof/>
          <w:sz w:val="18"/>
          <w:szCs w:val="18"/>
        </w:rPr>
        <w:t xml:space="preserve"> Adv Ther, 2021. </w:t>
      </w:r>
      <w:r w:rsidRPr="006106F1">
        <w:rPr>
          <w:rFonts w:ascii="Arial Narrow" w:hAnsi="Arial Narrow"/>
          <w:bCs/>
          <w:noProof/>
          <w:sz w:val="18"/>
          <w:szCs w:val="18"/>
        </w:rPr>
        <w:t>38</w:t>
      </w:r>
      <w:r w:rsidRPr="0006688F">
        <w:rPr>
          <w:rFonts w:ascii="Arial Narrow" w:hAnsi="Arial Narrow"/>
          <w:noProof/>
          <w:sz w:val="18"/>
          <w:szCs w:val="18"/>
        </w:rPr>
        <w:t>(6): p. 2854-2890.</w:t>
      </w:r>
    </w:p>
  </w:footnote>
  <w:footnote w:id="8">
    <w:p w14:paraId="01854412" w14:textId="77777777" w:rsidR="00313182" w:rsidRPr="00795B6A" w:rsidRDefault="00313182" w:rsidP="009A5B6A">
      <w:pPr>
        <w:pStyle w:val="FootnoteText"/>
        <w:rPr>
          <w:rFonts w:ascii="Arial Narrow" w:hAnsi="Arial Narrow"/>
          <w:sz w:val="18"/>
          <w:szCs w:val="18"/>
        </w:rPr>
      </w:pPr>
      <w:r w:rsidRPr="00795B6A">
        <w:rPr>
          <w:rStyle w:val="FootnoteReference"/>
          <w:rFonts w:ascii="Arial Narrow" w:hAnsi="Arial Narrow"/>
          <w:sz w:val="18"/>
          <w:szCs w:val="18"/>
        </w:rPr>
        <w:footnoteRef/>
      </w:r>
      <w:r w:rsidRPr="00795B6A">
        <w:rPr>
          <w:rFonts w:ascii="Arial Narrow" w:hAnsi="Arial Narrow"/>
          <w:sz w:val="18"/>
          <w:szCs w:val="18"/>
        </w:rPr>
        <w:t xml:space="preserve"> </w:t>
      </w:r>
      <w:hyperlink r:id="rId1" w:history="1">
        <w:r w:rsidRPr="00795B6A">
          <w:rPr>
            <w:rStyle w:val="Hyperlink"/>
            <w:rFonts w:ascii="Arial Narrow" w:hAnsi="Arial Narrow"/>
            <w:color w:val="auto"/>
            <w:sz w:val="18"/>
            <w:szCs w:val="18"/>
            <w:u w:val="none"/>
          </w:rPr>
          <w:t>Application of the ‘5-2-1’ screening criteria in advanced Parkinson’s disease: interim analysis of DUOGLOBE | Neurodegenerative Disease Management (futuremedicine.com)</w:t>
        </w:r>
      </w:hyperlink>
    </w:p>
  </w:footnote>
  <w:footnote w:id="9">
    <w:p w14:paraId="709119CA" w14:textId="77777777" w:rsidR="00313182" w:rsidRPr="00795B6A" w:rsidRDefault="00313182" w:rsidP="009A5B6A">
      <w:pPr>
        <w:pStyle w:val="FootnoteText"/>
        <w:rPr>
          <w:rFonts w:ascii="Arial Narrow" w:hAnsi="Arial Narrow"/>
          <w:sz w:val="18"/>
          <w:szCs w:val="18"/>
        </w:rPr>
      </w:pPr>
      <w:r w:rsidRPr="00795B6A">
        <w:rPr>
          <w:rStyle w:val="FootnoteReference"/>
          <w:rFonts w:ascii="Arial Narrow" w:hAnsi="Arial Narrow"/>
          <w:sz w:val="18"/>
          <w:szCs w:val="18"/>
        </w:rPr>
        <w:footnoteRef/>
      </w:r>
      <w:r w:rsidRPr="00795B6A">
        <w:rPr>
          <w:rFonts w:ascii="Arial Narrow" w:hAnsi="Arial Narrow"/>
          <w:sz w:val="18"/>
          <w:szCs w:val="18"/>
        </w:rPr>
        <w:t xml:space="preserve"> </w:t>
      </w:r>
      <w:hyperlink r:id="rId2" w:history="1">
        <w:r w:rsidRPr="00795B6A">
          <w:rPr>
            <w:rStyle w:val="Hyperlink"/>
            <w:rFonts w:ascii="Arial Narrow" w:hAnsi="Arial Narrow"/>
            <w:color w:val="auto"/>
            <w:sz w:val="18"/>
            <w:szCs w:val="18"/>
            <w:u w:val="none"/>
          </w:rPr>
          <w:t>Initial cognitive changes in Parkinson's disease - Weintraub - 2018 - Movement Disorders - Wiley Online Library</w:t>
        </w:r>
      </w:hyperlink>
    </w:p>
  </w:footnote>
  <w:footnote w:id="10">
    <w:p w14:paraId="09973D85" w14:textId="77777777" w:rsidR="00313182" w:rsidRPr="008C0163" w:rsidRDefault="00313182" w:rsidP="009A5B6A">
      <w:pPr>
        <w:pStyle w:val="FootnoteText"/>
        <w:rPr>
          <w:sz w:val="12"/>
          <w:szCs w:val="12"/>
        </w:rPr>
      </w:pPr>
      <w:r w:rsidRPr="00795B6A">
        <w:rPr>
          <w:rStyle w:val="FootnoteReference"/>
          <w:rFonts w:ascii="Arial Narrow" w:hAnsi="Arial Narrow"/>
          <w:sz w:val="18"/>
          <w:szCs w:val="18"/>
        </w:rPr>
        <w:footnoteRef/>
      </w:r>
      <w:r w:rsidRPr="00795B6A">
        <w:rPr>
          <w:rFonts w:ascii="Arial Narrow" w:hAnsi="Arial Narrow"/>
          <w:sz w:val="18"/>
          <w:szCs w:val="18"/>
        </w:rPr>
        <w:t xml:space="preserve"> </w:t>
      </w:r>
      <w:hyperlink r:id="rId3" w:history="1">
        <w:r w:rsidRPr="00795B6A">
          <w:rPr>
            <w:rStyle w:val="Hyperlink"/>
            <w:rFonts w:ascii="Arial Narrow" w:hAnsi="Arial Narrow"/>
            <w:color w:val="auto"/>
            <w:sz w:val="18"/>
            <w:szCs w:val="18"/>
            <w:u w:val="none"/>
          </w:rPr>
          <w:t>Parkinson’s Disease–Mild Cognitive Impairment (PD-MCI): A Useful Summary of Update Knowledge - PMC (nih.gov)</w:t>
        </w:r>
      </w:hyperlink>
    </w:p>
  </w:footnote>
  <w:footnote w:id="11">
    <w:p w14:paraId="3957BCC8" w14:textId="1C033404" w:rsidR="00570494" w:rsidRPr="00795B6A" w:rsidRDefault="00570494">
      <w:pPr>
        <w:pStyle w:val="FootnoteText"/>
        <w:rPr>
          <w:rFonts w:ascii="Arial Narrow" w:hAnsi="Arial Narrow"/>
          <w:sz w:val="18"/>
          <w:szCs w:val="18"/>
        </w:rPr>
      </w:pPr>
      <w:r w:rsidRPr="00795B6A">
        <w:rPr>
          <w:rStyle w:val="FootnoteReference"/>
          <w:rFonts w:ascii="Arial Narrow" w:hAnsi="Arial Narrow"/>
          <w:sz w:val="18"/>
          <w:szCs w:val="18"/>
        </w:rPr>
        <w:footnoteRef/>
      </w:r>
      <w:r w:rsidRPr="00795B6A">
        <w:rPr>
          <w:rFonts w:ascii="Arial Narrow" w:hAnsi="Arial Narrow"/>
          <w:sz w:val="18"/>
          <w:szCs w:val="18"/>
        </w:rPr>
        <w:t xml:space="preserve"> The treatment duration was derived from clinical trial data provided by the applicant.</w:t>
      </w:r>
    </w:p>
  </w:footnote>
  <w:footnote w:id="12">
    <w:p w14:paraId="24340929" w14:textId="77777777" w:rsidR="0050072C" w:rsidRPr="00795B6A" w:rsidRDefault="0050072C" w:rsidP="0050072C">
      <w:pPr>
        <w:pStyle w:val="FootnoteText"/>
        <w:rPr>
          <w:rFonts w:ascii="Arial Narrow" w:hAnsi="Arial Narrow"/>
          <w:sz w:val="18"/>
          <w:szCs w:val="18"/>
        </w:rPr>
      </w:pPr>
      <w:r w:rsidRPr="00795B6A">
        <w:rPr>
          <w:rStyle w:val="FootnoteReference"/>
          <w:rFonts w:ascii="Arial Narrow" w:hAnsi="Arial Narrow"/>
          <w:sz w:val="18"/>
          <w:szCs w:val="18"/>
        </w:rPr>
        <w:footnoteRef/>
      </w:r>
      <w:r w:rsidRPr="00795B6A">
        <w:rPr>
          <w:rFonts w:ascii="Arial Narrow" w:hAnsi="Arial Narrow"/>
          <w:sz w:val="18"/>
          <w:szCs w:val="18"/>
        </w:rPr>
        <w:t xml:space="preserve"> The treatment duration was derived from clinical trial data provided by the applicant.</w:t>
      </w:r>
    </w:p>
  </w:footnote>
  <w:footnote w:id="13">
    <w:p w14:paraId="777DD37A" w14:textId="77777777" w:rsidR="0050072C" w:rsidRDefault="0050072C" w:rsidP="0050072C">
      <w:pPr>
        <w:pStyle w:val="FootnoteText"/>
      </w:pPr>
      <w:r w:rsidRPr="00795B6A">
        <w:rPr>
          <w:rStyle w:val="FootnoteReference"/>
          <w:rFonts w:ascii="Arial Narrow" w:hAnsi="Arial Narrow"/>
          <w:sz w:val="18"/>
          <w:szCs w:val="18"/>
        </w:rPr>
        <w:footnoteRef/>
      </w:r>
      <w:r w:rsidRPr="00795B6A">
        <w:rPr>
          <w:rFonts w:ascii="Arial Narrow" w:hAnsi="Arial Narrow"/>
          <w:sz w:val="18"/>
          <w:szCs w:val="18"/>
        </w:rPr>
        <w:t xml:space="preserve"> The treatment duration was derived from clinical trial data provided by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97A7" w14:textId="77777777" w:rsidR="00A0676B" w:rsidRDefault="00A0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488" w14:textId="3CA0BC55" w:rsidR="00313182" w:rsidRPr="00195452" w:rsidRDefault="00E967E8" w:rsidP="007D49F6">
    <w:pPr>
      <w:pStyle w:val="Header"/>
      <w:rPr>
        <w:rFonts w:asciiTheme="minorHAnsi" w:hAnsiTheme="minorHAnsi"/>
        <w:i/>
        <w:color w:val="808080"/>
      </w:rPr>
    </w:pPr>
    <w:r>
      <w:rPr>
        <w:rFonts w:asciiTheme="minorHAnsi" w:hAnsiTheme="minorHAnsi"/>
        <w:i/>
        <w:color w:val="808080"/>
      </w:rPr>
      <w:t>Public Summary Document</w:t>
    </w:r>
    <w:r w:rsidR="0083528B">
      <w:rPr>
        <w:rFonts w:asciiTheme="minorHAnsi" w:hAnsiTheme="minorHAnsi"/>
        <w:i/>
        <w:color w:val="808080"/>
      </w:rPr>
      <w:t xml:space="preserve"> </w:t>
    </w:r>
    <w:r w:rsidR="0083528B" w:rsidRPr="00056684">
      <w:rPr>
        <w:rFonts w:asciiTheme="minorHAnsi" w:hAnsiTheme="minorHAnsi"/>
        <w:i/>
        <w:color w:val="808080"/>
      </w:rPr>
      <w:t>–</w:t>
    </w:r>
    <w:r w:rsidR="0083528B">
      <w:rPr>
        <w:rFonts w:asciiTheme="minorHAnsi" w:hAnsiTheme="minorHAnsi"/>
        <w:i/>
        <w:color w:val="808080"/>
      </w:rPr>
      <w:t xml:space="preserve"> </w:t>
    </w:r>
    <w:r w:rsidR="006B63BF">
      <w:rPr>
        <w:rFonts w:asciiTheme="minorHAnsi" w:hAnsiTheme="minorHAnsi"/>
        <w:i/>
        <w:color w:val="808080"/>
      </w:rPr>
      <w:t>May 2024</w:t>
    </w:r>
    <w:r w:rsidR="00313182">
      <w:rPr>
        <w:rFonts w:asciiTheme="minorHAnsi" w:hAnsiTheme="minorHAnsi"/>
        <w:i/>
        <w:color w:val="808080"/>
      </w:rPr>
      <w:t xml:space="preserve"> </w:t>
    </w:r>
    <w:r w:rsidR="00313182" w:rsidRPr="00195452">
      <w:rPr>
        <w:rFonts w:asciiTheme="minorHAnsi" w:hAnsiTheme="minorHAnsi"/>
        <w:i/>
        <w:color w:val="808080"/>
      </w:rPr>
      <w:t>PBAC</w:t>
    </w:r>
    <w:r w:rsidR="006B63BF">
      <w:rPr>
        <w:rFonts w:asciiTheme="minorHAnsi" w:hAnsiTheme="minorHAnsi"/>
        <w:i/>
        <w:color w:val="808080"/>
      </w:rPr>
      <w:t xml:space="preserve"> Intracycle</w:t>
    </w:r>
    <w:r w:rsidR="00313182" w:rsidRPr="00195452">
      <w:rPr>
        <w:rFonts w:asciiTheme="minorHAnsi" w:hAnsiTheme="minorHAnsi"/>
        <w:i/>
        <w:color w:val="808080"/>
      </w:rPr>
      <w:t xml:space="preserve"> Meeting</w:t>
    </w:r>
  </w:p>
  <w:p w14:paraId="167D2ECD" w14:textId="77777777" w:rsidR="00313182" w:rsidRPr="008C7ECB" w:rsidRDefault="00313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5CC4" w14:textId="77777777" w:rsidR="00A0676B" w:rsidRDefault="00A0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F44D4"/>
    <w:multiLevelType w:val="hybridMultilevel"/>
    <w:tmpl w:val="91EC8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C680D"/>
    <w:multiLevelType w:val="hybridMultilevel"/>
    <w:tmpl w:val="BD46A890"/>
    <w:lvl w:ilvl="0" w:tplc="61F42276">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5935F9"/>
    <w:multiLevelType w:val="hybridMultilevel"/>
    <w:tmpl w:val="A6CC69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679D2"/>
    <w:multiLevelType w:val="multilevel"/>
    <w:tmpl w:val="A1D62FB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7B1520"/>
    <w:multiLevelType w:val="hybridMultilevel"/>
    <w:tmpl w:val="F10C1DC8"/>
    <w:lvl w:ilvl="0" w:tplc="DCC2AD54">
      <w:start w:val="1"/>
      <w:numFmt w:val="bullet"/>
      <w:lvlText w:val=""/>
      <w:lvlJc w:val="left"/>
      <w:pPr>
        <w:ind w:left="825" w:hanging="360"/>
      </w:pPr>
      <w:rPr>
        <w:rFonts w:ascii="Symbol" w:hAnsi="Symbol" w:hint="default"/>
        <w:color w:val="auto"/>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1" w15:restartNumberingAfterBreak="0">
    <w:nsid w:val="320F3562"/>
    <w:multiLevelType w:val="hybridMultilevel"/>
    <w:tmpl w:val="672C9F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5623DF4"/>
    <w:multiLevelType w:val="hybridMultilevel"/>
    <w:tmpl w:val="13FC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76C72"/>
    <w:multiLevelType w:val="hybridMultilevel"/>
    <w:tmpl w:val="503E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034874"/>
    <w:multiLevelType w:val="hybridMultilevel"/>
    <w:tmpl w:val="0F98ACEE"/>
    <w:lvl w:ilvl="0" w:tplc="1124EEDC">
      <w:start w:val="5"/>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C2C2F88"/>
    <w:multiLevelType w:val="hybridMultilevel"/>
    <w:tmpl w:val="415E3FE4"/>
    <w:lvl w:ilvl="0" w:tplc="8D0A2C8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9A3B60"/>
    <w:multiLevelType w:val="hybridMultilevel"/>
    <w:tmpl w:val="4536921C"/>
    <w:lvl w:ilvl="0" w:tplc="B1E0714A">
      <w:start w:val="1"/>
      <w:numFmt w:val="bullet"/>
      <w:lvlText w:val=""/>
      <w:lvlJc w:val="left"/>
      <w:pPr>
        <w:tabs>
          <w:tab w:val="num" w:pos="720"/>
        </w:tabs>
        <w:ind w:left="720" w:hanging="360"/>
      </w:pPr>
      <w:rPr>
        <w:rFonts w:ascii="Wingdings" w:hAnsi="Wingdings" w:hint="default"/>
      </w:rPr>
    </w:lvl>
    <w:lvl w:ilvl="1" w:tplc="A2A2CC42" w:tentative="1">
      <w:start w:val="1"/>
      <w:numFmt w:val="bullet"/>
      <w:lvlText w:val=""/>
      <w:lvlJc w:val="left"/>
      <w:pPr>
        <w:tabs>
          <w:tab w:val="num" w:pos="1440"/>
        </w:tabs>
        <w:ind w:left="1440" w:hanging="360"/>
      </w:pPr>
      <w:rPr>
        <w:rFonts w:ascii="Wingdings" w:hAnsi="Wingdings" w:hint="default"/>
      </w:rPr>
    </w:lvl>
    <w:lvl w:ilvl="2" w:tplc="A4D06324" w:tentative="1">
      <w:start w:val="1"/>
      <w:numFmt w:val="bullet"/>
      <w:lvlText w:val=""/>
      <w:lvlJc w:val="left"/>
      <w:pPr>
        <w:tabs>
          <w:tab w:val="num" w:pos="2160"/>
        </w:tabs>
        <w:ind w:left="2160" w:hanging="360"/>
      </w:pPr>
      <w:rPr>
        <w:rFonts w:ascii="Wingdings" w:hAnsi="Wingdings" w:hint="default"/>
      </w:rPr>
    </w:lvl>
    <w:lvl w:ilvl="3" w:tplc="E9D2AB24" w:tentative="1">
      <w:start w:val="1"/>
      <w:numFmt w:val="bullet"/>
      <w:lvlText w:val=""/>
      <w:lvlJc w:val="left"/>
      <w:pPr>
        <w:tabs>
          <w:tab w:val="num" w:pos="2880"/>
        </w:tabs>
        <w:ind w:left="2880" w:hanging="360"/>
      </w:pPr>
      <w:rPr>
        <w:rFonts w:ascii="Wingdings" w:hAnsi="Wingdings" w:hint="default"/>
      </w:rPr>
    </w:lvl>
    <w:lvl w:ilvl="4" w:tplc="2760E2DC" w:tentative="1">
      <w:start w:val="1"/>
      <w:numFmt w:val="bullet"/>
      <w:lvlText w:val=""/>
      <w:lvlJc w:val="left"/>
      <w:pPr>
        <w:tabs>
          <w:tab w:val="num" w:pos="3600"/>
        </w:tabs>
        <w:ind w:left="3600" w:hanging="360"/>
      </w:pPr>
      <w:rPr>
        <w:rFonts w:ascii="Wingdings" w:hAnsi="Wingdings" w:hint="default"/>
      </w:rPr>
    </w:lvl>
    <w:lvl w:ilvl="5" w:tplc="A2AACA3E" w:tentative="1">
      <w:start w:val="1"/>
      <w:numFmt w:val="bullet"/>
      <w:lvlText w:val=""/>
      <w:lvlJc w:val="left"/>
      <w:pPr>
        <w:tabs>
          <w:tab w:val="num" w:pos="4320"/>
        </w:tabs>
        <w:ind w:left="4320" w:hanging="360"/>
      </w:pPr>
      <w:rPr>
        <w:rFonts w:ascii="Wingdings" w:hAnsi="Wingdings" w:hint="default"/>
      </w:rPr>
    </w:lvl>
    <w:lvl w:ilvl="6" w:tplc="4F561848" w:tentative="1">
      <w:start w:val="1"/>
      <w:numFmt w:val="bullet"/>
      <w:lvlText w:val=""/>
      <w:lvlJc w:val="left"/>
      <w:pPr>
        <w:tabs>
          <w:tab w:val="num" w:pos="5040"/>
        </w:tabs>
        <w:ind w:left="5040" w:hanging="360"/>
      </w:pPr>
      <w:rPr>
        <w:rFonts w:ascii="Wingdings" w:hAnsi="Wingdings" w:hint="default"/>
      </w:rPr>
    </w:lvl>
    <w:lvl w:ilvl="7" w:tplc="092C4282" w:tentative="1">
      <w:start w:val="1"/>
      <w:numFmt w:val="bullet"/>
      <w:lvlText w:val=""/>
      <w:lvlJc w:val="left"/>
      <w:pPr>
        <w:tabs>
          <w:tab w:val="num" w:pos="5760"/>
        </w:tabs>
        <w:ind w:left="5760" w:hanging="360"/>
      </w:pPr>
      <w:rPr>
        <w:rFonts w:ascii="Wingdings" w:hAnsi="Wingdings" w:hint="default"/>
      </w:rPr>
    </w:lvl>
    <w:lvl w:ilvl="8" w:tplc="D490262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7546CA"/>
    <w:multiLevelType w:val="hybridMultilevel"/>
    <w:tmpl w:val="D2244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90293263">
    <w:abstractNumId w:val="24"/>
  </w:num>
  <w:num w:numId="2" w16cid:durableId="778529270">
    <w:abstractNumId w:val="14"/>
  </w:num>
  <w:num w:numId="3" w16cid:durableId="879827647">
    <w:abstractNumId w:val="15"/>
  </w:num>
  <w:num w:numId="4" w16cid:durableId="461075766">
    <w:abstractNumId w:val="0"/>
  </w:num>
  <w:num w:numId="5" w16cid:durableId="1756630189">
    <w:abstractNumId w:val="13"/>
  </w:num>
  <w:num w:numId="6" w16cid:durableId="1422137534">
    <w:abstractNumId w:val="20"/>
  </w:num>
  <w:num w:numId="7" w16cid:durableId="1357388691">
    <w:abstractNumId w:val="18"/>
  </w:num>
  <w:num w:numId="8" w16cid:durableId="1103066014">
    <w:abstractNumId w:val="10"/>
  </w:num>
  <w:num w:numId="9" w16cid:durableId="1487895788">
    <w:abstractNumId w:val="3"/>
  </w:num>
  <w:num w:numId="10" w16cid:durableId="966660575">
    <w:abstractNumId w:val="21"/>
  </w:num>
  <w:num w:numId="11" w16cid:durableId="490294970">
    <w:abstractNumId w:val="8"/>
  </w:num>
  <w:num w:numId="12" w16cid:durableId="796485175">
    <w:abstractNumId w:val="4"/>
  </w:num>
  <w:num w:numId="13" w16cid:durableId="2082756222">
    <w:abstractNumId w:val="25"/>
  </w:num>
  <w:num w:numId="14" w16cid:durableId="1722050978">
    <w:abstractNumId w:val="2"/>
  </w:num>
  <w:num w:numId="15" w16cid:durableId="1606956036">
    <w:abstractNumId w:val="1"/>
  </w:num>
  <w:num w:numId="16" w16cid:durableId="539712308">
    <w:abstractNumId w:val="6"/>
  </w:num>
  <w:num w:numId="17" w16cid:durableId="8796297">
    <w:abstractNumId w:val="9"/>
  </w:num>
  <w:num w:numId="18" w16cid:durableId="1829709362">
    <w:abstractNumId w:val="5"/>
  </w:num>
  <w:num w:numId="19" w16cid:durableId="1179661190">
    <w:abstractNumId w:val="22"/>
  </w:num>
  <w:num w:numId="20" w16cid:durableId="1994604510">
    <w:abstractNumId w:val="16"/>
  </w:num>
  <w:num w:numId="21" w16cid:durableId="1172572094">
    <w:abstractNumId w:val="17"/>
  </w:num>
  <w:num w:numId="22" w16cid:durableId="190044046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7969155">
    <w:abstractNumId w:val="7"/>
  </w:num>
  <w:num w:numId="24" w16cid:durableId="1171263732">
    <w:abstractNumId w:val="15"/>
  </w:num>
  <w:num w:numId="25" w16cid:durableId="1850293519">
    <w:abstractNumId w:val="12"/>
  </w:num>
  <w:num w:numId="26" w16cid:durableId="1455443580">
    <w:abstractNumId w:val="24"/>
  </w:num>
  <w:num w:numId="27" w16cid:durableId="1834907780">
    <w:abstractNumId w:val="23"/>
  </w:num>
  <w:num w:numId="28" w16cid:durableId="400955190">
    <w:abstractNumId w:val="11"/>
  </w:num>
  <w:num w:numId="29" w16cid:durableId="396981346">
    <w:abstractNumId w:val="24"/>
  </w:num>
  <w:num w:numId="30" w16cid:durableId="70198512">
    <w:abstractNumId w:val="24"/>
  </w:num>
  <w:num w:numId="31" w16cid:durableId="1120876965">
    <w:abstractNumId w:val="24"/>
  </w:num>
  <w:num w:numId="32" w16cid:durableId="141396292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x05v2v3dzse7edvs55z09bxzd2d9rdp0wp&quot;&gt;Foslevodopa&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E65E79"/>
    <w:rsid w:val="00000790"/>
    <w:rsid w:val="0000110B"/>
    <w:rsid w:val="00003499"/>
    <w:rsid w:val="000039B7"/>
    <w:rsid w:val="00004F45"/>
    <w:rsid w:val="000056B9"/>
    <w:rsid w:val="00005920"/>
    <w:rsid w:val="0000639A"/>
    <w:rsid w:val="00011DF7"/>
    <w:rsid w:val="00013247"/>
    <w:rsid w:val="00014367"/>
    <w:rsid w:val="00015886"/>
    <w:rsid w:val="000162EF"/>
    <w:rsid w:val="000204C9"/>
    <w:rsid w:val="000207C9"/>
    <w:rsid w:val="00020F48"/>
    <w:rsid w:val="00021939"/>
    <w:rsid w:val="0002225F"/>
    <w:rsid w:val="00022498"/>
    <w:rsid w:val="00022CDC"/>
    <w:rsid w:val="000230E3"/>
    <w:rsid w:val="00023763"/>
    <w:rsid w:val="00024BAB"/>
    <w:rsid w:val="00024EB5"/>
    <w:rsid w:val="0002566B"/>
    <w:rsid w:val="000274B8"/>
    <w:rsid w:val="00027E85"/>
    <w:rsid w:val="00031968"/>
    <w:rsid w:val="000326FE"/>
    <w:rsid w:val="00033863"/>
    <w:rsid w:val="00034935"/>
    <w:rsid w:val="00034C55"/>
    <w:rsid w:val="000359D1"/>
    <w:rsid w:val="00035DC0"/>
    <w:rsid w:val="00036829"/>
    <w:rsid w:val="00037D3E"/>
    <w:rsid w:val="0004000E"/>
    <w:rsid w:val="00040895"/>
    <w:rsid w:val="000410A0"/>
    <w:rsid w:val="000435EE"/>
    <w:rsid w:val="00043C37"/>
    <w:rsid w:val="00044A14"/>
    <w:rsid w:val="00045017"/>
    <w:rsid w:val="0004511B"/>
    <w:rsid w:val="00045A2B"/>
    <w:rsid w:val="00046733"/>
    <w:rsid w:val="0004698F"/>
    <w:rsid w:val="00046D64"/>
    <w:rsid w:val="00047C17"/>
    <w:rsid w:val="000508C2"/>
    <w:rsid w:val="00051E10"/>
    <w:rsid w:val="000523F2"/>
    <w:rsid w:val="000536B6"/>
    <w:rsid w:val="000539D0"/>
    <w:rsid w:val="00053FF7"/>
    <w:rsid w:val="00054621"/>
    <w:rsid w:val="000546D7"/>
    <w:rsid w:val="00054A8D"/>
    <w:rsid w:val="00054BD3"/>
    <w:rsid w:val="0005501A"/>
    <w:rsid w:val="00056ECF"/>
    <w:rsid w:val="000604DF"/>
    <w:rsid w:val="00061304"/>
    <w:rsid w:val="00062324"/>
    <w:rsid w:val="000633AE"/>
    <w:rsid w:val="00063736"/>
    <w:rsid w:val="00063AE8"/>
    <w:rsid w:val="00063FF5"/>
    <w:rsid w:val="0006529A"/>
    <w:rsid w:val="000653B5"/>
    <w:rsid w:val="00066360"/>
    <w:rsid w:val="0006688F"/>
    <w:rsid w:val="00066AF8"/>
    <w:rsid w:val="00066DDD"/>
    <w:rsid w:val="00067A90"/>
    <w:rsid w:val="00067F73"/>
    <w:rsid w:val="00070BF1"/>
    <w:rsid w:val="00070BF3"/>
    <w:rsid w:val="00071248"/>
    <w:rsid w:val="000720B9"/>
    <w:rsid w:val="00072CBE"/>
    <w:rsid w:val="000737F7"/>
    <w:rsid w:val="00074FE9"/>
    <w:rsid w:val="0007513D"/>
    <w:rsid w:val="00075A1F"/>
    <w:rsid w:val="0007672F"/>
    <w:rsid w:val="00076B54"/>
    <w:rsid w:val="000774F0"/>
    <w:rsid w:val="00080909"/>
    <w:rsid w:val="00080AAF"/>
    <w:rsid w:val="00081290"/>
    <w:rsid w:val="000812CA"/>
    <w:rsid w:val="00081E63"/>
    <w:rsid w:val="0008258D"/>
    <w:rsid w:val="00083046"/>
    <w:rsid w:val="00083E99"/>
    <w:rsid w:val="00084FA8"/>
    <w:rsid w:val="00085686"/>
    <w:rsid w:val="000856C5"/>
    <w:rsid w:val="00085C31"/>
    <w:rsid w:val="00085D48"/>
    <w:rsid w:val="000865F0"/>
    <w:rsid w:val="000870D1"/>
    <w:rsid w:val="00087CB8"/>
    <w:rsid w:val="00087E2F"/>
    <w:rsid w:val="000902D9"/>
    <w:rsid w:val="000903C4"/>
    <w:rsid w:val="000905AB"/>
    <w:rsid w:val="00090C7E"/>
    <w:rsid w:val="000911AC"/>
    <w:rsid w:val="0009179D"/>
    <w:rsid w:val="00092600"/>
    <w:rsid w:val="0009262B"/>
    <w:rsid w:val="00092FF4"/>
    <w:rsid w:val="00093310"/>
    <w:rsid w:val="0009445C"/>
    <w:rsid w:val="00095200"/>
    <w:rsid w:val="00095E6A"/>
    <w:rsid w:val="00095FE5"/>
    <w:rsid w:val="00096284"/>
    <w:rsid w:val="00096FFF"/>
    <w:rsid w:val="000A14E8"/>
    <w:rsid w:val="000A1904"/>
    <w:rsid w:val="000A1BC0"/>
    <w:rsid w:val="000A217C"/>
    <w:rsid w:val="000A23CD"/>
    <w:rsid w:val="000A285A"/>
    <w:rsid w:val="000A2F9E"/>
    <w:rsid w:val="000A3E47"/>
    <w:rsid w:val="000A522B"/>
    <w:rsid w:val="000A6039"/>
    <w:rsid w:val="000A7453"/>
    <w:rsid w:val="000A7D08"/>
    <w:rsid w:val="000B0121"/>
    <w:rsid w:val="000B0670"/>
    <w:rsid w:val="000B0E75"/>
    <w:rsid w:val="000B1598"/>
    <w:rsid w:val="000B1616"/>
    <w:rsid w:val="000B2A00"/>
    <w:rsid w:val="000B2DCB"/>
    <w:rsid w:val="000B3F18"/>
    <w:rsid w:val="000B4F88"/>
    <w:rsid w:val="000B5CE0"/>
    <w:rsid w:val="000B6CAC"/>
    <w:rsid w:val="000B7612"/>
    <w:rsid w:val="000B78AE"/>
    <w:rsid w:val="000C170D"/>
    <w:rsid w:val="000C3DF9"/>
    <w:rsid w:val="000C4CC5"/>
    <w:rsid w:val="000C4CF2"/>
    <w:rsid w:val="000C6713"/>
    <w:rsid w:val="000C6C1C"/>
    <w:rsid w:val="000D1BFC"/>
    <w:rsid w:val="000D1D5D"/>
    <w:rsid w:val="000D281A"/>
    <w:rsid w:val="000D2848"/>
    <w:rsid w:val="000D326A"/>
    <w:rsid w:val="000D3D04"/>
    <w:rsid w:val="000D51FB"/>
    <w:rsid w:val="000D56D7"/>
    <w:rsid w:val="000D732D"/>
    <w:rsid w:val="000E0640"/>
    <w:rsid w:val="000E135D"/>
    <w:rsid w:val="000E15F2"/>
    <w:rsid w:val="000E2A4B"/>
    <w:rsid w:val="000E35F4"/>
    <w:rsid w:val="000E5AD0"/>
    <w:rsid w:val="000E5D29"/>
    <w:rsid w:val="000E7DF5"/>
    <w:rsid w:val="000F009E"/>
    <w:rsid w:val="000F00BA"/>
    <w:rsid w:val="000F1EE4"/>
    <w:rsid w:val="000F2831"/>
    <w:rsid w:val="000F316A"/>
    <w:rsid w:val="000F3C74"/>
    <w:rsid w:val="000F482A"/>
    <w:rsid w:val="000F4BB8"/>
    <w:rsid w:val="000F4FA9"/>
    <w:rsid w:val="000F5215"/>
    <w:rsid w:val="000F53FB"/>
    <w:rsid w:val="000F6D95"/>
    <w:rsid w:val="000F7127"/>
    <w:rsid w:val="000F7B54"/>
    <w:rsid w:val="001000B3"/>
    <w:rsid w:val="00100F8A"/>
    <w:rsid w:val="0010452E"/>
    <w:rsid w:val="00105AE2"/>
    <w:rsid w:val="001060C6"/>
    <w:rsid w:val="00106B80"/>
    <w:rsid w:val="00107DC9"/>
    <w:rsid w:val="0011032E"/>
    <w:rsid w:val="00110D18"/>
    <w:rsid w:val="001118C7"/>
    <w:rsid w:val="00111964"/>
    <w:rsid w:val="00111C5A"/>
    <w:rsid w:val="0011348B"/>
    <w:rsid w:val="00114DF1"/>
    <w:rsid w:val="00115982"/>
    <w:rsid w:val="00115B10"/>
    <w:rsid w:val="001168FF"/>
    <w:rsid w:val="00116C53"/>
    <w:rsid w:val="00117587"/>
    <w:rsid w:val="00117FA9"/>
    <w:rsid w:val="00120703"/>
    <w:rsid w:val="00120D05"/>
    <w:rsid w:val="001210D3"/>
    <w:rsid w:val="00121799"/>
    <w:rsid w:val="001222FC"/>
    <w:rsid w:val="00123902"/>
    <w:rsid w:val="001244D0"/>
    <w:rsid w:val="00124A2D"/>
    <w:rsid w:val="00124A51"/>
    <w:rsid w:val="0012623B"/>
    <w:rsid w:val="00126621"/>
    <w:rsid w:val="0012667A"/>
    <w:rsid w:val="00126B1D"/>
    <w:rsid w:val="0012726E"/>
    <w:rsid w:val="00127DFE"/>
    <w:rsid w:val="001301E9"/>
    <w:rsid w:val="00131B04"/>
    <w:rsid w:val="00131C26"/>
    <w:rsid w:val="00131D82"/>
    <w:rsid w:val="001328A9"/>
    <w:rsid w:val="00132B22"/>
    <w:rsid w:val="0013388D"/>
    <w:rsid w:val="00133D36"/>
    <w:rsid w:val="00136555"/>
    <w:rsid w:val="0013658C"/>
    <w:rsid w:val="001365F8"/>
    <w:rsid w:val="00137645"/>
    <w:rsid w:val="0014015A"/>
    <w:rsid w:val="00140238"/>
    <w:rsid w:val="00140E99"/>
    <w:rsid w:val="00143F67"/>
    <w:rsid w:val="00145234"/>
    <w:rsid w:val="00145540"/>
    <w:rsid w:val="001456B0"/>
    <w:rsid w:val="00145E00"/>
    <w:rsid w:val="00150A70"/>
    <w:rsid w:val="001543AA"/>
    <w:rsid w:val="001547AB"/>
    <w:rsid w:val="00154BDE"/>
    <w:rsid w:val="00155644"/>
    <w:rsid w:val="001556A0"/>
    <w:rsid w:val="00156AF9"/>
    <w:rsid w:val="00156F8F"/>
    <w:rsid w:val="00157130"/>
    <w:rsid w:val="001576B1"/>
    <w:rsid w:val="00157769"/>
    <w:rsid w:val="0016047B"/>
    <w:rsid w:val="00160A4C"/>
    <w:rsid w:val="00162913"/>
    <w:rsid w:val="00163EFF"/>
    <w:rsid w:val="00163F66"/>
    <w:rsid w:val="00164250"/>
    <w:rsid w:val="001643C2"/>
    <w:rsid w:val="00164454"/>
    <w:rsid w:val="00164673"/>
    <w:rsid w:val="0016478E"/>
    <w:rsid w:val="00164A78"/>
    <w:rsid w:val="00164BD1"/>
    <w:rsid w:val="00165321"/>
    <w:rsid w:val="0016596E"/>
    <w:rsid w:val="00165EC4"/>
    <w:rsid w:val="001661FB"/>
    <w:rsid w:val="00166EF4"/>
    <w:rsid w:val="001671A0"/>
    <w:rsid w:val="001673A9"/>
    <w:rsid w:val="0016767F"/>
    <w:rsid w:val="00171ACA"/>
    <w:rsid w:val="00171B94"/>
    <w:rsid w:val="00173565"/>
    <w:rsid w:val="00173B07"/>
    <w:rsid w:val="001751FA"/>
    <w:rsid w:val="001777C6"/>
    <w:rsid w:val="001807D8"/>
    <w:rsid w:val="00180A13"/>
    <w:rsid w:val="001817ED"/>
    <w:rsid w:val="00181C10"/>
    <w:rsid w:val="00181CA9"/>
    <w:rsid w:val="00181D9C"/>
    <w:rsid w:val="00181E41"/>
    <w:rsid w:val="001837FF"/>
    <w:rsid w:val="00184B0E"/>
    <w:rsid w:val="00185649"/>
    <w:rsid w:val="0018581F"/>
    <w:rsid w:val="00187459"/>
    <w:rsid w:val="0018752F"/>
    <w:rsid w:val="00187643"/>
    <w:rsid w:val="0019197E"/>
    <w:rsid w:val="00193838"/>
    <w:rsid w:val="00193B8A"/>
    <w:rsid w:val="00194AD8"/>
    <w:rsid w:val="00194CCE"/>
    <w:rsid w:val="00194FBD"/>
    <w:rsid w:val="00195222"/>
    <w:rsid w:val="00195452"/>
    <w:rsid w:val="001975D8"/>
    <w:rsid w:val="0019762E"/>
    <w:rsid w:val="00197E78"/>
    <w:rsid w:val="00197E89"/>
    <w:rsid w:val="001A14EB"/>
    <w:rsid w:val="001A178E"/>
    <w:rsid w:val="001A2A6F"/>
    <w:rsid w:val="001A3161"/>
    <w:rsid w:val="001A3513"/>
    <w:rsid w:val="001A35E5"/>
    <w:rsid w:val="001A3AFB"/>
    <w:rsid w:val="001A3C1E"/>
    <w:rsid w:val="001A43FA"/>
    <w:rsid w:val="001A47C5"/>
    <w:rsid w:val="001A59FB"/>
    <w:rsid w:val="001A5E9E"/>
    <w:rsid w:val="001A5F47"/>
    <w:rsid w:val="001A6354"/>
    <w:rsid w:val="001A6366"/>
    <w:rsid w:val="001A7635"/>
    <w:rsid w:val="001A7AE8"/>
    <w:rsid w:val="001B0641"/>
    <w:rsid w:val="001B1F4C"/>
    <w:rsid w:val="001B204E"/>
    <w:rsid w:val="001B2372"/>
    <w:rsid w:val="001B2631"/>
    <w:rsid w:val="001B3443"/>
    <w:rsid w:val="001B344C"/>
    <w:rsid w:val="001B38A6"/>
    <w:rsid w:val="001B45C7"/>
    <w:rsid w:val="001B4D20"/>
    <w:rsid w:val="001B52B0"/>
    <w:rsid w:val="001B6389"/>
    <w:rsid w:val="001B6D72"/>
    <w:rsid w:val="001B757D"/>
    <w:rsid w:val="001B7F84"/>
    <w:rsid w:val="001C0998"/>
    <w:rsid w:val="001C2A9B"/>
    <w:rsid w:val="001C344D"/>
    <w:rsid w:val="001C3DD6"/>
    <w:rsid w:val="001C4299"/>
    <w:rsid w:val="001C4874"/>
    <w:rsid w:val="001C5F94"/>
    <w:rsid w:val="001C6017"/>
    <w:rsid w:val="001C6E66"/>
    <w:rsid w:val="001D1100"/>
    <w:rsid w:val="001D1391"/>
    <w:rsid w:val="001D146D"/>
    <w:rsid w:val="001D25D7"/>
    <w:rsid w:val="001D3204"/>
    <w:rsid w:val="001D4E8A"/>
    <w:rsid w:val="001D50B2"/>
    <w:rsid w:val="001D5D93"/>
    <w:rsid w:val="001D71F4"/>
    <w:rsid w:val="001D7645"/>
    <w:rsid w:val="001E19BE"/>
    <w:rsid w:val="001E1E86"/>
    <w:rsid w:val="001E229C"/>
    <w:rsid w:val="001E238E"/>
    <w:rsid w:val="001E2483"/>
    <w:rsid w:val="001E2B1E"/>
    <w:rsid w:val="001E2CB9"/>
    <w:rsid w:val="001E2CED"/>
    <w:rsid w:val="001E2CFF"/>
    <w:rsid w:val="001E2F24"/>
    <w:rsid w:val="001E30D4"/>
    <w:rsid w:val="001E3344"/>
    <w:rsid w:val="001E34DF"/>
    <w:rsid w:val="001E52EB"/>
    <w:rsid w:val="001E61D2"/>
    <w:rsid w:val="001E655A"/>
    <w:rsid w:val="001E740C"/>
    <w:rsid w:val="001E74F3"/>
    <w:rsid w:val="001F0EEF"/>
    <w:rsid w:val="001F1235"/>
    <w:rsid w:val="001F1CB3"/>
    <w:rsid w:val="001F2DE0"/>
    <w:rsid w:val="001F38B5"/>
    <w:rsid w:val="001F3C06"/>
    <w:rsid w:val="001F4081"/>
    <w:rsid w:val="001F6A8D"/>
    <w:rsid w:val="001F7361"/>
    <w:rsid w:val="001F74B5"/>
    <w:rsid w:val="001F7A98"/>
    <w:rsid w:val="002010D5"/>
    <w:rsid w:val="002011B0"/>
    <w:rsid w:val="00203181"/>
    <w:rsid w:val="00203783"/>
    <w:rsid w:val="0020385F"/>
    <w:rsid w:val="0020466C"/>
    <w:rsid w:val="00205638"/>
    <w:rsid w:val="00206894"/>
    <w:rsid w:val="002068A0"/>
    <w:rsid w:val="00207021"/>
    <w:rsid w:val="0020732F"/>
    <w:rsid w:val="00207D00"/>
    <w:rsid w:val="002105C1"/>
    <w:rsid w:val="002116FD"/>
    <w:rsid w:val="00211BA4"/>
    <w:rsid w:val="00213EF5"/>
    <w:rsid w:val="002167B2"/>
    <w:rsid w:val="00216BF5"/>
    <w:rsid w:val="00222DDD"/>
    <w:rsid w:val="0022322D"/>
    <w:rsid w:val="00223265"/>
    <w:rsid w:val="00223B49"/>
    <w:rsid w:val="00223D5A"/>
    <w:rsid w:val="00224DD4"/>
    <w:rsid w:val="002278A0"/>
    <w:rsid w:val="002303E9"/>
    <w:rsid w:val="002309CC"/>
    <w:rsid w:val="00231BA9"/>
    <w:rsid w:val="0023209F"/>
    <w:rsid w:val="00233C01"/>
    <w:rsid w:val="0023413C"/>
    <w:rsid w:val="002346F0"/>
    <w:rsid w:val="00234D87"/>
    <w:rsid w:val="0023517A"/>
    <w:rsid w:val="0023584D"/>
    <w:rsid w:val="0023629D"/>
    <w:rsid w:val="00237255"/>
    <w:rsid w:val="00240322"/>
    <w:rsid w:val="002424AF"/>
    <w:rsid w:val="002439DC"/>
    <w:rsid w:val="002441D2"/>
    <w:rsid w:val="00244DC8"/>
    <w:rsid w:val="002458BA"/>
    <w:rsid w:val="00245CE9"/>
    <w:rsid w:val="0024636C"/>
    <w:rsid w:val="00247925"/>
    <w:rsid w:val="00247F0F"/>
    <w:rsid w:val="00247F82"/>
    <w:rsid w:val="002504F3"/>
    <w:rsid w:val="00250993"/>
    <w:rsid w:val="00251006"/>
    <w:rsid w:val="002524D5"/>
    <w:rsid w:val="00253B1D"/>
    <w:rsid w:val="00253FD4"/>
    <w:rsid w:val="00254DCF"/>
    <w:rsid w:val="0025534B"/>
    <w:rsid w:val="002556A5"/>
    <w:rsid w:val="00255992"/>
    <w:rsid w:val="00255A0F"/>
    <w:rsid w:val="00255BB7"/>
    <w:rsid w:val="00255E00"/>
    <w:rsid w:val="002569E9"/>
    <w:rsid w:val="00257541"/>
    <w:rsid w:val="00257A39"/>
    <w:rsid w:val="00257AC4"/>
    <w:rsid w:val="00257BBE"/>
    <w:rsid w:val="00261EEF"/>
    <w:rsid w:val="00262761"/>
    <w:rsid w:val="00262A1A"/>
    <w:rsid w:val="00262A87"/>
    <w:rsid w:val="00262CE7"/>
    <w:rsid w:val="00264D26"/>
    <w:rsid w:val="00265ED9"/>
    <w:rsid w:val="00267642"/>
    <w:rsid w:val="00267AEA"/>
    <w:rsid w:val="00267E96"/>
    <w:rsid w:val="002700E6"/>
    <w:rsid w:val="0027036D"/>
    <w:rsid w:val="002728B8"/>
    <w:rsid w:val="0027294B"/>
    <w:rsid w:val="00273EB4"/>
    <w:rsid w:val="00274682"/>
    <w:rsid w:val="00275158"/>
    <w:rsid w:val="00275C5A"/>
    <w:rsid w:val="00276986"/>
    <w:rsid w:val="00277FD7"/>
    <w:rsid w:val="00281014"/>
    <w:rsid w:val="00285BCE"/>
    <w:rsid w:val="0028665D"/>
    <w:rsid w:val="00286E6B"/>
    <w:rsid w:val="00290369"/>
    <w:rsid w:val="002910A4"/>
    <w:rsid w:val="00291506"/>
    <w:rsid w:val="00292DE6"/>
    <w:rsid w:val="0029353A"/>
    <w:rsid w:val="002968D9"/>
    <w:rsid w:val="00297A44"/>
    <w:rsid w:val="002A0DBC"/>
    <w:rsid w:val="002A14AB"/>
    <w:rsid w:val="002A204B"/>
    <w:rsid w:val="002A25C5"/>
    <w:rsid w:val="002A2ADE"/>
    <w:rsid w:val="002A2F50"/>
    <w:rsid w:val="002A3963"/>
    <w:rsid w:val="002A4B99"/>
    <w:rsid w:val="002A5B0A"/>
    <w:rsid w:val="002A7943"/>
    <w:rsid w:val="002B05A1"/>
    <w:rsid w:val="002B09A4"/>
    <w:rsid w:val="002B0AB0"/>
    <w:rsid w:val="002B1C1F"/>
    <w:rsid w:val="002B332C"/>
    <w:rsid w:val="002B4099"/>
    <w:rsid w:val="002B432F"/>
    <w:rsid w:val="002B4FEC"/>
    <w:rsid w:val="002B54EB"/>
    <w:rsid w:val="002B62B3"/>
    <w:rsid w:val="002B6754"/>
    <w:rsid w:val="002B6CCE"/>
    <w:rsid w:val="002C003D"/>
    <w:rsid w:val="002C0C43"/>
    <w:rsid w:val="002C10C9"/>
    <w:rsid w:val="002C2510"/>
    <w:rsid w:val="002C2775"/>
    <w:rsid w:val="002C27C1"/>
    <w:rsid w:val="002C2801"/>
    <w:rsid w:val="002C36E3"/>
    <w:rsid w:val="002C5099"/>
    <w:rsid w:val="002C54D5"/>
    <w:rsid w:val="002C5562"/>
    <w:rsid w:val="002C5889"/>
    <w:rsid w:val="002C71CE"/>
    <w:rsid w:val="002C7E8C"/>
    <w:rsid w:val="002D02F6"/>
    <w:rsid w:val="002D08F8"/>
    <w:rsid w:val="002D2687"/>
    <w:rsid w:val="002D4A8A"/>
    <w:rsid w:val="002D4CFC"/>
    <w:rsid w:val="002D577C"/>
    <w:rsid w:val="002D7832"/>
    <w:rsid w:val="002D7B4A"/>
    <w:rsid w:val="002E0E82"/>
    <w:rsid w:val="002E1071"/>
    <w:rsid w:val="002E15B9"/>
    <w:rsid w:val="002E16C4"/>
    <w:rsid w:val="002E2158"/>
    <w:rsid w:val="002E26AB"/>
    <w:rsid w:val="002E3675"/>
    <w:rsid w:val="002E4F02"/>
    <w:rsid w:val="002E539E"/>
    <w:rsid w:val="002E6CA7"/>
    <w:rsid w:val="002E73C2"/>
    <w:rsid w:val="002E7722"/>
    <w:rsid w:val="002F0742"/>
    <w:rsid w:val="002F07BA"/>
    <w:rsid w:val="002F0B2F"/>
    <w:rsid w:val="002F0DA9"/>
    <w:rsid w:val="002F1014"/>
    <w:rsid w:val="002F1857"/>
    <w:rsid w:val="002F1E3B"/>
    <w:rsid w:val="002F3908"/>
    <w:rsid w:val="002F4842"/>
    <w:rsid w:val="002F643C"/>
    <w:rsid w:val="002F71C0"/>
    <w:rsid w:val="002F74F1"/>
    <w:rsid w:val="00301017"/>
    <w:rsid w:val="0030155F"/>
    <w:rsid w:val="003022BE"/>
    <w:rsid w:val="00303A17"/>
    <w:rsid w:val="00303E8E"/>
    <w:rsid w:val="0030587B"/>
    <w:rsid w:val="0030595C"/>
    <w:rsid w:val="00306D98"/>
    <w:rsid w:val="0030786C"/>
    <w:rsid w:val="0031031A"/>
    <w:rsid w:val="00310981"/>
    <w:rsid w:val="00311D9B"/>
    <w:rsid w:val="003124D9"/>
    <w:rsid w:val="00312594"/>
    <w:rsid w:val="00313182"/>
    <w:rsid w:val="0031363B"/>
    <w:rsid w:val="003137C2"/>
    <w:rsid w:val="00314943"/>
    <w:rsid w:val="00314BB4"/>
    <w:rsid w:val="00314E14"/>
    <w:rsid w:val="00315192"/>
    <w:rsid w:val="00315498"/>
    <w:rsid w:val="003161F1"/>
    <w:rsid w:val="00316474"/>
    <w:rsid w:val="003178D1"/>
    <w:rsid w:val="003219EF"/>
    <w:rsid w:val="00322107"/>
    <w:rsid w:val="00322355"/>
    <w:rsid w:val="0032248A"/>
    <w:rsid w:val="00322846"/>
    <w:rsid w:val="00322F87"/>
    <w:rsid w:val="00324E93"/>
    <w:rsid w:val="00325A34"/>
    <w:rsid w:val="003264EC"/>
    <w:rsid w:val="00326DA7"/>
    <w:rsid w:val="00326EC1"/>
    <w:rsid w:val="00327035"/>
    <w:rsid w:val="003270E4"/>
    <w:rsid w:val="00327E49"/>
    <w:rsid w:val="00330DAA"/>
    <w:rsid w:val="00330F5C"/>
    <w:rsid w:val="00331DCD"/>
    <w:rsid w:val="003323F3"/>
    <w:rsid w:val="00332B35"/>
    <w:rsid w:val="00334CE0"/>
    <w:rsid w:val="003363C3"/>
    <w:rsid w:val="003366C9"/>
    <w:rsid w:val="003371B0"/>
    <w:rsid w:val="00337676"/>
    <w:rsid w:val="00340DF1"/>
    <w:rsid w:val="00343515"/>
    <w:rsid w:val="00345466"/>
    <w:rsid w:val="00347D55"/>
    <w:rsid w:val="0035019A"/>
    <w:rsid w:val="0035112F"/>
    <w:rsid w:val="003513FF"/>
    <w:rsid w:val="003517F9"/>
    <w:rsid w:val="00351BA9"/>
    <w:rsid w:val="00352E2D"/>
    <w:rsid w:val="00353B97"/>
    <w:rsid w:val="0035457C"/>
    <w:rsid w:val="00354C3F"/>
    <w:rsid w:val="00354F64"/>
    <w:rsid w:val="00355DAF"/>
    <w:rsid w:val="0035620E"/>
    <w:rsid w:val="003575BE"/>
    <w:rsid w:val="00360345"/>
    <w:rsid w:val="00360E51"/>
    <w:rsid w:val="00361A05"/>
    <w:rsid w:val="003624C4"/>
    <w:rsid w:val="00362A96"/>
    <w:rsid w:val="00362ABE"/>
    <w:rsid w:val="003638A6"/>
    <w:rsid w:val="00363B00"/>
    <w:rsid w:val="003643D5"/>
    <w:rsid w:val="003654AC"/>
    <w:rsid w:val="003666FF"/>
    <w:rsid w:val="00366F97"/>
    <w:rsid w:val="00367F03"/>
    <w:rsid w:val="00370033"/>
    <w:rsid w:val="003710CF"/>
    <w:rsid w:val="003730E8"/>
    <w:rsid w:val="0037358A"/>
    <w:rsid w:val="003750F6"/>
    <w:rsid w:val="003760FC"/>
    <w:rsid w:val="00376BB9"/>
    <w:rsid w:val="00377298"/>
    <w:rsid w:val="00377804"/>
    <w:rsid w:val="003826BF"/>
    <w:rsid w:val="0038365C"/>
    <w:rsid w:val="0038369B"/>
    <w:rsid w:val="0038397A"/>
    <w:rsid w:val="00383B78"/>
    <w:rsid w:val="00384A34"/>
    <w:rsid w:val="00385A9D"/>
    <w:rsid w:val="00386527"/>
    <w:rsid w:val="003866AB"/>
    <w:rsid w:val="00387121"/>
    <w:rsid w:val="003902B1"/>
    <w:rsid w:val="0039065D"/>
    <w:rsid w:val="0039179C"/>
    <w:rsid w:val="003945B8"/>
    <w:rsid w:val="003947BF"/>
    <w:rsid w:val="0039585D"/>
    <w:rsid w:val="00396896"/>
    <w:rsid w:val="00396FD0"/>
    <w:rsid w:val="003A1A7A"/>
    <w:rsid w:val="003A2392"/>
    <w:rsid w:val="003A244C"/>
    <w:rsid w:val="003A2831"/>
    <w:rsid w:val="003A2BB6"/>
    <w:rsid w:val="003A3CB6"/>
    <w:rsid w:val="003A3ED1"/>
    <w:rsid w:val="003A44DB"/>
    <w:rsid w:val="003A4C14"/>
    <w:rsid w:val="003A6707"/>
    <w:rsid w:val="003B04E0"/>
    <w:rsid w:val="003B119B"/>
    <w:rsid w:val="003B35ED"/>
    <w:rsid w:val="003B3971"/>
    <w:rsid w:val="003B55D1"/>
    <w:rsid w:val="003B5B61"/>
    <w:rsid w:val="003C1654"/>
    <w:rsid w:val="003C1B93"/>
    <w:rsid w:val="003C4C57"/>
    <w:rsid w:val="003C4EF9"/>
    <w:rsid w:val="003C5542"/>
    <w:rsid w:val="003C60B3"/>
    <w:rsid w:val="003C6EAF"/>
    <w:rsid w:val="003C7C15"/>
    <w:rsid w:val="003C7D19"/>
    <w:rsid w:val="003C7D2F"/>
    <w:rsid w:val="003D078E"/>
    <w:rsid w:val="003D0C5A"/>
    <w:rsid w:val="003D1828"/>
    <w:rsid w:val="003D1DE4"/>
    <w:rsid w:val="003D1E9A"/>
    <w:rsid w:val="003D2422"/>
    <w:rsid w:val="003D2A99"/>
    <w:rsid w:val="003D39A1"/>
    <w:rsid w:val="003D3FBF"/>
    <w:rsid w:val="003D4A30"/>
    <w:rsid w:val="003D7452"/>
    <w:rsid w:val="003D79BB"/>
    <w:rsid w:val="003D7C98"/>
    <w:rsid w:val="003D7D9D"/>
    <w:rsid w:val="003E0246"/>
    <w:rsid w:val="003E0543"/>
    <w:rsid w:val="003E2D23"/>
    <w:rsid w:val="003E3A5A"/>
    <w:rsid w:val="003E3B3E"/>
    <w:rsid w:val="003E48BA"/>
    <w:rsid w:val="003E4D6C"/>
    <w:rsid w:val="003E5603"/>
    <w:rsid w:val="003E5A13"/>
    <w:rsid w:val="003E6F30"/>
    <w:rsid w:val="003E749E"/>
    <w:rsid w:val="003E7C75"/>
    <w:rsid w:val="003F0731"/>
    <w:rsid w:val="003F1BB7"/>
    <w:rsid w:val="003F36B3"/>
    <w:rsid w:val="003F4156"/>
    <w:rsid w:val="003F5ADF"/>
    <w:rsid w:val="003F5D25"/>
    <w:rsid w:val="003F6C52"/>
    <w:rsid w:val="003F6CE7"/>
    <w:rsid w:val="003F79E4"/>
    <w:rsid w:val="00400B29"/>
    <w:rsid w:val="004010A3"/>
    <w:rsid w:val="00401815"/>
    <w:rsid w:val="00402812"/>
    <w:rsid w:val="00404045"/>
    <w:rsid w:val="0040504B"/>
    <w:rsid w:val="004059F4"/>
    <w:rsid w:val="004078FE"/>
    <w:rsid w:val="00407FE5"/>
    <w:rsid w:val="004101B0"/>
    <w:rsid w:val="00410326"/>
    <w:rsid w:val="00410708"/>
    <w:rsid w:val="00410EC7"/>
    <w:rsid w:val="00411B39"/>
    <w:rsid w:val="004127A7"/>
    <w:rsid w:val="00413A1E"/>
    <w:rsid w:val="004143B9"/>
    <w:rsid w:val="00414476"/>
    <w:rsid w:val="00414C2E"/>
    <w:rsid w:val="00414D0C"/>
    <w:rsid w:val="00414D22"/>
    <w:rsid w:val="004151CF"/>
    <w:rsid w:val="0041525D"/>
    <w:rsid w:val="00415F82"/>
    <w:rsid w:val="00416364"/>
    <w:rsid w:val="0042047F"/>
    <w:rsid w:val="00420AA6"/>
    <w:rsid w:val="00420B9F"/>
    <w:rsid w:val="004212A4"/>
    <w:rsid w:val="0042163B"/>
    <w:rsid w:val="0042192C"/>
    <w:rsid w:val="00422260"/>
    <w:rsid w:val="0042289B"/>
    <w:rsid w:val="00422AE4"/>
    <w:rsid w:val="00423B50"/>
    <w:rsid w:val="0042413F"/>
    <w:rsid w:val="00427628"/>
    <w:rsid w:val="004319F8"/>
    <w:rsid w:val="00431BA5"/>
    <w:rsid w:val="00431BAD"/>
    <w:rsid w:val="00431E55"/>
    <w:rsid w:val="004321F6"/>
    <w:rsid w:val="00433044"/>
    <w:rsid w:val="0043339D"/>
    <w:rsid w:val="00433F3B"/>
    <w:rsid w:val="00434088"/>
    <w:rsid w:val="004342D7"/>
    <w:rsid w:val="00436846"/>
    <w:rsid w:val="004375B9"/>
    <w:rsid w:val="004375E9"/>
    <w:rsid w:val="00440D89"/>
    <w:rsid w:val="004418F5"/>
    <w:rsid w:val="00442520"/>
    <w:rsid w:val="004428D0"/>
    <w:rsid w:val="00442EED"/>
    <w:rsid w:val="00444185"/>
    <w:rsid w:val="004443A7"/>
    <w:rsid w:val="0044442C"/>
    <w:rsid w:val="00444C60"/>
    <w:rsid w:val="00445941"/>
    <w:rsid w:val="004464EB"/>
    <w:rsid w:val="0044710B"/>
    <w:rsid w:val="00447D26"/>
    <w:rsid w:val="00447DFC"/>
    <w:rsid w:val="004502B6"/>
    <w:rsid w:val="00451EDD"/>
    <w:rsid w:val="004523CF"/>
    <w:rsid w:val="00452649"/>
    <w:rsid w:val="00453A6A"/>
    <w:rsid w:val="00453E31"/>
    <w:rsid w:val="00453EAA"/>
    <w:rsid w:val="00455D45"/>
    <w:rsid w:val="00461E09"/>
    <w:rsid w:val="00462402"/>
    <w:rsid w:val="004626D1"/>
    <w:rsid w:val="004629B2"/>
    <w:rsid w:val="00463A1F"/>
    <w:rsid w:val="00464595"/>
    <w:rsid w:val="004658B5"/>
    <w:rsid w:val="00466D6A"/>
    <w:rsid w:val="00467067"/>
    <w:rsid w:val="004704D2"/>
    <w:rsid w:val="0047058D"/>
    <w:rsid w:val="00470D28"/>
    <w:rsid w:val="00471B6E"/>
    <w:rsid w:val="00471EA5"/>
    <w:rsid w:val="00472104"/>
    <w:rsid w:val="00472431"/>
    <w:rsid w:val="00472A79"/>
    <w:rsid w:val="00473F19"/>
    <w:rsid w:val="00473F9C"/>
    <w:rsid w:val="00475E22"/>
    <w:rsid w:val="004765B5"/>
    <w:rsid w:val="00477BC4"/>
    <w:rsid w:val="0048088E"/>
    <w:rsid w:val="00480F2B"/>
    <w:rsid w:val="00482720"/>
    <w:rsid w:val="004835E7"/>
    <w:rsid w:val="00483890"/>
    <w:rsid w:val="00484215"/>
    <w:rsid w:val="00484CD5"/>
    <w:rsid w:val="004854C8"/>
    <w:rsid w:val="004859E1"/>
    <w:rsid w:val="004867E2"/>
    <w:rsid w:val="00490B17"/>
    <w:rsid w:val="00491621"/>
    <w:rsid w:val="00491B3A"/>
    <w:rsid w:val="00492242"/>
    <w:rsid w:val="00492CFD"/>
    <w:rsid w:val="00493CF9"/>
    <w:rsid w:val="00494207"/>
    <w:rsid w:val="004942D0"/>
    <w:rsid w:val="00494DD5"/>
    <w:rsid w:val="004962D2"/>
    <w:rsid w:val="004967F6"/>
    <w:rsid w:val="00496D89"/>
    <w:rsid w:val="00496E61"/>
    <w:rsid w:val="004A0DA1"/>
    <w:rsid w:val="004A13D6"/>
    <w:rsid w:val="004A2810"/>
    <w:rsid w:val="004A3D96"/>
    <w:rsid w:val="004A4FE5"/>
    <w:rsid w:val="004A52E9"/>
    <w:rsid w:val="004A54A0"/>
    <w:rsid w:val="004A594A"/>
    <w:rsid w:val="004A6040"/>
    <w:rsid w:val="004A60A0"/>
    <w:rsid w:val="004A6597"/>
    <w:rsid w:val="004A7848"/>
    <w:rsid w:val="004A793B"/>
    <w:rsid w:val="004B1330"/>
    <w:rsid w:val="004B1CB4"/>
    <w:rsid w:val="004B276B"/>
    <w:rsid w:val="004B2F18"/>
    <w:rsid w:val="004B3DDB"/>
    <w:rsid w:val="004B44FD"/>
    <w:rsid w:val="004B4721"/>
    <w:rsid w:val="004B4A7D"/>
    <w:rsid w:val="004B5CFC"/>
    <w:rsid w:val="004B6385"/>
    <w:rsid w:val="004B64FC"/>
    <w:rsid w:val="004B6F79"/>
    <w:rsid w:val="004B6FE2"/>
    <w:rsid w:val="004B774D"/>
    <w:rsid w:val="004C12B5"/>
    <w:rsid w:val="004C2AC2"/>
    <w:rsid w:val="004C4197"/>
    <w:rsid w:val="004C4AED"/>
    <w:rsid w:val="004C5EB2"/>
    <w:rsid w:val="004C60AE"/>
    <w:rsid w:val="004C64A3"/>
    <w:rsid w:val="004C7147"/>
    <w:rsid w:val="004D0030"/>
    <w:rsid w:val="004D0E5F"/>
    <w:rsid w:val="004D2BAE"/>
    <w:rsid w:val="004D2C2D"/>
    <w:rsid w:val="004D2DE5"/>
    <w:rsid w:val="004D31B7"/>
    <w:rsid w:val="004D3E7F"/>
    <w:rsid w:val="004D52F4"/>
    <w:rsid w:val="004D69B5"/>
    <w:rsid w:val="004D7227"/>
    <w:rsid w:val="004D7B5E"/>
    <w:rsid w:val="004E0E7F"/>
    <w:rsid w:val="004E0EB8"/>
    <w:rsid w:val="004E18E9"/>
    <w:rsid w:val="004E1A4D"/>
    <w:rsid w:val="004E1FF8"/>
    <w:rsid w:val="004E238A"/>
    <w:rsid w:val="004E2ADC"/>
    <w:rsid w:val="004E38C6"/>
    <w:rsid w:val="004E43B2"/>
    <w:rsid w:val="004E4977"/>
    <w:rsid w:val="004E4E5B"/>
    <w:rsid w:val="004E6179"/>
    <w:rsid w:val="004F1D02"/>
    <w:rsid w:val="004F2679"/>
    <w:rsid w:val="004F2EE9"/>
    <w:rsid w:val="004F2F21"/>
    <w:rsid w:val="004F3C60"/>
    <w:rsid w:val="004F3DE5"/>
    <w:rsid w:val="004F452D"/>
    <w:rsid w:val="004F48E2"/>
    <w:rsid w:val="004F6479"/>
    <w:rsid w:val="004F6913"/>
    <w:rsid w:val="004F7504"/>
    <w:rsid w:val="004F7865"/>
    <w:rsid w:val="004F7D5E"/>
    <w:rsid w:val="0050072C"/>
    <w:rsid w:val="00500DFE"/>
    <w:rsid w:val="0050174E"/>
    <w:rsid w:val="00501854"/>
    <w:rsid w:val="0050191F"/>
    <w:rsid w:val="0050219B"/>
    <w:rsid w:val="00502574"/>
    <w:rsid w:val="00502DB3"/>
    <w:rsid w:val="005039F5"/>
    <w:rsid w:val="00503F17"/>
    <w:rsid w:val="00503F3A"/>
    <w:rsid w:val="00503FAD"/>
    <w:rsid w:val="00504313"/>
    <w:rsid w:val="0050456C"/>
    <w:rsid w:val="00505A76"/>
    <w:rsid w:val="00506928"/>
    <w:rsid w:val="005077EF"/>
    <w:rsid w:val="00511AD5"/>
    <w:rsid w:val="00511DC7"/>
    <w:rsid w:val="005142C5"/>
    <w:rsid w:val="0051501B"/>
    <w:rsid w:val="00515244"/>
    <w:rsid w:val="005152B5"/>
    <w:rsid w:val="00515886"/>
    <w:rsid w:val="005164EC"/>
    <w:rsid w:val="00517298"/>
    <w:rsid w:val="00520194"/>
    <w:rsid w:val="0052123C"/>
    <w:rsid w:val="00521319"/>
    <w:rsid w:val="005225AD"/>
    <w:rsid w:val="00522BC8"/>
    <w:rsid w:val="00523024"/>
    <w:rsid w:val="00523C28"/>
    <w:rsid w:val="00524347"/>
    <w:rsid w:val="00525EB9"/>
    <w:rsid w:val="0052645A"/>
    <w:rsid w:val="00527381"/>
    <w:rsid w:val="005274F9"/>
    <w:rsid w:val="0053057B"/>
    <w:rsid w:val="00531426"/>
    <w:rsid w:val="0053176B"/>
    <w:rsid w:val="005341B3"/>
    <w:rsid w:val="00535972"/>
    <w:rsid w:val="00535D2A"/>
    <w:rsid w:val="00536F42"/>
    <w:rsid w:val="00537182"/>
    <w:rsid w:val="00537A12"/>
    <w:rsid w:val="00541EDD"/>
    <w:rsid w:val="00542743"/>
    <w:rsid w:val="0054283B"/>
    <w:rsid w:val="00542ACC"/>
    <w:rsid w:val="00542C2D"/>
    <w:rsid w:val="00542CE4"/>
    <w:rsid w:val="00546A3F"/>
    <w:rsid w:val="00546ABC"/>
    <w:rsid w:val="005478BD"/>
    <w:rsid w:val="005479E3"/>
    <w:rsid w:val="005503DB"/>
    <w:rsid w:val="0055084B"/>
    <w:rsid w:val="00551985"/>
    <w:rsid w:val="00552BD3"/>
    <w:rsid w:val="005532A0"/>
    <w:rsid w:val="005538BC"/>
    <w:rsid w:val="00553BAF"/>
    <w:rsid w:val="005542D6"/>
    <w:rsid w:val="00554FCA"/>
    <w:rsid w:val="00555109"/>
    <w:rsid w:val="00556B35"/>
    <w:rsid w:val="00556F4D"/>
    <w:rsid w:val="0055741A"/>
    <w:rsid w:val="00557DB0"/>
    <w:rsid w:val="005611B7"/>
    <w:rsid w:val="005618D4"/>
    <w:rsid w:val="00561C82"/>
    <w:rsid w:val="00564867"/>
    <w:rsid w:val="00564DAF"/>
    <w:rsid w:val="00565B65"/>
    <w:rsid w:val="00565C79"/>
    <w:rsid w:val="00565DF0"/>
    <w:rsid w:val="0056612B"/>
    <w:rsid w:val="0056655E"/>
    <w:rsid w:val="0056696F"/>
    <w:rsid w:val="00570494"/>
    <w:rsid w:val="00570CBD"/>
    <w:rsid w:val="00572269"/>
    <w:rsid w:val="0057244A"/>
    <w:rsid w:val="00572F26"/>
    <w:rsid w:val="005737F4"/>
    <w:rsid w:val="005750C5"/>
    <w:rsid w:val="005752DE"/>
    <w:rsid w:val="00575AA1"/>
    <w:rsid w:val="00575D60"/>
    <w:rsid w:val="00575D8D"/>
    <w:rsid w:val="00575D92"/>
    <w:rsid w:val="00576972"/>
    <w:rsid w:val="00577248"/>
    <w:rsid w:val="00577503"/>
    <w:rsid w:val="005816D7"/>
    <w:rsid w:val="00581C18"/>
    <w:rsid w:val="00581E17"/>
    <w:rsid w:val="005822C6"/>
    <w:rsid w:val="0058327B"/>
    <w:rsid w:val="00583368"/>
    <w:rsid w:val="00583699"/>
    <w:rsid w:val="0058427D"/>
    <w:rsid w:val="0058464C"/>
    <w:rsid w:val="00585CDD"/>
    <w:rsid w:val="00586BC0"/>
    <w:rsid w:val="00587058"/>
    <w:rsid w:val="00590080"/>
    <w:rsid w:val="005901C4"/>
    <w:rsid w:val="0059128C"/>
    <w:rsid w:val="0059137D"/>
    <w:rsid w:val="00591957"/>
    <w:rsid w:val="00591DBC"/>
    <w:rsid w:val="00592754"/>
    <w:rsid w:val="005944F3"/>
    <w:rsid w:val="00597AB3"/>
    <w:rsid w:val="00597BF9"/>
    <w:rsid w:val="005A0C11"/>
    <w:rsid w:val="005A1FD9"/>
    <w:rsid w:val="005A309A"/>
    <w:rsid w:val="005A373D"/>
    <w:rsid w:val="005A5ADD"/>
    <w:rsid w:val="005A6F8B"/>
    <w:rsid w:val="005B0810"/>
    <w:rsid w:val="005B0B58"/>
    <w:rsid w:val="005B0E4A"/>
    <w:rsid w:val="005B1A66"/>
    <w:rsid w:val="005B2A15"/>
    <w:rsid w:val="005B3ECF"/>
    <w:rsid w:val="005B44A7"/>
    <w:rsid w:val="005B4E53"/>
    <w:rsid w:val="005B5857"/>
    <w:rsid w:val="005B5B64"/>
    <w:rsid w:val="005C0875"/>
    <w:rsid w:val="005C158F"/>
    <w:rsid w:val="005C1891"/>
    <w:rsid w:val="005C19C4"/>
    <w:rsid w:val="005C1B83"/>
    <w:rsid w:val="005C25FF"/>
    <w:rsid w:val="005C2D55"/>
    <w:rsid w:val="005C346B"/>
    <w:rsid w:val="005C3E83"/>
    <w:rsid w:val="005C5ABC"/>
    <w:rsid w:val="005C6A98"/>
    <w:rsid w:val="005D044D"/>
    <w:rsid w:val="005D0ABD"/>
    <w:rsid w:val="005D0E6C"/>
    <w:rsid w:val="005D18AD"/>
    <w:rsid w:val="005D1AA5"/>
    <w:rsid w:val="005D26B4"/>
    <w:rsid w:val="005D27F9"/>
    <w:rsid w:val="005D2B87"/>
    <w:rsid w:val="005D5677"/>
    <w:rsid w:val="005D642F"/>
    <w:rsid w:val="005D6584"/>
    <w:rsid w:val="005D7784"/>
    <w:rsid w:val="005E01FF"/>
    <w:rsid w:val="005E1995"/>
    <w:rsid w:val="005E2230"/>
    <w:rsid w:val="005E2985"/>
    <w:rsid w:val="005E3CAD"/>
    <w:rsid w:val="005E45E8"/>
    <w:rsid w:val="005E4FB5"/>
    <w:rsid w:val="005E5143"/>
    <w:rsid w:val="005E5FFB"/>
    <w:rsid w:val="005E6B55"/>
    <w:rsid w:val="005E6CBC"/>
    <w:rsid w:val="005E72FF"/>
    <w:rsid w:val="005E73C0"/>
    <w:rsid w:val="005F07ED"/>
    <w:rsid w:val="005F0EB7"/>
    <w:rsid w:val="005F2706"/>
    <w:rsid w:val="005F3958"/>
    <w:rsid w:val="005F47DD"/>
    <w:rsid w:val="005F5C6E"/>
    <w:rsid w:val="005F6A8F"/>
    <w:rsid w:val="005F6BB7"/>
    <w:rsid w:val="005F6CA4"/>
    <w:rsid w:val="005F6D53"/>
    <w:rsid w:val="005F7588"/>
    <w:rsid w:val="0060078F"/>
    <w:rsid w:val="00600ACE"/>
    <w:rsid w:val="006026AF"/>
    <w:rsid w:val="00603DB9"/>
    <w:rsid w:val="00604068"/>
    <w:rsid w:val="00606FBA"/>
    <w:rsid w:val="00607669"/>
    <w:rsid w:val="006076F4"/>
    <w:rsid w:val="00607AFD"/>
    <w:rsid w:val="006106F1"/>
    <w:rsid w:val="00611B12"/>
    <w:rsid w:val="0061265D"/>
    <w:rsid w:val="00612F97"/>
    <w:rsid w:val="0061345D"/>
    <w:rsid w:val="006142AF"/>
    <w:rsid w:val="0061549B"/>
    <w:rsid w:val="00616802"/>
    <w:rsid w:val="00617E12"/>
    <w:rsid w:val="006204D0"/>
    <w:rsid w:val="00620C25"/>
    <w:rsid w:val="00621477"/>
    <w:rsid w:val="00621ADA"/>
    <w:rsid w:val="00622802"/>
    <w:rsid w:val="0062301E"/>
    <w:rsid w:val="00623451"/>
    <w:rsid w:val="00623F7B"/>
    <w:rsid w:val="00624AA5"/>
    <w:rsid w:val="00624BD4"/>
    <w:rsid w:val="0062572F"/>
    <w:rsid w:val="006311AF"/>
    <w:rsid w:val="0063158F"/>
    <w:rsid w:val="00631C34"/>
    <w:rsid w:val="00631D6B"/>
    <w:rsid w:val="00632183"/>
    <w:rsid w:val="006330A1"/>
    <w:rsid w:val="0063351C"/>
    <w:rsid w:val="0063477F"/>
    <w:rsid w:val="0063479F"/>
    <w:rsid w:val="00634CC0"/>
    <w:rsid w:val="006353F0"/>
    <w:rsid w:val="006357B5"/>
    <w:rsid w:val="006364A1"/>
    <w:rsid w:val="0063678E"/>
    <w:rsid w:val="00636CA9"/>
    <w:rsid w:val="006374CF"/>
    <w:rsid w:val="006377B3"/>
    <w:rsid w:val="00637BFD"/>
    <w:rsid w:val="00637C5C"/>
    <w:rsid w:val="00640F71"/>
    <w:rsid w:val="00641598"/>
    <w:rsid w:val="00641C4E"/>
    <w:rsid w:val="00641FB3"/>
    <w:rsid w:val="00643428"/>
    <w:rsid w:val="0064434C"/>
    <w:rsid w:val="006471CC"/>
    <w:rsid w:val="006472FE"/>
    <w:rsid w:val="00647A29"/>
    <w:rsid w:val="0065079F"/>
    <w:rsid w:val="00650A70"/>
    <w:rsid w:val="00652A28"/>
    <w:rsid w:val="00652F5F"/>
    <w:rsid w:val="0065379F"/>
    <w:rsid w:val="00653A12"/>
    <w:rsid w:val="0065455A"/>
    <w:rsid w:val="00654FDD"/>
    <w:rsid w:val="00655A62"/>
    <w:rsid w:val="00656188"/>
    <w:rsid w:val="0065715A"/>
    <w:rsid w:val="0065739E"/>
    <w:rsid w:val="006606F4"/>
    <w:rsid w:val="006610F1"/>
    <w:rsid w:val="00661C6B"/>
    <w:rsid w:val="00662D3E"/>
    <w:rsid w:val="00662DE7"/>
    <w:rsid w:val="00666211"/>
    <w:rsid w:val="00666749"/>
    <w:rsid w:val="00667BE3"/>
    <w:rsid w:val="00671004"/>
    <w:rsid w:val="00672646"/>
    <w:rsid w:val="00672B10"/>
    <w:rsid w:val="00672BF9"/>
    <w:rsid w:val="00674E1C"/>
    <w:rsid w:val="00674E42"/>
    <w:rsid w:val="00676563"/>
    <w:rsid w:val="00680F5F"/>
    <w:rsid w:val="006813F8"/>
    <w:rsid w:val="00681DA9"/>
    <w:rsid w:val="00682112"/>
    <w:rsid w:val="00682BA6"/>
    <w:rsid w:val="0068307F"/>
    <w:rsid w:val="00683B7D"/>
    <w:rsid w:val="00684A5C"/>
    <w:rsid w:val="00686957"/>
    <w:rsid w:val="006872BA"/>
    <w:rsid w:val="00690795"/>
    <w:rsid w:val="00691648"/>
    <w:rsid w:val="006917D7"/>
    <w:rsid w:val="00691CF3"/>
    <w:rsid w:val="00691DEE"/>
    <w:rsid w:val="00692311"/>
    <w:rsid w:val="00692B15"/>
    <w:rsid w:val="006937C0"/>
    <w:rsid w:val="0069434C"/>
    <w:rsid w:val="00694F44"/>
    <w:rsid w:val="00696EF9"/>
    <w:rsid w:val="00696F51"/>
    <w:rsid w:val="006979A5"/>
    <w:rsid w:val="006A016F"/>
    <w:rsid w:val="006A0DF7"/>
    <w:rsid w:val="006A1588"/>
    <w:rsid w:val="006A4321"/>
    <w:rsid w:val="006A43D9"/>
    <w:rsid w:val="006A5564"/>
    <w:rsid w:val="006A6B99"/>
    <w:rsid w:val="006A7E5F"/>
    <w:rsid w:val="006B261B"/>
    <w:rsid w:val="006B28C3"/>
    <w:rsid w:val="006B2C90"/>
    <w:rsid w:val="006B35E6"/>
    <w:rsid w:val="006B36ED"/>
    <w:rsid w:val="006B465A"/>
    <w:rsid w:val="006B63BF"/>
    <w:rsid w:val="006B6CEA"/>
    <w:rsid w:val="006B6DD0"/>
    <w:rsid w:val="006C0399"/>
    <w:rsid w:val="006C0C79"/>
    <w:rsid w:val="006C11B9"/>
    <w:rsid w:val="006C20A5"/>
    <w:rsid w:val="006C2A8E"/>
    <w:rsid w:val="006C2C7B"/>
    <w:rsid w:val="006C3255"/>
    <w:rsid w:val="006C3F26"/>
    <w:rsid w:val="006C43A2"/>
    <w:rsid w:val="006C5DFB"/>
    <w:rsid w:val="006C6C46"/>
    <w:rsid w:val="006D0D17"/>
    <w:rsid w:val="006D39A0"/>
    <w:rsid w:val="006D3C01"/>
    <w:rsid w:val="006D3C7D"/>
    <w:rsid w:val="006D4659"/>
    <w:rsid w:val="006D5D5F"/>
    <w:rsid w:val="006D68FB"/>
    <w:rsid w:val="006E1EC8"/>
    <w:rsid w:val="006E20C6"/>
    <w:rsid w:val="006E2868"/>
    <w:rsid w:val="006E2980"/>
    <w:rsid w:val="006E3551"/>
    <w:rsid w:val="006E3783"/>
    <w:rsid w:val="006E5403"/>
    <w:rsid w:val="006E560B"/>
    <w:rsid w:val="006E5933"/>
    <w:rsid w:val="006E651B"/>
    <w:rsid w:val="006E6BBC"/>
    <w:rsid w:val="006E79E6"/>
    <w:rsid w:val="006F0233"/>
    <w:rsid w:val="006F0471"/>
    <w:rsid w:val="006F306C"/>
    <w:rsid w:val="006F3865"/>
    <w:rsid w:val="006F4C85"/>
    <w:rsid w:val="006F63A5"/>
    <w:rsid w:val="007007B0"/>
    <w:rsid w:val="0070142B"/>
    <w:rsid w:val="00701456"/>
    <w:rsid w:val="0070276E"/>
    <w:rsid w:val="00702F8F"/>
    <w:rsid w:val="00703D13"/>
    <w:rsid w:val="0070488C"/>
    <w:rsid w:val="00704AD2"/>
    <w:rsid w:val="007065F3"/>
    <w:rsid w:val="00706B3C"/>
    <w:rsid w:val="007079FC"/>
    <w:rsid w:val="00710182"/>
    <w:rsid w:val="00711A36"/>
    <w:rsid w:val="007125D3"/>
    <w:rsid w:val="00714C26"/>
    <w:rsid w:val="007151C3"/>
    <w:rsid w:val="0071529C"/>
    <w:rsid w:val="00716BA7"/>
    <w:rsid w:val="007170DA"/>
    <w:rsid w:val="007172AD"/>
    <w:rsid w:val="00717546"/>
    <w:rsid w:val="00717FB7"/>
    <w:rsid w:val="00720801"/>
    <w:rsid w:val="00722B1B"/>
    <w:rsid w:val="0072416F"/>
    <w:rsid w:val="00725913"/>
    <w:rsid w:val="0072598C"/>
    <w:rsid w:val="00726E03"/>
    <w:rsid w:val="00727341"/>
    <w:rsid w:val="00727C94"/>
    <w:rsid w:val="007301E2"/>
    <w:rsid w:val="00730309"/>
    <w:rsid w:val="00730876"/>
    <w:rsid w:val="00731B0A"/>
    <w:rsid w:val="00731EAE"/>
    <w:rsid w:val="00733073"/>
    <w:rsid w:val="0073405E"/>
    <w:rsid w:val="00734F94"/>
    <w:rsid w:val="00735033"/>
    <w:rsid w:val="00735083"/>
    <w:rsid w:val="00735328"/>
    <w:rsid w:val="007358A0"/>
    <w:rsid w:val="007360EA"/>
    <w:rsid w:val="0073685B"/>
    <w:rsid w:val="00740EFB"/>
    <w:rsid w:val="007430E9"/>
    <w:rsid w:val="0074317C"/>
    <w:rsid w:val="00743406"/>
    <w:rsid w:val="007449BF"/>
    <w:rsid w:val="007463FE"/>
    <w:rsid w:val="0074693F"/>
    <w:rsid w:val="00746BC0"/>
    <w:rsid w:val="00746CB6"/>
    <w:rsid w:val="007509AA"/>
    <w:rsid w:val="007510B4"/>
    <w:rsid w:val="0075192C"/>
    <w:rsid w:val="00751E74"/>
    <w:rsid w:val="00752142"/>
    <w:rsid w:val="007523F9"/>
    <w:rsid w:val="0075357E"/>
    <w:rsid w:val="00753B29"/>
    <w:rsid w:val="00753C45"/>
    <w:rsid w:val="00753FCB"/>
    <w:rsid w:val="007542FB"/>
    <w:rsid w:val="00754619"/>
    <w:rsid w:val="00754C99"/>
    <w:rsid w:val="00755AB4"/>
    <w:rsid w:val="00756F33"/>
    <w:rsid w:val="007572C0"/>
    <w:rsid w:val="007573E8"/>
    <w:rsid w:val="00760C4E"/>
    <w:rsid w:val="00760F9E"/>
    <w:rsid w:val="007616E6"/>
    <w:rsid w:val="00761709"/>
    <w:rsid w:val="00762495"/>
    <w:rsid w:val="007627BE"/>
    <w:rsid w:val="0076285B"/>
    <w:rsid w:val="00763603"/>
    <w:rsid w:val="00763F3D"/>
    <w:rsid w:val="0076466C"/>
    <w:rsid w:val="00764F03"/>
    <w:rsid w:val="00765A59"/>
    <w:rsid w:val="00765B1A"/>
    <w:rsid w:val="00765DC1"/>
    <w:rsid w:val="00767838"/>
    <w:rsid w:val="00772EA1"/>
    <w:rsid w:val="00773ABE"/>
    <w:rsid w:val="00773AF4"/>
    <w:rsid w:val="00773B6C"/>
    <w:rsid w:val="00776484"/>
    <w:rsid w:val="00777335"/>
    <w:rsid w:val="00777B5E"/>
    <w:rsid w:val="007813A7"/>
    <w:rsid w:val="007819D1"/>
    <w:rsid w:val="00782623"/>
    <w:rsid w:val="00783AA5"/>
    <w:rsid w:val="007843F2"/>
    <w:rsid w:val="007846FA"/>
    <w:rsid w:val="00785A9F"/>
    <w:rsid w:val="007925DF"/>
    <w:rsid w:val="0079500A"/>
    <w:rsid w:val="00795B6A"/>
    <w:rsid w:val="007970C3"/>
    <w:rsid w:val="007974B1"/>
    <w:rsid w:val="00797DA1"/>
    <w:rsid w:val="007A08AA"/>
    <w:rsid w:val="007A0A12"/>
    <w:rsid w:val="007A132D"/>
    <w:rsid w:val="007A1345"/>
    <w:rsid w:val="007A2135"/>
    <w:rsid w:val="007A2DDB"/>
    <w:rsid w:val="007A70BA"/>
    <w:rsid w:val="007A79F9"/>
    <w:rsid w:val="007B08A2"/>
    <w:rsid w:val="007B0C67"/>
    <w:rsid w:val="007B0D3C"/>
    <w:rsid w:val="007B0D68"/>
    <w:rsid w:val="007B251D"/>
    <w:rsid w:val="007B2BB9"/>
    <w:rsid w:val="007B3533"/>
    <w:rsid w:val="007B4F58"/>
    <w:rsid w:val="007B528D"/>
    <w:rsid w:val="007B570E"/>
    <w:rsid w:val="007B63CA"/>
    <w:rsid w:val="007B77D1"/>
    <w:rsid w:val="007C02A6"/>
    <w:rsid w:val="007C07C7"/>
    <w:rsid w:val="007C1CD9"/>
    <w:rsid w:val="007C21C0"/>
    <w:rsid w:val="007C2A56"/>
    <w:rsid w:val="007C32EF"/>
    <w:rsid w:val="007C361D"/>
    <w:rsid w:val="007C433D"/>
    <w:rsid w:val="007C4404"/>
    <w:rsid w:val="007C450D"/>
    <w:rsid w:val="007C4B84"/>
    <w:rsid w:val="007C607E"/>
    <w:rsid w:val="007C70FF"/>
    <w:rsid w:val="007C7C25"/>
    <w:rsid w:val="007D004F"/>
    <w:rsid w:val="007D035F"/>
    <w:rsid w:val="007D06B2"/>
    <w:rsid w:val="007D0B38"/>
    <w:rsid w:val="007D2204"/>
    <w:rsid w:val="007D29F4"/>
    <w:rsid w:val="007D49F6"/>
    <w:rsid w:val="007D5440"/>
    <w:rsid w:val="007D5E26"/>
    <w:rsid w:val="007D6522"/>
    <w:rsid w:val="007D69EB"/>
    <w:rsid w:val="007D74A1"/>
    <w:rsid w:val="007D7986"/>
    <w:rsid w:val="007D7C69"/>
    <w:rsid w:val="007E128F"/>
    <w:rsid w:val="007E1DF9"/>
    <w:rsid w:val="007E6088"/>
    <w:rsid w:val="007F0DF7"/>
    <w:rsid w:val="007F0F12"/>
    <w:rsid w:val="007F1017"/>
    <w:rsid w:val="007F1DFF"/>
    <w:rsid w:val="007F496F"/>
    <w:rsid w:val="007F4A3F"/>
    <w:rsid w:val="007F4A61"/>
    <w:rsid w:val="007F5152"/>
    <w:rsid w:val="007F5255"/>
    <w:rsid w:val="007F56CC"/>
    <w:rsid w:val="007F61C2"/>
    <w:rsid w:val="007F70EA"/>
    <w:rsid w:val="007F74EF"/>
    <w:rsid w:val="008017D8"/>
    <w:rsid w:val="008035C0"/>
    <w:rsid w:val="00805142"/>
    <w:rsid w:val="00805F9E"/>
    <w:rsid w:val="00805FCE"/>
    <w:rsid w:val="00806B22"/>
    <w:rsid w:val="00807A8B"/>
    <w:rsid w:val="00810CA3"/>
    <w:rsid w:val="00811004"/>
    <w:rsid w:val="00811383"/>
    <w:rsid w:val="00812149"/>
    <w:rsid w:val="00812CAC"/>
    <w:rsid w:val="008150EE"/>
    <w:rsid w:val="00815314"/>
    <w:rsid w:val="00816361"/>
    <w:rsid w:val="008166EF"/>
    <w:rsid w:val="00816FEF"/>
    <w:rsid w:val="00820A8C"/>
    <w:rsid w:val="00820EF8"/>
    <w:rsid w:val="008215FB"/>
    <w:rsid w:val="00821C17"/>
    <w:rsid w:val="008220CC"/>
    <w:rsid w:val="0082225C"/>
    <w:rsid w:val="0082235D"/>
    <w:rsid w:val="00823174"/>
    <w:rsid w:val="00823B8F"/>
    <w:rsid w:val="0082400A"/>
    <w:rsid w:val="00824EF0"/>
    <w:rsid w:val="00824FF7"/>
    <w:rsid w:val="00825751"/>
    <w:rsid w:val="008264EB"/>
    <w:rsid w:val="008268CE"/>
    <w:rsid w:val="00826B2F"/>
    <w:rsid w:val="00827C23"/>
    <w:rsid w:val="00830829"/>
    <w:rsid w:val="008325BA"/>
    <w:rsid w:val="00833B05"/>
    <w:rsid w:val="0083528B"/>
    <w:rsid w:val="008362B4"/>
    <w:rsid w:val="0084021C"/>
    <w:rsid w:val="00840CA2"/>
    <w:rsid w:val="0084133A"/>
    <w:rsid w:val="00842FCF"/>
    <w:rsid w:val="0084374F"/>
    <w:rsid w:val="00844242"/>
    <w:rsid w:val="00844600"/>
    <w:rsid w:val="00844A22"/>
    <w:rsid w:val="00844E4C"/>
    <w:rsid w:val="00847703"/>
    <w:rsid w:val="00847DF5"/>
    <w:rsid w:val="00850F53"/>
    <w:rsid w:val="00850F81"/>
    <w:rsid w:val="00851B81"/>
    <w:rsid w:val="0085309D"/>
    <w:rsid w:val="008534D2"/>
    <w:rsid w:val="008541C1"/>
    <w:rsid w:val="008544C2"/>
    <w:rsid w:val="008556CE"/>
    <w:rsid w:val="008560D8"/>
    <w:rsid w:val="00856897"/>
    <w:rsid w:val="00856E9A"/>
    <w:rsid w:val="00860453"/>
    <w:rsid w:val="0086075D"/>
    <w:rsid w:val="00862502"/>
    <w:rsid w:val="00862CC1"/>
    <w:rsid w:val="008642A7"/>
    <w:rsid w:val="008660D4"/>
    <w:rsid w:val="00867549"/>
    <w:rsid w:val="00867B3F"/>
    <w:rsid w:val="00870E40"/>
    <w:rsid w:val="0087101A"/>
    <w:rsid w:val="00871FA9"/>
    <w:rsid w:val="008728E9"/>
    <w:rsid w:val="008728FB"/>
    <w:rsid w:val="00873817"/>
    <w:rsid w:val="00873D41"/>
    <w:rsid w:val="0088042C"/>
    <w:rsid w:val="00882516"/>
    <w:rsid w:val="00882874"/>
    <w:rsid w:val="00882E3C"/>
    <w:rsid w:val="0088308A"/>
    <w:rsid w:val="00883787"/>
    <w:rsid w:val="008839C4"/>
    <w:rsid w:val="0088462F"/>
    <w:rsid w:val="00885493"/>
    <w:rsid w:val="008855E4"/>
    <w:rsid w:val="00886CD2"/>
    <w:rsid w:val="008870DC"/>
    <w:rsid w:val="00887806"/>
    <w:rsid w:val="00891E6F"/>
    <w:rsid w:val="0089228F"/>
    <w:rsid w:val="0089275D"/>
    <w:rsid w:val="00892A36"/>
    <w:rsid w:val="00893239"/>
    <w:rsid w:val="008934EB"/>
    <w:rsid w:val="00893D4F"/>
    <w:rsid w:val="00894489"/>
    <w:rsid w:val="00894CD6"/>
    <w:rsid w:val="008963A5"/>
    <w:rsid w:val="00896D5D"/>
    <w:rsid w:val="00897A26"/>
    <w:rsid w:val="008A0CAE"/>
    <w:rsid w:val="008A1442"/>
    <w:rsid w:val="008A18E6"/>
    <w:rsid w:val="008A3158"/>
    <w:rsid w:val="008A3363"/>
    <w:rsid w:val="008A3371"/>
    <w:rsid w:val="008A3C3E"/>
    <w:rsid w:val="008A429D"/>
    <w:rsid w:val="008A4A8E"/>
    <w:rsid w:val="008A5258"/>
    <w:rsid w:val="008A5996"/>
    <w:rsid w:val="008A79DE"/>
    <w:rsid w:val="008B0422"/>
    <w:rsid w:val="008B0F05"/>
    <w:rsid w:val="008B1298"/>
    <w:rsid w:val="008B1757"/>
    <w:rsid w:val="008B1C33"/>
    <w:rsid w:val="008B2CC2"/>
    <w:rsid w:val="008B3052"/>
    <w:rsid w:val="008B4B6F"/>
    <w:rsid w:val="008B7992"/>
    <w:rsid w:val="008B7D7E"/>
    <w:rsid w:val="008C08BD"/>
    <w:rsid w:val="008C2180"/>
    <w:rsid w:val="008C2C16"/>
    <w:rsid w:val="008C511B"/>
    <w:rsid w:val="008C5394"/>
    <w:rsid w:val="008C5610"/>
    <w:rsid w:val="008C5739"/>
    <w:rsid w:val="008C5880"/>
    <w:rsid w:val="008C619C"/>
    <w:rsid w:val="008C6645"/>
    <w:rsid w:val="008C7282"/>
    <w:rsid w:val="008C7ECB"/>
    <w:rsid w:val="008D0033"/>
    <w:rsid w:val="008D0765"/>
    <w:rsid w:val="008D1A3D"/>
    <w:rsid w:val="008D3B86"/>
    <w:rsid w:val="008D43FD"/>
    <w:rsid w:val="008D4755"/>
    <w:rsid w:val="008D4C3D"/>
    <w:rsid w:val="008D65A1"/>
    <w:rsid w:val="008D743C"/>
    <w:rsid w:val="008E0D3C"/>
    <w:rsid w:val="008E1B9E"/>
    <w:rsid w:val="008E55AB"/>
    <w:rsid w:val="008E736D"/>
    <w:rsid w:val="008F120A"/>
    <w:rsid w:val="008F27D3"/>
    <w:rsid w:val="008F27E0"/>
    <w:rsid w:val="008F48EB"/>
    <w:rsid w:val="008F4F0B"/>
    <w:rsid w:val="008F5520"/>
    <w:rsid w:val="00901D82"/>
    <w:rsid w:val="00902B2C"/>
    <w:rsid w:val="00903F11"/>
    <w:rsid w:val="009046C4"/>
    <w:rsid w:val="00905555"/>
    <w:rsid w:val="009062A5"/>
    <w:rsid w:val="00906BB4"/>
    <w:rsid w:val="00907699"/>
    <w:rsid w:val="009109F6"/>
    <w:rsid w:val="00910FA7"/>
    <w:rsid w:val="00911272"/>
    <w:rsid w:val="00911339"/>
    <w:rsid w:val="00912F3C"/>
    <w:rsid w:val="009135D6"/>
    <w:rsid w:val="00913733"/>
    <w:rsid w:val="00914C77"/>
    <w:rsid w:val="009172A1"/>
    <w:rsid w:val="00921871"/>
    <w:rsid w:val="00921ACB"/>
    <w:rsid w:val="009223C3"/>
    <w:rsid w:val="00922C7B"/>
    <w:rsid w:val="0092369B"/>
    <w:rsid w:val="009273AB"/>
    <w:rsid w:val="00931B81"/>
    <w:rsid w:val="00931F0D"/>
    <w:rsid w:val="00932273"/>
    <w:rsid w:val="0093339F"/>
    <w:rsid w:val="00933ED5"/>
    <w:rsid w:val="00934988"/>
    <w:rsid w:val="00937089"/>
    <w:rsid w:val="00940F5F"/>
    <w:rsid w:val="009431B6"/>
    <w:rsid w:val="009449B1"/>
    <w:rsid w:val="00944F8A"/>
    <w:rsid w:val="009454C5"/>
    <w:rsid w:val="009456D1"/>
    <w:rsid w:val="009466EA"/>
    <w:rsid w:val="00950045"/>
    <w:rsid w:val="00950615"/>
    <w:rsid w:val="00950D7A"/>
    <w:rsid w:val="009510A2"/>
    <w:rsid w:val="009530E2"/>
    <w:rsid w:val="00953257"/>
    <w:rsid w:val="0095474C"/>
    <w:rsid w:val="00955DA0"/>
    <w:rsid w:val="00957527"/>
    <w:rsid w:val="00957D92"/>
    <w:rsid w:val="009600D3"/>
    <w:rsid w:val="009614C3"/>
    <w:rsid w:val="00962CB9"/>
    <w:rsid w:val="00962D11"/>
    <w:rsid w:val="00964312"/>
    <w:rsid w:val="00965911"/>
    <w:rsid w:val="00965B8A"/>
    <w:rsid w:val="00966A7A"/>
    <w:rsid w:val="009671F3"/>
    <w:rsid w:val="0097047F"/>
    <w:rsid w:val="0097071F"/>
    <w:rsid w:val="009717AC"/>
    <w:rsid w:val="00972CB6"/>
    <w:rsid w:val="009751C1"/>
    <w:rsid w:val="009811F1"/>
    <w:rsid w:val="009813F6"/>
    <w:rsid w:val="00982218"/>
    <w:rsid w:val="00982ADE"/>
    <w:rsid w:val="00983E57"/>
    <w:rsid w:val="00985DE2"/>
    <w:rsid w:val="0098675D"/>
    <w:rsid w:val="00986953"/>
    <w:rsid w:val="009872C1"/>
    <w:rsid w:val="0098746D"/>
    <w:rsid w:val="00987BA4"/>
    <w:rsid w:val="009905F8"/>
    <w:rsid w:val="00990741"/>
    <w:rsid w:val="00990D07"/>
    <w:rsid w:val="009920CA"/>
    <w:rsid w:val="009926E0"/>
    <w:rsid w:val="00993F4C"/>
    <w:rsid w:val="0099451E"/>
    <w:rsid w:val="00996B1A"/>
    <w:rsid w:val="009A1645"/>
    <w:rsid w:val="009A18AF"/>
    <w:rsid w:val="009A18F6"/>
    <w:rsid w:val="009A19A9"/>
    <w:rsid w:val="009A2DCC"/>
    <w:rsid w:val="009A511C"/>
    <w:rsid w:val="009A55AC"/>
    <w:rsid w:val="009A5ABC"/>
    <w:rsid w:val="009A5B6A"/>
    <w:rsid w:val="009A7931"/>
    <w:rsid w:val="009A7F10"/>
    <w:rsid w:val="009B06F7"/>
    <w:rsid w:val="009B1F4A"/>
    <w:rsid w:val="009B1FC5"/>
    <w:rsid w:val="009B3E26"/>
    <w:rsid w:val="009B6795"/>
    <w:rsid w:val="009C07A1"/>
    <w:rsid w:val="009C0F57"/>
    <w:rsid w:val="009C1271"/>
    <w:rsid w:val="009C1363"/>
    <w:rsid w:val="009C15FC"/>
    <w:rsid w:val="009C1CAF"/>
    <w:rsid w:val="009C3706"/>
    <w:rsid w:val="009C3A3A"/>
    <w:rsid w:val="009C517E"/>
    <w:rsid w:val="009C6048"/>
    <w:rsid w:val="009C630A"/>
    <w:rsid w:val="009C6CEA"/>
    <w:rsid w:val="009C7B85"/>
    <w:rsid w:val="009D0254"/>
    <w:rsid w:val="009D1A64"/>
    <w:rsid w:val="009D2829"/>
    <w:rsid w:val="009D2933"/>
    <w:rsid w:val="009D5B91"/>
    <w:rsid w:val="009D6241"/>
    <w:rsid w:val="009D792E"/>
    <w:rsid w:val="009E0DFE"/>
    <w:rsid w:val="009E116F"/>
    <w:rsid w:val="009E1D7D"/>
    <w:rsid w:val="009E31F6"/>
    <w:rsid w:val="009E4086"/>
    <w:rsid w:val="009E4C07"/>
    <w:rsid w:val="009E777F"/>
    <w:rsid w:val="009F0EE5"/>
    <w:rsid w:val="009F27FA"/>
    <w:rsid w:val="009F3B5F"/>
    <w:rsid w:val="009F6120"/>
    <w:rsid w:val="009F6AB9"/>
    <w:rsid w:val="00A00D76"/>
    <w:rsid w:val="00A01184"/>
    <w:rsid w:val="00A01449"/>
    <w:rsid w:val="00A01F58"/>
    <w:rsid w:val="00A037C2"/>
    <w:rsid w:val="00A03D43"/>
    <w:rsid w:val="00A04380"/>
    <w:rsid w:val="00A04786"/>
    <w:rsid w:val="00A05049"/>
    <w:rsid w:val="00A05472"/>
    <w:rsid w:val="00A05C32"/>
    <w:rsid w:val="00A05ECD"/>
    <w:rsid w:val="00A0653F"/>
    <w:rsid w:val="00A0676B"/>
    <w:rsid w:val="00A068E0"/>
    <w:rsid w:val="00A07316"/>
    <w:rsid w:val="00A07367"/>
    <w:rsid w:val="00A07878"/>
    <w:rsid w:val="00A10563"/>
    <w:rsid w:val="00A11CD0"/>
    <w:rsid w:val="00A13948"/>
    <w:rsid w:val="00A13EE8"/>
    <w:rsid w:val="00A14FE3"/>
    <w:rsid w:val="00A152CC"/>
    <w:rsid w:val="00A1555B"/>
    <w:rsid w:val="00A155C5"/>
    <w:rsid w:val="00A16AD8"/>
    <w:rsid w:val="00A17D47"/>
    <w:rsid w:val="00A2021E"/>
    <w:rsid w:val="00A21222"/>
    <w:rsid w:val="00A21C95"/>
    <w:rsid w:val="00A21CF3"/>
    <w:rsid w:val="00A24813"/>
    <w:rsid w:val="00A25469"/>
    <w:rsid w:val="00A267A3"/>
    <w:rsid w:val="00A267BE"/>
    <w:rsid w:val="00A27AEC"/>
    <w:rsid w:val="00A30403"/>
    <w:rsid w:val="00A305C9"/>
    <w:rsid w:val="00A320DB"/>
    <w:rsid w:val="00A336C5"/>
    <w:rsid w:val="00A35274"/>
    <w:rsid w:val="00A35D16"/>
    <w:rsid w:val="00A35ED7"/>
    <w:rsid w:val="00A35F16"/>
    <w:rsid w:val="00A367A3"/>
    <w:rsid w:val="00A37BCD"/>
    <w:rsid w:val="00A40958"/>
    <w:rsid w:val="00A41689"/>
    <w:rsid w:val="00A42592"/>
    <w:rsid w:val="00A43C59"/>
    <w:rsid w:val="00A43DA5"/>
    <w:rsid w:val="00A45F7C"/>
    <w:rsid w:val="00A4737A"/>
    <w:rsid w:val="00A5041D"/>
    <w:rsid w:val="00A50ECD"/>
    <w:rsid w:val="00A518F3"/>
    <w:rsid w:val="00A520AF"/>
    <w:rsid w:val="00A52729"/>
    <w:rsid w:val="00A53675"/>
    <w:rsid w:val="00A555E5"/>
    <w:rsid w:val="00A564D7"/>
    <w:rsid w:val="00A56B6A"/>
    <w:rsid w:val="00A578DC"/>
    <w:rsid w:val="00A61A5C"/>
    <w:rsid w:val="00A640E2"/>
    <w:rsid w:val="00A64D65"/>
    <w:rsid w:val="00A66238"/>
    <w:rsid w:val="00A6725B"/>
    <w:rsid w:val="00A70605"/>
    <w:rsid w:val="00A72ED0"/>
    <w:rsid w:val="00A72FF3"/>
    <w:rsid w:val="00A73134"/>
    <w:rsid w:val="00A7365A"/>
    <w:rsid w:val="00A7427B"/>
    <w:rsid w:val="00A75123"/>
    <w:rsid w:val="00A76001"/>
    <w:rsid w:val="00A777B2"/>
    <w:rsid w:val="00A8098F"/>
    <w:rsid w:val="00A825D4"/>
    <w:rsid w:val="00A828F6"/>
    <w:rsid w:val="00A82B73"/>
    <w:rsid w:val="00A8387B"/>
    <w:rsid w:val="00A841F1"/>
    <w:rsid w:val="00A84F62"/>
    <w:rsid w:val="00A86E8B"/>
    <w:rsid w:val="00A86EEC"/>
    <w:rsid w:val="00A87164"/>
    <w:rsid w:val="00A871A9"/>
    <w:rsid w:val="00A87C55"/>
    <w:rsid w:val="00A92384"/>
    <w:rsid w:val="00A93072"/>
    <w:rsid w:val="00A938BD"/>
    <w:rsid w:val="00A93953"/>
    <w:rsid w:val="00A959D8"/>
    <w:rsid w:val="00AA06C3"/>
    <w:rsid w:val="00AA113D"/>
    <w:rsid w:val="00AA192C"/>
    <w:rsid w:val="00AA27ED"/>
    <w:rsid w:val="00AA3997"/>
    <w:rsid w:val="00AA4A7F"/>
    <w:rsid w:val="00AA53E4"/>
    <w:rsid w:val="00AA61EA"/>
    <w:rsid w:val="00AA6BD5"/>
    <w:rsid w:val="00AA6BD8"/>
    <w:rsid w:val="00AA6C7D"/>
    <w:rsid w:val="00AA6F29"/>
    <w:rsid w:val="00AA74FC"/>
    <w:rsid w:val="00AA7FD6"/>
    <w:rsid w:val="00AB042A"/>
    <w:rsid w:val="00AB11AD"/>
    <w:rsid w:val="00AB19EF"/>
    <w:rsid w:val="00AB2495"/>
    <w:rsid w:val="00AB2D34"/>
    <w:rsid w:val="00AB3430"/>
    <w:rsid w:val="00AB37B9"/>
    <w:rsid w:val="00AB3A9A"/>
    <w:rsid w:val="00AB4AD1"/>
    <w:rsid w:val="00AB57C4"/>
    <w:rsid w:val="00AB5E07"/>
    <w:rsid w:val="00AB6A75"/>
    <w:rsid w:val="00AB70BB"/>
    <w:rsid w:val="00AB7AE0"/>
    <w:rsid w:val="00AB7CFA"/>
    <w:rsid w:val="00AC11FD"/>
    <w:rsid w:val="00AC51B7"/>
    <w:rsid w:val="00AC5B42"/>
    <w:rsid w:val="00AC5B48"/>
    <w:rsid w:val="00AD0378"/>
    <w:rsid w:val="00AD1450"/>
    <w:rsid w:val="00AD15E8"/>
    <w:rsid w:val="00AD25BD"/>
    <w:rsid w:val="00AD2D84"/>
    <w:rsid w:val="00AD356D"/>
    <w:rsid w:val="00AD5078"/>
    <w:rsid w:val="00AD6502"/>
    <w:rsid w:val="00AE0695"/>
    <w:rsid w:val="00AE3E7E"/>
    <w:rsid w:val="00AE5F4E"/>
    <w:rsid w:val="00AE7E53"/>
    <w:rsid w:val="00AF0B8C"/>
    <w:rsid w:val="00AF12DF"/>
    <w:rsid w:val="00AF1315"/>
    <w:rsid w:val="00AF19BF"/>
    <w:rsid w:val="00AF2DC3"/>
    <w:rsid w:val="00AF30D8"/>
    <w:rsid w:val="00AF310F"/>
    <w:rsid w:val="00AF49AA"/>
    <w:rsid w:val="00AF5780"/>
    <w:rsid w:val="00AF59D8"/>
    <w:rsid w:val="00AF59F2"/>
    <w:rsid w:val="00AF7AAA"/>
    <w:rsid w:val="00B0165A"/>
    <w:rsid w:val="00B02069"/>
    <w:rsid w:val="00B0271F"/>
    <w:rsid w:val="00B03332"/>
    <w:rsid w:val="00B033E5"/>
    <w:rsid w:val="00B03A63"/>
    <w:rsid w:val="00B11162"/>
    <w:rsid w:val="00B1161E"/>
    <w:rsid w:val="00B129A4"/>
    <w:rsid w:val="00B13736"/>
    <w:rsid w:val="00B15BA1"/>
    <w:rsid w:val="00B16913"/>
    <w:rsid w:val="00B16D1B"/>
    <w:rsid w:val="00B17FD3"/>
    <w:rsid w:val="00B201A4"/>
    <w:rsid w:val="00B201D1"/>
    <w:rsid w:val="00B213A6"/>
    <w:rsid w:val="00B22372"/>
    <w:rsid w:val="00B235B0"/>
    <w:rsid w:val="00B24DF6"/>
    <w:rsid w:val="00B2506D"/>
    <w:rsid w:val="00B27A61"/>
    <w:rsid w:val="00B324D5"/>
    <w:rsid w:val="00B336DD"/>
    <w:rsid w:val="00B33E8F"/>
    <w:rsid w:val="00B34FE2"/>
    <w:rsid w:val="00B35166"/>
    <w:rsid w:val="00B35336"/>
    <w:rsid w:val="00B357D8"/>
    <w:rsid w:val="00B360F4"/>
    <w:rsid w:val="00B36A00"/>
    <w:rsid w:val="00B36DDD"/>
    <w:rsid w:val="00B3792B"/>
    <w:rsid w:val="00B37BFC"/>
    <w:rsid w:val="00B37C4D"/>
    <w:rsid w:val="00B40358"/>
    <w:rsid w:val="00B4110A"/>
    <w:rsid w:val="00B41614"/>
    <w:rsid w:val="00B42851"/>
    <w:rsid w:val="00B42BBE"/>
    <w:rsid w:val="00B42CB5"/>
    <w:rsid w:val="00B42F80"/>
    <w:rsid w:val="00B435CB"/>
    <w:rsid w:val="00B45F0E"/>
    <w:rsid w:val="00B465EC"/>
    <w:rsid w:val="00B4660F"/>
    <w:rsid w:val="00B505C8"/>
    <w:rsid w:val="00B50DB8"/>
    <w:rsid w:val="00B51644"/>
    <w:rsid w:val="00B52932"/>
    <w:rsid w:val="00B53654"/>
    <w:rsid w:val="00B53905"/>
    <w:rsid w:val="00B5414B"/>
    <w:rsid w:val="00B546DB"/>
    <w:rsid w:val="00B546E8"/>
    <w:rsid w:val="00B54B5B"/>
    <w:rsid w:val="00B5562E"/>
    <w:rsid w:val="00B55862"/>
    <w:rsid w:val="00B55D65"/>
    <w:rsid w:val="00B56305"/>
    <w:rsid w:val="00B57000"/>
    <w:rsid w:val="00B57602"/>
    <w:rsid w:val="00B60050"/>
    <w:rsid w:val="00B608C7"/>
    <w:rsid w:val="00B60939"/>
    <w:rsid w:val="00B60AFD"/>
    <w:rsid w:val="00B62715"/>
    <w:rsid w:val="00B65611"/>
    <w:rsid w:val="00B65DA5"/>
    <w:rsid w:val="00B66BC6"/>
    <w:rsid w:val="00B70E8E"/>
    <w:rsid w:val="00B75BB9"/>
    <w:rsid w:val="00B769F9"/>
    <w:rsid w:val="00B76C92"/>
    <w:rsid w:val="00B800C5"/>
    <w:rsid w:val="00B80ACE"/>
    <w:rsid w:val="00B80DCC"/>
    <w:rsid w:val="00B80EFD"/>
    <w:rsid w:val="00B818A4"/>
    <w:rsid w:val="00B8328B"/>
    <w:rsid w:val="00B83739"/>
    <w:rsid w:val="00B84117"/>
    <w:rsid w:val="00B858F0"/>
    <w:rsid w:val="00B85AA2"/>
    <w:rsid w:val="00B8649C"/>
    <w:rsid w:val="00B8695D"/>
    <w:rsid w:val="00B87F0A"/>
    <w:rsid w:val="00B92D0B"/>
    <w:rsid w:val="00B93361"/>
    <w:rsid w:val="00B94945"/>
    <w:rsid w:val="00B94DD6"/>
    <w:rsid w:val="00B96C52"/>
    <w:rsid w:val="00B9766C"/>
    <w:rsid w:val="00BA1AC5"/>
    <w:rsid w:val="00BA25C0"/>
    <w:rsid w:val="00BA322D"/>
    <w:rsid w:val="00BA3672"/>
    <w:rsid w:val="00BA63FA"/>
    <w:rsid w:val="00BA6D48"/>
    <w:rsid w:val="00BA7133"/>
    <w:rsid w:val="00BB00B3"/>
    <w:rsid w:val="00BB0460"/>
    <w:rsid w:val="00BB0BDD"/>
    <w:rsid w:val="00BB176C"/>
    <w:rsid w:val="00BB1EA5"/>
    <w:rsid w:val="00BB2A73"/>
    <w:rsid w:val="00BB301B"/>
    <w:rsid w:val="00BB34FD"/>
    <w:rsid w:val="00BB3A45"/>
    <w:rsid w:val="00BB4ACC"/>
    <w:rsid w:val="00BB6451"/>
    <w:rsid w:val="00BB703E"/>
    <w:rsid w:val="00BB732D"/>
    <w:rsid w:val="00BB7405"/>
    <w:rsid w:val="00BB7EB6"/>
    <w:rsid w:val="00BC3631"/>
    <w:rsid w:val="00BC3FB5"/>
    <w:rsid w:val="00BC4CCC"/>
    <w:rsid w:val="00BC591F"/>
    <w:rsid w:val="00BC7D6D"/>
    <w:rsid w:val="00BD2108"/>
    <w:rsid w:val="00BD25A8"/>
    <w:rsid w:val="00BD2678"/>
    <w:rsid w:val="00BD2D74"/>
    <w:rsid w:val="00BD40D6"/>
    <w:rsid w:val="00BD49F1"/>
    <w:rsid w:val="00BD68A3"/>
    <w:rsid w:val="00BD6938"/>
    <w:rsid w:val="00BD6CF3"/>
    <w:rsid w:val="00BD7384"/>
    <w:rsid w:val="00BD7F72"/>
    <w:rsid w:val="00BE0ECA"/>
    <w:rsid w:val="00BE1578"/>
    <w:rsid w:val="00BE2180"/>
    <w:rsid w:val="00BE21F2"/>
    <w:rsid w:val="00BE25E9"/>
    <w:rsid w:val="00BE2879"/>
    <w:rsid w:val="00BE4275"/>
    <w:rsid w:val="00BE5447"/>
    <w:rsid w:val="00BE757A"/>
    <w:rsid w:val="00BF019B"/>
    <w:rsid w:val="00BF06AE"/>
    <w:rsid w:val="00BF0F95"/>
    <w:rsid w:val="00BF1E3E"/>
    <w:rsid w:val="00BF2393"/>
    <w:rsid w:val="00BF2433"/>
    <w:rsid w:val="00BF2E6E"/>
    <w:rsid w:val="00BF317C"/>
    <w:rsid w:val="00BF3489"/>
    <w:rsid w:val="00BF409D"/>
    <w:rsid w:val="00BF61C9"/>
    <w:rsid w:val="00BF6C94"/>
    <w:rsid w:val="00C00424"/>
    <w:rsid w:val="00C00BB0"/>
    <w:rsid w:val="00C01FAE"/>
    <w:rsid w:val="00C061F0"/>
    <w:rsid w:val="00C06964"/>
    <w:rsid w:val="00C10CB8"/>
    <w:rsid w:val="00C11065"/>
    <w:rsid w:val="00C11197"/>
    <w:rsid w:val="00C1179F"/>
    <w:rsid w:val="00C127B9"/>
    <w:rsid w:val="00C128FA"/>
    <w:rsid w:val="00C12C14"/>
    <w:rsid w:val="00C132A6"/>
    <w:rsid w:val="00C15F04"/>
    <w:rsid w:val="00C16C34"/>
    <w:rsid w:val="00C179B3"/>
    <w:rsid w:val="00C17E3F"/>
    <w:rsid w:val="00C200AA"/>
    <w:rsid w:val="00C207B4"/>
    <w:rsid w:val="00C21903"/>
    <w:rsid w:val="00C22D8D"/>
    <w:rsid w:val="00C237ED"/>
    <w:rsid w:val="00C24632"/>
    <w:rsid w:val="00C24A84"/>
    <w:rsid w:val="00C25418"/>
    <w:rsid w:val="00C25D9C"/>
    <w:rsid w:val="00C26CAE"/>
    <w:rsid w:val="00C2778B"/>
    <w:rsid w:val="00C31649"/>
    <w:rsid w:val="00C316AE"/>
    <w:rsid w:val="00C33FA2"/>
    <w:rsid w:val="00C341FF"/>
    <w:rsid w:val="00C3434C"/>
    <w:rsid w:val="00C34990"/>
    <w:rsid w:val="00C34A8A"/>
    <w:rsid w:val="00C40385"/>
    <w:rsid w:val="00C40BF5"/>
    <w:rsid w:val="00C4148F"/>
    <w:rsid w:val="00C41768"/>
    <w:rsid w:val="00C41DB2"/>
    <w:rsid w:val="00C42133"/>
    <w:rsid w:val="00C440A2"/>
    <w:rsid w:val="00C456EB"/>
    <w:rsid w:val="00C45D48"/>
    <w:rsid w:val="00C475AA"/>
    <w:rsid w:val="00C517D5"/>
    <w:rsid w:val="00C523EF"/>
    <w:rsid w:val="00C527C7"/>
    <w:rsid w:val="00C53798"/>
    <w:rsid w:val="00C53C75"/>
    <w:rsid w:val="00C53C98"/>
    <w:rsid w:val="00C56FCF"/>
    <w:rsid w:val="00C57B6C"/>
    <w:rsid w:val="00C606FE"/>
    <w:rsid w:val="00C61A59"/>
    <w:rsid w:val="00C61ED4"/>
    <w:rsid w:val="00C628A6"/>
    <w:rsid w:val="00C64344"/>
    <w:rsid w:val="00C65108"/>
    <w:rsid w:val="00C65576"/>
    <w:rsid w:val="00C66165"/>
    <w:rsid w:val="00C7060A"/>
    <w:rsid w:val="00C7151A"/>
    <w:rsid w:val="00C717E3"/>
    <w:rsid w:val="00C71F60"/>
    <w:rsid w:val="00C72189"/>
    <w:rsid w:val="00C72241"/>
    <w:rsid w:val="00C729AB"/>
    <w:rsid w:val="00C73869"/>
    <w:rsid w:val="00C750C8"/>
    <w:rsid w:val="00C7560F"/>
    <w:rsid w:val="00C75EC1"/>
    <w:rsid w:val="00C75FDB"/>
    <w:rsid w:val="00C80A0E"/>
    <w:rsid w:val="00C8213F"/>
    <w:rsid w:val="00C8303F"/>
    <w:rsid w:val="00C85154"/>
    <w:rsid w:val="00C85A70"/>
    <w:rsid w:val="00C8797A"/>
    <w:rsid w:val="00C900B8"/>
    <w:rsid w:val="00C90197"/>
    <w:rsid w:val="00C903FE"/>
    <w:rsid w:val="00C9073E"/>
    <w:rsid w:val="00C90C71"/>
    <w:rsid w:val="00C91FD1"/>
    <w:rsid w:val="00C931CF"/>
    <w:rsid w:val="00C938CF"/>
    <w:rsid w:val="00C93A7B"/>
    <w:rsid w:val="00C94053"/>
    <w:rsid w:val="00C946B4"/>
    <w:rsid w:val="00C94A73"/>
    <w:rsid w:val="00C94FB2"/>
    <w:rsid w:val="00C95A87"/>
    <w:rsid w:val="00C9624D"/>
    <w:rsid w:val="00C969DA"/>
    <w:rsid w:val="00C97B8A"/>
    <w:rsid w:val="00CA03FB"/>
    <w:rsid w:val="00CA0A85"/>
    <w:rsid w:val="00CA1663"/>
    <w:rsid w:val="00CA2C77"/>
    <w:rsid w:val="00CA444F"/>
    <w:rsid w:val="00CA5245"/>
    <w:rsid w:val="00CA5803"/>
    <w:rsid w:val="00CA5FD3"/>
    <w:rsid w:val="00CA6BF5"/>
    <w:rsid w:val="00CA71F4"/>
    <w:rsid w:val="00CA7B09"/>
    <w:rsid w:val="00CB019C"/>
    <w:rsid w:val="00CB12A5"/>
    <w:rsid w:val="00CB1CAC"/>
    <w:rsid w:val="00CB2F2A"/>
    <w:rsid w:val="00CB311F"/>
    <w:rsid w:val="00CB3611"/>
    <w:rsid w:val="00CB437C"/>
    <w:rsid w:val="00CB4F01"/>
    <w:rsid w:val="00CB564D"/>
    <w:rsid w:val="00CB5B1A"/>
    <w:rsid w:val="00CB6B22"/>
    <w:rsid w:val="00CB7F5F"/>
    <w:rsid w:val="00CC040F"/>
    <w:rsid w:val="00CC1B39"/>
    <w:rsid w:val="00CC1BFA"/>
    <w:rsid w:val="00CC2E9F"/>
    <w:rsid w:val="00CC35EA"/>
    <w:rsid w:val="00CC3805"/>
    <w:rsid w:val="00CC3848"/>
    <w:rsid w:val="00CC5869"/>
    <w:rsid w:val="00CC6D5E"/>
    <w:rsid w:val="00CD0200"/>
    <w:rsid w:val="00CD2B51"/>
    <w:rsid w:val="00CD36ED"/>
    <w:rsid w:val="00CD3F77"/>
    <w:rsid w:val="00CD6ADC"/>
    <w:rsid w:val="00CD7193"/>
    <w:rsid w:val="00CD7938"/>
    <w:rsid w:val="00CD7DA5"/>
    <w:rsid w:val="00CE0D97"/>
    <w:rsid w:val="00CE0F43"/>
    <w:rsid w:val="00CE17E5"/>
    <w:rsid w:val="00CE38C8"/>
    <w:rsid w:val="00CE46DC"/>
    <w:rsid w:val="00CE524F"/>
    <w:rsid w:val="00CE541D"/>
    <w:rsid w:val="00CE56F9"/>
    <w:rsid w:val="00CE58C5"/>
    <w:rsid w:val="00CE58CC"/>
    <w:rsid w:val="00CE5F04"/>
    <w:rsid w:val="00CE6274"/>
    <w:rsid w:val="00CE7086"/>
    <w:rsid w:val="00CE75A3"/>
    <w:rsid w:val="00CE77B6"/>
    <w:rsid w:val="00CF0F32"/>
    <w:rsid w:val="00CF2B8D"/>
    <w:rsid w:val="00CF35C8"/>
    <w:rsid w:val="00CF3A1B"/>
    <w:rsid w:val="00CF3ADD"/>
    <w:rsid w:val="00CF456B"/>
    <w:rsid w:val="00CF469C"/>
    <w:rsid w:val="00CF584E"/>
    <w:rsid w:val="00CF5A22"/>
    <w:rsid w:val="00CF7113"/>
    <w:rsid w:val="00CF7C88"/>
    <w:rsid w:val="00D01F45"/>
    <w:rsid w:val="00D022E2"/>
    <w:rsid w:val="00D0262E"/>
    <w:rsid w:val="00D02A3B"/>
    <w:rsid w:val="00D03679"/>
    <w:rsid w:val="00D04BCD"/>
    <w:rsid w:val="00D04E9B"/>
    <w:rsid w:val="00D05291"/>
    <w:rsid w:val="00D055BF"/>
    <w:rsid w:val="00D05707"/>
    <w:rsid w:val="00D05E3D"/>
    <w:rsid w:val="00D06139"/>
    <w:rsid w:val="00D068AA"/>
    <w:rsid w:val="00D06FD5"/>
    <w:rsid w:val="00D07FC8"/>
    <w:rsid w:val="00D10088"/>
    <w:rsid w:val="00D10332"/>
    <w:rsid w:val="00D110BD"/>
    <w:rsid w:val="00D132FE"/>
    <w:rsid w:val="00D13675"/>
    <w:rsid w:val="00D141E1"/>
    <w:rsid w:val="00D14356"/>
    <w:rsid w:val="00D15314"/>
    <w:rsid w:val="00D155F5"/>
    <w:rsid w:val="00D1562D"/>
    <w:rsid w:val="00D1594E"/>
    <w:rsid w:val="00D15B48"/>
    <w:rsid w:val="00D17D6C"/>
    <w:rsid w:val="00D2155B"/>
    <w:rsid w:val="00D21661"/>
    <w:rsid w:val="00D216C3"/>
    <w:rsid w:val="00D21927"/>
    <w:rsid w:val="00D23603"/>
    <w:rsid w:val="00D23D11"/>
    <w:rsid w:val="00D244B6"/>
    <w:rsid w:val="00D251A1"/>
    <w:rsid w:val="00D25956"/>
    <w:rsid w:val="00D2653D"/>
    <w:rsid w:val="00D27169"/>
    <w:rsid w:val="00D2754D"/>
    <w:rsid w:val="00D27B27"/>
    <w:rsid w:val="00D30D5B"/>
    <w:rsid w:val="00D33225"/>
    <w:rsid w:val="00D338D7"/>
    <w:rsid w:val="00D33BE9"/>
    <w:rsid w:val="00D33F93"/>
    <w:rsid w:val="00D34702"/>
    <w:rsid w:val="00D34F58"/>
    <w:rsid w:val="00D357FF"/>
    <w:rsid w:val="00D36843"/>
    <w:rsid w:val="00D3746C"/>
    <w:rsid w:val="00D419B4"/>
    <w:rsid w:val="00D424C7"/>
    <w:rsid w:val="00D4348E"/>
    <w:rsid w:val="00D43B2A"/>
    <w:rsid w:val="00D43CF1"/>
    <w:rsid w:val="00D43D83"/>
    <w:rsid w:val="00D44EFC"/>
    <w:rsid w:val="00D47575"/>
    <w:rsid w:val="00D4766C"/>
    <w:rsid w:val="00D50CE6"/>
    <w:rsid w:val="00D51FA3"/>
    <w:rsid w:val="00D5243B"/>
    <w:rsid w:val="00D5274B"/>
    <w:rsid w:val="00D533EC"/>
    <w:rsid w:val="00D536A8"/>
    <w:rsid w:val="00D54D32"/>
    <w:rsid w:val="00D553FC"/>
    <w:rsid w:val="00D56744"/>
    <w:rsid w:val="00D56A95"/>
    <w:rsid w:val="00D6076E"/>
    <w:rsid w:val="00D657C1"/>
    <w:rsid w:val="00D65B18"/>
    <w:rsid w:val="00D6692C"/>
    <w:rsid w:val="00D6781B"/>
    <w:rsid w:val="00D67D2C"/>
    <w:rsid w:val="00D70F16"/>
    <w:rsid w:val="00D71028"/>
    <w:rsid w:val="00D710D5"/>
    <w:rsid w:val="00D72617"/>
    <w:rsid w:val="00D72F57"/>
    <w:rsid w:val="00D73F00"/>
    <w:rsid w:val="00D740B5"/>
    <w:rsid w:val="00D74FF5"/>
    <w:rsid w:val="00D76A44"/>
    <w:rsid w:val="00D815EF"/>
    <w:rsid w:val="00D81949"/>
    <w:rsid w:val="00D81A85"/>
    <w:rsid w:val="00D81F26"/>
    <w:rsid w:val="00D822E2"/>
    <w:rsid w:val="00D82B80"/>
    <w:rsid w:val="00D843F2"/>
    <w:rsid w:val="00D86231"/>
    <w:rsid w:val="00D86256"/>
    <w:rsid w:val="00D875B7"/>
    <w:rsid w:val="00D87B0C"/>
    <w:rsid w:val="00D910FF"/>
    <w:rsid w:val="00D912AB"/>
    <w:rsid w:val="00D91923"/>
    <w:rsid w:val="00D92AF6"/>
    <w:rsid w:val="00D935A0"/>
    <w:rsid w:val="00D93753"/>
    <w:rsid w:val="00D94CA5"/>
    <w:rsid w:val="00D96197"/>
    <w:rsid w:val="00D96CDD"/>
    <w:rsid w:val="00DA000D"/>
    <w:rsid w:val="00DA2025"/>
    <w:rsid w:val="00DA3167"/>
    <w:rsid w:val="00DA43CE"/>
    <w:rsid w:val="00DA4B53"/>
    <w:rsid w:val="00DA4DC3"/>
    <w:rsid w:val="00DA6E81"/>
    <w:rsid w:val="00DA77A5"/>
    <w:rsid w:val="00DB0E36"/>
    <w:rsid w:val="00DB12A7"/>
    <w:rsid w:val="00DB3666"/>
    <w:rsid w:val="00DB3DBF"/>
    <w:rsid w:val="00DB3F88"/>
    <w:rsid w:val="00DB484F"/>
    <w:rsid w:val="00DB5B2D"/>
    <w:rsid w:val="00DB6AB6"/>
    <w:rsid w:val="00DB772A"/>
    <w:rsid w:val="00DC04CF"/>
    <w:rsid w:val="00DC04F6"/>
    <w:rsid w:val="00DC0676"/>
    <w:rsid w:val="00DC0690"/>
    <w:rsid w:val="00DC09B4"/>
    <w:rsid w:val="00DC1D65"/>
    <w:rsid w:val="00DC2324"/>
    <w:rsid w:val="00DC2E87"/>
    <w:rsid w:val="00DC3804"/>
    <w:rsid w:val="00DC3C57"/>
    <w:rsid w:val="00DC4345"/>
    <w:rsid w:val="00DC5501"/>
    <w:rsid w:val="00DC584C"/>
    <w:rsid w:val="00DC5DE4"/>
    <w:rsid w:val="00DC6152"/>
    <w:rsid w:val="00DC7154"/>
    <w:rsid w:val="00DC7723"/>
    <w:rsid w:val="00DC7E8A"/>
    <w:rsid w:val="00DD08C1"/>
    <w:rsid w:val="00DD0F78"/>
    <w:rsid w:val="00DD11B1"/>
    <w:rsid w:val="00DD273C"/>
    <w:rsid w:val="00DD3F28"/>
    <w:rsid w:val="00DD4446"/>
    <w:rsid w:val="00DD4537"/>
    <w:rsid w:val="00DD4E15"/>
    <w:rsid w:val="00DD70F6"/>
    <w:rsid w:val="00DD713F"/>
    <w:rsid w:val="00DD7F80"/>
    <w:rsid w:val="00DE2304"/>
    <w:rsid w:val="00DE2620"/>
    <w:rsid w:val="00DE3138"/>
    <w:rsid w:val="00DE3576"/>
    <w:rsid w:val="00DE37F8"/>
    <w:rsid w:val="00DE4273"/>
    <w:rsid w:val="00DE4FCB"/>
    <w:rsid w:val="00DE551C"/>
    <w:rsid w:val="00DE5D07"/>
    <w:rsid w:val="00DE72A7"/>
    <w:rsid w:val="00DE7832"/>
    <w:rsid w:val="00DF18FC"/>
    <w:rsid w:val="00DF1F66"/>
    <w:rsid w:val="00DF44F1"/>
    <w:rsid w:val="00DF5D2B"/>
    <w:rsid w:val="00DF6097"/>
    <w:rsid w:val="00DF6341"/>
    <w:rsid w:val="00DF66D7"/>
    <w:rsid w:val="00DF67F7"/>
    <w:rsid w:val="00DF69DE"/>
    <w:rsid w:val="00DF6A1E"/>
    <w:rsid w:val="00E00E8E"/>
    <w:rsid w:val="00E01722"/>
    <w:rsid w:val="00E02881"/>
    <w:rsid w:val="00E048F5"/>
    <w:rsid w:val="00E05630"/>
    <w:rsid w:val="00E061CF"/>
    <w:rsid w:val="00E06598"/>
    <w:rsid w:val="00E06DBB"/>
    <w:rsid w:val="00E07290"/>
    <w:rsid w:val="00E079A8"/>
    <w:rsid w:val="00E10149"/>
    <w:rsid w:val="00E109AD"/>
    <w:rsid w:val="00E110A7"/>
    <w:rsid w:val="00E11340"/>
    <w:rsid w:val="00E122A1"/>
    <w:rsid w:val="00E13DBC"/>
    <w:rsid w:val="00E16372"/>
    <w:rsid w:val="00E167FD"/>
    <w:rsid w:val="00E16AD8"/>
    <w:rsid w:val="00E1795F"/>
    <w:rsid w:val="00E17FFA"/>
    <w:rsid w:val="00E20A26"/>
    <w:rsid w:val="00E20CF0"/>
    <w:rsid w:val="00E20E4D"/>
    <w:rsid w:val="00E20ED6"/>
    <w:rsid w:val="00E21358"/>
    <w:rsid w:val="00E2249B"/>
    <w:rsid w:val="00E2256B"/>
    <w:rsid w:val="00E22A0D"/>
    <w:rsid w:val="00E22AE6"/>
    <w:rsid w:val="00E23361"/>
    <w:rsid w:val="00E244F6"/>
    <w:rsid w:val="00E255BB"/>
    <w:rsid w:val="00E258DB"/>
    <w:rsid w:val="00E25B87"/>
    <w:rsid w:val="00E2623E"/>
    <w:rsid w:val="00E2771E"/>
    <w:rsid w:val="00E30847"/>
    <w:rsid w:val="00E30A41"/>
    <w:rsid w:val="00E311EF"/>
    <w:rsid w:val="00E319B5"/>
    <w:rsid w:val="00E32180"/>
    <w:rsid w:val="00E32C6A"/>
    <w:rsid w:val="00E34948"/>
    <w:rsid w:val="00E37569"/>
    <w:rsid w:val="00E401B2"/>
    <w:rsid w:val="00E41E30"/>
    <w:rsid w:val="00E42F73"/>
    <w:rsid w:val="00E43295"/>
    <w:rsid w:val="00E43851"/>
    <w:rsid w:val="00E43D70"/>
    <w:rsid w:val="00E45223"/>
    <w:rsid w:val="00E466F3"/>
    <w:rsid w:val="00E47B2C"/>
    <w:rsid w:val="00E50226"/>
    <w:rsid w:val="00E50D91"/>
    <w:rsid w:val="00E51560"/>
    <w:rsid w:val="00E51821"/>
    <w:rsid w:val="00E52193"/>
    <w:rsid w:val="00E53FC8"/>
    <w:rsid w:val="00E54347"/>
    <w:rsid w:val="00E55424"/>
    <w:rsid w:val="00E55915"/>
    <w:rsid w:val="00E55BB5"/>
    <w:rsid w:val="00E56BB9"/>
    <w:rsid w:val="00E611DF"/>
    <w:rsid w:val="00E61CEF"/>
    <w:rsid w:val="00E61E64"/>
    <w:rsid w:val="00E62406"/>
    <w:rsid w:val="00E65132"/>
    <w:rsid w:val="00E65B4F"/>
    <w:rsid w:val="00E65E79"/>
    <w:rsid w:val="00E666D8"/>
    <w:rsid w:val="00E668D1"/>
    <w:rsid w:val="00E66BA2"/>
    <w:rsid w:val="00E66F2D"/>
    <w:rsid w:val="00E67416"/>
    <w:rsid w:val="00E708BD"/>
    <w:rsid w:val="00E7111A"/>
    <w:rsid w:val="00E718B6"/>
    <w:rsid w:val="00E723BA"/>
    <w:rsid w:val="00E73581"/>
    <w:rsid w:val="00E76252"/>
    <w:rsid w:val="00E76B51"/>
    <w:rsid w:val="00E76BC4"/>
    <w:rsid w:val="00E76F17"/>
    <w:rsid w:val="00E82ABB"/>
    <w:rsid w:val="00E833F7"/>
    <w:rsid w:val="00E83BDF"/>
    <w:rsid w:val="00E84A54"/>
    <w:rsid w:val="00E86FCC"/>
    <w:rsid w:val="00E87A1D"/>
    <w:rsid w:val="00E9094A"/>
    <w:rsid w:val="00E91838"/>
    <w:rsid w:val="00E91D35"/>
    <w:rsid w:val="00E926A5"/>
    <w:rsid w:val="00E9621D"/>
    <w:rsid w:val="00E962CC"/>
    <w:rsid w:val="00E967E8"/>
    <w:rsid w:val="00E96FF0"/>
    <w:rsid w:val="00EA17C3"/>
    <w:rsid w:val="00EA2CAA"/>
    <w:rsid w:val="00EA3864"/>
    <w:rsid w:val="00EA47FD"/>
    <w:rsid w:val="00EA5E65"/>
    <w:rsid w:val="00EA6216"/>
    <w:rsid w:val="00EA6501"/>
    <w:rsid w:val="00EA738C"/>
    <w:rsid w:val="00EA7F1C"/>
    <w:rsid w:val="00EB0505"/>
    <w:rsid w:val="00EB0795"/>
    <w:rsid w:val="00EB15B6"/>
    <w:rsid w:val="00EB3D06"/>
    <w:rsid w:val="00EB4916"/>
    <w:rsid w:val="00EB4D28"/>
    <w:rsid w:val="00EB4EF1"/>
    <w:rsid w:val="00EB5AF2"/>
    <w:rsid w:val="00EB6F93"/>
    <w:rsid w:val="00EC00C9"/>
    <w:rsid w:val="00EC020A"/>
    <w:rsid w:val="00EC0DD9"/>
    <w:rsid w:val="00EC0F0B"/>
    <w:rsid w:val="00EC1405"/>
    <w:rsid w:val="00EC1DFE"/>
    <w:rsid w:val="00EC2649"/>
    <w:rsid w:val="00EC2E21"/>
    <w:rsid w:val="00EC31ED"/>
    <w:rsid w:val="00EC3730"/>
    <w:rsid w:val="00EC3902"/>
    <w:rsid w:val="00EC3E6F"/>
    <w:rsid w:val="00EC40E8"/>
    <w:rsid w:val="00EC5836"/>
    <w:rsid w:val="00EC688C"/>
    <w:rsid w:val="00EC71C3"/>
    <w:rsid w:val="00ED12E3"/>
    <w:rsid w:val="00ED2F33"/>
    <w:rsid w:val="00ED3183"/>
    <w:rsid w:val="00ED334C"/>
    <w:rsid w:val="00ED3C8F"/>
    <w:rsid w:val="00ED3F43"/>
    <w:rsid w:val="00ED4B04"/>
    <w:rsid w:val="00ED57EA"/>
    <w:rsid w:val="00ED5BD4"/>
    <w:rsid w:val="00ED5E6C"/>
    <w:rsid w:val="00ED69FA"/>
    <w:rsid w:val="00EE07D3"/>
    <w:rsid w:val="00EE1996"/>
    <w:rsid w:val="00EE1A92"/>
    <w:rsid w:val="00EE1C01"/>
    <w:rsid w:val="00EE22AF"/>
    <w:rsid w:val="00EE2338"/>
    <w:rsid w:val="00EE3474"/>
    <w:rsid w:val="00EE4D1E"/>
    <w:rsid w:val="00EE5877"/>
    <w:rsid w:val="00EE6015"/>
    <w:rsid w:val="00EE688E"/>
    <w:rsid w:val="00EE7177"/>
    <w:rsid w:val="00EF0171"/>
    <w:rsid w:val="00EF1B25"/>
    <w:rsid w:val="00EF1DA0"/>
    <w:rsid w:val="00EF4747"/>
    <w:rsid w:val="00EF4BF8"/>
    <w:rsid w:val="00EF5235"/>
    <w:rsid w:val="00EF5485"/>
    <w:rsid w:val="00F00193"/>
    <w:rsid w:val="00F021F4"/>
    <w:rsid w:val="00F02253"/>
    <w:rsid w:val="00F02270"/>
    <w:rsid w:val="00F02EF2"/>
    <w:rsid w:val="00F03C2E"/>
    <w:rsid w:val="00F04A66"/>
    <w:rsid w:val="00F04B4B"/>
    <w:rsid w:val="00F0516C"/>
    <w:rsid w:val="00F067A2"/>
    <w:rsid w:val="00F07B9E"/>
    <w:rsid w:val="00F07D20"/>
    <w:rsid w:val="00F1116F"/>
    <w:rsid w:val="00F115B6"/>
    <w:rsid w:val="00F11ACF"/>
    <w:rsid w:val="00F11F33"/>
    <w:rsid w:val="00F1263A"/>
    <w:rsid w:val="00F139C5"/>
    <w:rsid w:val="00F13BBF"/>
    <w:rsid w:val="00F15510"/>
    <w:rsid w:val="00F15AAB"/>
    <w:rsid w:val="00F15B77"/>
    <w:rsid w:val="00F204E0"/>
    <w:rsid w:val="00F20BAF"/>
    <w:rsid w:val="00F211FB"/>
    <w:rsid w:val="00F21236"/>
    <w:rsid w:val="00F238B1"/>
    <w:rsid w:val="00F239DF"/>
    <w:rsid w:val="00F24837"/>
    <w:rsid w:val="00F2575F"/>
    <w:rsid w:val="00F27565"/>
    <w:rsid w:val="00F310D4"/>
    <w:rsid w:val="00F31104"/>
    <w:rsid w:val="00F31D5A"/>
    <w:rsid w:val="00F32A89"/>
    <w:rsid w:val="00F32FAF"/>
    <w:rsid w:val="00F33975"/>
    <w:rsid w:val="00F33DE9"/>
    <w:rsid w:val="00F35E6D"/>
    <w:rsid w:val="00F3619A"/>
    <w:rsid w:val="00F36C14"/>
    <w:rsid w:val="00F40AAA"/>
    <w:rsid w:val="00F40BA7"/>
    <w:rsid w:val="00F40F9D"/>
    <w:rsid w:val="00F41ACD"/>
    <w:rsid w:val="00F45BA8"/>
    <w:rsid w:val="00F46CB6"/>
    <w:rsid w:val="00F46DAA"/>
    <w:rsid w:val="00F4756D"/>
    <w:rsid w:val="00F47C3A"/>
    <w:rsid w:val="00F47DE8"/>
    <w:rsid w:val="00F504F3"/>
    <w:rsid w:val="00F5159E"/>
    <w:rsid w:val="00F542C1"/>
    <w:rsid w:val="00F5486A"/>
    <w:rsid w:val="00F550E3"/>
    <w:rsid w:val="00F55E73"/>
    <w:rsid w:val="00F55EDA"/>
    <w:rsid w:val="00F56C80"/>
    <w:rsid w:val="00F57D21"/>
    <w:rsid w:val="00F60092"/>
    <w:rsid w:val="00F61C18"/>
    <w:rsid w:val="00F62D26"/>
    <w:rsid w:val="00F62D40"/>
    <w:rsid w:val="00F654C0"/>
    <w:rsid w:val="00F65F4B"/>
    <w:rsid w:val="00F67A69"/>
    <w:rsid w:val="00F67C80"/>
    <w:rsid w:val="00F70BFF"/>
    <w:rsid w:val="00F70C9D"/>
    <w:rsid w:val="00F718CA"/>
    <w:rsid w:val="00F73E08"/>
    <w:rsid w:val="00F73FBD"/>
    <w:rsid w:val="00F74CD9"/>
    <w:rsid w:val="00F75BC3"/>
    <w:rsid w:val="00F800A0"/>
    <w:rsid w:val="00F80A7B"/>
    <w:rsid w:val="00F80E5D"/>
    <w:rsid w:val="00F81E78"/>
    <w:rsid w:val="00F82334"/>
    <w:rsid w:val="00F8245A"/>
    <w:rsid w:val="00F83916"/>
    <w:rsid w:val="00F83A24"/>
    <w:rsid w:val="00F840CA"/>
    <w:rsid w:val="00F851CE"/>
    <w:rsid w:val="00F877B8"/>
    <w:rsid w:val="00F87D99"/>
    <w:rsid w:val="00F91219"/>
    <w:rsid w:val="00F914A5"/>
    <w:rsid w:val="00F91C0C"/>
    <w:rsid w:val="00F92444"/>
    <w:rsid w:val="00F9260A"/>
    <w:rsid w:val="00F92BDE"/>
    <w:rsid w:val="00F93572"/>
    <w:rsid w:val="00F9393E"/>
    <w:rsid w:val="00F93A55"/>
    <w:rsid w:val="00F95242"/>
    <w:rsid w:val="00F96FD0"/>
    <w:rsid w:val="00F97A78"/>
    <w:rsid w:val="00F97BE4"/>
    <w:rsid w:val="00F97C52"/>
    <w:rsid w:val="00FA0B20"/>
    <w:rsid w:val="00FA24E7"/>
    <w:rsid w:val="00FA5EE6"/>
    <w:rsid w:val="00FA60CD"/>
    <w:rsid w:val="00FA6819"/>
    <w:rsid w:val="00FA7956"/>
    <w:rsid w:val="00FB0824"/>
    <w:rsid w:val="00FB14BE"/>
    <w:rsid w:val="00FB1BD2"/>
    <w:rsid w:val="00FB2116"/>
    <w:rsid w:val="00FB24AD"/>
    <w:rsid w:val="00FB2FCB"/>
    <w:rsid w:val="00FB40AA"/>
    <w:rsid w:val="00FB47DA"/>
    <w:rsid w:val="00FB4C9C"/>
    <w:rsid w:val="00FB797B"/>
    <w:rsid w:val="00FB7C55"/>
    <w:rsid w:val="00FC1074"/>
    <w:rsid w:val="00FC1884"/>
    <w:rsid w:val="00FC2E7A"/>
    <w:rsid w:val="00FC3452"/>
    <w:rsid w:val="00FC371D"/>
    <w:rsid w:val="00FC3729"/>
    <w:rsid w:val="00FC4AD3"/>
    <w:rsid w:val="00FC5302"/>
    <w:rsid w:val="00FC5F0B"/>
    <w:rsid w:val="00FC69ED"/>
    <w:rsid w:val="00FD0D6D"/>
    <w:rsid w:val="00FD0D88"/>
    <w:rsid w:val="00FD192E"/>
    <w:rsid w:val="00FD1C73"/>
    <w:rsid w:val="00FD2100"/>
    <w:rsid w:val="00FD2491"/>
    <w:rsid w:val="00FD436C"/>
    <w:rsid w:val="00FD446D"/>
    <w:rsid w:val="00FD4F2C"/>
    <w:rsid w:val="00FD512D"/>
    <w:rsid w:val="00FD6394"/>
    <w:rsid w:val="00FD77D5"/>
    <w:rsid w:val="00FE08B2"/>
    <w:rsid w:val="00FE0D05"/>
    <w:rsid w:val="00FE0E6C"/>
    <w:rsid w:val="00FE1CDC"/>
    <w:rsid w:val="00FE1E2D"/>
    <w:rsid w:val="00FE6519"/>
    <w:rsid w:val="00FE655B"/>
    <w:rsid w:val="00FE70C3"/>
    <w:rsid w:val="00FF1A8B"/>
    <w:rsid w:val="00FF2AD9"/>
    <w:rsid w:val="00FF2AF8"/>
    <w:rsid w:val="00FF3328"/>
    <w:rsid w:val="00FF359F"/>
    <w:rsid w:val="00FF3DCF"/>
    <w:rsid w:val="00FF403D"/>
    <w:rsid w:val="00FF43FB"/>
    <w:rsid w:val="00FF492C"/>
    <w:rsid w:val="00FF4A21"/>
    <w:rsid w:val="00FF52A8"/>
    <w:rsid w:val="00FF5AA3"/>
    <w:rsid w:val="00FF5AD8"/>
    <w:rsid w:val="00FF7530"/>
    <w:rsid w:val="00FF7A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F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
    <w:basedOn w:val="Normal"/>
    <w:next w:val="ListBullet"/>
    <w:link w:val="ListParagraphChar"/>
    <w:uiPriority w:val="34"/>
    <w:qFormat/>
    <w:rsid w:val="003945B8"/>
    <w:pPr>
      <w:numPr>
        <w:numId w:val="10"/>
      </w:numPr>
      <w:spacing w:after="120"/>
      <w:ind w:left="1134"/>
    </w:pPr>
    <w:rPr>
      <w:rFonts w:asciiTheme="minorHAnsi" w:hAnsiTheme="minorHAnsi"/>
      <w:snapToGrid w:val="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3945B8"/>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Dossier table,Section 3- footnotes"/>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styleId="FootnoteText">
    <w:name w:val="footnote text"/>
    <w:basedOn w:val="Normal"/>
    <w:link w:val="FootnoteTextChar"/>
    <w:unhideWhenUsed/>
    <w:rsid w:val="00140238"/>
    <w:rPr>
      <w:sz w:val="20"/>
      <w:szCs w:val="20"/>
    </w:rPr>
  </w:style>
  <w:style w:type="character" w:customStyle="1" w:styleId="FootnoteTextChar">
    <w:name w:val="Footnote Text Char"/>
    <w:basedOn w:val="DefaultParagraphFont"/>
    <w:link w:val="FootnoteText"/>
    <w:rsid w:val="00140238"/>
    <w:rPr>
      <w:rFonts w:ascii="Calibri" w:hAnsi="Calibri" w:cs="Arial"/>
    </w:rPr>
  </w:style>
  <w:style w:type="character" w:styleId="FootnoteReference">
    <w:name w:val="footnote reference"/>
    <w:basedOn w:val="DefaultParagraphFont"/>
    <w:semiHidden/>
    <w:unhideWhenUsed/>
    <w:rsid w:val="00140238"/>
    <w:rPr>
      <w:vertAlign w:val="superscript"/>
    </w:rPr>
  </w:style>
  <w:style w:type="paragraph" w:customStyle="1" w:styleId="Tableheadingleft">
    <w:name w:val="Table heading left"/>
    <w:basedOn w:val="Normal"/>
    <w:qFormat/>
    <w:rsid w:val="00C440A2"/>
    <w:pPr>
      <w:keepNext/>
      <w:keepLines/>
      <w:tabs>
        <w:tab w:val="left" w:pos="113"/>
        <w:tab w:val="center" w:pos="142"/>
        <w:tab w:val="center" w:pos="284"/>
        <w:tab w:val="center" w:pos="425"/>
      </w:tabs>
      <w:spacing w:after="120"/>
      <w:jc w:val="left"/>
    </w:pPr>
    <w:rPr>
      <w:rFonts w:ascii="Arial" w:hAnsi="Arial"/>
      <w:b/>
      <w:sz w:val="20"/>
      <w:szCs w:val="20"/>
      <w:lang w:val="en-GB" w:eastAsia="en-US"/>
    </w:rPr>
  </w:style>
  <w:style w:type="table" w:styleId="PlainTable2">
    <w:name w:val="Plain Table 2"/>
    <w:basedOn w:val="TableNormal"/>
    <w:uiPriority w:val="42"/>
    <w:rsid w:val="00C440A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
    <w:basedOn w:val="Normal"/>
    <w:uiPriority w:val="99"/>
    <w:qFormat/>
    <w:rsid w:val="00C440A2"/>
    <w:pPr>
      <w:jc w:val="left"/>
    </w:pPr>
    <w:rPr>
      <w:rFonts w:eastAsiaTheme="majorEastAsia" w:cstheme="majorBidi"/>
      <w:sz w:val="20"/>
      <w:szCs w:val="22"/>
      <w:lang w:eastAsia="en-US" w:bidi="en-US"/>
    </w:rPr>
  </w:style>
  <w:style w:type="paragraph" w:customStyle="1" w:styleId="TableFootnote">
    <w:name w:val="Table Footnote"/>
    <w:basedOn w:val="Normal"/>
    <w:qFormat/>
    <w:rsid w:val="002C54D5"/>
    <w:pPr>
      <w:spacing w:after="240"/>
      <w:contextualSpacing/>
      <w:jc w:val="left"/>
    </w:pPr>
    <w:rPr>
      <w:rFonts w:eastAsia="Calibri"/>
      <w:i/>
      <w:sz w:val="16"/>
      <w:lang w:eastAsia="en-US"/>
    </w:rPr>
  </w:style>
  <w:style w:type="table" w:customStyle="1" w:styleId="MSDAustralia">
    <w:name w:val="MSD Australia"/>
    <w:basedOn w:val="TableGrid"/>
    <w:uiPriority w:val="99"/>
    <w:rsid w:val="00DD08C1"/>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styleId="EndnoteText">
    <w:name w:val="endnote text"/>
    <w:basedOn w:val="Normal"/>
    <w:link w:val="EndnoteTextChar"/>
    <w:semiHidden/>
    <w:unhideWhenUsed/>
    <w:rsid w:val="004967F6"/>
    <w:rPr>
      <w:sz w:val="20"/>
      <w:szCs w:val="20"/>
    </w:rPr>
  </w:style>
  <w:style w:type="character" w:customStyle="1" w:styleId="EndnoteTextChar">
    <w:name w:val="Endnote Text Char"/>
    <w:basedOn w:val="DefaultParagraphFont"/>
    <w:link w:val="EndnoteText"/>
    <w:semiHidden/>
    <w:rsid w:val="004967F6"/>
    <w:rPr>
      <w:rFonts w:ascii="Calibri" w:hAnsi="Calibri" w:cs="Arial"/>
    </w:rPr>
  </w:style>
  <w:style w:type="character" w:styleId="EndnoteReference">
    <w:name w:val="endnote reference"/>
    <w:basedOn w:val="DefaultParagraphFont"/>
    <w:semiHidden/>
    <w:unhideWhenUsed/>
    <w:rsid w:val="004967F6"/>
    <w:rPr>
      <w:vertAlign w:val="superscript"/>
    </w:rPr>
  </w:style>
  <w:style w:type="table" w:customStyle="1" w:styleId="TableGrid4823">
    <w:name w:val="Table Grid4823"/>
    <w:basedOn w:val="TableNormal"/>
    <w:next w:val="TableGrid"/>
    <w:rsid w:val="002E26AB"/>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link w:val="TableTextChar1"/>
    <w:qFormat/>
    <w:rsid w:val="002E26AB"/>
    <w:pPr>
      <w:spacing w:before="40" w:after="40"/>
      <w:jc w:val="left"/>
    </w:pPr>
    <w:rPr>
      <w:rFonts w:cs="Times New Roman"/>
      <w:iCs/>
      <w:sz w:val="20"/>
      <w:szCs w:val="18"/>
      <w:lang w:eastAsia="en-US"/>
    </w:rPr>
  </w:style>
  <w:style w:type="character" w:customStyle="1" w:styleId="TableTextChar1">
    <w:name w:val="TableText Char"/>
    <w:link w:val="TableText1"/>
    <w:rsid w:val="002E26AB"/>
    <w:rPr>
      <w:rFonts w:ascii="Calibri" w:hAnsi="Calibri"/>
      <w:iCs/>
      <w:szCs w:val="18"/>
      <w:lang w:eastAsia="en-US"/>
    </w:rPr>
  </w:style>
  <w:style w:type="character" w:styleId="UnresolvedMention">
    <w:name w:val="Unresolved Mention"/>
    <w:basedOn w:val="DefaultParagraphFont"/>
    <w:uiPriority w:val="99"/>
    <w:semiHidden/>
    <w:unhideWhenUsed/>
    <w:rsid w:val="00A43DA5"/>
    <w:rPr>
      <w:color w:val="605E5C"/>
      <w:shd w:val="clear" w:color="auto" w:fill="E1DFDD"/>
    </w:rPr>
  </w:style>
  <w:style w:type="paragraph" w:customStyle="1" w:styleId="EndNoteBibliographyTitle">
    <w:name w:val="EndNote Bibliography Title"/>
    <w:basedOn w:val="Normal"/>
    <w:link w:val="EndNoteBibliographyTitleChar"/>
    <w:rsid w:val="00021939"/>
    <w:pPr>
      <w:jc w:val="center"/>
    </w:pPr>
    <w:rPr>
      <w:rFonts w:cs="Calibri"/>
      <w:noProof/>
    </w:rPr>
  </w:style>
  <w:style w:type="character" w:customStyle="1" w:styleId="EndNoteBibliographyTitleChar">
    <w:name w:val="EndNote Bibliography Title Char"/>
    <w:basedOn w:val="DefaultParagraphFont"/>
    <w:link w:val="EndNoteBibliographyTitle"/>
    <w:rsid w:val="00021939"/>
    <w:rPr>
      <w:rFonts w:ascii="Calibri" w:hAnsi="Calibri" w:cs="Calibri"/>
      <w:noProof/>
      <w:sz w:val="24"/>
      <w:szCs w:val="24"/>
    </w:rPr>
  </w:style>
  <w:style w:type="paragraph" w:customStyle="1" w:styleId="EndNoteBibliography">
    <w:name w:val="EndNote Bibliography"/>
    <w:basedOn w:val="Normal"/>
    <w:link w:val="EndNoteBibliographyChar"/>
    <w:rsid w:val="00021939"/>
    <w:rPr>
      <w:rFonts w:cs="Calibri"/>
      <w:noProof/>
    </w:rPr>
  </w:style>
  <w:style w:type="character" w:customStyle="1" w:styleId="EndNoteBibliographyChar">
    <w:name w:val="EndNote Bibliography Char"/>
    <w:basedOn w:val="DefaultParagraphFont"/>
    <w:link w:val="EndNoteBibliography"/>
    <w:rsid w:val="00021939"/>
    <w:rPr>
      <w:rFonts w:ascii="Calibri" w:hAnsi="Calibri" w:cs="Calibri"/>
      <w:noProof/>
      <w:sz w:val="24"/>
      <w:szCs w:val="24"/>
    </w:rPr>
  </w:style>
  <w:style w:type="paragraph" w:customStyle="1" w:styleId="3-SubsectionHeading">
    <w:name w:val="3-Subsection Heading"/>
    <w:basedOn w:val="Heading2"/>
    <w:next w:val="Normal"/>
    <w:link w:val="3-SubsectionHeadingChar"/>
    <w:qFormat/>
    <w:rsid w:val="001244D0"/>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244D0"/>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9819580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88859690">
      <w:bodyDiv w:val="1"/>
      <w:marLeft w:val="0"/>
      <w:marRight w:val="0"/>
      <w:marTop w:val="0"/>
      <w:marBottom w:val="0"/>
      <w:divBdr>
        <w:top w:val="none" w:sz="0" w:space="0" w:color="auto"/>
        <w:left w:val="none" w:sz="0" w:space="0" w:color="auto"/>
        <w:bottom w:val="none" w:sz="0" w:space="0" w:color="auto"/>
        <w:right w:val="none" w:sz="0" w:space="0" w:color="auto"/>
      </w:divBdr>
    </w:div>
    <w:div w:id="799614803">
      <w:bodyDiv w:val="1"/>
      <w:marLeft w:val="0"/>
      <w:marRight w:val="0"/>
      <w:marTop w:val="0"/>
      <w:marBottom w:val="0"/>
      <w:divBdr>
        <w:top w:val="none" w:sz="0" w:space="0" w:color="auto"/>
        <w:left w:val="none" w:sz="0" w:space="0" w:color="auto"/>
        <w:bottom w:val="none" w:sz="0" w:space="0" w:color="auto"/>
        <w:right w:val="none" w:sz="0" w:space="0" w:color="auto"/>
      </w:divBdr>
      <w:divsChild>
        <w:div w:id="1645156728">
          <w:marLeft w:val="446"/>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98342204">
      <w:bodyDiv w:val="1"/>
      <w:marLeft w:val="0"/>
      <w:marRight w:val="0"/>
      <w:marTop w:val="0"/>
      <w:marBottom w:val="0"/>
      <w:divBdr>
        <w:top w:val="none" w:sz="0" w:space="0" w:color="auto"/>
        <w:left w:val="none" w:sz="0" w:space="0" w:color="auto"/>
        <w:bottom w:val="none" w:sz="0" w:space="0" w:color="auto"/>
        <w:right w:val="none" w:sz="0" w:space="0" w:color="auto"/>
      </w:divBdr>
    </w:div>
    <w:div w:id="114439037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7787593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1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6856711/" TargetMode="External"/><Relationship Id="rId2" Type="http://schemas.openxmlformats.org/officeDocument/2006/relationships/hyperlink" Target="https://movementdisorders.onlinelibrary.wiley.com/doi/full/10.1002/mds.27330" TargetMode="External"/><Relationship Id="rId1" Type="http://schemas.openxmlformats.org/officeDocument/2006/relationships/hyperlink" Target="https://www.futuremedicine.com/doi/full/10.2217/nmt-2020-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797D-D514-47F0-9A13-A1482E91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12521</Words>
  <Characters>67666</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2024-08-27T04:42:00Z</dcterms:created>
  <dcterms:modified xsi:type="dcterms:W3CDTF">2024-08-27T04:42:00Z</dcterms:modified>
</cp:coreProperties>
</file>