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842EDF4" w:rsidR="00B60939" w:rsidRPr="00BD19A7" w:rsidRDefault="005F3900" w:rsidP="005F3900">
      <w:pPr>
        <w:pStyle w:val="1-MainHeading"/>
      </w:pPr>
      <w:bookmarkStart w:id="0" w:name="_Toc156993245"/>
      <w:r w:rsidRPr="00BD19A7">
        <w:t>6.14</w:t>
      </w:r>
      <w:r w:rsidR="00163F66" w:rsidRPr="00BD19A7">
        <w:tab/>
      </w:r>
      <w:r w:rsidRPr="00BD19A7">
        <w:t>VEDOLIZUMAB</w:t>
      </w:r>
      <w:r w:rsidR="00163F66" w:rsidRPr="00BD19A7">
        <w:t>,</w:t>
      </w:r>
      <w:r w:rsidR="00163F66" w:rsidRPr="00BD19A7">
        <w:br/>
      </w:r>
      <w:r w:rsidRPr="00BD19A7">
        <w:t>Injection 108 mg in 0.68 mL single use pre-filled pen;</w:t>
      </w:r>
      <w:r w:rsidRPr="00BD19A7">
        <w:br/>
        <w:t>Powder for injection 300 mg</w:t>
      </w:r>
      <w:r w:rsidR="00163F66" w:rsidRPr="00BD19A7">
        <w:t>,</w:t>
      </w:r>
      <w:r w:rsidR="00163F66" w:rsidRPr="00BD19A7">
        <w:br/>
      </w:r>
      <w:r w:rsidRPr="00BD19A7">
        <w:t>Entyvio</w:t>
      </w:r>
      <w:r w:rsidR="00B60939" w:rsidRPr="00BD19A7">
        <w:rPr>
          <w:vertAlign w:val="superscript"/>
        </w:rPr>
        <w:t>®</w:t>
      </w:r>
      <w:r w:rsidR="004A6040" w:rsidRPr="00BD19A7">
        <w:t>,</w:t>
      </w:r>
      <w:r w:rsidR="004A6040" w:rsidRPr="00BD19A7">
        <w:br/>
      </w:r>
      <w:r w:rsidRPr="00BD19A7">
        <w:t>Takeda Pharmaceuticals Australia Pty. Ltd.</w:t>
      </w:r>
      <w:bookmarkEnd w:id="0"/>
      <w:r w:rsidR="00F73E08" w:rsidRPr="00BD19A7">
        <w:t xml:space="preserve"> </w:t>
      </w:r>
    </w:p>
    <w:p w14:paraId="11C00795" w14:textId="62E4F729" w:rsidR="00B50DB8" w:rsidRPr="00BD19A7" w:rsidRDefault="00B50DB8" w:rsidP="004A6040">
      <w:pPr>
        <w:pStyle w:val="2-SectionHeading"/>
      </w:pPr>
      <w:bookmarkStart w:id="1" w:name="_Toc156993247"/>
      <w:r w:rsidRPr="00BD19A7">
        <w:t xml:space="preserve">Purpose of </w:t>
      </w:r>
      <w:r w:rsidR="00CD7193" w:rsidRPr="00BD19A7">
        <w:t>s</w:t>
      </w:r>
      <w:r w:rsidR="00BB3A45" w:rsidRPr="00BD19A7">
        <w:t>ubmission</w:t>
      </w:r>
      <w:bookmarkEnd w:id="1"/>
    </w:p>
    <w:p w14:paraId="60A72934" w14:textId="4517FCDB" w:rsidR="004A594F" w:rsidRPr="00BD19A7" w:rsidRDefault="007170DA" w:rsidP="004A594F">
      <w:pPr>
        <w:pStyle w:val="3-BodyText"/>
      </w:pPr>
      <w:r w:rsidRPr="00BD19A7">
        <w:t xml:space="preserve">The </w:t>
      </w:r>
      <w:r w:rsidR="004A594F" w:rsidRPr="00BD19A7">
        <w:t>Category 2</w:t>
      </w:r>
      <w:r w:rsidR="00F73E08" w:rsidRPr="00BD19A7">
        <w:t xml:space="preserve"> </w:t>
      </w:r>
      <w:r w:rsidRPr="00BD19A7">
        <w:t xml:space="preserve">submission requested </w:t>
      </w:r>
      <w:r w:rsidR="004A594F" w:rsidRPr="00BD19A7">
        <w:t xml:space="preserve">a </w:t>
      </w:r>
      <w:r w:rsidR="00A75D70" w:rsidRPr="00BD19A7">
        <w:t>new listing</w:t>
      </w:r>
      <w:r w:rsidR="004A594F" w:rsidRPr="00BD19A7">
        <w:t xml:space="preserve"> to allow </w:t>
      </w:r>
      <w:r w:rsidR="00F137C5" w:rsidRPr="00BD19A7">
        <w:t xml:space="preserve">for </w:t>
      </w:r>
      <w:r w:rsidR="004A594F" w:rsidRPr="00BD19A7">
        <w:t xml:space="preserve">an additional dose of vedolizumab 300 mg at </w:t>
      </w:r>
      <w:r w:rsidR="00732FCE" w:rsidRPr="00BD19A7">
        <w:t>week</w:t>
      </w:r>
      <w:r w:rsidR="004A594F" w:rsidRPr="00BD19A7">
        <w:t xml:space="preserve"> 10 for the initial treatment of severe Crohn disease</w:t>
      </w:r>
      <w:r w:rsidR="00233AA2" w:rsidRPr="00BD19A7">
        <w:t xml:space="preserve"> (CD)</w:t>
      </w:r>
      <w:r w:rsidR="000C1700" w:rsidRPr="00BD19A7">
        <w:t xml:space="preserve"> for patients who have not responded to therapy after the existing three dose induction therapy</w:t>
      </w:r>
      <w:r w:rsidR="004A594F" w:rsidRPr="00BD19A7">
        <w:t xml:space="preserve">. </w:t>
      </w:r>
    </w:p>
    <w:p w14:paraId="19414AA1" w14:textId="434BE4E9" w:rsidR="002C2775" w:rsidRPr="00BD19A7" w:rsidRDefault="004A594F" w:rsidP="004A594F">
      <w:pPr>
        <w:pStyle w:val="3-BodyText"/>
      </w:pPr>
      <w:r w:rsidRPr="00BD19A7">
        <w:t>The submission also requested the removal of requirement to assess the risk of developing progressive multifocal leukoencephalopathy</w:t>
      </w:r>
      <w:r w:rsidR="00192015" w:rsidRPr="00BD19A7">
        <w:t xml:space="preserve"> (PML)</w:t>
      </w:r>
      <w:r w:rsidRPr="00BD19A7">
        <w:t xml:space="preserve"> during this treatment from all Pharmaceutical Benefits Scheme (PBS) listings for vedolizumab.</w:t>
      </w:r>
    </w:p>
    <w:p w14:paraId="26E88149" w14:textId="229208C2" w:rsidR="00F657A5" w:rsidRPr="00BD19A7" w:rsidRDefault="005750C5" w:rsidP="004A6040">
      <w:pPr>
        <w:pStyle w:val="3-BodyText"/>
      </w:pPr>
      <w:r w:rsidRPr="00BD19A7">
        <w:t xml:space="preserve">Listing was requested </w:t>
      </w:r>
      <w:r w:rsidR="00A75D70" w:rsidRPr="00BD19A7">
        <w:t>based on</w:t>
      </w:r>
      <w:r w:rsidRPr="00BD19A7">
        <w:t xml:space="preserve"> a cost-minimisation</w:t>
      </w:r>
      <w:r w:rsidR="001D71F4" w:rsidRPr="00BD19A7">
        <w:t xml:space="preserve"> approach</w:t>
      </w:r>
      <w:r w:rsidRPr="00BD19A7">
        <w:t xml:space="preserve"> </w:t>
      </w:r>
      <w:r w:rsidR="004A594F" w:rsidRPr="00BD19A7">
        <w:t>of vedolizumab intravenous (IV) under the current PBS restriction versus vedolizumab IV under the proposed PBS restriction</w:t>
      </w:r>
      <w:r w:rsidR="00966407" w:rsidRPr="00BD19A7">
        <w:t xml:space="preserve"> with a two-year time horizon for continuing therapy of the IV formulation at a lower proposed</w:t>
      </w:r>
      <w:r w:rsidR="0019195B" w:rsidRPr="00BD19A7">
        <w:t>,</w:t>
      </w:r>
      <w:r w:rsidR="00966407" w:rsidRPr="00BD19A7">
        <w:t xml:space="preserve"> </w:t>
      </w:r>
      <w:r w:rsidR="009C068A" w:rsidRPr="00BD19A7">
        <w:t>weighted</w:t>
      </w:r>
      <w:r w:rsidR="0019195B" w:rsidRPr="00BD19A7">
        <w:t>,</w:t>
      </w:r>
      <w:r w:rsidR="009C068A" w:rsidRPr="00BD19A7">
        <w:t xml:space="preserve"> </w:t>
      </w:r>
      <w:r w:rsidR="00966407" w:rsidRPr="00BD19A7">
        <w:t>effective price per vial</w:t>
      </w:r>
      <w:r w:rsidRPr="00BD19A7">
        <w:t>.</w:t>
      </w:r>
      <w:r w:rsidR="00E14F8B" w:rsidRPr="00BD19A7">
        <w:t xml:space="preserve"> </w:t>
      </w:r>
    </w:p>
    <w:p w14:paraId="6B4AB6C2" w14:textId="4F1CBFD2" w:rsidR="005C25FF" w:rsidRPr="00BD19A7" w:rsidRDefault="005C25FF" w:rsidP="004A6040">
      <w:pPr>
        <w:pStyle w:val="2-SectionHeading"/>
      </w:pPr>
      <w:bookmarkStart w:id="2" w:name="_Toc156993248"/>
      <w:r w:rsidRPr="00BD19A7">
        <w:t>Background</w:t>
      </w:r>
      <w:bookmarkEnd w:id="2"/>
    </w:p>
    <w:p w14:paraId="2C521D6D" w14:textId="0CA46EAF" w:rsidR="005C25FF" w:rsidRPr="00BD19A7" w:rsidRDefault="005C25FF" w:rsidP="004A6040">
      <w:pPr>
        <w:pStyle w:val="4-SubsectionHeading"/>
      </w:pPr>
      <w:bookmarkStart w:id="3" w:name="_Toc22897638"/>
      <w:bookmarkStart w:id="4" w:name="_Toc156993249"/>
      <w:r w:rsidRPr="00BD19A7">
        <w:t>Registration status</w:t>
      </w:r>
      <w:bookmarkEnd w:id="3"/>
      <w:bookmarkEnd w:id="4"/>
    </w:p>
    <w:p w14:paraId="3F137A40" w14:textId="6C39F04A" w:rsidR="00997018" w:rsidRPr="00BD19A7" w:rsidRDefault="00997018" w:rsidP="004E18E9">
      <w:pPr>
        <w:pStyle w:val="3-BodyText"/>
      </w:pPr>
      <w:r w:rsidRPr="00BD19A7">
        <w:t>Vedolizumab is T</w:t>
      </w:r>
      <w:r w:rsidR="003B726C" w:rsidRPr="00BD19A7">
        <w:t>herapeutic Goods Administration (T</w:t>
      </w:r>
      <w:r w:rsidRPr="00BD19A7">
        <w:t>GA</w:t>
      </w:r>
      <w:r w:rsidR="003B726C" w:rsidRPr="00BD19A7">
        <w:t>)</w:t>
      </w:r>
      <w:r w:rsidRPr="00BD19A7">
        <w:t xml:space="preserve"> registered for the treatment of:</w:t>
      </w:r>
    </w:p>
    <w:p w14:paraId="03F4905C" w14:textId="7EA25F07" w:rsidR="00997018" w:rsidRPr="00BD19A7" w:rsidRDefault="00997018" w:rsidP="004A35C6">
      <w:pPr>
        <w:pStyle w:val="3-BodyText"/>
        <w:numPr>
          <w:ilvl w:val="0"/>
          <w:numId w:val="6"/>
        </w:numPr>
        <w:ind w:left="1080"/>
      </w:pPr>
      <w:r w:rsidRPr="00BD19A7">
        <w:t>adult patients with moderate to severe ulcerative colitis who have had an inadequate response to, lost response to, or are intolerant to either conventional therapy or a tumour necrosis factor-alpha (TNF-α) antagonist.</w:t>
      </w:r>
      <w:r w:rsidRPr="00BD19A7">
        <w:rPr>
          <w:color w:val="0066FF"/>
        </w:rPr>
        <w:t xml:space="preserve"> </w:t>
      </w:r>
    </w:p>
    <w:p w14:paraId="6C4250D3" w14:textId="3BFA0796" w:rsidR="00997018" w:rsidRPr="00BD19A7" w:rsidRDefault="00997018" w:rsidP="004A35C6">
      <w:pPr>
        <w:pStyle w:val="3-BodyText"/>
        <w:numPr>
          <w:ilvl w:val="0"/>
          <w:numId w:val="6"/>
        </w:numPr>
        <w:ind w:left="1080"/>
      </w:pPr>
      <w:r w:rsidRPr="00BD19A7">
        <w:t>adult patients with moderate to severe Crohn’s disease who have had an inadequate response with, lost response to, or are intolerant to</w:t>
      </w:r>
      <w:r w:rsidR="00FB2167">
        <w:t>,</w:t>
      </w:r>
      <w:r w:rsidRPr="00BD19A7">
        <w:t xml:space="preserve"> either conventional therapy or a tumour necrosis factor-alpha (TNF-α) antagonist.</w:t>
      </w:r>
    </w:p>
    <w:p w14:paraId="11FCA5B9" w14:textId="40340BC1" w:rsidR="00F538D5" w:rsidRPr="00BD19A7" w:rsidRDefault="00F538D5" w:rsidP="007A4873">
      <w:pPr>
        <w:pStyle w:val="3-BodyText"/>
        <w:numPr>
          <w:ilvl w:val="0"/>
          <w:numId w:val="0"/>
        </w:numPr>
        <w:ind w:left="720" w:hanging="720"/>
        <w:outlineLvl w:val="2"/>
        <w:rPr>
          <w:b/>
          <w:bCs/>
        </w:rPr>
      </w:pPr>
      <w:r w:rsidRPr="00BD19A7">
        <w:rPr>
          <w:b/>
          <w:bCs/>
        </w:rPr>
        <w:t>Induction doses</w:t>
      </w:r>
    </w:p>
    <w:p w14:paraId="71C0EF2F" w14:textId="00E101D3" w:rsidR="00F538D5" w:rsidRPr="00BD19A7" w:rsidRDefault="00997018" w:rsidP="007A4873">
      <w:pPr>
        <w:pStyle w:val="3-BodyText"/>
      </w:pPr>
      <w:r w:rsidRPr="00BD19A7">
        <w:t xml:space="preserve">The </w:t>
      </w:r>
      <w:r w:rsidR="000C1700" w:rsidRPr="00BD19A7">
        <w:t xml:space="preserve">existing PBS regimen of </w:t>
      </w:r>
      <w:r w:rsidRPr="00BD19A7">
        <w:t xml:space="preserve">three induction doses </w:t>
      </w:r>
      <w:r w:rsidR="002F3144" w:rsidRPr="00BD19A7">
        <w:t xml:space="preserve">of vedolizumab 300 mg IV </w:t>
      </w:r>
      <w:r w:rsidRPr="00BD19A7">
        <w:t xml:space="preserve">at </w:t>
      </w:r>
      <w:r w:rsidR="00732FCE" w:rsidRPr="00BD19A7">
        <w:t>week</w:t>
      </w:r>
      <w:r w:rsidR="002F3144" w:rsidRPr="00BD19A7">
        <w:t>s</w:t>
      </w:r>
      <w:r w:rsidRPr="00BD19A7">
        <w:t xml:space="preserve"> 0, 2, and 6 align</w:t>
      </w:r>
      <w:r w:rsidR="000C1700" w:rsidRPr="00BD19A7">
        <w:t>s</w:t>
      </w:r>
      <w:r w:rsidRPr="00BD19A7">
        <w:t xml:space="preserve"> with the recommended dosing in the TGA-approved Product Information (PI). </w:t>
      </w:r>
    </w:p>
    <w:p w14:paraId="35C2F064" w14:textId="513148D5" w:rsidR="00F538D5" w:rsidRPr="00BD19A7" w:rsidRDefault="00F538D5" w:rsidP="00F538D5">
      <w:pPr>
        <w:pStyle w:val="3-BodyText"/>
      </w:pPr>
      <w:r w:rsidRPr="00BD19A7">
        <w:t xml:space="preserve">In June 2017, the sponsor applied to the TGA to amend the PI to allow for an additional induction dose at week 10. The delegate requested consideration by the Advisory Committee on Medicines (ACM), who stated that the sponsor’s submission did not </w:t>
      </w:r>
      <w:r w:rsidRPr="00BD19A7">
        <w:lastRenderedPageBreak/>
        <w:t xml:space="preserve">satisfactorily establish the safety and efficacy of administering an additional induction dose at </w:t>
      </w:r>
      <w:r w:rsidR="000C1700" w:rsidRPr="00BD19A7">
        <w:t>w</w:t>
      </w:r>
      <w:r w:rsidRPr="00BD19A7">
        <w:t xml:space="preserve">eek 10 for patients with </w:t>
      </w:r>
      <w:r w:rsidR="00B10CBD" w:rsidRPr="00BD19A7">
        <w:t>CD</w:t>
      </w:r>
      <w:r w:rsidRPr="00BD19A7">
        <w:t xml:space="preserve"> who have not responded to the 0, 2 and 6 week regimen. </w:t>
      </w:r>
    </w:p>
    <w:p w14:paraId="1A5F27E2" w14:textId="40F9F8FD" w:rsidR="00F538D5" w:rsidRPr="00BD19A7" w:rsidRDefault="00491AA3" w:rsidP="00491AA3">
      <w:pPr>
        <w:pStyle w:val="3-BodyText"/>
      </w:pPr>
      <w:r w:rsidRPr="00BD19A7">
        <w:t>Following the ACM advice, t</w:t>
      </w:r>
      <w:r w:rsidR="00F538D5" w:rsidRPr="00BD19A7">
        <w:t xml:space="preserve">he </w:t>
      </w:r>
      <w:r w:rsidR="00B677E9" w:rsidRPr="00BD19A7">
        <w:t xml:space="preserve">TGA requested further data from the </w:t>
      </w:r>
      <w:r w:rsidR="00F538D5" w:rsidRPr="00BD19A7">
        <w:t>sponsor</w:t>
      </w:r>
      <w:r w:rsidRPr="00BD19A7">
        <w:t xml:space="preserve">. </w:t>
      </w:r>
      <w:r w:rsidR="00B677E9" w:rsidRPr="00BD19A7">
        <w:t>T</w:t>
      </w:r>
      <w:r w:rsidR="00F538D5" w:rsidRPr="00BD19A7">
        <w:t xml:space="preserve">he Delegate </w:t>
      </w:r>
      <w:r w:rsidR="00B677E9" w:rsidRPr="00BD19A7">
        <w:t xml:space="preserve">considered </w:t>
      </w:r>
      <w:r w:rsidR="00AC45C0" w:rsidRPr="00BD19A7">
        <w:t xml:space="preserve">these </w:t>
      </w:r>
      <w:r w:rsidR="00B677E9" w:rsidRPr="00BD19A7">
        <w:t xml:space="preserve">data and </w:t>
      </w:r>
      <w:r w:rsidR="00F538D5" w:rsidRPr="00BD19A7">
        <w:t xml:space="preserve">approved the variations to the </w:t>
      </w:r>
      <w:r w:rsidR="00F20A6D" w:rsidRPr="00BD19A7">
        <w:t xml:space="preserve">PI </w:t>
      </w:r>
      <w:r w:rsidR="00F538D5" w:rsidRPr="00BD19A7">
        <w:t>to state</w:t>
      </w:r>
      <w:r w:rsidR="00997018" w:rsidRPr="00BD19A7">
        <w:t xml:space="preserve"> that ‘</w:t>
      </w:r>
      <w:r w:rsidR="00997018" w:rsidRPr="00BD19A7">
        <w:rPr>
          <w:i/>
          <w:iCs/>
        </w:rPr>
        <w:t xml:space="preserve">Some patients with Crohn’s disease who have not shown a response may benefit from a dose at </w:t>
      </w:r>
      <w:r w:rsidR="00732FCE" w:rsidRPr="00BD19A7">
        <w:rPr>
          <w:i/>
          <w:iCs/>
        </w:rPr>
        <w:t>week</w:t>
      </w:r>
      <w:r w:rsidR="00997018" w:rsidRPr="00BD19A7">
        <w:rPr>
          <w:i/>
          <w:iCs/>
        </w:rPr>
        <w:t xml:space="preserve"> 10</w:t>
      </w:r>
      <w:r w:rsidR="00997018" w:rsidRPr="00BD19A7">
        <w:t>’</w:t>
      </w:r>
      <w:r w:rsidR="002F3144" w:rsidRPr="00BD19A7">
        <w:t>.</w:t>
      </w:r>
      <w:r w:rsidR="00F20A6D" w:rsidRPr="00BD19A7">
        <w:t xml:space="preserve"> </w:t>
      </w:r>
    </w:p>
    <w:p w14:paraId="767436D4" w14:textId="334F15C4" w:rsidR="00192015" w:rsidRPr="00BD19A7" w:rsidRDefault="00192015" w:rsidP="003B726C">
      <w:pPr>
        <w:pStyle w:val="3-BodyText"/>
        <w:keepNext/>
        <w:numPr>
          <w:ilvl w:val="0"/>
          <w:numId w:val="0"/>
        </w:numPr>
        <w:outlineLvl w:val="2"/>
        <w:rPr>
          <w:b/>
          <w:bCs/>
        </w:rPr>
      </w:pPr>
      <w:r w:rsidRPr="00BD19A7">
        <w:rPr>
          <w:b/>
          <w:bCs/>
        </w:rPr>
        <w:t>PML Clinical Criteria</w:t>
      </w:r>
    </w:p>
    <w:p w14:paraId="1E45B220" w14:textId="1B4D7658" w:rsidR="002F3144" w:rsidRPr="00BD19A7" w:rsidRDefault="003B726C" w:rsidP="003B726C">
      <w:pPr>
        <w:pStyle w:val="3-BodyText"/>
        <w:keepNext/>
      </w:pPr>
      <w:r w:rsidRPr="00BD19A7">
        <w:t xml:space="preserve">On 27th September 2023, the </w:t>
      </w:r>
      <w:r w:rsidR="00966407" w:rsidRPr="00BD19A7">
        <w:t xml:space="preserve">TGA </w:t>
      </w:r>
      <w:r w:rsidRPr="00BD19A7">
        <w:t>Risk Management Plan (RMP) evaluator accepted the updated EU-RMP v8.1 and Australian Specific Annex (ASA) v7.0 (dated September 2023) for vedolizumab,</w:t>
      </w:r>
      <w:r w:rsidR="002F3144" w:rsidRPr="00BD19A7">
        <w:t xml:space="preserve"> whereby a specific adverse event follow-up check list for </w:t>
      </w:r>
      <w:r w:rsidR="00192015" w:rsidRPr="00BD19A7">
        <w:t>PML</w:t>
      </w:r>
      <w:r w:rsidR="002F3144" w:rsidRPr="00BD19A7">
        <w:t xml:space="preserve"> is no longer required as an </w:t>
      </w:r>
      <w:r w:rsidR="00BB6D97" w:rsidRPr="00BD19A7">
        <w:t>A</w:t>
      </w:r>
      <w:r w:rsidR="002F3144" w:rsidRPr="00BD19A7">
        <w:t xml:space="preserve">dditional Risk Minimisation Measures (ARMMS). A </w:t>
      </w:r>
      <w:r w:rsidRPr="00BD19A7">
        <w:t>Healthcare Professional (HCP) brochure</w:t>
      </w:r>
      <w:r w:rsidR="002F3144" w:rsidRPr="00BD19A7">
        <w:t xml:space="preserve"> and Patient Alert Card for vedolizumab as an ARRMS is also no longer required for PML or other serious infections. </w:t>
      </w:r>
    </w:p>
    <w:p w14:paraId="062D8FD7" w14:textId="77438A5D" w:rsidR="002F3144" w:rsidRPr="00BD19A7" w:rsidRDefault="0068740E" w:rsidP="002F3144">
      <w:pPr>
        <w:pStyle w:val="3-BodyText"/>
      </w:pPr>
      <w:r w:rsidRPr="00BD19A7">
        <w:t>On 18 December 2023, the TGA approved an amendment to the PI for vedolizumab. T</w:t>
      </w:r>
      <w:r w:rsidR="002F3144" w:rsidRPr="00BD19A7">
        <w:t xml:space="preserve">he following two sentences </w:t>
      </w:r>
      <w:r w:rsidRPr="00BD19A7">
        <w:t xml:space="preserve">were </w:t>
      </w:r>
      <w:r w:rsidR="00A43ADC" w:rsidRPr="00BD19A7">
        <w:t>amended in</w:t>
      </w:r>
      <w:r w:rsidR="002F3144" w:rsidRPr="00BD19A7">
        <w:t xml:space="preserve"> the special warnings and precautions section of the PI under PML:</w:t>
      </w:r>
    </w:p>
    <w:p w14:paraId="5374AD55" w14:textId="785C1AE3" w:rsidR="005C25FF" w:rsidRPr="00BD19A7" w:rsidRDefault="002F3144" w:rsidP="002F3144">
      <w:pPr>
        <w:pStyle w:val="3-BodyText"/>
        <w:numPr>
          <w:ilvl w:val="0"/>
          <w:numId w:val="0"/>
        </w:numPr>
        <w:ind w:left="1440"/>
      </w:pPr>
      <w:r w:rsidRPr="00BD19A7">
        <w:t xml:space="preserve">‘Patients should be advised of this potential risk for PML and that they should </w:t>
      </w:r>
      <w:proofErr w:type="gramStart"/>
      <w:r w:rsidRPr="00BD19A7">
        <w:rPr>
          <w:strike/>
        </w:rPr>
        <w:t>carry a Patient Alert Card at all times</w:t>
      </w:r>
      <w:proofErr w:type="gramEnd"/>
      <w:r w:rsidRPr="00BD19A7">
        <w:rPr>
          <w:strike/>
        </w:rPr>
        <w:t>. The Alert Card reminds patients that they</w:t>
      </w:r>
      <w:r w:rsidRPr="00BD19A7">
        <w:t xml:space="preserve"> must contact their doctor if they have unusual or prolonged new neurological symptoms or if they have severe or prolonged symptoms of infection.’</w:t>
      </w:r>
    </w:p>
    <w:p w14:paraId="00805E18" w14:textId="535A7074" w:rsidR="00B8214A" w:rsidRPr="00BD19A7" w:rsidRDefault="00B8214A" w:rsidP="00B8214A">
      <w:pPr>
        <w:pStyle w:val="3-BodyText"/>
      </w:pPr>
      <w:r w:rsidRPr="00BD19A7">
        <w:t xml:space="preserve">The revised PI continues to contain the following section </w:t>
      </w:r>
      <w:r w:rsidR="00966407" w:rsidRPr="00BD19A7">
        <w:t>regarding</w:t>
      </w:r>
      <w:r w:rsidRPr="00BD19A7">
        <w:t xml:space="preserve"> PML:</w:t>
      </w:r>
    </w:p>
    <w:p w14:paraId="30244B44" w14:textId="77777777" w:rsidR="00B8214A" w:rsidRPr="00BD19A7" w:rsidRDefault="00B8214A" w:rsidP="00724C51">
      <w:pPr>
        <w:pStyle w:val="3-BodyText"/>
        <w:numPr>
          <w:ilvl w:val="0"/>
          <w:numId w:val="0"/>
        </w:numPr>
        <w:ind w:left="1440"/>
        <w:rPr>
          <w:b/>
          <w:bCs/>
        </w:rPr>
      </w:pPr>
      <w:r w:rsidRPr="00BD19A7">
        <w:rPr>
          <w:b/>
          <w:bCs/>
        </w:rPr>
        <w:t xml:space="preserve">Progressive Multifocal Leukoencephalopathy </w:t>
      </w:r>
    </w:p>
    <w:p w14:paraId="46B3036C" w14:textId="77777777" w:rsidR="00B8214A" w:rsidRPr="00BD19A7" w:rsidRDefault="00B8214A" w:rsidP="00724C51">
      <w:pPr>
        <w:pStyle w:val="3-BodyText"/>
        <w:numPr>
          <w:ilvl w:val="0"/>
          <w:numId w:val="0"/>
        </w:numPr>
        <w:ind w:left="1440"/>
      </w:pPr>
      <w:r w:rsidRPr="00BD19A7">
        <w:t xml:space="preserve">Some integrin antagonists and some systemic immunosuppressive agents have been associated with progressive multifocal leukoencephalopathy (PML), which is a rare and often fatal opportunistic infection of the central nervous system (CNS) caused by the John Cunningham (JC) virus. Vedolizumab has no known systemic immunosuppressive activity. </w:t>
      </w:r>
    </w:p>
    <w:p w14:paraId="1ED2A5AD" w14:textId="77777777" w:rsidR="00B8214A" w:rsidRPr="00BD19A7" w:rsidRDefault="00B8214A" w:rsidP="00724C51">
      <w:pPr>
        <w:pStyle w:val="3-BodyText"/>
        <w:numPr>
          <w:ilvl w:val="0"/>
          <w:numId w:val="0"/>
        </w:numPr>
        <w:ind w:left="1440"/>
      </w:pPr>
      <w:r w:rsidRPr="00BD19A7">
        <w:t>In ENTYVIO clinical trials, patients were screened for PML prior to enrolment and actively monitored during participation, with evaluations of any new, unexplained neurological symptoms as necessary. While no cases of PML were identified among patients with at least 24 months of exposure, a risk of PML cannot be ruled out.</w:t>
      </w:r>
    </w:p>
    <w:p w14:paraId="32F47655" w14:textId="77777777" w:rsidR="00B8214A" w:rsidRPr="00BD19A7" w:rsidRDefault="00B8214A" w:rsidP="00724C51">
      <w:pPr>
        <w:pStyle w:val="3-BodyText"/>
        <w:numPr>
          <w:ilvl w:val="0"/>
          <w:numId w:val="0"/>
        </w:numPr>
        <w:ind w:left="1440"/>
      </w:pPr>
      <w:r w:rsidRPr="00BD19A7">
        <w:t xml:space="preserve">Patients should be monitored for any new onset, or worsening, of neurological signs and symptoms. Typical signs and symptoms associated with PML are diverse, progress over days to weeks, and include progressive weakness on one side of the body or clumsiness of limbs, disturbance of vision, and changes in thinking, memory, and orientation leading to confusion and personality changes. </w:t>
      </w:r>
    </w:p>
    <w:p w14:paraId="01B12EDC" w14:textId="50A05BF4" w:rsidR="00B8214A" w:rsidRPr="00BD19A7" w:rsidRDefault="00B8214A" w:rsidP="00724C51">
      <w:pPr>
        <w:pStyle w:val="3-BodyText"/>
        <w:numPr>
          <w:ilvl w:val="0"/>
          <w:numId w:val="0"/>
        </w:numPr>
        <w:ind w:left="1440"/>
      </w:pPr>
      <w:r w:rsidRPr="00BD19A7">
        <w:lastRenderedPageBreak/>
        <w:t>Patients should be advised of this potential risk for PML and that they should contact their doctor if they have unusual or prolonged new neurological symptoms or if they have severe or prolonged symptoms of infection. Healthcare professionals should monitor patients on vedolizumab for any new signs or symptoms that may be suggestive of serious infection including PML. Vedolizumab dosing should be withheld immediately at the first signs or symptoms suggestive of PML, and patients should be referred to a neurologist. If PML is confirmed, treatment must be permanently discontinued.</w:t>
      </w:r>
    </w:p>
    <w:p w14:paraId="3E2A6EAB" w14:textId="04FFFAF8" w:rsidR="005C25FF" w:rsidRPr="00BD19A7" w:rsidRDefault="005C25FF" w:rsidP="004E18E9">
      <w:pPr>
        <w:pStyle w:val="4-SubsectionHeading"/>
      </w:pPr>
      <w:bookmarkStart w:id="5" w:name="_Toc22897639"/>
      <w:bookmarkStart w:id="6" w:name="_Toc156993250"/>
      <w:r w:rsidRPr="00BD19A7">
        <w:t>Previous PBAC consideration</w:t>
      </w:r>
      <w:bookmarkEnd w:id="5"/>
      <w:bookmarkEnd w:id="6"/>
    </w:p>
    <w:p w14:paraId="0E7545ED" w14:textId="78091E19" w:rsidR="00233AA2" w:rsidRPr="00BD19A7" w:rsidRDefault="00136BCC" w:rsidP="00233AA2">
      <w:pPr>
        <w:pStyle w:val="3-BodyText"/>
      </w:pPr>
      <w:r w:rsidRPr="00BD19A7">
        <w:t>At its March 2015 meeting, the PBAC recommended the listing of vedolizumab</w:t>
      </w:r>
      <w:r w:rsidR="00233AA2" w:rsidRPr="00BD19A7">
        <w:t xml:space="preserve"> IV</w:t>
      </w:r>
      <w:r w:rsidRPr="00BD19A7">
        <w:t xml:space="preserve"> for the treatment of moderate to severe ulcerative colitis </w:t>
      </w:r>
      <w:r w:rsidR="00233AA2" w:rsidRPr="00BD19A7">
        <w:t xml:space="preserve">(MSUC) </w:t>
      </w:r>
      <w:r w:rsidRPr="00BD19A7">
        <w:t xml:space="preserve">and </w:t>
      </w:r>
      <w:r w:rsidR="000C0260" w:rsidRPr="00BD19A7">
        <w:t xml:space="preserve">severe </w:t>
      </w:r>
      <w:r w:rsidR="00233AA2" w:rsidRPr="00BD19A7">
        <w:t>CD</w:t>
      </w:r>
      <w:r w:rsidRPr="00BD19A7">
        <w:t xml:space="preserve">. </w:t>
      </w:r>
      <w:r w:rsidR="00233AA2" w:rsidRPr="00BD19A7">
        <w:t xml:space="preserve">Vedolizumab IV was first listed on the PBS on 1 August 2015. </w:t>
      </w:r>
    </w:p>
    <w:p w14:paraId="08C0964E" w14:textId="2B3046A1" w:rsidR="00233AA2" w:rsidRPr="00BD19A7" w:rsidRDefault="00233AA2" w:rsidP="00233AA2">
      <w:pPr>
        <w:pStyle w:val="3-BodyText"/>
      </w:pPr>
      <w:r w:rsidRPr="00BD19A7">
        <w:t xml:space="preserve">At its November 2020 meeting, the PBAC recommended the listing of vedolizumab subcutaneous (SC) administration as maintenance treatment for patients with MSUC and </w:t>
      </w:r>
      <w:r w:rsidR="000C0260" w:rsidRPr="00BD19A7">
        <w:t xml:space="preserve">severe </w:t>
      </w:r>
      <w:r w:rsidRPr="00BD19A7">
        <w:t>C</w:t>
      </w:r>
      <w:r w:rsidR="000C0260" w:rsidRPr="00BD19A7">
        <w:t>D</w:t>
      </w:r>
      <w:r w:rsidR="00B8214A" w:rsidRPr="00BD19A7">
        <w:t xml:space="preserve"> on a cost minimisation basis to vedolizumab IV</w:t>
      </w:r>
      <w:r w:rsidRPr="00BD19A7">
        <w:t xml:space="preserve">. </w:t>
      </w:r>
    </w:p>
    <w:p w14:paraId="27105E2F" w14:textId="0C983C59" w:rsidR="00ED4B04" w:rsidRPr="00BD19A7" w:rsidRDefault="00233AA2" w:rsidP="002E4F02">
      <w:pPr>
        <w:pStyle w:val="3-BodyText"/>
      </w:pPr>
      <w:r w:rsidRPr="00BD19A7">
        <w:t xml:space="preserve">The PBAC has not previously considered the listing of an additional dose of vedolizumab IV 300 mg at </w:t>
      </w:r>
      <w:r w:rsidR="00732FCE" w:rsidRPr="00BD19A7">
        <w:t>week</w:t>
      </w:r>
      <w:r w:rsidRPr="00BD19A7">
        <w:t xml:space="preserve"> 10 for the initial treatment of </w:t>
      </w:r>
      <w:r w:rsidR="000C0260" w:rsidRPr="00BD19A7">
        <w:t xml:space="preserve">severe </w:t>
      </w:r>
      <w:r w:rsidRPr="00BD19A7">
        <w:t>CD.</w:t>
      </w:r>
    </w:p>
    <w:p w14:paraId="10AFB300" w14:textId="343DAEE4" w:rsidR="00167752" w:rsidRPr="00BD19A7" w:rsidRDefault="00167752" w:rsidP="00167752">
      <w:pPr>
        <w:ind w:firstLine="709"/>
        <w:rPr>
          <w:rFonts w:asciiTheme="minorHAnsi" w:hAnsiTheme="minorHAnsi"/>
          <w:i/>
        </w:rPr>
      </w:pPr>
      <w:bookmarkStart w:id="7" w:name="_Hlk76375324"/>
      <w:r w:rsidRPr="00BD19A7">
        <w:rPr>
          <w:rFonts w:asciiTheme="minorHAnsi" w:hAnsiTheme="minorHAnsi"/>
          <w:i/>
        </w:rPr>
        <w:t>For more detail on PBAC’s view, see section 7 PBAC outcome.</w:t>
      </w:r>
      <w:bookmarkEnd w:id="7"/>
    </w:p>
    <w:p w14:paraId="1B423B86" w14:textId="3DF2A570" w:rsidR="003A4C14" w:rsidRPr="00BD19A7" w:rsidRDefault="00B50DB8" w:rsidP="003A4C14">
      <w:pPr>
        <w:pStyle w:val="2-SectionHeading"/>
      </w:pPr>
      <w:bookmarkStart w:id="8" w:name="_Toc107902078"/>
      <w:bookmarkStart w:id="9" w:name="_Toc156993251"/>
      <w:bookmarkEnd w:id="8"/>
      <w:r w:rsidRPr="00BD19A7">
        <w:t>Requested listing</w:t>
      </w:r>
      <w:bookmarkEnd w:id="9"/>
    </w:p>
    <w:p w14:paraId="11046D35" w14:textId="77777777" w:rsidR="002D67F8" w:rsidRPr="00BD19A7" w:rsidRDefault="002D67F8" w:rsidP="002D67F8">
      <w:pPr>
        <w:pStyle w:val="3-BodyText"/>
        <w:spacing w:before="120"/>
      </w:pPr>
      <w:r w:rsidRPr="00BD19A7">
        <w:t>Suggested additions are in italics and deletions are in strikethrough.</w:t>
      </w:r>
    </w:p>
    <w:p w14:paraId="71DE51CF" w14:textId="6A8C1C89" w:rsidR="002D67F8" w:rsidRPr="00BD19A7" w:rsidRDefault="002D67F8" w:rsidP="002D67F8">
      <w:pPr>
        <w:pStyle w:val="3-BodyText"/>
        <w:numPr>
          <w:ilvl w:val="0"/>
          <w:numId w:val="0"/>
        </w:numPr>
        <w:spacing w:before="120" w:after="0"/>
      </w:pPr>
      <w:r w:rsidRPr="00BD19A7">
        <w:t>Additional induction dose: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2128"/>
        <w:gridCol w:w="1353"/>
        <w:gridCol w:w="812"/>
        <w:gridCol w:w="811"/>
        <w:gridCol w:w="812"/>
        <w:gridCol w:w="1741"/>
      </w:tblGrid>
      <w:tr w:rsidR="002D67F8" w:rsidRPr="00BD19A7" w14:paraId="3CDF8DB5" w14:textId="77777777" w:rsidTr="00000BB2">
        <w:trPr>
          <w:cantSplit/>
          <w:trHeight w:val="20"/>
        </w:trPr>
        <w:tc>
          <w:tcPr>
            <w:tcW w:w="3397" w:type="dxa"/>
            <w:gridSpan w:val="3"/>
            <w:tcBorders>
              <w:top w:val="single" w:sz="4" w:space="0" w:color="auto"/>
              <w:left w:val="single" w:sz="4" w:space="0" w:color="auto"/>
              <w:bottom w:val="single" w:sz="4" w:space="0" w:color="auto"/>
              <w:right w:val="single" w:sz="4" w:space="0" w:color="auto"/>
            </w:tcBorders>
            <w:vAlign w:val="center"/>
            <w:hideMark/>
          </w:tcPr>
          <w:p w14:paraId="78F55DF1" w14:textId="77777777" w:rsidR="002D67F8" w:rsidRPr="00BD19A7" w:rsidRDefault="002D67F8" w:rsidP="00000BB2">
            <w:pPr>
              <w:keepNext/>
              <w:keepLines/>
              <w:rPr>
                <w:rFonts w:ascii="Arial Narrow" w:hAnsi="Arial Narrow"/>
                <w:b/>
                <w:bCs/>
                <w:sz w:val="20"/>
                <w:szCs w:val="20"/>
              </w:rPr>
            </w:pPr>
            <w:r w:rsidRPr="00BD19A7">
              <w:rPr>
                <w:rFonts w:ascii="Arial Narrow" w:hAnsi="Arial Narrow"/>
                <w:b/>
                <w:bCs/>
                <w:sz w:val="20"/>
                <w:szCs w:val="20"/>
              </w:rPr>
              <w:t>MEDICINAL PRODUCT</w:t>
            </w:r>
          </w:p>
          <w:p w14:paraId="7821EE8B" w14:textId="77777777" w:rsidR="002D67F8" w:rsidRPr="00BD19A7" w:rsidRDefault="002D67F8" w:rsidP="00000BB2">
            <w:pPr>
              <w:keepNext/>
              <w:keepLines/>
              <w:rPr>
                <w:rFonts w:ascii="Arial Narrow" w:hAnsi="Arial Narrow"/>
                <w:b/>
                <w:sz w:val="20"/>
                <w:szCs w:val="20"/>
              </w:rPr>
            </w:pPr>
            <w:r w:rsidRPr="00BD19A7">
              <w:rPr>
                <w:rFonts w:ascii="Arial Narrow" w:hAnsi="Arial Narrow"/>
                <w:b/>
                <w:bCs/>
                <w:sz w:val="20"/>
                <w:szCs w:val="20"/>
              </w:rPr>
              <w:t>medicinal product pack</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8C93E69" w14:textId="77777777" w:rsidR="002D67F8" w:rsidRPr="00BD19A7" w:rsidRDefault="002D67F8" w:rsidP="00000BB2">
            <w:pPr>
              <w:keepNext/>
              <w:keepLines/>
              <w:jc w:val="center"/>
              <w:rPr>
                <w:rFonts w:ascii="Arial Narrow" w:hAnsi="Arial Narrow"/>
                <w:b/>
                <w:sz w:val="20"/>
                <w:szCs w:val="20"/>
              </w:rPr>
            </w:pPr>
            <w:r w:rsidRPr="00BD19A7">
              <w:rPr>
                <w:rFonts w:ascii="Arial Narrow" w:hAnsi="Arial Narrow"/>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6B6C1BFB" w14:textId="77777777" w:rsidR="002D67F8" w:rsidRPr="00BD19A7" w:rsidRDefault="002D67F8" w:rsidP="00000BB2">
            <w:pPr>
              <w:keepNext/>
              <w:keepLines/>
              <w:jc w:val="center"/>
              <w:rPr>
                <w:rFonts w:ascii="Arial Narrow" w:hAnsi="Arial Narrow"/>
                <w:b/>
                <w:sz w:val="20"/>
                <w:szCs w:val="20"/>
              </w:rPr>
            </w:pPr>
            <w:r w:rsidRPr="00BD19A7">
              <w:rPr>
                <w:rFonts w:ascii="Arial Narrow" w:hAnsi="Arial Narrow"/>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2D7A6438" w14:textId="77777777" w:rsidR="002D67F8" w:rsidRPr="00BD19A7" w:rsidRDefault="002D67F8" w:rsidP="00000BB2">
            <w:pPr>
              <w:keepNext/>
              <w:keepLines/>
              <w:jc w:val="center"/>
              <w:rPr>
                <w:rFonts w:ascii="Arial Narrow" w:hAnsi="Arial Narrow"/>
                <w:b/>
                <w:sz w:val="20"/>
                <w:szCs w:val="20"/>
              </w:rPr>
            </w:pPr>
            <w:r w:rsidRPr="00BD19A7">
              <w:rPr>
                <w:rFonts w:ascii="Arial Narrow" w:hAnsi="Arial Narrow"/>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4B6391E2" w14:textId="77777777" w:rsidR="002D67F8" w:rsidRPr="00BD19A7" w:rsidRDefault="002D67F8" w:rsidP="00000BB2">
            <w:pPr>
              <w:keepNext/>
              <w:keepLines/>
              <w:jc w:val="center"/>
              <w:rPr>
                <w:rFonts w:ascii="Arial Narrow" w:hAnsi="Arial Narrow"/>
                <w:b/>
                <w:sz w:val="20"/>
                <w:szCs w:val="20"/>
              </w:rPr>
            </w:pPr>
            <w:r w:rsidRPr="00BD19A7">
              <w:rPr>
                <w:rFonts w:ascii="Arial Narrow" w:hAnsi="Arial Narrow"/>
                <w:b/>
                <w:sz w:val="20"/>
                <w:szCs w:val="20"/>
              </w:rPr>
              <w:t>№.of</w:t>
            </w:r>
          </w:p>
          <w:p w14:paraId="45E06743" w14:textId="77777777" w:rsidR="002D67F8" w:rsidRPr="00BD19A7" w:rsidRDefault="002D67F8" w:rsidP="00000BB2">
            <w:pPr>
              <w:keepNext/>
              <w:keepLines/>
              <w:jc w:val="center"/>
              <w:rPr>
                <w:rFonts w:ascii="Arial Narrow" w:hAnsi="Arial Narrow"/>
                <w:b/>
                <w:sz w:val="20"/>
                <w:szCs w:val="20"/>
              </w:rPr>
            </w:pPr>
            <w:r w:rsidRPr="00BD19A7">
              <w:rPr>
                <w:rFonts w:ascii="Arial Narrow" w:hAnsi="Arial Narrow"/>
                <w:b/>
                <w:sz w:val="20"/>
                <w:szCs w:val="20"/>
              </w:rPr>
              <w:t>Rpts</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CE65F37" w14:textId="77777777" w:rsidR="002D67F8" w:rsidRPr="00BD19A7" w:rsidRDefault="002D67F8" w:rsidP="00000BB2">
            <w:pPr>
              <w:keepNext/>
              <w:keepLines/>
              <w:rPr>
                <w:rFonts w:ascii="Arial Narrow" w:hAnsi="Arial Narrow"/>
                <w:b/>
                <w:sz w:val="20"/>
                <w:szCs w:val="20"/>
              </w:rPr>
            </w:pPr>
            <w:r w:rsidRPr="00BD19A7">
              <w:rPr>
                <w:rFonts w:ascii="Arial Narrow" w:hAnsi="Arial Narrow"/>
                <w:b/>
                <w:sz w:val="20"/>
                <w:szCs w:val="20"/>
              </w:rPr>
              <w:t>Available brands</w:t>
            </w:r>
          </w:p>
        </w:tc>
      </w:tr>
      <w:tr w:rsidR="002D67F8" w:rsidRPr="00BD19A7" w14:paraId="713DC2E3" w14:textId="77777777" w:rsidTr="00000BB2">
        <w:trPr>
          <w:cantSplit/>
          <w:trHeight w:val="20"/>
        </w:trPr>
        <w:tc>
          <w:tcPr>
            <w:tcW w:w="8926" w:type="dxa"/>
            <w:gridSpan w:val="8"/>
            <w:tcBorders>
              <w:top w:val="single" w:sz="4" w:space="0" w:color="auto"/>
              <w:left w:val="single" w:sz="4" w:space="0" w:color="auto"/>
              <w:bottom w:val="single" w:sz="4" w:space="0" w:color="auto"/>
              <w:right w:val="single" w:sz="4" w:space="0" w:color="auto"/>
            </w:tcBorders>
            <w:vAlign w:val="center"/>
            <w:hideMark/>
          </w:tcPr>
          <w:p w14:paraId="674C3297" w14:textId="77777777" w:rsidR="002D67F8" w:rsidRPr="00BD19A7" w:rsidRDefault="002D67F8" w:rsidP="00000BB2">
            <w:pPr>
              <w:keepNext/>
              <w:keepLines/>
              <w:rPr>
                <w:rFonts w:ascii="Arial Narrow" w:hAnsi="Arial Narrow"/>
                <w:sz w:val="20"/>
                <w:szCs w:val="20"/>
              </w:rPr>
            </w:pPr>
            <w:r w:rsidRPr="00BD19A7">
              <w:rPr>
                <w:rFonts w:ascii="Arial Narrow" w:hAnsi="Arial Narrow"/>
                <w:sz w:val="20"/>
                <w:szCs w:val="20"/>
              </w:rPr>
              <w:t>VEDOLIZUMAB</w:t>
            </w:r>
          </w:p>
        </w:tc>
      </w:tr>
      <w:tr w:rsidR="002D67F8" w:rsidRPr="00BD19A7" w14:paraId="12DAE2F1" w14:textId="77777777" w:rsidTr="00000BB2">
        <w:trPr>
          <w:cantSplit/>
          <w:trHeight w:val="20"/>
        </w:trPr>
        <w:tc>
          <w:tcPr>
            <w:tcW w:w="3397" w:type="dxa"/>
            <w:gridSpan w:val="3"/>
            <w:tcBorders>
              <w:top w:val="single" w:sz="4" w:space="0" w:color="auto"/>
              <w:left w:val="single" w:sz="4" w:space="0" w:color="auto"/>
              <w:bottom w:val="single" w:sz="4" w:space="0" w:color="auto"/>
              <w:right w:val="single" w:sz="4" w:space="0" w:color="auto"/>
            </w:tcBorders>
            <w:vAlign w:val="center"/>
            <w:hideMark/>
          </w:tcPr>
          <w:p w14:paraId="696A7E37" w14:textId="77777777" w:rsidR="002D67F8" w:rsidRPr="00BD19A7" w:rsidRDefault="002D67F8" w:rsidP="00000BB2">
            <w:pPr>
              <w:keepNext/>
              <w:keepLines/>
              <w:rPr>
                <w:rFonts w:ascii="Arial Narrow" w:hAnsi="Arial Narrow"/>
                <w:sz w:val="20"/>
                <w:szCs w:val="20"/>
              </w:rPr>
            </w:pPr>
            <w:r w:rsidRPr="00BD19A7">
              <w:rPr>
                <w:rFonts w:ascii="Arial Narrow" w:hAnsi="Arial Narrow"/>
                <w:sz w:val="20"/>
                <w:szCs w:val="20"/>
              </w:rPr>
              <w:t>vedolizumab 300 mg injection, 1 vial</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578F8A5" w14:textId="77777777" w:rsidR="002D67F8" w:rsidRPr="00BD19A7" w:rsidRDefault="002D67F8" w:rsidP="00000BB2">
            <w:pPr>
              <w:keepNext/>
              <w:keepLines/>
              <w:jc w:val="center"/>
              <w:rPr>
                <w:rFonts w:ascii="Arial Narrow" w:hAnsi="Arial Narrow"/>
                <w:sz w:val="20"/>
                <w:szCs w:val="20"/>
              </w:rPr>
            </w:pPr>
            <w:r w:rsidRPr="00BD19A7">
              <w:rPr>
                <w:rFonts w:ascii="Arial Narrow" w:hAnsi="Arial Narrow"/>
                <w:sz w:val="20"/>
                <w:szCs w:val="20"/>
              </w:rPr>
              <w:t>NEW (Public)</w:t>
            </w:r>
          </w:p>
          <w:p w14:paraId="7CE7A4A9" w14:textId="77777777" w:rsidR="002D67F8" w:rsidRPr="00BD19A7" w:rsidRDefault="002D67F8" w:rsidP="00000BB2">
            <w:pPr>
              <w:keepNext/>
              <w:keepLines/>
              <w:jc w:val="center"/>
              <w:rPr>
                <w:rFonts w:ascii="Arial Narrow" w:hAnsi="Arial Narrow"/>
                <w:sz w:val="20"/>
                <w:szCs w:val="20"/>
              </w:rPr>
            </w:pPr>
            <w:r w:rsidRPr="00BD19A7">
              <w:rPr>
                <w:rFonts w:ascii="Arial Narrow" w:hAnsi="Arial Narrow"/>
                <w:sz w:val="20"/>
                <w:szCs w:val="20"/>
              </w:rPr>
              <w:t>NEW (Private)</w:t>
            </w:r>
          </w:p>
          <w:p w14:paraId="5DA4D59D" w14:textId="77777777" w:rsidR="002D67F8" w:rsidRPr="00BD19A7" w:rsidRDefault="002D67F8" w:rsidP="00000BB2">
            <w:pPr>
              <w:keepNext/>
              <w:keepLines/>
              <w:jc w:val="center"/>
              <w:rPr>
                <w:rFonts w:ascii="Arial Narrow" w:hAnsi="Arial Narrow"/>
                <w:sz w:val="20"/>
                <w:szCs w:val="20"/>
                <w:vertAlign w:val="subscript"/>
              </w:rPr>
            </w:pPr>
            <w:r w:rsidRPr="00BD19A7">
              <w:rPr>
                <w:rFonts w:ascii="Arial Narrow" w:hAnsi="Arial Narrow"/>
                <w:sz w:val="20"/>
                <w:szCs w:val="20"/>
                <w:vertAlign w:val="subscript"/>
              </w:rPr>
              <w:t>MP</w:t>
            </w:r>
          </w:p>
        </w:tc>
        <w:tc>
          <w:tcPr>
            <w:tcW w:w="812" w:type="dxa"/>
            <w:tcBorders>
              <w:top w:val="single" w:sz="4" w:space="0" w:color="auto"/>
              <w:left w:val="single" w:sz="4" w:space="0" w:color="auto"/>
              <w:bottom w:val="single" w:sz="4" w:space="0" w:color="auto"/>
              <w:right w:val="single" w:sz="4" w:space="0" w:color="auto"/>
            </w:tcBorders>
            <w:vAlign w:val="center"/>
            <w:hideMark/>
          </w:tcPr>
          <w:p w14:paraId="17A3C95F" w14:textId="77777777" w:rsidR="002D67F8" w:rsidRPr="00BD19A7" w:rsidRDefault="002D67F8" w:rsidP="00000BB2">
            <w:pPr>
              <w:keepNext/>
              <w:keepLines/>
              <w:jc w:val="center"/>
              <w:rPr>
                <w:rFonts w:ascii="Arial Narrow" w:hAnsi="Arial Narrow"/>
                <w:sz w:val="20"/>
                <w:szCs w:val="20"/>
              </w:rPr>
            </w:pPr>
            <w:r w:rsidRPr="00BD19A7">
              <w:rPr>
                <w:rFonts w:ascii="Arial Narrow" w:hAnsi="Arial Narrow"/>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0170F31E" w14:textId="77777777" w:rsidR="002D67F8" w:rsidRPr="00BD19A7" w:rsidRDefault="002D67F8" w:rsidP="00000BB2">
            <w:pPr>
              <w:keepNext/>
              <w:keepLines/>
              <w:jc w:val="center"/>
              <w:rPr>
                <w:rFonts w:ascii="Arial Narrow" w:hAnsi="Arial Narrow"/>
                <w:sz w:val="20"/>
                <w:szCs w:val="20"/>
              </w:rPr>
            </w:pPr>
            <w:r w:rsidRPr="00BD19A7">
              <w:rPr>
                <w:rFonts w:ascii="Arial Narrow" w:hAnsi="Arial Narrow"/>
                <w:sz w:val="20"/>
                <w:szCs w:val="20"/>
              </w:rPr>
              <w:t>1</w:t>
            </w:r>
          </w:p>
        </w:tc>
        <w:tc>
          <w:tcPr>
            <w:tcW w:w="812" w:type="dxa"/>
            <w:tcBorders>
              <w:top w:val="single" w:sz="4" w:space="0" w:color="auto"/>
              <w:left w:val="single" w:sz="4" w:space="0" w:color="auto"/>
              <w:bottom w:val="single" w:sz="4" w:space="0" w:color="auto"/>
              <w:right w:val="single" w:sz="4" w:space="0" w:color="auto"/>
            </w:tcBorders>
            <w:vAlign w:val="center"/>
            <w:hideMark/>
          </w:tcPr>
          <w:p w14:paraId="652B82D0" w14:textId="77777777" w:rsidR="002D67F8" w:rsidRPr="00BD19A7" w:rsidRDefault="002D67F8" w:rsidP="00000BB2">
            <w:pPr>
              <w:keepNext/>
              <w:keepLines/>
              <w:jc w:val="center"/>
              <w:rPr>
                <w:rFonts w:ascii="Arial Narrow" w:hAnsi="Arial Narrow"/>
                <w:sz w:val="20"/>
                <w:szCs w:val="20"/>
              </w:rPr>
            </w:pPr>
            <w:r w:rsidRPr="00BD19A7">
              <w:rPr>
                <w:rFonts w:ascii="Arial Narrow" w:hAnsi="Arial Narrow"/>
                <w:sz w:val="20"/>
                <w:szCs w:val="20"/>
              </w:rPr>
              <w:t>0</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1465941" w14:textId="77777777" w:rsidR="002D67F8" w:rsidRPr="00BD19A7" w:rsidRDefault="002D67F8" w:rsidP="00000BB2">
            <w:pPr>
              <w:keepNext/>
              <w:keepLines/>
              <w:rPr>
                <w:rFonts w:ascii="Arial Narrow" w:hAnsi="Arial Narrow"/>
                <w:sz w:val="20"/>
                <w:szCs w:val="20"/>
              </w:rPr>
            </w:pPr>
            <w:r w:rsidRPr="00BD19A7">
              <w:rPr>
                <w:rFonts w:ascii="Arial Narrow" w:hAnsi="Arial Narrow"/>
                <w:sz w:val="20"/>
                <w:szCs w:val="20"/>
              </w:rPr>
              <w:t>Entyvio</w:t>
            </w:r>
          </w:p>
        </w:tc>
      </w:tr>
      <w:tr w:rsidR="002D67F8" w:rsidRPr="00BD19A7" w14:paraId="3DE74FD7" w14:textId="77777777" w:rsidTr="00000BB2">
        <w:trPr>
          <w:trHeight w:val="20"/>
        </w:trPr>
        <w:tc>
          <w:tcPr>
            <w:tcW w:w="892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40E03C" w14:textId="77777777" w:rsidR="002D67F8" w:rsidRPr="00BD19A7" w:rsidRDefault="002D67F8" w:rsidP="00000BB2">
            <w:pPr>
              <w:keepNext/>
              <w:keepLines/>
              <w:rPr>
                <w:rFonts w:ascii="Arial Narrow" w:hAnsi="Arial Narrow"/>
                <w:sz w:val="20"/>
                <w:szCs w:val="20"/>
              </w:rPr>
            </w:pPr>
          </w:p>
        </w:tc>
      </w:tr>
      <w:tr w:rsidR="002D67F8" w:rsidRPr="00BD19A7" w14:paraId="78ECED47" w14:textId="77777777" w:rsidTr="00000BB2">
        <w:trPr>
          <w:trHeight w:val="20"/>
        </w:trPr>
        <w:tc>
          <w:tcPr>
            <w:tcW w:w="892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EEB043" w14:textId="77777777" w:rsidR="002D67F8" w:rsidRPr="00BD19A7" w:rsidRDefault="002D67F8" w:rsidP="00000BB2">
            <w:pPr>
              <w:keepLines/>
              <w:rPr>
                <w:rFonts w:ascii="Arial Narrow" w:hAnsi="Arial Narrow"/>
                <w:b/>
                <w:sz w:val="20"/>
                <w:szCs w:val="20"/>
              </w:rPr>
            </w:pPr>
            <w:r w:rsidRPr="00BD19A7">
              <w:rPr>
                <w:rFonts w:ascii="Arial Narrow" w:hAnsi="Arial Narrow"/>
                <w:b/>
                <w:sz w:val="20"/>
                <w:szCs w:val="20"/>
              </w:rPr>
              <w:t xml:space="preserve">Restriction Summary [new 1] / Treatment of Concept: [new 2] </w:t>
            </w:r>
          </w:p>
        </w:tc>
      </w:tr>
      <w:tr w:rsidR="002D67F8" w:rsidRPr="00BD19A7" w14:paraId="6FE7F813" w14:textId="77777777" w:rsidTr="00000BB2">
        <w:trPr>
          <w:trHeight w:val="20"/>
        </w:trPr>
        <w:tc>
          <w:tcPr>
            <w:tcW w:w="1269"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457AF36" w14:textId="77777777" w:rsidR="002D67F8" w:rsidRPr="00BD19A7" w:rsidRDefault="002D67F8" w:rsidP="00000BB2">
            <w:pPr>
              <w:jc w:val="center"/>
              <w:rPr>
                <w:rFonts w:ascii="Arial Narrow" w:hAnsi="Arial Narrow"/>
                <w:b/>
                <w:sz w:val="20"/>
                <w:szCs w:val="20"/>
              </w:rPr>
            </w:pPr>
            <w:r w:rsidRPr="00BD19A7">
              <w:rPr>
                <w:rFonts w:ascii="Arial Narrow" w:hAnsi="Arial Narrow"/>
                <w:b/>
                <w:sz w:val="20"/>
                <w:szCs w:val="20"/>
              </w:rPr>
              <w:t xml:space="preserve">Concept ID </w:t>
            </w:r>
            <w:r w:rsidRPr="00BD19A7">
              <w:rPr>
                <w:rFonts w:ascii="Arial Narrow" w:hAnsi="Arial Narrow"/>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E96C2E" w14:textId="77777777" w:rsidR="002D67F8" w:rsidRPr="00BD19A7" w:rsidRDefault="002D67F8" w:rsidP="00000BB2">
            <w:pPr>
              <w:keepLines/>
              <w:rPr>
                <w:rFonts w:ascii="Arial Narrow" w:hAnsi="Arial Narrow"/>
                <w:sz w:val="20"/>
                <w:szCs w:val="20"/>
              </w:rPr>
            </w:pPr>
            <w:r w:rsidRPr="00BD19A7">
              <w:rPr>
                <w:rFonts w:ascii="Arial Narrow" w:hAnsi="Arial Narrow"/>
                <w:b/>
                <w:sz w:val="20"/>
                <w:szCs w:val="20"/>
              </w:rPr>
              <w:t>Category / Program</w:t>
            </w:r>
            <w:r w:rsidRPr="00BD19A7">
              <w:rPr>
                <w:rFonts w:ascii="Arial Narrow" w:hAnsi="Arial Narrow"/>
                <w:sz w:val="20"/>
                <w:szCs w:val="20"/>
              </w:rPr>
              <w:t xml:space="preserve"> Section 100 – Highly Specialised Drugs Program</w:t>
            </w:r>
          </w:p>
        </w:tc>
      </w:tr>
      <w:tr w:rsidR="002D67F8" w:rsidRPr="00BD19A7" w14:paraId="72D6D188" w14:textId="77777777" w:rsidTr="00000BB2">
        <w:trPr>
          <w:trHeight w:val="20"/>
        </w:trPr>
        <w:tc>
          <w:tcPr>
            <w:tcW w:w="1269" w:type="dxa"/>
            <w:gridSpan w:val="2"/>
            <w:vMerge/>
            <w:tcBorders>
              <w:top w:val="single" w:sz="4" w:space="0" w:color="auto"/>
              <w:left w:val="single" w:sz="4" w:space="0" w:color="auto"/>
              <w:bottom w:val="single" w:sz="4" w:space="0" w:color="auto"/>
              <w:right w:val="single" w:sz="4" w:space="0" w:color="auto"/>
            </w:tcBorders>
            <w:vAlign w:val="center"/>
            <w:hideMark/>
          </w:tcPr>
          <w:p w14:paraId="3124E92A" w14:textId="77777777" w:rsidR="002D67F8" w:rsidRPr="00BD19A7" w:rsidRDefault="002D67F8" w:rsidP="00000BB2">
            <w:pPr>
              <w:rPr>
                <w:rFonts w:ascii="Arial Narrow" w:hAnsi="Arial Narrow"/>
                <w:b/>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11B843" w14:textId="77777777" w:rsidR="002D67F8" w:rsidRPr="00BD19A7" w:rsidRDefault="002D67F8" w:rsidP="00000BB2">
            <w:pPr>
              <w:keepLines/>
              <w:rPr>
                <w:rFonts w:ascii="Arial Narrow" w:hAnsi="Arial Narrow"/>
                <w:b/>
                <w:sz w:val="20"/>
                <w:szCs w:val="20"/>
              </w:rPr>
            </w:pPr>
            <w:r w:rsidRPr="00BD19A7">
              <w:rPr>
                <w:rFonts w:ascii="Arial Narrow" w:hAnsi="Arial Narrow"/>
                <w:b/>
                <w:sz w:val="20"/>
                <w:szCs w:val="20"/>
              </w:rPr>
              <w:t>Prescriber type:</w:t>
            </w:r>
            <w:r w:rsidRPr="00BD19A7">
              <w:rPr>
                <w:rFonts w:ascii="Arial Narrow" w:hAnsi="Arial Narrow"/>
                <w:sz w:val="20"/>
                <w:szCs w:val="20"/>
              </w:rPr>
              <w:t xml:space="preserve"> </w:t>
            </w:r>
            <w:r w:rsidRPr="00BD19A7">
              <w:rPr>
                <w:rFonts w:ascii="Arial Narrow" w:hAnsi="Arial Narrow"/>
                <w:sz w:val="20"/>
                <w:szCs w:val="20"/>
              </w:rPr>
              <w:fldChar w:fldCharType="begin" w:fldLock="1">
                <w:ffData>
                  <w:name w:val=""/>
                  <w:enabled/>
                  <w:calcOnExit w:val="0"/>
                  <w:checkBox>
                    <w:sizeAuto/>
                    <w:default w:val="1"/>
                  </w:checkBox>
                </w:ffData>
              </w:fldChar>
            </w:r>
            <w:r w:rsidRPr="00BD19A7">
              <w:rPr>
                <w:rFonts w:ascii="Arial Narrow" w:hAnsi="Arial Narrow"/>
                <w:sz w:val="20"/>
                <w:szCs w:val="20"/>
              </w:rPr>
              <w:instrText xml:space="preserve"> FORMCHECKBOX </w:instrText>
            </w:r>
            <w:r w:rsidR="007B0FCD">
              <w:rPr>
                <w:rFonts w:ascii="Arial Narrow" w:hAnsi="Arial Narrow"/>
                <w:sz w:val="20"/>
                <w:szCs w:val="20"/>
              </w:rPr>
            </w:r>
            <w:r w:rsidR="007B0FCD">
              <w:rPr>
                <w:rFonts w:ascii="Arial Narrow" w:hAnsi="Arial Narrow"/>
                <w:sz w:val="20"/>
                <w:szCs w:val="20"/>
              </w:rPr>
              <w:fldChar w:fldCharType="separate"/>
            </w:r>
            <w:r w:rsidRPr="00BD19A7">
              <w:rPr>
                <w:rFonts w:ascii="Arial Narrow" w:hAnsi="Arial Narrow"/>
                <w:sz w:val="20"/>
                <w:szCs w:val="20"/>
              </w:rPr>
              <w:fldChar w:fldCharType="end"/>
            </w:r>
            <w:r w:rsidRPr="00BD19A7">
              <w:rPr>
                <w:rFonts w:ascii="Arial Narrow" w:hAnsi="Arial Narrow"/>
                <w:sz w:val="20"/>
                <w:szCs w:val="20"/>
              </w:rPr>
              <w:t xml:space="preserve">Medical Practitioners </w:t>
            </w:r>
          </w:p>
        </w:tc>
      </w:tr>
      <w:tr w:rsidR="002D67F8" w:rsidRPr="00BD19A7" w14:paraId="45450228" w14:textId="77777777" w:rsidTr="00000BB2">
        <w:trPr>
          <w:trHeight w:val="20"/>
        </w:trPr>
        <w:tc>
          <w:tcPr>
            <w:tcW w:w="1269" w:type="dxa"/>
            <w:gridSpan w:val="2"/>
            <w:vMerge/>
            <w:tcBorders>
              <w:top w:val="single" w:sz="4" w:space="0" w:color="auto"/>
              <w:left w:val="single" w:sz="4" w:space="0" w:color="auto"/>
              <w:bottom w:val="single" w:sz="4" w:space="0" w:color="auto"/>
              <w:right w:val="single" w:sz="4" w:space="0" w:color="auto"/>
            </w:tcBorders>
            <w:vAlign w:val="center"/>
            <w:hideMark/>
          </w:tcPr>
          <w:p w14:paraId="36313D87" w14:textId="77777777" w:rsidR="002D67F8" w:rsidRPr="00BD19A7" w:rsidRDefault="002D67F8" w:rsidP="00000BB2">
            <w:pPr>
              <w:rPr>
                <w:rFonts w:ascii="Arial Narrow" w:hAnsi="Arial Narrow"/>
                <w:b/>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A1225E8" w14:textId="77777777" w:rsidR="002D67F8" w:rsidRPr="00BD19A7" w:rsidRDefault="002D67F8" w:rsidP="00000BB2">
            <w:pPr>
              <w:keepLines/>
              <w:rPr>
                <w:rFonts w:ascii="Arial Narrow" w:eastAsia="Calibri" w:hAnsi="Arial Narrow"/>
                <w:sz w:val="20"/>
                <w:szCs w:val="20"/>
              </w:rPr>
            </w:pPr>
            <w:r w:rsidRPr="00BD19A7">
              <w:rPr>
                <w:rFonts w:ascii="Arial Narrow" w:hAnsi="Arial Narrow"/>
                <w:b/>
                <w:sz w:val="20"/>
                <w:szCs w:val="20"/>
              </w:rPr>
              <w:t xml:space="preserve">Restriction type: </w:t>
            </w:r>
            <w:r w:rsidRPr="00BD19A7">
              <w:rPr>
                <w:rFonts w:ascii="Arial Narrow" w:eastAsia="Calibri" w:hAnsi="Arial Narrow"/>
                <w:sz w:val="20"/>
                <w:szCs w:val="20"/>
              </w:rPr>
              <w:fldChar w:fldCharType="begin" w:fldLock="1">
                <w:ffData>
                  <w:name w:val="Check3"/>
                  <w:enabled/>
                  <w:calcOnExit w:val="0"/>
                  <w:checkBox>
                    <w:sizeAuto/>
                    <w:default w:val="1"/>
                  </w:checkBox>
                </w:ffData>
              </w:fldChar>
            </w:r>
            <w:r w:rsidRPr="00BD19A7">
              <w:rPr>
                <w:rFonts w:ascii="Arial Narrow" w:eastAsia="Calibri" w:hAnsi="Arial Narrow"/>
                <w:sz w:val="20"/>
                <w:szCs w:val="20"/>
              </w:rPr>
              <w:instrText xml:space="preserve"> FORMCHECKBOX </w:instrText>
            </w:r>
            <w:r w:rsidR="007B0FCD">
              <w:rPr>
                <w:rFonts w:ascii="Arial Narrow" w:eastAsia="Calibri" w:hAnsi="Arial Narrow"/>
                <w:sz w:val="20"/>
                <w:szCs w:val="20"/>
              </w:rPr>
            </w:r>
            <w:r w:rsidR="007B0FCD">
              <w:rPr>
                <w:rFonts w:ascii="Arial Narrow" w:eastAsia="Calibri" w:hAnsi="Arial Narrow"/>
                <w:sz w:val="20"/>
                <w:szCs w:val="20"/>
              </w:rPr>
              <w:fldChar w:fldCharType="separate"/>
            </w:r>
            <w:r w:rsidRPr="00BD19A7">
              <w:rPr>
                <w:rFonts w:ascii="Arial Narrow" w:eastAsia="Calibri" w:hAnsi="Arial Narrow"/>
                <w:sz w:val="20"/>
                <w:szCs w:val="20"/>
              </w:rPr>
              <w:fldChar w:fldCharType="end"/>
            </w:r>
            <w:r w:rsidRPr="00BD19A7">
              <w:rPr>
                <w:rFonts w:ascii="Arial Narrow" w:eastAsia="Calibri" w:hAnsi="Arial Narrow"/>
                <w:sz w:val="20"/>
                <w:szCs w:val="20"/>
              </w:rPr>
              <w:t xml:space="preserve">Authority Required (telephone/online PBS Authorities system) </w:t>
            </w:r>
          </w:p>
        </w:tc>
      </w:tr>
      <w:tr w:rsidR="002D67F8" w:rsidRPr="00BD19A7" w14:paraId="5D9BBE62" w14:textId="77777777" w:rsidTr="00000BB2">
        <w:trPr>
          <w:trHeight w:val="20"/>
        </w:trPr>
        <w:tc>
          <w:tcPr>
            <w:tcW w:w="560"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hideMark/>
          </w:tcPr>
          <w:p w14:paraId="0370A050" w14:textId="77777777" w:rsidR="002D67F8" w:rsidRPr="00BD19A7" w:rsidRDefault="002D67F8" w:rsidP="00000BB2">
            <w:pPr>
              <w:jc w:val="center"/>
              <w:rPr>
                <w:rFonts w:ascii="Arial Narrow" w:hAnsi="Arial Narrow"/>
                <w:i/>
                <w:iCs/>
                <w:sz w:val="20"/>
                <w:szCs w:val="20"/>
              </w:rPr>
            </w:pPr>
            <w:r w:rsidRPr="00BD19A7">
              <w:rPr>
                <w:rFonts w:ascii="Arial Narrow" w:hAnsi="Arial Narrow"/>
                <w:i/>
                <w:iCs/>
                <w:sz w:val="20"/>
                <w:szCs w:val="20"/>
              </w:rPr>
              <w:t>Prescribing rule level</w:t>
            </w:r>
          </w:p>
        </w:tc>
        <w:tc>
          <w:tcPr>
            <w:tcW w:w="70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C2C022" w14:textId="118AB1FA"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518C20" w14:textId="77777777" w:rsidR="002D67F8" w:rsidRPr="00BD19A7" w:rsidRDefault="002D67F8" w:rsidP="00000BB2">
            <w:pPr>
              <w:rPr>
                <w:rFonts w:ascii="Arial Narrow" w:hAnsi="Arial Narrow"/>
                <w:i/>
                <w:iCs/>
                <w:sz w:val="20"/>
                <w:szCs w:val="20"/>
              </w:rPr>
            </w:pPr>
            <w:r w:rsidRPr="00BD19A7">
              <w:rPr>
                <w:rFonts w:ascii="Arial Narrow" w:hAnsi="Arial Narrow"/>
                <w:b/>
                <w:bCs/>
                <w:i/>
                <w:iCs/>
                <w:sz w:val="20"/>
                <w:szCs w:val="20"/>
              </w:rPr>
              <w:t>Administrative Advice:</w:t>
            </w:r>
          </w:p>
          <w:p w14:paraId="5779952B"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SEVERE CROHN DISEASE - TREATMENT PHASES AND CYCLES</w:t>
            </w:r>
          </w:p>
          <w:p w14:paraId="6E5C81E3" w14:textId="77777777" w:rsidR="002D67F8" w:rsidRPr="00BD19A7" w:rsidRDefault="002D67F8" w:rsidP="00000BB2">
            <w:pPr>
              <w:rPr>
                <w:rFonts w:ascii="Arial Narrow" w:hAnsi="Arial Narrow"/>
                <w:i/>
                <w:iCs/>
                <w:sz w:val="20"/>
                <w:szCs w:val="20"/>
              </w:rPr>
            </w:pPr>
          </w:p>
          <w:p w14:paraId="6DEFD78D"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The following information applies to the prescribing under the Pharmaceutical Benefits Scheme (PBS) of benefits that contain the words: 'severe Crohn disease' in the stated PBS indication. Some of these benefits are not biological medicines, but are small molecules (e.g. a Janus-kinase inhibitor). Where the term 'biological medicine' appears in the restriction, it includes such benefits for PBS administrative purposes.</w:t>
            </w:r>
          </w:p>
          <w:p w14:paraId="252D2041" w14:textId="77777777" w:rsidR="002D67F8" w:rsidRPr="00BD19A7" w:rsidRDefault="002D67F8" w:rsidP="00000BB2">
            <w:pPr>
              <w:rPr>
                <w:rFonts w:ascii="Arial Narrow" w:hAnsi="Arial Narrow"/>
                <w:i/>
                <w:iCs/>
                <w:sz w:val="20"/>
                <w:szCs w:val="20"/>
              </w:rPr>
            </w:pPr>
          </w:p>
          <w:p w14:paraId="4F3B23F8"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lastRenderedPageBreak/>
              <w:t>A patient is eligible for PBS-subsidised treatment with only one PBS-subsidised biological medicine at any one time.</w:t>
            </w:r>
          </w:p>
          <w:p w14:paraId="2ADFD070" w14:textId="77777777" w:rsidR="002D67F8" w:rsidRPr="00BD19A7" w:rsidRDefault="002D67F8" w:rsidP="00000BB2">
            <w:pPr>
              <w:rPr>
                <w:rFonts w:ascii="Arial Narrow" w:hAnsi="Arial Narrow"/>
                <w:i/>
                <w:iCs/>
                <w:sz w:val="20"/>
                <w:szCs w:val="20"/>
              </w:rPr>
            </w:pPr>
          </w:p>
          <w:p w14:paraId="674C2F61"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Treatment cycle:</w:t>
            </w:r>
          </w:p>
          <w:p w14:paraId="70C27C25"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 treatment cycle begins when an authority application is approved under an Initial 1 or Initial 3 type restriction. Once commenced, where biological medicine fails to provide the patient with an adequate response on 3 occasions, the current treatment cycle ends and there must be an absence of PBS-subsidy for a period of 5 years. The 5 year break is measured from the date of the last approval for PBS-subsidised biological medicine treatment in the most recent cycle to the date of the first application for initial treatment with a biological medicine under the new treatment cycle.</w:t>
            </w:r>
          </w:p>
          <w:p w14:paraId="70218476" w14:textId="77777777" w:rsidR="002D67F8" w:rsidRPr="00BD19A7" w:rsidRDefault="002D67F8" w:rsidP="00000BB2">
            <w:pPr>
              <w:rPr>
                <w:rFonts w:ascii="Arial Narrow" w:hAnsi="Arial Narrow"/>
                <w:i/>
                <w:iCs/>
                <w:sz w:val="20"/>
                <w:szCs w:val="20"/>
              </w:rPr>
            </w:pPr>
          </w:p>
          <w:p w14:paraId="50E387CB"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An exception to this 5 year break clause applies where:</w:t>
            </w:r>
          </w:p>
          <w:p w14:paraId="43DD6A5C"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(i) since the commencement of the break, an additional biological medicine has since become PBS-listed with a different pharmacological mechanism of action (i.e. the newly listed biological medicine) relative to those available on the PBS at the time of commencing the 5 year break; and</w:t>
            </w:r>
          </w:p>
          <w:p w14:paraId="20462FAE"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(ii) the patient has never been prescribed the newly listed biological medicine; and</w:t>
            </w:r>
          </w:p>
          <w:p w14:paraId="3F9FDB09"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(iii) the prescribed biological medicine is the newly listed biological medicine.</w:t>
            </w:r>
          </w:p>
          <w:p w14:paraId="72A2C447" w14:textId="77777777" w:rsidR="002D67F8" w:rsidRPr="00BD19A7" w:rsidRDefault="002D67F8" w:rsidP="00000BB2">
            <w:pPr>
              <w:rPr>
                <w:rFonts w:ascii="Arial Narrow" w:hAnsi="Arial Narrow"/>
                <w:i/>
                <w:iCs/>
                <w:sz w:val="20"/>
                <w:szCs w:val="20"/>
              </w:rPr>
            </w:pPr>
          </w:p>
          <w:p w14:paraId="6950DA17"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Prescribing of the newly listed biological medicine is to occur through the 'Initial 2' treatment phase listing and the patient will not be in a new treatment cycle (i.e. where this newly listed biological medicine fails to provide an adequate response, the current treatment cycle ends and there must be an absence of PBS-subsidised biological medicine for a period of 5 years unless the exception outlined above is triggered again).</w:t>
            </w:r>
          </w:p>
          <w:p w14:paraId="5DCB9FC3" w14:textId="77777777" w:rsidR="002D67F8" w:rsidRPr="00BD19A7" w:rsidRDefault="002D67F8" w:rsidP="00000BB2">
            <w:pPr>
              <w:rPr>
                <w:rFonts w:ascii="Arial Narrow" w:hAnsi="Arial Narrow"/>
                <w:i/>
                <w:iCs/>
                <w:sz w:val="20"/>
                <w:szCs w:val="20"/>
              </w:rPr>
            </w:pPr>
          </w:p>
          <w:p w14:paraId="67BCDBE5"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Within the same treatment cycle, the same PBS-subsidised biological medicine cannot continue to be subsidised where it has resulted in an inadequate response. An inadequate response is one which does not meet the minimum improvements in disease measures stated in the Continuing treatment restriction. A serious adverse reaction leading to treatment discontinuation will be exempted from being counted as an inadequate response.</w:t>
            </w:r>
          </w:p>
          <w:p w14:paraId="534CDB26" w14:textId="77777777" w:rsidR="002D67F8" w:rsidRPr="00BD19A7" w:rsidRDefault="002D67F8" w:rsidP="00000BB2">
            <w:pPr>
              <w:rPr>
                <w:rFonts w:ascii="Arial Narrow" w:hAnsi="Arial Narrow"/>
                <w:i/>
                <w:iCs/>
                <w:sz w:val="20"/>
                <w:szCs w:val="20"/>
              </w:rPr>
            </w:pPr>
          </w:p>
          <w:p w14:paraId="46801D6A"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There is no limit to the number of treatment cycles a patient may undertake in their lifetime.</w:t>
            </w:r>
          </w:p>
          <w:p w14:paraId="3BF558D4" w14:textId="77777777" w:rsidR="002D67F8" w:rsidRPr="00BD19A7" w:rsidRDefault="002D67F8" w:rsidP="00000BB2">
            <w:pPr>
              <w:rPr>
                <w:rFonts w:ascii="Arial Narrow" w:hAnsi="Arial Narrow"/>
                <w:i/>
                <w:iCs/>
                <w:sz w:val="20"/>
                <w:szCs w:val="20"/>
              </w:rPr>
            </w:pPr>
          </w:p>
          <w:p w14:paraId="4E5D9761"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Treatment phases:</w:t>
            </w:r>
          </w:p>
          <w:p w14:paraId="77854052"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 Initial 1</w:t>
            </w:r>
          </w:p>
          <w:p w14:paraId="4E01930F"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Apply through this treatment phase where the patient has never been treated with PBS-subsidised biological medicine for this indication.</w:t>
            </w:r>
          </w:p>
          <w:p w14:paraId="2D73774C" w14:textId="77777777" w:rsidR="002D67F8" w:rsidRPr="00BD19A7" w:rsidRDefault="002D67F8" w:rsidP="00000BB2">
            <w:pPr>
              <w:rPr>
                <w:rFonts w:ascii="Arial Narrow" w:hAnsi="Arial Narrow"/>
                <w:i/>
                <w:iCs/>
                <w:sz w:val="20"/>
                <w:szCs w:val="20"/>
              </w:rPr>
            </w:pPr>
          </w:p>
          <w:p w14:paraId="41B47813"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(b) Initial 2</w:t>
            </w:r>
          </w:p>
          <w:p w14:paraId="436F4619"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Apply through this treatment phase where the prescribed treatment is changing (other than dose/form), or, where there has been a break in therapy of less than 5 years and treatment is resuming; authority applications through this treatment phase do not require prior response to conventional therapies to be re-established and do not require baseline disease activity to be re-demonstrated. An assessment of response to the preceding supply must be provided - where it is not, it will be assumed that the preceding supply provided an inadequate response.</w:t>
            </w:r>
          </w:p>
          <w:p w14:paraId="1EE0F4B7" w14:textId="77777777" w:rsidR="002D67F8" w:rsidRPr="00BD19A7" w:rsidRDefault="002D67F8" w:rsidP="00000BB2">
            <w:pPr>
              <w:rPr>
                <w:rFonts w:ascii="Arial Narrow" w:hAnsi="Arial Narrow"/>
                <w:i/>
                <w:iCs/>
                <w:sz w:val="20"/>
                <w:szCs w:val="20"/>
              </w:rPr>
            </w:pPr>
          </w:p>
          <w:p w14:paraId="3718DCD5"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(c) Initial 3</w:t>
            </w:r>
          </w:p>
          <w:p w14:paraId="4FDCB4BD"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Apply through this treatment phase where treatment is resuming after an absence of PBS-subsidy for at least 5 years; authority applications through this treatment phase do not require a re-trial of conventional therapies.</w:t>
            </w:r>
          </w:p>
          <w:p w14:paraId="610E9CF0" w14:textId="77777777" w:rsidR="002D67F8" w:rsidRPr="00BD19A7" w:rsidRDefault="002D67F8" w:rsidP="00000BB2">
            <w:pPr>
              <w:rPr>
                <w:rFonts w:ascii="Arial Narrow" w:hAnsi="Arial Narrow"/>
                <w:i/>
                <w:iCs/>
                <w:sz w:val="20"/>
                <w:szCs w:val="20"/>
              </w:rPr>
            </w:pPr>
          </w:p>
          <w:p w14:paraId="08A77AB5"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(e) Continuing treatment</w:t>
            </w:r>
          </w:p>
          <w:p w14:paraId="1C1B2B3A"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 xml:space="preserve">Apply through this treatment phase where an adequate response to the preceding supply is observed (or where the dose is increasing where multiple strengths exist). It is recommended that a patient be reviewed in the 4 weeks prior to exhausting the current supply to ensure uninterrupted supply. </w:t>
            </w:r>
            <w:r w:rsidRPr="00BD19A7">
              <w:rPr>
                <w:rFonts w:ascii="Arial Narrow" w:hAnsi="Arial Narrow"/>
                <w:i/>
                <w:iCs/>
                <w:sz w:val="20"/>
                <w:szCs w:val="20"/>
              </w:rPr>
              <w:lastRenderedPageBreak/>
              <w:t>Continuing treatment authority applications are not to be made on the same day as Initial treatment authority applications.</w:t>
            </w:r>
          </w:p>
          <w:p w14:paraId="59560FC2" w14:textId="77777777" w:rsidR="002D67F8" w:rsidRPr="00BD19A7" w:rsidRDefault="002D67F8" w:rsidP="00000BB2">
            <w:pPr>
              <w:rPr>
                <w:rFonts w:ascii="Arial Narrow" w:hAnsi="Arial Narrow"/>
                <w:i/>
                <w:iCs/>
                <w:sz w:val="20"/>
                <w:szCs w:val="20"/>
              </w:rPr>
            </w:pPr>
          </w:p>
          <w:p w14:paraId="55A76E73"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(f) Balance of supply</w:t>
            </w:r>
          </w:p>
          <w:p w14:paraId="13451DFA"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Apply through this type of treatment phase only where the benefit was not requested in the full amount available in the preceding supply - this may be because the maximum quantity was not prescribed and/or the full number of repeat prescriptions was not prescribed. The intent of this treatment phase listing is to: (i) provide the balance of what could have been obtained had the full quantity and number of repeats been prescribed in the preceding authority application, (ii) allow further time for an adequate response to treatment to be demonstrated where it may not have already, and (iii) provide more immediate access to PBS-subsidy via a telephone/online authority application relative to an 'in-writing only' application where the preceding supply was obtained through such.</w:t>
            </w:r>
          </w:p>
        </w:tc>
      </w:tr>
      <w:tr w:rsidR="002D67F8" w:rsidRPr="00BD19A7" w14:paraId="62F37084" w14:textId="77777777" w:rsidTr="003D30E5">
        <w:trPr>
          <w:trHeight w:val="20"/>
        </w:trPr>
        <w:tc>
          <w:tcPr>
            <w:tcW w:w="560" w:type="dxa"/>
            <w:vMerge/>
            <w:tcBorders>
              <w:top w:val="single" w:sz="4" w:space="0" w:color="auto"/>
              <w:left w:val="single" w:sz="4" w:space="0" w:color="auto"/>
              <w:bottom w:val="single" w:sz="4" w:space="0" w:color="auto"/>
              <w:right w:val="single" w:sz="4" w:space="0" w:color="auto"/>
            </w:tcBorders>
            <w:vAlign w:val="center"/>
          </w:tcPr>
          <w:p w14:paraId="3AE3A924" w14:textId="77777777" w:rsidR="002D67F8" w:rsidRPr="00BD19A7" w:rsidRDefault="002D67F8" w:rsidP="00000BB2">
            <w:pPr>
              <w:rPr>
                <w:rFonts w:ascii="Arial Narrow" w:hAnsi="Arial Narrow"/>
                <w:i/>
                <w:iCs/>
                <w:sz w:val="20"/>
                <w:szCs w:val="20"/>
              </w:rPr>
            </w:pPr>
          </w:p>
        </w:tc>
        <w:tc>
          <w:tcPr>
            <w:tcW w:w="70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DCA75D" w14:textId="10DA7174"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0D7A19" w14:textId="77777777" w:rsidR="002D67F8" w:rsidRPr="00BD19A7" w:rsidRDefault="002D67F8" w:rsidP="00000BB2">
            <w:pPr>
              <w:rPr>
                <w:rFonts w:ascii="Arial Narrow" w:hAnsi="Arial Narrow"/>
                <w:b/>
                <w:bCs/>
                <w:i/>
                <w:iCs/>
                <w:sz w:val="20"/>
                <w:szCs w:val="20"/>
              </w:rPr>
            </w:pPr>
            <w:r w:rsidRPr="00BD19A7">
              <w:rPr>
                <w:rFonts w:ascii="Arial Narrow" w:hAnsi="Arial Narrow"/>
                <w:b/>
                <w:bCs/>
                <w:i/>
                <w:iCs/>
                <w:sz w:val="20"/>
                <w:szCs w:val="20"/>
              </w:rPr>
              <w:t>Administrative Advice:</w:t>
            </w:r>
          </w:p>
          <w:p w14:paraId="3611C65B"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Special Pricing Arrangements apply.</w:t>
            </w:r>
          </w:p>
        </w:tc>
      </w:tr>
      <w:tr w:rsidR="002D67F8" w:rsidRPr="00BD19A7" w14:paraId="4B5F814D"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306187" w14:textId="273F3A5F" w:rsidR="002D67F8" w:rsidRPr="00BD19A7" w:rsidRDefault="002D67F8" w:rsidP="00000BB2">
            <w:pPr>
              <w:keepLines/>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B1A4F42" w14:textId="77777777" w:rsidR="002D67F8" w:rsidRPr="00BD19A7" w:rsidRDefault="002D67F8" w:rsidP="00000BB2">
            <w:pPr>
              <w:keepLines/>
              <w:rPr>
                <w:rFonts w:ascii="Arial Narrow" w:hAnsi="Arial Narrow"/>
                <w:sz w:val="20"/>
                <w:szCs w:val="20"/>
              </w:rPr>
            </w:pPr>
            <w:r w:rsidRPr="00BD19A7">
              <w:rPr>
                <w:rFonts w:ascii="Arial Narrow" w:hAnsi="Arial Narrow"/>
                <w:b/>
                <w:bCs/>
                <w:sz w:val="20"/>
                <w:szCs w:val="20"/>
              </w:rPr>
              <w:t>Indication:</w:t>
            </w:r>
            <w:r w:rsidRPr="00BD19A7">
              <w:rPr>
                <w:rFonts w:ascii="Arial Narrow" w:hAnsi="Arial Narrow"/>
                <w:sz w:val="20"/>
                <w:szCs w:val="20"/>
              </w:rPr>
              <w:t xml:space="preserve"> Severe Crohn disease</w:t>
            </w:r>
          </w:p>
        </w:tc>
      </w:tr>
      <w:tr w:rsidR="002D67F8" w:rsidRPr="00BD19A7" w14:paraId="7D05A44A"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F03726" w14:textId="77777777" w:rsidR="002D67F8" w:rsidRPr="00BD19A7" w:rsidRDefault="002D67F8" w:rsidP="00000BB2">
            <w:pP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806DEA" w14:textId="77777777" w:rsidR="002D67F8" w:rsidRPr="00BD19A7" w:rsidRDefault="002D67F8" w:rsidP="00000BB2">
            <w:pPr>
              <w:rPr>
                <w:rFonts w:ascii="Arial Narrow" w:hAnsi="Arial Narrow"/>
                <w:sz w:val="20"/>
                <w:szCs w:val="20"/>
              </w:rPr>
            </w:pPr>
            <w:r w:rsidRPr="00BD19A7">
              <w:rPr>
                <w:rFonts w:ascii="Arial Narrow" w:hAnsi="Arial Narrow"/>
                <w:b/>
                <w:bCs/>
                <w:sz w:val="20"/>
                <w:szCs w:val="20"/>
              </w:rPr>
              <w:t xml:space="preserve">Treatment Phase: </w:t>
            </w:r>
            <w:r w:rsidRPr="00BD19A7">
              <w:rPr>
                <w:rFonts w:ascii="Arial Narrow" w:hAnsi="Arial Narrow"/>
                <w:sz w:val="20"/>
                <w:szCs w:val="20"/>
              </w:rPr>
              <w:t>Initial 4 (additional dose at week 10)</w:t>
            </w:r>
          </w:p>
        </w:tc>
      </w:tr>
      <w:tr w:rsidR="002D67F8" w:rsidRPr="00BD19A7" w14:paraId="023BDE83"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7C9581" w14:textId="3FAF1013"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8061FC" w14:textId="77777777" w:rsidR="002D67F8" w:rsidRPr="00BD19A7" w:rsidRDefault="002D67F8" w:rsidP="00000BB2">
            <w:pPr>
              <w:rPr>
                <w:rFonts w:ascii="Arial Narrow" w:hAnsi="Arial Narrow"/>
                <w:b/>
                <w:bCs/>
                <w:sz w:val="20"/>
                <w:szCs w:val="20"/>
              </w:rPr>
            </w:pPr>
            <w:r w:rsidRPr="00BD19A7">
              <w:rPr>
                <w:rFonts w:ascii="Arial Narrow" w:hAnsi="Arial Narrow"/>
                <w:b/>
                <w:bCs/>
                <w:sz w:val="20"/>
                <w:szCs w:val="20"/>
              </w:rPr>
              <w:t>Treatment criteria:</w:t>
            </w:r>
          </w:p>
        </w:tc>
      </w:tr>
      <w:tr w:rsidR="002D67F8" w:rsidRPr="00BD19A7" w14:paraId="7CF429AF"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D3F286" w14:textId="3A088045"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0BDB98" w14:textId="77777777" w:rsidR="002D67F8" w:rsidRPr="00BD19A7" w:rsidRDefault="002D67F8" w:rsidP="00000BB2">
            <w:pPr>
              <w:rPr>
                <w:rFonts w:ascii="Arial Narrow" w:hAnsi="Arial Narrow"/>
                <w:b/>
                <w:bCs/>
                <w:sz w:val="20"/>
                <w:szCs w:val="20"/>
              </w:rPr>
            </w:pPr>
            <w:r w:rsidRPr="00BD19A7">
              <w:rPr>
                <w:rFonts w:ascii="Arial Narrow" w:hAnsi="Arial Narrow" w:cs="Arial Narrow"/>
                <w:iCs/>
                <w:sz w:val="20"/>
                <w:szCs w:val="20"/>
              </w:rPr>
              <w:t xml:space="preserve">Must be treated by a gastroenterologist (code 87); or </w:t>
            </w:r>
          </w:p>
        </w:tc>
      </w:tr>
      <w:tr w:rsidR="002D67F8" w:rsidRPr="00BD19A7" w14:paraId="44872287"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DF02C1D" w14:textId="732DA8F6"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D93305" w14:textId="77777777" w:rsidR="002D67F8" w:rsidRPr="00BD19A7" w:rsidRDefault="002D67F8" w:rsidP="00000BB2">
            <w:pPr>
              <w:rPr>
                <w:rFonts w:ascii="Arial Narrow" w:hAnsi="Arial Narrow"/>
                <w:b/>
                <w:bCs/>
                <w:sz w:val="20"/>
                <w:szCs w:val="20"/>
              </w:rPr>
            </w:pPr>
            <w:r w:rsidRPr="00BD19A7">
              <w:rPr>
                <w:rFonts w:ascii="Arial Narrow" w:hAnsi="Arial Narrow" w:cs="Arial Narrow"/>
                <w:iCs/>
                <w:sz w:val="20"/>
                <w:szCs w:val="20"/>
              </w:rPr>
              <w:t>Must be treated by a consultant physician [internal medicine specialising in gastroenterology (code 81)]; or</w:t>
            </w:r>
          </w:p>
        </w:tc>
      </w:tr>
      <w:tr w:rsidR="002D67F8" w:rsidRPr="00BD19A7" w14:paraId="5B3FF3F3"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447B79" w14:textId="39B7D3AA"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41900C" w14:textId="77777777" w:rsidR="002D67F8" w:rsidRPr="00BD19A7" w:rsidRDefault="002D67F8" w:rsidP="00000BB2">
            <w:pPr>
              <w:rPr>
                <w:rFonts w:ascii="Arial Narrow" w:hAnsi="Arial Narrow"/>
                <w:b/>
                <w:bCs/>
                <w:sz w:val="20"/>
                <w:szCs w:val="20"/>
              </w:rPr>
            </w:pPr>
            <w:r w:rsidRPr="00BD19A7">
              <w:rPr>
                <w:rFonts w:ascii="Arial Narrow" w:hAnsi="Arial Narrow" w:cs="Arial Narrow"/>
                <w:iCs/>
                <w:sz w:val="20"/>
                <w:szCs w:val="20"/>
              </w:rPr>
              <w:t>Must be treated by a consultant physician [general medicine specialising in gastroenterology (code 82)]</w:t>
            </w:r>
          </w:p>
        </w:tc>
      </w:tr>
      <w:tr w:rsidR="002D67F8" w:rsidRPr="00BD19A7" w14:paraId="03DC7C84" w14:textId="77777777" w:rsidTr="00000BB2">
        <w:trPr>
          <w:cantSplit/>
          <w:trHeight w:val="264"/>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F7E9814" w14:textId="5C3FE29E"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69D1932" w14:textId="77777777" w:rsidR="002D67F8" w:rsidRPr="00BD19A7" w:rsidRDefault="002D67F8" w:rsidP="00000BB2">
            <w:pPr>
              <w:rPr>
                <w:rFonts w:ascii="Arial Narrow" w:hAnsi="Arial Narrow"/>
                <w:b/>
                <w:bCs/>
                <w:i/>
                <w:iCs/>
                <w:sz w:val="20"/>
                <w:szCs w:val="20"/>
              </w:rPr>
            </w:pPr>
            <w:r w:rsidRPr="00BD19A7">
              <w:rPr>
                <w:rFonts w:ascii="Arial Narrow" w:hAnsi="Arial Narrow"/>
                <w:b/>
                <w:bCs/>
                <w:i/>
                <w:iCs/>
                <w:sz w:val="20"/>
                <w:szCs w:val="20"/>
              </w:rPr>
              <w:t xml:space="preserve">Clinical criteria: </w:t>
            </w:r>
          </w:p>
        </w:tc>
      </w:tr>
      <w:tr w:rsidR="002D67F8" w:rsidRPr="00BD19A7" w14:paraId="09B8D261"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A1966A" w14:textId="19E5BAA4"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143EC5"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Patient must have received prior PBS-subsidised treatment with this drug for this condition in this treatment cycle</w:t>
            </w:r>
          </w:p>
        </w:tc>
      </w:tr>
      <w:tr w:rsidR="002D67F8" w:rsidRPr="00BD19A7" w14:paraId="29036321" w14:textId="77777777" w:rsidTr="00000BB2">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6B794E" w14:textId="1D35E6FE"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019634D" w14:textId="77777777" w:rsidR="002D67F8" w:rsidRPr="00BD19A7" w:rsidRDefault="002D67F8" w:rsidP="00000BB2">
            <w:pPr>
              <w:rPr>
                <w:rFonts w:ascii="Arial Narrow" w:hAnsi="Arial Narrow"/>
                <w:i/>
                <w:iCs/>
                <w:sz w:val="20"/>
                <w:szCs w:val="20"/>
              </w:rPr>
            </w:pPr>
            <w:r w:rsidRPr="00BD19A7">
              <w:rPr>
                <w:rFonts w:ascii="Arial Narrow" w:hAnsi="Arial Narrow"/>
                <w:b/>
                <w:bCs/>
                <w:i/>
                <w:iCs/>
                <w:sz w:val="20"/>
                <w:szCs w:val="20"/>
              </w:rPr>
              <w:t>Clinical criteria:</w:t>
            </w:r>
          </w:p>
        </w:tc>
      </w:tr>
      <w:tr w:rsidR="002D67F8" w:rsidRPr="00BD19A7" w14:paraId="6492D11A"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FEC0E2" w14:textId="37EB67B4" w:rsidR="002D67F8" w:rsidRPr="00BD19A7" w:rsidRDefault="002D67F8" w:rsidP="00000BB2">
            <w:pPr>
              <w:jc w:val="center"/>
              <w:rPr>
                <w:rFonts w:ascii="Arial Narrow" w:hAnsi="Arial Narrow"/>
                <w:i/>
                <w:iCs/>
                <w:sz w:val="20"/>
                <w:szCs w:val="20"/>
                <w:highlight w:val="yellow"/>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3A540D" w14:textId="77777777" w:rsidR="002D67F8" w:rsidRPr="00BD19A7" w:rsidRDefault="002D67F8" w:rsidP="00000BB2">
            <w:pPr>
              <w:rPr>
                <w:rFonts w:ascii="Arial Narrow" w:hAnsi="Arial Narrow"/>
                <w:strike/>
                <w:color w:val="333333"/>
                <w:sz w:val="20"/>
                <w:szCs w:val="20"/>
              </w:rPr>
            </w:pPr>
            <w:r w:rsidRPr="00BD19A7">
              <w:rPr>
                <w:rFonts w:ascii="Arial Narrow" w:hAnsi="Arial Narrow"/>
                <w:strike/>
                <w:color w:val="333333"/>
                <w:sz w:val="20"/>
                <w:szCs w:val="20"/>
              </w:rPr>
              <w:t>Patient must have received 3 doses of initial treatment under</w:t>
            </w:r>
          </w:p>
          <w:p w14:paraId="49B7482C" w14:textId="77777777" w:rsidR="002D67F8" w:rsidRPr="00BD19A7" w:rsidRDefault="002D67F8" w:rsidP="00000BB2">
            <w:pPr>
              <w:rPr>
                <w:rFonts w:ascii="Arial Narrow" w:hAnsi="Arial Narrow"/>
                <w:strike/>
                <w:color w:val="333333"/>
                <w:sz w:val="20"/>
                <w:szCs w:val="20"/>
              </w:rPr>
            </w:pPr>
            <w:r w:rsidRPr="00BD19A7">
              <w:rPr>
                <w:rFonts w:ascii="Arial Narrow" w:hAnsi="Arial Narrow"/>
                <w:strike/>
                <w:color w:val="333333"/>
                <w:sz w:val="20"/>
                <w:szCs w:val="20"/>
              </w:rPr>
              <w:t>Initial 1 (new patient) restriction (the initial infusion regimen at 0, 2 and 6 weeks); OR</w:t>
            </w:r>
          </w:p>
          <w:p w14:paraId="17589B7A" w14:textId="77777777" w:rsidR="002D67F8" w:rsidRPr="00BD19A7" w:rsidRDefault="002D67F8" w:rsidP="00000BB2">
            <w:pPr>
              <w:rPr>
                <w:rFonts w:ascii="Arial Narrow" w:hAnsi="Arial Narrow"/>
                <w:strike/>
                <w:color w:val="333333"/>
                <w:sz w:val="20"/>
                <w:szCs w:val="20"/>
              </w:rPr>
            </w:pPr>
            <w:r w:rsidRPr="00BD19A7">
              <w:rPr>
                <w:rFonts w:ascii="Arial Narrow" w:hAnsi="Arial Narrow"/>
                <w:strike/>
                <w:color w:val="333333"/>
                <w:sz w:val="20"/>
                <w:szCs w:val="20"/>
              </w:rPr>
              <w:t>Initial 2 (change or recommencement of treatment after a break in biological medicine of less than 5 years) restriction (the initial infusion regimen at 0, 2 and 6 weeks); OR</w:t>
            </w:r>
          </w:p>
          <w:p w14:paraId="3D51427B" w14:textId="77777777" w:rsidR="002D67F8" w:rsidRPr="00BD19A7" w:rsidRDefault="002D67F8" w:rsidP="00000BB2">
            <w:pPr>
              <w:rPr>
                <w:rFonts w:ascii="Arial Narrow" w:hAnsi="Arial Narrow"/>
                <w:strike/>
                <w:color w:val="333333"/>
                <w:sz w:val="20"/>
                <w:szCs w:val="20"/>
              </w:rPr>
            </w:pPr>
            <w:r w:rsidRPr="00BD19A7">
              <w:rPr>
                <w:rFonts w:ascii="Arial Narrow" w:hAnsi="Arial Narrow"/>
                <w:strike/>
                <w:color w:val="333333"/>
                <w:sz w:val="20"/>
                <w:szCs w:val="20"/>
              </w:rPr>
              <w:t>Initial 3 (recommencement of treatment after a break in biological medicine of more than 5 years) restriction to complete the 3 doses (the initial infusion regimen at 0, 2 and 6 weeks); OR</w:t>
            </w:r>
          </w:p>
          <w:p w14:paraId="3CE1E849" w14:textId="77777777" w:rsidR="00206A14" w:rsidRPr="00206A14" w:rsidRDefault="002D67F8" w:rsidP="00000BB2">
            <w:pPr>
              <w:rPr>
                <w:rFonts w:ascii="Arial Narrow" w:hAnsi="Arial Narrow"/>
                <w:i/>
                <w:iCs/>
                <w:strike/>
                <w:sz w:val="20"/>
                <w:szCs w:val="20"/>
              </w:rPr>
            </w:pPr>
            <w:r w:rsidRPr="00BD19A7">
              <w:rPr>
                <w:rFonts w:ascii="Arial Narrow" w:hAnsi="Arial Narrow"/>
                <w:strike/>
                <w:color w:val="333333"/>
                <w:sz w:val="20"/>
                <w:szCs w:val="20"/>
              </w:rPr>
              <w:t>Initial 1 or 2 or 3 with a Balance of supply</w:t>
            </w:r>
          </w:p>
          <w:p w14:paraId="41991727" w14:textId="77777777" w:rsidR="00206A14" w:rsidRPr="00206A14" w:rsidRDefault="00206A14" w:rsidP="00000BB2">
            <w:pPr>
              <w:rPr>
                <w:rFonts w:ascii="Arial Narrow" w:hAnsi="Arial Narrow"/>
                <w:i/>
                <w:iCs/>
                <w:sz w:val="20"/>
                <w:szCs w:val="20"/>
              </w:rPr>
            </w:pPr>
          </w:p>
          <w:p w14:paraId="53404B3A" w14:textId="77777777" w:rsidR="002D67F8" w:rsidRPr="00BD19A7" w:rsidRDefault="002D67F8" w:rsidP="00000BB2">
            <w:pPr>
              <w:rPr>
                <w:rFonts w:ascii="Arial Narrow" w:hAnsi="Arial Narrow"/>
                <w:i/>
                <w:iCs/>
                <w:sz w:val="20"/>
                <w:szCs w:val="20"/>
                <w:highlight w:val="yellow"/>
              </w:rPr>
            </w:pPr>
            <w:r w:rsidRPr="00BD19A7">
              <w:rPr>
                <w:rFonts w:ascii="Arial Narrow" w:hAnsi="Arial Narrow"/>
                <w:i/>
                <w:iCs/>
                <w:sz w:val="20"/>
                <w:szCs w:val="20"/>
              </w:rPr>
              <w:t xml:space="preserve">Patient must have received 3 doses of initial treatment under either (i) initial 1, (ii) initial 2, (iii) initial 3 </w:t>
            </w:r>
          </w:p>
        </w:tc>
      </w:tr>
      <w:tr w:rsidR="002D67F8" w:rsidRPr="00BD19A7" w14:paraId="0E7248B2"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6CB4E6" w14:textId="5CF63E87"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64CF52" w14:textId="77777777" w:rsidR="002D67F8" w:rsidRPr="00BD19A7" w:rsidRDefault="002D67F8" w:rsidP="00000BB2">
            <w:pPr>
              <w:rPr>
                <w:rFonts w:ascii="Arial Narrow" w:hAnsi="Arial Narrow"/>
                <w:i/>
                <w:iCs/>
                <w:sz w:val="20"/>
                <w:szCs w:val="20"/>
              </w:rPr>
            </w:pPr>
            <w:r w:rsidRPr="00BD19A7">
              <w:rPr>
                <w:rFonts w:ascii="Arial Narrow" w:hAnsi="Arial Narrow"/>
                <w:b/>
                <w:bCs/>
                <w:i/>
                <w:iCs/>
                <w:sz w:val="20"/>
                <w:szCs w:val="20"/>
              </w:rPr>
              <w:t>Clinical criteria:</w:t>
            </w:r>
          </w:p>
        </w:tc>
      </w:tr>
      <w:tr w:rsidR="002D67F8" w:rsidRPr="00BD19A7" w14:paraId="7F576F07"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5B8837" w14:textId="6DC9AE96"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857E9F" w14:textId="77777777" w:rsidR="002D67F8" w:rsidRPr="00BD19A7" w:rsidRDefault="002D67F8" w:rsidP="00000BB2">
            <w:pPr>
              <w:rPr>
                <w:rFonts w:ascii="Arial Narrow" w:hAnsi="Arial Narrow"/>
                <w:sz w:val="20"/>
                <w:szCs w:val="20"/>
              </w:rPr>
            </w:pPr>
            <w:r w:rsidRPr="00BD19A7">
              <w:rPr>
                <w:rFonts w:ascii="Arial Narrow" w:hAnsi="Arial Narrow"/>
                <w:sz w:val="20"/>
                <w:szCs w:val="20"/>
              </w:rPr>
              <w:t xml:space="preserve">Patient must not have achieved an adequate response to this drug after a </w:t>
            </w:r>
            <w:r w:rsidRPr="00BD19A7">
              <w:rPr>
                <w:rFonts w:ascii="Arial Narrow" w:hAnsi="Arial Narrow"/>
                <w:i/>
                <w:iCs/>
                <w:sz w:val="20"/>
                <w:szCs w:val="20"/>
              </w:rPr>
              <w:t>total of 3 doses of initial treatment under either (i) initial 1, (ii) initial 2, (iii) initial 3 under this restriction</w:t>
            </w:r>
            <w:r w:rsidRPr="00BD19A7">
              <w:rPr>
                <w:rFonts w:ascii="Arial Narrow" w:hAnsi="Arial Narrow"/>
                <w:sz w:val="20"/>
                <w:szCs w:val="20"/>
              </w:rPr>
              <w:t xml:space="preserve">  </w:t>
            </w:r>
            <w:r w:rsidRPr="00BD19A7">
              <w:rPr>
                <w:rFonts w:ascii="Arial Narrow" w:hAnsi="Arial Narrow"/>
                <w:strike/>
                <w:sz w:val="20"/>
                <w:szCs w:val="20"/>
              </w:rPr>
              <w:t>minimum of 6 weeks of treatment.</w:t>
            </w:r>
          </w:p>
        </w:tc>
      </w:tr>
      <w:tr w:rsidR="002D67F8" w:rsidRPr="00BD19A7" w14:paraId="5BF4911C" w14:textId="77777777" w:rsidTr="00000BB2">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4B5481" w14:textId="77777777"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F5C788" w14:textId="77777777" w:rsidR="002D67F8" w:rsidRPr="00BD19A7" w:rsidRDefault="002D67F8" w:rsidP="00000BB2">
            <w:pPr>
              <w:rPr>
                <w:rFonts w:ascii="Arial Narrow" w:hAnsi="Arial Narrow"/>
                <w:b/>
                <w:bCs/>
                <w:sz w:val="20"/>
                <w:szCs w:val="20"/>
              </w:rPr>
            </w:pPr>
            <w:r w:rsidRPr="00BD19A7">
              <w:rPr>
                <w:rFonts w:ascii="Arial Narrow" w:hAnsi="Arial Narrow"/>
                <w:b/>
                <w:bCs/>
                <w:sz w:val="20"/>
                <w:szCs w:val="20"/>
              </w:rPr>
              <w:t>AND</w:t>
            </w:r>
          </w:p>
        </w:tc>
      </w:tr>
      <w:tr w:rsidR="002D67F8" w:rsidRPr="00BD19A7" w14:paraId="22FB803C"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6FBDCE" w14:textId="6D3B9FC2"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D1717C" w14:textId="77777777" w:rsidR="002D67F8" w:rsidRPr="00BD19A7" w:rsidRDefault="002D67F8" w:rsidP="00000BB2">
            <w:pPr>
              <w:rPr>
                <w:rFonts w:ascii="Arial Narrow" w:hAnsi="Arial Narrow"/>
                <w:i/>
                <w:iCs/>
                <w:sz w:val="20"/>
                <w:szCs w:val="20"/>
              </w:rPr>
            </w:pPr>
            <w:r w:rsidRPr="00BD19A7">
              <w:rPr>
                <w:rFonts w:ascii="Arial Narrow" w:hAnsi="Arial Narrow"/>
                <w:b/>
                <w:bCs/>
                <w:i/>
                <w:iCs/>
                <w:sz w:val="20"/>
                <w:szCs w:val="20"/>
              </w:rPr>
              <w:t>Clinical criteria:</w:t>
            </w:r>
          </w:p>
        </w:tc>
      </w:tr>
      <w:tr w:rsidR="002D67F8" w:rsidRPr="00BD19A7" w14:paraId="7D432ACA"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733DA3" w14:textId="236CCBA4"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1066C3"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 xml:space="preserve">The treatment must not exceed a total of 4 doses to be administered at weeks 0,2,6 and 10 under this restriction </w:t>
            </w:r>
          </w:p>
        </w:tc>
      </w:tr>
      <w:tr w:rsidR="002D67F8" w:rsidRPr="00BD19A7" w14:paraId="0EAFFA3F" w14:textId="77777777" w:rsidTr="00000BB2">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CD936D" w14:textId="77777777"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9D82CF" w14:textId="77777777" w:rsidR="002D67F8" w:rsidRPr="00BD19A7" w:rsidRDefault="002D67F8" w:rsidP="00000BB2">
            <w:pPr>
              <w:rPr>
                <w:rFonts w:ascii="Arial Narrow" w:hAnsi="Arial Narrow"/>
                <w:b/>
                <w:bCs/>
                <w:sz w:val="20"/>
                <w:szCs w:val="20"/>
              </w:rPr>
            </w:pPr>
            <w:r w:rsidRPr="00BD19A7">
              <w:rPr>
                <w:rFonts w:ascii="Arial Narrow" w:hAnsi="Arial Narrow"/>
                <w:b/>
                <w:bCs/>
                <w:sz w:val="20"/>
                <w:szCs w:val="20"/>
              </w:rPr>
              <w:t>AND</w:t>
            </w:r>
          </w:p>
        </w:tc>
      </w:tr>
      <w:tr w:rsidR="002D67F8" w:rsidRPr="00BD19A7" w14:paraId="02E6C576"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01FFB76" w14:textId="1FCD174A"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FE96AA" w14:textId="77777777" w:rsidR="002D67F8" w:rsidRPr="00BD19A7" w:rsidRDefault="002D67F8" w:rsidP="00000BB2">
            <w:pPr>
              <w:rPr>
                <w:rFonts w:ascii="Arial Narrow" w:hAnsi="Arial Narrow"/>
                <w:b/>
                <w:bCs/>
                <w:i/>
                <w:iCs/>
                <w:sz w:val="20"/>
                <w:szCs w:val="20"/>
              </w:rPr>
            </w:pPr>
            <w:r w:rsidRPr="00BD19A7">
              <w:rPr>
                <w:rFonts w:ascii="Arial Narrow" w:hAnsi="Arial Narrow"/>
                <w:b/>
                <w:bCs/>
                <w:i/>
                <w:iCs/>
                <w:sz w:val="20"/>
                <w:szCs w:val="20"/>
              </w:rPr>
              <w:t>Clinical criteria</w:t>
            </w:r>
          </w:p>
        </w:tc>
      </w:tr>
      <w:tr w:rsidR="002D67F8" w:rsidRPr="00BD19A7" w14:paraId="0F3F31BF"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320134" w14:textId="1A033B04"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6510B8" w14:textId="77777777" w:rsidR="002D67F8" w:rsidRPr="00BD19A7" w:rsidRDefault="002D67F8" w:rsidP="00000BB2">
            <w:pPr>
              <w:rPr>
                <w:rFonts w:ascii="Arial Narrow" w:hAnsi="Arial Narrow"/>
                <w:sz w:val="20"/>
                <w:szCs w:val="20"/>
              </w:rPr>
            </w:pPr>
            <w:r w:rsidRPr="00BD19A7">
              <w:rPr>
                <w:rFonts w:ascii="Arial Narrow" w:hAnsi="Arial Narrow"/>
                <w:sz w:val="20"/>
                <w:szCs w:val="20"/>
              </w:rPr>
              <w:t>Patient must have an adequate response to this drug defined as a reduction in Crohn Disease Activity Index (CDAI) Score to a level no greater than 150 if assessed by CDAI or if affected by extensive small intestine disease; or</w:t>
            </w:r>
          </w:p>
        </w:tc>
      </w:tr>
      <w:tr w:rsidR="002D67F8" w:rsidRPr="00BD19A7" w14:paraId="6089656A"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6642A22" w14:textId="08FBC6B9"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4BB1013D" w14:textId="77777777" w:rsidR="002D67F8" w:rsidRPr="00BD19A7" w:rsidRDefault="002D67F8" w:rsidP="00000BB2">
            <w:pPr>
              <w:rPr>
                <w:rFonts w:ascii="Arial Narrow" w:hAnsi="Arial Narrow"/>
                <w:sz w:val="20"/>
                <w:szCs w:val="20"/>
              </w:rPr>
            </w:pPr>
            <w:r w:rsidRPr="00BD19A7">
              <w:rPr>
                <w:rFonts w:ascii="Arial Narrow" w:hAnsi="Arial Narrow"/>
                <w:sz w:val="20"/>
                <w:szCs w:val="20"/>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tc>
      </w:tr>
      <w:tr w:rsidR="002D67F8" w:rsidRPr="00BD19A7" w14:paraId="53638EC9" w14:textId="77777777" w:rsidTr="00000BB2">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046EB3" w14:textId="77777777"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177EAD" w14:textId="77777777" w:rsidR="002D67F8" w:rsidRPr="00BD19A7" w:rsidRDefault="002D67F8" w:rsidP="00000BB2">
            <w:pPr>
              <w:rPr>
                <w:rFonts w:ascii="Arial Narrow" w:hAnsi="Arial Narrow"/>
                <w:b/>
                <w:bCs/>
                <w:sz w:val="20"/>
                <w:szCs w:val="20"/>
              </w:rPr>
            </w:pPr>
            <w:r w:rsidRPr="00BD19A7">
              <w:rPr>
                <w:rFonts w:ascii="Arial Narrow" w:hAnsi="Arial Narrow"/>
                <w:b/>
                <w:bCs/>
                <w:sz w:val="20"/>
                <w:szCs w:val="20"/>
              </w:rPr>
              <w:t>AND</w:t>
            </w:r>
          </w:p>
        </w:tc>
      </w:tr>
      <w:tr w:rsidR="002D67F8" w:rsidRPr="00BD19A7" w14:paraId="4E7140B7"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6989FD" w14:textId="3E035883" w:rsidR="002D67F8" w:rsidRPr="00BD19A7" w:rsidRDefault="002D67F8" w:rsidP="00000BB2">
            <w:pPr>
              <w:jc w:val="center"/>
              <w:rPr>
                <w:rFonts w:ascii="Arial Narrow" w:hAnsi="Arial Narrow"/>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DF8800" w14:textId="77777777" w:rsidR="002D67F8" w:rsidRPr="00BD19A7" w:rsidRDefault="002D67F8" w:rsidP="00000BB2">
            <w:pPr>
              <w:rPr>
                <w:rFonts w:ascii="Arial Narrow" w:hAnsi="Arial Narrow"/>
                <w:b/>
                <w:bCs/>
                <w:strike/>
                <w:sz w:val="20"/>
                <w:szCs w:val="20"/>
              </w:rPr>
            </w:pPr>
            <w:r w:rsidRPr="00BD19A7">
              <w:rPr>
                <w:rFonts w:ascii="Arial Narrow" w:hAnsi="Arial Narrow"/>
                <w:b/>
                <w:bCs/>
                <w:strike/>
                <w:sz w:val="20"/>
                <w:szCs w:val="20"/>
              </w:rPr>
              <w:t>Clinical criteria</w:t>
            </w:r>
          </w:p>
        </w:tc>
      </w:tr>
      <w:tr w:rsidR="002D67F8" w:rsidRPr="00BD19A7" w14:paraId="008FC9C3"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CC88B7" w14:textId="21676100" w:rsidR="002D67F8" w:rsidRPr="00BD19A7" w:rsidRDefault="002D67F8" w:rsidP="00000BB2">
            <w:pPr>
              <w:jc w:val="center"/>
              <w:rPr>
                <w:rFonts w:ascii="Arial Narrow" w:hAnsi="Arial Narrow"/>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A5C552" w14:textId="77777777" w:rsidR="002D67F8" w:rsidRPr="00BD19A7" w:rsidRDefault="002D67F8" w:rsidP="00000BB2">
            <w:pPr>
              <w:rPr>
                <w:rFonts w:ascii="Arial Narrow" w:hAnsi="Arial Narrow"/>
                <w:strike/>
                <w:sz w:val="20"/>
                <w:szCs w:val="20"/>
              </w:rPr>
            </w:pPr>
            <w:r w:rsidRPr="00BD19A7">
              <w:rPr>
                <w:rFonts w:ascii="Arial Narrow" w:hAnsi="Arial Narrow"/>
                <w:strike/>
                <w:sz w:val="20"/>
                <w:szCs w:val="20"/>
              </w:rPr>
              <w:t>Patient must be appropriately assessed for the risk of developing progressive multifocal leukoencephalopathy whilst on this treatment</w:t>
            </w:r>
          </w:p>
        </w:tc>
      </w:tr>
      <w:tr w:rsidR="002D67F8" w:rsidRPr="00BD19A7" w14:paraId="2CDCEF6E"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3BF1B1" w14:textId="1600F473"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B3E174" w14:textId="77777777" w:rsidR="002D67F8" w:rsidRPr="00BD19A7" w:rsidRDefault="002D67F8" w:rsidP="00000BB2">
            <w:pPr>
              <w:rPr>
                <w:rFonts w:ascii="Arial Narrow" w:hAnsi="Arial Narrow"/>
                <w:sz w:val="20"/>
                <w:szCs w:val="20"/>
              </w:rPr>
            </w:pPr>
            <w:r w:rsidRPr="00BD19A7">
              <w:rPr>
                <w:rFonts w:ascii="Arial Narrow" w:hAnsi="Arial Narrow"/>
                <w:b/>
                <w:bCs/>
                <w:sz w:val="20"/>
                <w:szCs w:val="20"/>
              </w:rPr>
              <w:t>Population criteria:</w:t>
            </w:r>
          </w:p>
        </w:tc>
      </w:tr>
      <w:tr w:rsidR="002D67F8" w:rsidRPr="00BD19A7" w14:paraId="383E09B5"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DA074F" w14:textId="3DAEA323" w:rsidR="002D67F8" w:rsidRPr="00BD19A7" w:rsidRDefault="002D67F8"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1572BF3" w14:textId="77777777" w:rsidR="002D67F8" w:rsidRPr="00BD19A7" w:rsidRDefault="002D67F8" w:rsidP="00000BB2">
            <w:pPr>
              <w:rPr>
                <w:rFonts w:ascii="Arial Narrow" w:hAnsi="Arial Narrow"/>
                <w:sz w:val="20"/>
                <w:szCs w:val="20"/>
              </w:rPr>
            </w:pPr>
            <w:r w:rsidRPr="00BD19A7">
              <w:rPr>
                <w:rFonts w:ascii="Arial Narrow" w:hAnsi="Arial Narrow" w:cs="Open Sans"/>
                <w:sz w:val="20"/>
                <w:szCs w:val="20"/>
              </w:rPr>
              <w:t>Patient must be at least 18 years of age</w:t>
            </w:r>
          </w:p>
        </w:tc>
      </w:tr>
      <w:tr w:rsidR="002D67F8" w:rsidRPr="00BD19A7" w14:paraId="10CF8756"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07251E" w14:textId="6FB55ADE"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27CADD" w14:textId="77777777" w:rsidR="002D67F8" w:rsidRPr="00BD19A7" w:rsidRDefault="002D67F8"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619E4764" w14:textId="77777777" w:rsidR="002D67F8" w:rsidRPr="00BD19A7" w:rsidRDefault="002D67F8" w:rsidP="00000BB2">
            <w:pPr>
              <w:rPr>
                <w:rFonts w:ascii="Arial Narrow" w:hAnsi="Arial Narrow" w:cs="Open Sans"/>
                <w:strike/>
                <w:sz w:val="20"/>
                <w:szCs w:val="20"/>
              </w:rPr>
            </w:pPr>
            <w:r w:rsidRPr="00BD19A7">
              <w:rPr>
                <w:rFonts w:ascii="Arial Narrow" w:hAnsi="Arial Narrow" w:cs="Open Sans"/>
                <w:strike/>
                <w:sz w:val="20"/>
                <w:szCs w:val="20"/>
              </w:rPr>
              <w:t>Patient must not receive more than one dose at 10 weeks under this restriction</w:t>
            </w:r>
          </w:p>
          <w:p w14:paraId="1025AFA2" w14:textId="77777777" w:rsidR="002D67F8" w:rsidRPr="00BD19A7" w:rsidRDefault="002D67F8" w:rsidP="00000BB2">
            <w:pPr>
              <w:rPr>
                <w:rFonts w:ascii="Arial Narrow" w:hAnsi="Arial Narrow" w:cs="Open Sans"/>
                <w:i/>
                <w:iCs/>
                <w:sz w:val="20"/>
                <w:szCs w:val="20"/>
              </w:rPr>
            </w:pPr>
            <w:r w:rsidRPr="00BD19A7">
              <w:rPr>
                <w:rFonts w:ascii="Arial Narrow" w:hAnsi="Arial Narrow" w:cs="Open Sans"/>
                <w:i/>
                <w:iCs/>
                <w:sz w:val="20"/>
                <w:szCs w:val="20"/>
              </w:rPr>
              <w:t>A maximum quantity and number of repeats to provide for an additional dose of this drug consisting of one vial of 300 mg, with one dose to be administered at week 10, will be authorised.</w:t>
            </w:r>
          </w:p>
        </w:tc>
      </w:tr>
      <w:tr w:rsidR="002D67F8" w:rsidRPr="00BD19A7" w14:paraId="1C6E9342"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CC7092" w14:textId="77777777"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5078E05" w14:textId="77777777" w:rsidR="002D67F8" w:rsidRPr="00BD19A7" w:rsidRDefault="002D67F8"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7DE02EC1" w14:textId="77777777" w:rsidR="002D67F8" w:rsidRPr="00BD19A7" w:rsidRDefault="002D67F8" w:rsidP="00000BB2">
            <w:pPr>
              <w:rPr>
                <w:rFonts w:ascii="Arial Narrow" w:hAnsi="Arial Narrow" w:cs="Open Sans"/>
                <w:i/>
                <w:iCs/>
                <w:sz w:val="20"/>
                <w:szCs w:val="20"/>
              </w:rPr>
            </w:pPr>
            <w:r w:rsidRPr="00BD19A7">
              <w:rPr>
                <w:rFonts w:ascii="Arial Narrow" w:hAnsi="Arial Narrow" w:cs="Open Sans"/>
                <w:i/>
                <w:iCs/>
                <w:sz w:val="20"/>
                <w:szCs w:val="20"/>
              </w:rPr>
              <w:t xml:space="preserve">The assessment of the patient's response to the initial course of treatment must be conducted </w:t>
            </w:r>
            <w:r w:rsidRPr="00BD19A7">
              <w:rPr>
                <w:rFonts w:ascii="Arial Narrow" w:hAnsi="Arial Narrow" w:cs="Open Sans"/>
                <w:bCs/>
                <w:i/>
                <w:iCs/>
                <w:sz w:val="20"/>
                <w:szCs w:val="20"/>
              </w:rPr>
              <w:t>prior to 10 weeks</w:t>
            </w:r>
            <w:r w:rsidRPr="00BD19A7">
              <w:rPr>
                <w:rFonts w:ascii="Arial Narrow" w:hAnsi="Arial Narrow" w:cs="Open Sans"/>
                <w:i/>
                <w:iCs/>
                <w:sz w:val="20"/>
                <w:szCs w:val="20"/>
              </w:rPr>
              <w:t xml:space="preserve"> and a second assessment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2D67F8" w:rsidRPr="00BD19A7" w14:paraId="36E4F124"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14093E" w14:textId="13664EEF"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B36730" w14:textId="77777777" w:rsidR="002D67F8" w:rsidRPr="00BD19A7" w:rsidRDefault="002D67F8"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2D8A8A35" w14:textId="77777777" w:rsidR="002D67F8" w:rsidRPr="00BD19A7" w:rsidRDefault="002D67F8" w:rsidP="00000BB2">
            <w:pPr>
              <w:rPr>
                <w:rFonts w:ascii="Arial Narrow" w:hAnsi="Arial Narrow" w:cs="Open Sans"/>
                <w:i/>
                <w:iCs/>
                <w:sz w:val="20"/>
                <w:szCs w:val="20"/>
              </w:rPr>
            </w:pPr>
            <w:r w:rsidRPr="00BD19A7">
              <w:rPr>
                <w:rFonts w:ascii="Arial Narrow" w:hAnsi="Arial Narrow" w:cs="Open Sans"/>
                <w:i/>
                <w:i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2D67F8" w:rsidRPr="00BD19A7" w14:paraId="618BF537"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803BC69" w14:textId="56EEE7DC"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5FC2D1" w14:textId="77777777" w:rsidR="002D67F8" w:rsidRPr="00BD19A7" w:rsidRDefault="002D67F8"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7EC18804" w14:textId="77777777" w:rsidR="002D67F8" w:rsidRPr="00BD19A7" w:rsidRDefault="002D67F8" w:rsidP="00000BB2">
            <w:pPr>
              <w:rPr>
                <w:rFonts w:ascii="Arial Narrow" w:hAnsi="Arial Narrow" w:cs="Open Sans"/>
                <w:i/>
                <w:iCs/>
                <w:sz w:val="20"/>
                <w:szCs w:val="20"/>
              </w:rPr>
            </w:pPr>
            <w:r w:rsidRPr="00BD19A7">
              <w:rPr>
                <w:rFonts w:ascii="Arial Narrow" w:hAnsi="Arial Narrow" w:cs="Open Sans"/>
                <w:i/>
                <w:i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2D67F8" w:rsidRPr="00BD19A7" w14:paraId="184CE9CE"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14B313F" w14:textId="2641D63D"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AD17CD" w14:textId="77777777" w:rsidR="002D67F8" w:rsidRPr="00BD19A7" w:rsidRDefault="002D67F8" w:rsidP="00000BB2">
            <w:pPr>
              <w:rPr>
                <w:rFonts w:ascii="Arial Narrow" w:hAnsi="Arial Narrow"/>
                <w:b/>
                <w:bCs/>
                <w:sz w:val="20"/>
                <w:szCs w:val="20"/>
              </w:rPr>
            </w:pPr>
            <w:r w:rsidRPr="00BD19A7">
              <w:rPr>
                <w:rFonts w:ascii="Arial Narrow" w:hAnsi="Arial Narrow"/>
                <w:b/>
                <w:bCs/>
                <w:sz w:val="20"/>
                <w:szCs w:val="20"/>
              </w:rPr>
              <w:t xml:space="preserve">Administrative Advice: </w:t>
            </w:r>
          </w:p>
          <w:p w14:paraId="2776EC1D" w14:textId="77777777" w:rsidR="002D67F8" w:rsidRPr="00BD19A7" w:rsidRDefault="002D67F8" w:rsidP="00000BB2">
            <w:pPr>
              <w:rPr>
                <w:rFonts w:ascii="Arial Narrow" w:hAnsi="Arial Narrow"/>
                <w:i/>
                <w:iCs/>
                <w:sz w:val="20"/>
                <w:szCs w:val="20"/>
              </w:rPr>
            </w:pPr>
            <w:r w:rsidRPr="00BD19A7">
              <w:rPr>
                <w:rFonts w:ascii="Arial Narrow" w:hAnsi="Arial Narrow"/>
                <w:bCs/>
                <w:sz w:val="20"/>
                <w:szCs w:val="20"/>
              </w:rPr>
              <w:t>Patient must be assessed as having an inadequate response to the drug after completing an initial infusion regimen at 0, 2, and 6 weeks and prior to 10 weeks.</w:t>
            </w:r>
          </w:p>
        </w:tc>
      </w:tr>
      <w:tr w:rsidR="002D67F8" w:rsidRPr="00BD19A7" w14:paraId="00853297" w14:textId="77777777" w:rsidTr="003D30E5">
        <w:trPr>
          <w:cantSplit/>
          <w:trHeight w:val="20"/>
        </w:trPr>
        <w:tc>
          <w:tcPr>
            <w:tcW w:w="1269"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115AEC" w14:textId="01CF5BCF" w:rsidR="002D67F8" w:rsidRPr="00BD19A7" w:rsidRDefault="002D67F8"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D9C71C" w14:textId="77777777" w:rsidR="002D67F8" w:rsidRPr="00BD19A7" w:rsidRDefault="002D67F8" w:rsidP="00000BB2">
            <w:pPr>
              <w:rPr>
                <w:rFonts w:ascii="Arial Narrow" w:hAnsi="Arial Narrow"/>
                <w:b/>
                <w:bCs/>
                <w:i/>
                <w:iCs/>
                <w:sz w:val="20"/>
                <w:szCs w:val="20"/>
              </w:rPr>
            </w:pPr>
            <w:r w:rsidRPr="00BD19A7">
              <w:rPr>
                <w:rFonts w:ascii="Arial Narrow" w:hAnsi="Arial Narrow"/>
                <w:b/>
                <w:bCs/>
                <w:i/>
                <w:iCs/>
                <w:sz w:val="20"/>
                <w:szCs w:val="20"/>
              </w:rPr>
              <w:t>Administrative Advice:</w:t>
            </w:r>
          </w:p>
          <w:p w14:paraId="52B83990" w14:textId="77777777" w:rsidR="002D67F8" w:rsidRPr="00BD19A7" w:rsidRDefault="002D67F8" w:rsidP="00000BB2">
            <w:pPr>
              <w:rPr>
                <w:rFonts w:ascii="Arial Narrow" w:hAnsi="Arial Narrow"/>
                <w:i/>
                <w:iCs/>
                <w:sz w:val="20"/>
                <w:szCs w:val="20"/>
              </w:rPr>
            </w:pPr>
            <w:r w:rsidRPr="00BD19A7">
              <w:rPr>
                <w:rFonts w:ascii="Arial Narrow" w:hAnsi="Arial Narrow"/>
                <w:i/>
                <w:iCs/>
                <w:sz w:val="20"/>
                <w:szCs w:val="20"/>
              </w:rPr>
              <w:t>Applications for authorisation under this restriction may be made in real time using the Online PBS Authorities system (see www.servicesaustralia.gov.au/HPOS) or by telephone by contacting the Services Australia on 1800 700 270 (hours of operation 8 a.m. to 5 p.m. Monday to Friday).</w:t>
            </w:r>
          </w:p>
        </w:tc>
      </w:tr>
    </w:tbl>
    <w:p w14:paraId="10F28634" w14:textId="55D3B8C3" w:rsidR="002D67F8" w:rsidRPr="00BD19A7" w:rsidRDefault="002D67F8" w:rsidP="00FB2167">
      <w:pPr>
        <w:pStyle w:val="3-BodyText"/>
        <w:keepNext/>
        <w:numPr>
          <w:ilvl w:val="0"/>
          <w:numId w:val="0"/>
        </w:numPr>
        <w:spacing w:before="120" w:after="0"/>
        <w:ind w:left="720" w:hanging="720"/>
      </w:pPr>
      <w:r w:rsidRPr="00BD19A7">
        <w:lastRenderedPageBreak/>
        <w:t>Amendment of clinical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410"/>
        <w:gridCol w:w="1069"/>
        <w:gridCol w:w="812"/>
        <w:gridCol w:w="811"/>
        <w:gridCol w:w="812"/>
        <w:gridCol w:w="1831"/>
      </w:tblGrid>
      <w:tr w:rsidR="002D67F8" w:rsidRPr="00BD19A7" w14:paraId="437229B8" w14:textId="77777777" w:rsidTr="00000BB2">
        <w:trPr>
          <w:cantSplit/>
          <w:trHeight w:val="20"/>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431326F9" w14:textId="77777777" w:rsidR="002D67F8" w:rsidRPr="00BD19A7" w:rsidRDefault="002D67F8" w:rsidP="00FB2167">
            <w:pPr>
              <w:keepNext/>
              <w:keepLines/>
              <w:rPr>
                <w:rFonts w:ascii="Arial Narrow" w:hAnsi="Arial Narrow"/>
                <w:b/>
                <w:bCs/>
                <w:sz w:val="20"/>
                <w:szCs w:val="20"/>
              </w:rPr>
            </w:pPr>
            <w:r w:rsidRPr="00BD19A7">
              <w:rPr>
                <w:rFonts w:ascii="Arial Narrow" w:hAnsi="Arial Narrow"/>
                <w:b/>
                <w:bCs/>
                <w:sz w:val="20"/>
                <w:szCs w:val="20"/>
              </w:rPr>
              <w:t>MEDICINAL PRODUCT</w:t>
            </w:r>
          </w:p>
          <w:p w14:paraId="50CAF8A2" w14:textId="77777777" w:rsidR="002D67F8" w:rsidRPr="00BD19A7" w:rsidRDefault="002D67F8" w:rsidP="00FB2167">
            <w:pPr>
              <w:keepNext/>
              <w:keepLines/>
              <w:rPr>
                <w:rFonts w:ascii="Arial Narrow" w:hAnsi="Arial Narrow"/>
                <w:b/>
                <w:sz w:val="20"/>
                <w:szCs w:val="20"/>
              </w:rPr>
            </w:pPr>
            <w:r w:rsidRPr="00BD19A7">
              <w:rPr>
                <w:rFonts w:ascii="Arial Narrow" w:hAnsi="Arial Narrow"/>
                <w:b/>
                <w:bCs/>
                <w:sz w:val="20"/>
                <w:szCs w:val="20"/>
              </w:rPr>
              <w:t>medicinal product pack</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5B13CAA" w14:textId="77777777" w:rsidR="002D67F8" w:rsidRPr="00BD19A7" w:rsidRDefault="002D67F8" w:rsidP="00FB2167">
            <w:pPr>
              <w:keepNext/>
              <w:keepLines/>
              <w:jc w:val="center"/>
              <w:rPr>
                <w:rFonts w:ascii="Arial Narrow" w:hAnsi="Arial Narrow"/>
                <w:b/>
                <w:sz w:val="20"/>
                <w:szCs w:val="20"/>
              </w:rPr>
            </w:pPr>
            <w:r w:rsidRPr="00BD19A7">
              <w:rPr>
                <w:rFonts w:ascii="Arial Narrow" w:hAnsi="Arial Narrow"/>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4B71091E" w14:textId="77777777" w:rsidR="002D67F8" w:rsidRPr="00BD19A7" w:rsidRDefault="002D67F8" w:rsidP="00FB2167">
            <w:pPr>
              <w:keepNext/>
              <w:keepLines/>
              <w:jc w:val="center"/>
              <w:rPr>
                <w:rFonts w:ascii="Arial Narrow" w:hAnsi="Arial Narrow"/>
                <w:b/>
                <w:sz w:val="20"/>
                <w:szCs w:val="20"/>
              </w:rPr>
            </w:pPr>
            <w:r w:rsidRPr="00BD19A7">
              <w:rPr>
                <w:rFonts w:ascii="Arial Narrow" w:hAnsi="Arial Narrow"/>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4A77A90D" w14:textId="77777777" w:rsidR="002D67F8" w:rsidRPr="00BD19A7" w:rsidRDefault="002D67F8" w:rsidP="00FB2167">
            <w:pPr>
              <w:keepNext/>
              <w:keepLines/>
              <w:jc w:val="center"/>
              <w:rPr>
                <w:rFonts w:ascii="Arial Narrow" w:hAnsi="Arial Narrow"/>
                <w:b/>
                <w:sz w:val="20"/>
                <w:szCs w:val="20"/>
              </w:rPr>
            </w:pPr>
            <w:r w:rsidRPr="00BD19A7">
              <w:rPr>
                <w:rFonts w:ascii="Arial Narrow" w:hAnsi="Arial Narrow"/>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6B9D39CD" w14:textId="77777777" w:rsidR="002D67F8" w:rsidRPr="00BD19A7" w:rsidRDefault="002D67F8" w:rsidP="00FB2167">
            <w:pPr>
              <w:keepNext/>
              <w:keepLines/>
              <w:jc w:val="center"/>
              <w:rPr>
                <w:rFonts w:ascii="Arial Narrow" w:hAnsi="Arial Narrow"/>
                <w:b/>
                <w:sz w:val="20"/>
                <w:szCs w:val="20"/>
              </w:rPr>
            </w:pPr>
            <w:r w:rsidRPr="00BD19A7">
              <w:rPr>
                <w:rFonts w:ascii="Arial Narrow" w:hAnsi="Arial Narrow"/>
                <w:b/>
                <w:sz w:val="20"/>
                <w:szCs w:val="20"/>
              </w:rPr>
              <w:t>№.of</w:t>
            </w:r>
          </w:p>
          <w:p w14:paraId="09BF64C3" w14:textId="77777777" w:rsidR="002D67F8" w:rsidRPr="00BD19A7" w:rsidRDefault="002D67F8" w:rsidP="00FB2167">
            <w:pPr>
              <w:keepNext/>
              <w:keepLines/>
              <w:jc w:val="center"/>
              <w:rPr>
                <w:rFonts w:ascii="Arial Narrow" w:hAnsi="Arial Narrow"/>
                <w:b/>
                <w:sz w:val="20"/>
                <w:szCs w:val="20"/>
              </w:rPr>
            </w:pPr>
            <w:r w:rsidRPr="00BD19A7">
              <w:rPr>
                <w:rFonts w:ascii="Arial Narrow" w:hAnsi="Arial Narrow"/>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E8946EA" w14:textId="77777777" w:rsidR="002D67F8" w:rsidRPr="00BD19A7" w:rsidRDefault="002D67F8" w:rsidP="00FB2167">
            <w:pPr>
              <w:keepNext/>
              <w:keepLines/>
              <w:rPr>
                <w:rFonts w:ascii="Arial Narrow" w:hAnsi="Arial Narrow"/>
                <w:b/>
                <w:sz w:val="20"/>
                <w:szCs w:val="20"/>
              </w:rPr>
            </w:pPr>
            <w:r w:rsidRPr="00BD19A7">
              <w:rPr>
                <w:rFonts w:ascii="Arial Narrow" w:hAnsi="Arial Narrow"/>
                <w:b/>
                <w:sz w:val="20"/>
                <w:szCs w:val="20"/>
              </w:rPr>
              <w:t>Available brands</w:t>
            </w:r>
          </w:p>
        </w:tc>
      </w:tr>
      <w:tr w:rsidR="002D67F8" w:rsidRPr="00BD19A7" w14:paraId="4A195706" w14:textId="77777777" w:rsidTr="00000BB2">
        <w:trPr>
          <w:cantSplit/>
          <w:trHeight w:val="20"/>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0DB73FDA" w14:textId="77777777" w:rsidR="002D67F8" w:rsidRPr="00BD19A7" w:rsidRDefault="002D67F8" w:rsidP="00FB2167">
            <w:pPr>
              <w:keepNext/>
              <w:keepLines/>
              <w:rPr>
                <w:rFonts w:ascii="Arial Narrow" w:hAnsi="Arial Narrow"/>
                <w:sz w:val="20"/>
                <w:szCs w:val="20"/>
              </w:rPr>
            </w:pPr>
            <w:r w:rsidRPr="00BD19A7">
              <w:rPr>
                <w:rFonts w:ascii="Arial Narrow" w:hAnsi="Arial Narrow"/>
                <w:sz w:val="20"/>
                <w:szCs w:val="20"/>
              </w:rPr>
              <w:t>VEDOLIZUMAB</w:t>
            </w:r>
          </w:p>
        </w:tc>
      </w:tr>
      <w:tr w:rsidR="002D67F8" w:rsidRPr="00BD19A7" w14:paraId="2BBA27C0" w14:textId="77777777" w:rsidTr="00000BB2">
        <w:trPr>
          <w:cantSplit/>
          <w:trHeight w:val="20"/>
        </w:trPr>
        <w:tc>
          <w:tcPr>
            <w:tcW w:w="36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2C704C" w14:textId="77777777" w:rsidR="002D67F8" w:rsidRPr="00BD19A7" w:rsidRDefault="002D67F8" w:rsidP="00FB2167">
            <w:pPr>
              <w:keepNext/>
              <w:keepLines/>
              <w:rPr>
                <w:rFonts w:ascii="Arial Narrow" w:hAnsi="Arial Narrow"/>
                <w:sz w:val="20"/>
                <w:szCs w:val="20"/>
              </w:rPr>
            </w:pPr>
            <w:r w:rsidRPr="00BD19A7">
              <w:rPr>
                <w:rFonts w:ascii="Arial Narrow" w:hAnsi="Arial Narrow"/>
                <w:sz w:val="20"/>
                <w:szCs w:val="20"/>
              </w:rPr>
              <w:t>vedolizumab 300 mg injection, 1 vial</w:t>
            </w:r>
          </w:p>
        </w:tc>
        <w:tc>
          <w:tcPr>
            <w:tcW w:w="1069" w:type="dxa"/>
            <w:tcBorders>
              <w:top w:val="single" w:sz="4" w:space="0" w:color="auto"/>
              <w:left w:val="single" w:sz="4" w:space="0" w:color="auto"/>
              <w:bottom w:val="single" w:sz="4" w:space="0" w:color="auto"/>
              <w:right w:val="single" w:sz="4" w:space="0" w:color="auto"/>
            </w:tcBorders>
            <w:vAlign w:val="center"/>
            <w:hideMark/>
          </w:tcPr>
          <w:p w14:paraId="48DCFBC2"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10384M</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0B32DBF"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54EEE448"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BB88D93"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0</w:t>
            </w:r>
          </w:p>
        </w:tc>
        <w:tc>
          <w:tcPr>
            <w:tcW w:w="1831" w:type="dxa"/>
            <w:vMerge w:val="restart"/>
            <w:tcBorders>
              <w:top w:val="single" w:sz="4" w:space="0" w:color="auto"/>
              <w:left w:val="single" w:sz="4" w:space="0" w:color="auto"/>
              <w:bottom w:val="single" w:sz="4" w:space="0" w:color="auto"/>
              <w:right w:val="single" w:sz="4" w:space="0" w:color="auto"/>
            </w:tcBorders>
            <w:vAlign w:val="center"/>
            <w:hideMark/>
          </w:tcPr>
          <w:p w14:paraId="221C1E11" w14:textId="77777777" w:rsidR="002D67F8" w:rsidRPr="00BD19A7" w:rsidRDefault="002D67F8" w:rsidP="00FB2167">
            <w:pPr>
              <w:keepNext/>
              <w:keepLines/>
              <w:rPr>
                <w:rFonts w:ascii="Arial Narrow" w:hAnsi="Arial Narrow"/>
                <w:sz w:val="20"/>
                <w:szCs w:val="20"/>
              </w:rPr>
            </w:pPr>
            <w:r w:rsidRPr="00BD19A7">
              <w:rPr>
                <w:rFonts w:ascii="Arial Narrow" w:hAnsi="Arial Narrow"/>
                <w:sz w:val="20"/>
                <w:szCs w:val="20"/>
              </w:rPr>
              <w:t>Entyvio</w:t>
            </w:r>
          </w:p>
        </w:tc>
      </w:tr>
      <w:tr w:rsidR="002D67F8" w:rsidRPr="00BD19A7" w14:paraId="687BB362"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1F93C5B9"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0314FCF0"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10390W</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738358A"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26ACB60"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608DCFE"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4D12E22D" w14:textId="77777777" w:rsidR="002D67F8" w:rsidRPr="00BD19A7" w:rsidRDefault="002D67F8" w:rsidP="00FB2167">
            <w:pPr>
              <w:keepNext/>
              <w:rPr>
                <w:rFonts w:ascii="Arial Narrow" w:hAnsi="Arial Narrow"/>
                <w:sz w:val="20"/>
                <w:szCs w:val="20"/>
              </w:rPr>
            </w:pPr>
          </w:p>
        </w:tc>
      </w:tr>
      <w:tr w:rsidR="002D67F8" w:rsidRPr="00BD19A7" w14:paraId="1AFA91B0"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6C9DAB0A"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77B782CF"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10398G</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62239DB"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7A126DBB"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008A3B5"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567D2B7F" w14:textId="77777777" w:rsidR="002D67F8" w:rsidRPr="00BD19A7" w:rsidRDefault="002D67F8" w:rsidP="00FB2167">
            <w:pPr>
              <w:keepNext/>
              <w:rPr>
                <w:rFonts w:ascii="Arial Narrow" w:hAnsi="Arial Narrow"/>
                <w:sz w:val="20"/>
                <w:szCs w:val="20"/>
              </w:rPr>
            </w:pPr>
          </w:p>
        </w:tc>
      </w:tr>
      <w:tr w:rsidR="002D67F8" w:rsidRPr="00BD19A7" w14:paraId="247E5D8D"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19B3CBA8"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2198A0C8"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10415E</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75CEDB2"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4317CC16"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02FD3CBD"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480FE2D8" w14:textId="77777777" w:rsidR="002D67F8" w:rsidRPr="00BD19A7" w:rsidRDefault="002D67F8" w:rsidP="00FB2167">
            <w:pPr>
              <w:keepNext/>
              <w:rPr>
                <w:rFonts w:ascii="Arial Narrow" w:hAnsi="Arial Narrow"/>
                <w:sz w:val="20"/>
                <w:szCs w:val="20"/>
              </w:rPr>
            </w:pPr>
          </w:p>
        </w:tc>
      </w:tr>
      <w:tr w:rsidR="002D67F8" w:rsidRPr="00BD19A7" w14:paraId="3747F0A4" w14:textId="77777777" w:rsidTr="00000BB2">
        <w:trPr>
          <w:cantSplit/>
          <w:trHeight w:val="20"/>
        </w:trPr>
        <w:tc>
          <w:tcPr>
            <w:tcW w:w="36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D7B5FA" w14:textId="77777777" w:rsidR="002D67F8" w:rsidRPr="00BD19A7" w:rsidRDefault="002D67F8" w:rsidP="00FB2167">
            <w:pPr>
              <w:keepNext/>
              <w:keepLines/>
              <w:rPr>
                <w:rFonts w:ascii="Arial Narrow" w:hAnsi="Arial Narrow"/>
                <w:sz w:val="20"/>
                <w:szCs w:val="20"/>
              </w:rPr>
            </w:pPr>
            <w:r w:rsidRPr="00BD19A7">
              <w:rPr>
                <w:rFonts w:ascii="Arial Narrow" w:hAnsi="Arial Narrow"/>
                <w:sz w:val="20"/>
                <w:szCs w:val="20"/>
              </w:rPr>
              <w:t>vedolizumab 108 mg/0.68 mL injection, 2 x 0.68 mL pen devices</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46D03CC"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12620F</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753789FD"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6EB5A9CA"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2</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4A3FA664"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0</w:t>
            </w: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06DF157C" w14:textId="77777777" w:rsidR="002D67F8" w:rsidRPr="00BD19A7" w:rsidRDefault="002D67F8" w:rsidP="00FB2167">
            <w:pPr>
              <w:keepNext/>
              <w:rPr>
                <w:rFonts w:ascii="Arial Narrow" w:hAnsi="Arial Narrow"/>
                <w:sz w:val="20"/>
                <w:szCs w:val="20"/>
              </w:rPr>
            </w:pPr>
          </w:p>
        </w:tc>
      </w:tr>
      <w:tr w:rsidR="002D67F8" w:rsidRPr="00BD19A7" w14:paraId="27B7DB18"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5DE79F10"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19CE20B3"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12638E</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13C93E7C"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2A6ECB27"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774622B"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46E70501" w14:textId="77777777" w:rsidR="002D67F8" w:rsidRPr="00BD19A7" w:rsidRDefault="002D67F8" w:rsidP="00FB2167">
            <w:pPr>
              <w:keepNext/>
              <w:rPr>
                <w:rFonts w:ascii="Arial Narrow" w:hAnsi="Arial Narrow"/>
                <w:sz w:val="20"/>
                <w:szCs w:val="20"/>
              </w:rPr>
            </w:pPr>
          </w:p>
        </w:tc>
      </w:tr>
      <w:tr w:rsidR="002D67F8" w:rsidRPr="00BD19A7" w14:paraId="77A88C85"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535CF87E"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30B5CC45"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12644L</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496A4C61"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0E0112DD"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A3D51CB"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7D77CAB5" w14:textId="77777777" w:rsidR="002D67F8" w:rsidRPr="00BD19A7" w:rsidRDefault="002D67F8" w:rsidP="00FB2167">
            <w:pPr>
              <w:keepNext/>
              <w:rPr>
                <w:rFonts w:ascii="Arial Narrow" w:hAnsi="Arial Narrow"/>
                <w:sz w:val="20"/>
                <w:szCs w:val="20"/>
              </w:rPr>
            </w:pPr>
          </w:p>
        </w:tc>
      </w:tr>
      <w:tr w:rsidR="002D67F8" w:rsidRPr="00BD19A7" w14:paraId="0265F292"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1823B372"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2CA7C9E6"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12647P</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3BF939D9"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632D03A2"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50F15AD5"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56367651" w14:textId="77777777" w:rsidR="002D67F8" w:rsidRPr="00BD19A7" w:rsidRDefault="002D67F8" w:rsidP="00FB2167">
            <w:pPr>
              <w:keepNext/>
              <w:rPr>
                <w:rFonts w:ascii="Arial Narrow" w:hAnsi="Arial Narrow"/>
                <w:sz w:val="20"/>
                <w:szCs w:val="20"/>
              </w:rPr>
            </w:pPr>
          </w:p>
        </w:tc>
      </w:tr>
      <w:tr w:rsidR="002D67F8" w:rsidRPr="00BD19A7" w14:paraId="23E27F5A"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1C178928"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4DF58D43"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12369F</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03929FD"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w:t>
            </w:r>
          </w:p>
        </w:tc>
        <w:tc>
          <w:tcPr>
            <w:tcW w:w="811" w:type="dxa"/>
            <w:vMerge w:val="restart"/>
            <w:tcBorders>
              <w:top w:val="single" w:sz="4" w:space="0" w:color="auto"/>
              <w:left w:val="single" w:sz="4" w:space="0" w:color="auto"/>
              <w:bottom w:val="single" w:sz="4" w:space="0" w:color="auto"/>
              <w:right w:val="single" w:sz="4" w:space="0" w:color="auto"/>
            </w:tcBorders>
            <w:vAlign w:val="center"/>
            <w:hideMark/>
          </w:tcPr>
          <w:p w14:paraId="0C0CC946"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2</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14:paraId="6192274B"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5</w:t>
            </w: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3EFA502C" w14:textId="77777777" w:rsidR="002D67F8" w:rsidRPr="00BD19A7" w:rsidRDefault="002D67F8" w:rsidP="00FB2167">
            <w:pPr>
              <w:keepNext/>
              <w:rPr>
                <w:rFonts w:ascii="Arial Narrow" w:hAnsi="Arial Narrow"/>
                <w:sz w:val="20"/>
                <w:szCs w:val="20"/>
              </w:rPr>
            </w:pPr>
          </w:p>
        </w:tc>
      </w:tr>
      <w:tr w:rsidR="002D67F8" w:rsidRPr="00BD19A7" w14:paraId="0F6B596B" w14:textId="77777777" w:rsidTr="00000BB2">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433C7198" w14:textId="77777777" w:rsidR="002D67F8" w:rsidRPr="00BD19A7" w:rsidRDefault="002D67F8" w:rsidP="00FB2167">
            <w:pPr>
              <w:keepNext/>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00DE9C27" w14:textId="77777777" w:rsidR="002D67F8" w:rsidRPr="00BD19A7" w:rsidRDefault="002D67F8" w:rsidP="00FB2167">
            <w:pPr>
              <w:keepNext/>
              <w:keepLines/>
              <w:jc w:val="center"/>
              <w:rPr>
                <w:rFonts w:ascii="Arial Narrow" w:hAnsi="Arial Narrow"/>
                <w:sz w:val="20"/>
                <w:szCs w:val="20"/>
              </w:rPr>
            </w:pPr>
            <w:r w:rsidRPr="00BD19A7">
              <w:rPr>
                <w:rFonts w:ascii="Arial Narrow" w:hAnsi="Arial Narrow"/>
                <w:sz w:val="20"/>
                <w:szCs w:val="20"/>
              </w:rPr>
              <w:t>12654B</w:t>
            </w: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77194607" w14:textId="77777777" w:rsidR="002D67F8" w:rsidRPr="00BD19A7" w:rsidRDefault="002D67F8" w:rsidP="00FB2167">
            <w:pPr>
              <w:keepNext/>
              <w:rPr>
                <w:rFonts w:ascii="Arial Narrow" w:hAnsi="Arial Narrow"/>
                <w:sz w:val="20"/>
                <w:szCs w:val="20"/>
              </w:rPr>
            </w:pPr>
          </w:p>
        </w:tc>
        <w:tc>
          <w:tcPr>
            <w:tcW w:w="811" w:type="dxa"/>
            <w:vMerge/>
            <w:tcBorders>
              <w:top w:val="single" w:sz="4" w:space="0" w:color="auto"/>
              <w:left w:val="single" w:sz="4" w:space="0" w:color="auto"/>
              <w:bottom w:val="single" w:sz="4" w:space="0" w:color="auto"/>
              <w:right w:val="single" w:sz="4" w:space="0" w:color="auto"/>
            </w:tcBorders>
            <w:vAlign w:val="center"/>
            <w:hideMark/>
          </w:tcPr>
          <w:p w14:paraId="1FA06DC9" w14:textId="77777777" w:rsidR="002D67F8" w:rsidRPr="00BD19A7" w:rsidRDefault="002D67F8" w:rsidP="00FB2167">
            <w:pPr>
              <w:keepNext/>
              <w:rPr>
                <w:rFonts w:ascii="Arial Narrow" w:hAnsi="Arial Narrow"/>
                <w:sz w:val="20"/>
                <w:szCs w:val="20"/>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14:paraId="68A084F8" w14:textId="77777777" w:rsidR="002D67F8" w:rsidRPr="00BD19A7" w:rsidRDefault="002D67F8" w:rsidP="00FB2167">
            <w:pPr>
              <w:keepNext/>
              <w:rPr>
                <w:rFonts w:ascii="Arial Narrow" w:hAnsi="Arial Narrow"/>
                <w:sz w:val="20"/>
                <w:szCs w:val="20"/>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711A0CD6" w14:textId="77777777" w:rsidR="002D67F8" w:rsidRPr="00BD19A7" w:rsidRDefault="002D67F8" w:rsidP="00FB2167">
            <w:pPr>
              <w:keepNext/>
              <w:rPr>
                <w:rFonts w:ascii="Arial Narrow" w:hAnsi="Arial Narrow"/>
                <w:sz w:val="20"/>
                <w:szCs w:val="20"/>
              </w:rPr>
            </w:pPr>
          </w:p>
        </w:tc>
      </w:tr>
      <w:tr w:rsidR="002D67F8" w:rsidRPr="00BD19A7" w14:paraId="7B8D13B5" w14:textId="77777777" w:rsidTr="00000BB2">
        <w:trPr>
          <w:trHeight w:val="34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521219" w14:textId="77777777" w:rsidR="002D67F8" w:rsidRPr="00BD19A7" w:rsidRDefault="002D67F8" w:rsidP="00FB2167">
            <w:pPr>
              <w:keepNext/>
              <w:rPr>
                <w:rFonts w:ascii="Arial Narrow" w:hAnsi="Arial Narrow"/>
                <w:sz w:val="20"/>
                <w:szCs w:val="20"/>
              </w:rPr>
            </w:pPr>
          </w:p>
        </w:tc>
      </w:tr>
      <w:tr w:rsidR="002D67F8" w:rsidRPr="00BD19A7" w14:paraId="3E3A90FE" w14:textId="77777777" w:rsidTr="00000BB2">
        <w:trPr>
          <w:cantSplit/>
          <w:trHeight w:val="20"/>
        </w:trPr>
        <w:tc>
          <w:tcPr>
            <w:tcW w:w="12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3A03A8" w14:textId="0B01C85A" w:rsidR="002D67F8" w:rsidRPr="00BD19A7" w:rsidRDefault="002D67F8" w:rsidP="00FB2167">
            <w:pPr>
              <w:keepNext/>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AB3C71" w14:textId="77777777" w:rsidR="002D67F8" w:rsidRPr="00BD19A7" w:rsidRDefault="002D67F8" w:rsidP="00FB2167">
            <w:pPr>
              <w:keepNext/>
              <w:keepLines/>
              <w:rPr>
                <w:rFonts w:ascii="Arial Narrow" w:hAnsi="Arial Narrow"/>
                <w:b/>
                <w:bCs/>
                <w:strike/>
                <w:color w:val="333333"/>
                <w:sz w:val="20"/>
                <w:szCs w:val="20"/>
              </w:rPr>
            </w:pPr>
            <w:r w:rsidRPr="00BD19A7">
              <w:rPr>
                <w:rFonts w:ascii="Arial Narrow" w:hAnsi="Arial Narrow"/>
                <w:b/>
                <w:bCs/>
                <w:strike/>
                <w:color w:val="333333"/>
                <w:sz w:val="20"/>
                <w:szCs w:val="20"/>
              </w:rPr>
              <w:t>Clinical Criteria:</w:t>
            </w:r>
          </w:p>
        </w:tc>
      </w:tr>
      <w:tr w:rsidR="002D67F8" w:rsidRPr="00BD19A7" w14:paraId="15E3D9A7" w14:textId="77777777" w:rsidTr="00000BB2">
        <w:trPr>
          <w:cantSplit/>
          <w:trHeight w:val="437"/>
        </w:trPr>
        <w:tc>
          <w:tcPr>
            <w:tcW w:w="12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8E4594" w14:textId="0631DCB8" w:rsidR="002D67F8" w:rsidRPr="00BD19A7" w:rsidRDefault="002D67F8" w:rsidP="00FB2167">
            <w:pPr>
              <w:keepNext/>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E0FF983" w14:textId="77777777" w:rsidR="002D67F8" w:rsidRPr="00BD19A7" w:rsidRDefault="002D67F8" w:rsidP="00FB2167">
            <w:pPr>
              <w:keepNext/>
              <w:rPr>
                <w:rFonts w:ascii="Arial Narrow" w:hAnsi="Arial Narrow"/>
                <w:strike/>
                <w:sz w:val="20"/>
                <w:szCs w:val="20"/>
              </w:rPr>
            </w:pPr>
            <w:r w:rsidRPr="00BD19A7">
              <w:rPr>
                <w:rFonts w:ascii="Arial Narrow" w:hAnsi="Arial Narrow"/>
                <w:strike/>
                <w:sz w:val="20"/>
                <w:szCs w:val="20"/>
              </w:rPr>
              <w:t>Patient must be appropriately assessed for the risk of developing progressive multifocal leukoencephalopathy whilst on this treatment</w:t>
            </w:r>
          </w:p>
        </w:tc>
      </w:tr>
    </w:tbl>
    <w:p w14:paraId="6121A4F2" w14:textId="3663F1B9" w:rsidR="002D67F8" w:rsidRPr="00BD19A7" w:rsidRDefault="002D67F8" w:rsidP="002D67F8">
      <w:pPr>
        <w:pStyle w:val="3-BodyText"/>
        <w:numPr>
          <w:ilvl w:val="0"/>
          <w:numId w:val="0"/>
        </w:numPr>
        <w:spacing w:before="120" w:after="0"/>
        <w:ind w:left="720" w:hanging="720"/>
      </w:pPr>
      <w:r w:rsidRPr="00BD19A7">
        <w:t>Flow on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410"/>
        <w:gridCol w:w="1069"/>
        <w:gridCol w:w="812"/>
        <w:gridCol w:w="811"/>
        <w:gridCol w:w="812"/>
        <w:gridCol w:w="1831"/>
      </w:tblGrid>
      <w:tr w:rsidR="002D67F8" w:rsidRPr="00BD19A7" w14:paraId="747E229A" w14:textId="77777777" w:rsidTr="00000BB2">
        <w:trPr>
          <w:cantSplit/>
          <w:trHeight w:val="20"/>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62C1CA7A" w14:textId="77777777" w:rsidR="002D67F8" w:rsidRPr="00BD19A7" w:rsidRDefault="002D67F8" w:rsidP="00000BB2">
            <w:pPr>
              <w:keepLines/>
              <w:rPr>
                <w:rFonts w:ascii="Arial Narrow" w:hAnsi="Arial Narrow"/>
                <w:b/>
                <w:bCs/>
                <w:sz w:val="20"/>
                <w:szCs w:val="20"/>
              </w:rPr>
            </w:pPr>
            <w:r w:rsidRPr="00BD19A7">
              <w:rPr>
                <w:rFonts w:ascii="Arial Narrow" w:hAnsi="Arial Narrow"/>
                <w:b/>
                <w:bCs/>
                <w:sz w:val="20"/>
                <w:szCs w:val="20"/>
              </w:rPr>
              <w:t>MEDICINAL PRODUCT</w:t>
            </w:r>
          </w:p>
          <w:p w14:paraId="3F81A01C" w14:textId="77777777" w:rsidR="002D67F8" w:rsidRPr="00BD19A7" w:rsidRDefault="002D67F8" w:rsidP="00000BB2">
            <w:pPr>
              <w:keepLines/>
              <w:rPr>
                <w:rFonts w:ascii="Arial Narrow" w:hAnsi="Arial Narrow"/>
                <w:b/>
                <w:sz w:val="20"/>
                <w:szCs w:val="20"/>
              </w:rPr>
            </w:pPr>
            <w:r w:rsidRPr="00BD19A7">
              <w:rPr>
                <w:rFonts w:ascii="Arial Narrow" w:hAnsi="Arial Narrow"/>
                <w:b/>
                <w:bCs/>
                <w:sz w:val="20"/>
                <w:szCs w:val="20"/>
              </w:rPr>
              <w:t>medicinal product pack</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AE81A53" w14:textId="77777777" w:rsidR="002D67F8" w:rsidRPr="00BD19A7" w:rsidRDefault="002D67F8" w:rsidP="00000BB2">
            <w:pPr>
              <w:keepLines/>
              <w:jc w:val="center"/>
              <w:rPr>
                <w:rFonts w:ascii="Arial Narrow" w:hAnsi="Arial Narrow"/>
                <w:b/>
                <w:sz w:val="20"/>
                <w:szCs w:val="20"/>
              </w:rPr>
            </w:pPr>
            <w:r w:rsidRPr="00BD19A7">
              <w:rPr>
                <w:rFonts w:ascii="Arial Narrow" w:hAnsi="Arial Narrow"/>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6546DF48" w14:textId="77777777" w:rsidR="002D67F8" w:rsidRPr="00BD19A7" w:rsidRDefault="002D67F8" w:rsidP="00000BB2">
            <w:pPr>
              <w:keepLines/>
              <w:jc w:val="center"/>
              <w:rPr>
                <w:rFonts w:ascii="Arial Narrow" w:hAnsi="Arial Narrow"/>
                <w:b/>
                <w:sz w:val="20"/>
                <w:szCs w:val="20"/>
              </w:rPr>
            </w:pPr>
            <w:r w:rsidRPr="00BD19A7">
              <w:rPr>
                <w:rFonts w:ascii="Arial Narrow" w:hAnsi="Arial Narrow"/>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6AF0B42E" w14:textId="77777777" w:rsidR="002D67F8" w:rsidRPr="00BD19A7" w:rsidRDefault="002D67F8" w:rsidP="00000BB2">
            <w:pPr>
              <w:keepLines/>
              <w:jc w:val="center"/>
              <w:rPr>
                <w:rFonts w:ascii="Arial Narrow" w:hAnsi="Arial Narrow"/>
                <w:b/>
                <w:sz w:val="20"/>
                <w:szCs w:val="20"/>
              </w:rPr>
            </w:pPr>
            <w:r w:rsidRPr="00BD19A7">
              <w:rPr>
                <w:rFonts w:ascii="Arial Narrow" w:hAnsi="Arial Narrow"/>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2F3D3F8C" w14:textId="77777777" w:rsidR="002D67F8" w:rsidRPr="00BD19A7" w:rsidRDefault="002D67F8" w:rsidP="00000BB2">
            <w:pPr>
              <w:keepLines/>
              <w:jc w:val="center"/>
              <w:rPr>
                <w:rFonts w:ascii="Arial Narrow" w:hAnsi="Arial Narrow"/>
                <w:b/>
                <w:sz w:val="20"/>
                <w:szCs w:val="20"/>
              </w:rPr>
            </w:pPr>
            <w:r w:rsidRPr="00BD19A7">
              <w:rPr>
                <w:rFonts w:ascii="Arial Narrow" w:hAnsi="Arial Narrow"/>
                <w:b/>
                <w:sz w:val="20"/>
                <w:szCs w:val="20"/>
              </w:rPr>
              <w:t>№.of</w:t>
            </w:r>
          </w:p>
          <w:p w14:paraId="5BBBBAFE" w14:textId="77777777" w:rsidR="002D67F8" w:rsidRPr="00BD19A7" w:rsidRDefault="002D67F8" w:rsidP="00000BB2">
            <w:pPr>
              <w:keepLines/>
              <w:jc w:val="center"/>
              <w:rPr>
                <w:rFonts w:ascii="Arial Narrow" w:hAnsi="Arial Narrow"/>
                <w:b/>
                <w:sz w:val="20"/>
                <w:szCs w:val="20"/>
              </w:rPr>
            </w:pPr>
            <w:r w:rsidRPr="00BD19A7">
              <w:rPr>
                <w:rFonts w:ascii="Arial Narrow" w:hAnsi="Arial Narrow"/>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C019A02" w14:textId="77777777" w:rsidR="002D67F8" w:rsidRPr="00BD19A7" w:rsidRDefault="002D67F8" w:rsidP="00000BB2">
            <w:pPr>
              <w:keepLines/>
              <w:rPr>
                <w:rFonts w:ascii="Arial Narrow" w:hAnsi="Arial Narrow"/>
                <w:b/>
                <w:sz w:val="20"/>
                <w:szCs w:val="20"/>
              </w:rPr>
            </w:pPr>
            <w:r w:rsidRPr="00BD19A7">
              <w:rPr>
                <w:rFonts w:ascii="Arial Narrow" w:hAnsi="Arial Narrow"/>
                <w:b/>
                <w:sz w:val="20"/>
                <w:szCs w:val="20"/>
              </w:rPr>
              <w:t>Available brands</w:t>
            </w:r>
          </w:p>
        </w:tc>
      </w:tr>
      <w:tr w:rsidR="002D67F8" w:rsidRPr="00BD19A7" w14:paraId="47035112" w14:textId="77777777" w:rsidTr="00000BB2">
        <w:trPr>
          <w:cantSplit/>
          <w:trHeight w:val="20"/>
        </w:trPr>
        <w:tc>
          <w:tcPr>
            <w:tcW w:w="9016" w:type="dxa"/>
            <w:gridSpan w:val="7"/>
            <w:tcBorders>
              <w:top w:val="single" w:sz="4" w:space="0" w:color="auto"/>
              <w:left w:val="single" w:sz="4" w:space="0" w:color="auto"/>
              <w:bottom w:val="single" w:sz="4" w:space="0" w:color="auto"/>
              <w:right w:val="single" w:sz="4" w:space="0" w:color="auto"/>
            </w:tcBorders>
            <w:vAlign w:val="center"/>
            <w:hideMark/>
          </w:tcPr>
          <w:p w14:paraId="26027305" w14:textId="77777777" w:rsidR="002D67F8" w:rsidRPr="00BD19A7" w:rsidRDefault="002D67F8" w:rsidP="00000BB2">
            <w:pPr>
              <w:keepLines/>
              <w:rPr>
                <w:rFonts w:ascii="Arial Narrow" w:hAnsi="Arial Narrow"/>
                <w:sz w:val="20"/>
                <w:szCs w:val="20"/>
              </w:rPr>
            </w:pPr>
            <w:r w:rsidRPr="00BD19A7">
              <w:rPr>
                <w:rFonts w:ascii="Arial Narrow" w:hAnsi="Arial Narrow"/>
                <w:sz w:val="20"/>
                <w:szCs w:val="20"/>
              </w:rPr>
              <w:t>VEDOLIZUMAB</w:t>
            </w:r>
          </w:p>
        </w:tc>
      </w:tr>
      <w:tr w:rsidR="002D67F8" w:rsidRPr="00BD19A7" w14:paraId="774E732E" w14:textId="77777777" w:rsidTr="00000BB2">
        <w:trPr>
          <w:cantSplit/>
          <w:trHeight w:val="20"/>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6549F99A" w14:textId="77777777" w:rsidR="002D67F8" w:rsidRPr="00BD19A7" w:rsidRDefault="002D67F8" w:rsidP="00000BB2">
            <w:pPr>
              <w:keepLines/>
              <w:rPr>
                <w:rFonts w:ascii="Arial Narrow" w:hAnsi="Arial Narrow"/>
                <w:sz w:val="20"/>
                <w:szCs w:val="20"/>
              </w:rPr>
            </w:pPr>
            <w:r w:rsidRPr="00BD19A7">
              <w:rPr>
                <w:rFonts w:ascii="Arial Narrow" w:hAnsi="Arial Narrow"/>
                <w:sz w:val="20"/>
                <w:szCs w:val="20"/>
              </w:rPr>
              <w:t>vedolizumab 108 mg/0.68 mL injection, 2 x 0.68 mL pen devices</w:t>
            </w:r>
          </w:p>
        </w:tc>
        <w:tc>
          <w:tcPr>
            <w:tcW w:w="1069" w:type="dxa"/>
            <w:tcBorders>
              <w:top w:val="single" w:sz="4" w:space="0" w:color="auto"/>
              <w:left w:val="single" w:sz="4" w:space="0" w:color="auto"/>
              <w:bottom w:val="single" w:sz="4" w:space="0" w:color="auto"/>
              <w:right w:val="single" w:sz="4" w:space="0" w:color="auto"/>
            </w:tcBorders>
            <w:vAlign w:val="center"/>
            <w:hideMark/>
          </w:tcPr>
          <w:p w14:paraId="61F96F85" w14:textId="77777777" w:rsidR="002D67F8" w:rsidRPr="00BD19A7" w:rsidRDefault="002D67F8" w:rsidP="00000BB2">
            <w:pPr>
              <w:keepLines/>
              <w:jc w:val="center"/>
              <w:rPr>
                <w:rFonts w:ascii="Arial Narrow" w:hAnsi="Arial Narrow"/>
                <w:sz w:val="20"/>
                <w:szCs w:val="20"/>
              </w:rPr>
            </w:pPr>
            <w:r w:rsidRPr="00BD19A7">
              <w:rPr>
                <w:rFonts w:ascii="Arial Narrow" w:hAnsi="Arial Narrow"/>
                <w:sz w:val="20"/>
                <w:szCs w:val="20"/>
              </w:rPr>
              <w:t>12638E</w:t>
            </w:r>
          </w:p>
        </w:tc>
        <w:tc>
          <w:tcPr>
            <w:tcW w:w="812" w:type="dxa"/>
            <w:tcBorders>
              <w:top w:val="single" w:sz="4" w:space="0" w:color="auto"/>
              <w:left w:val="single" w:sz="4" w:space="0" w:color="auto"/>
              <w:bottom w:val="single" w:sz="4" w:space="0" w:color="auto"/>
              <w:right w:val="single" w:sz="4" w:space="0" w:color="auto"/>
            </w:tcBorders>
            <w:vAlign w:val="center"/>
            <w:hideMark/>
          </w:tcPr>
          <w:p w14:paraId="393834B5" w14:textId="77777777" w:rsidR="002D67F8" w:rsidRPr="00BD19A7" w:rsidRDefault="002D67F8" w:rsidP="00000BB2">
            <w:pPr>
              <w:keepLines/>
              <w:jc w:val="center"/>
              <w:rPr>
                <w:rFonts w:ascii="Arial Narrow" w:hAnsi="Arial Narrow"/>
                <w:sz w:val="20"/>
                <w:szCs w:val="20"/>
              </w:rPr>
            </w:pPr>
            <w:r w:rsidRPr="00BD19A7">
              <w:rPr>
                <w:rFonts w:ascii="Arial Narrow" w:hAnsi="Arial Narrow"/>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3C4AD31B" w14:textId="77777777" w:rsidR="002D67F8" w:rsidRPr="00BD19A7" w:rsidRDefault="002D67F8" w:rsidP="00000BB2">
            <w:pPr>
              <w:keepLines/>
              <w:jc w:val="center"/>
              <w:rPr>
                <w:rFonts w:ascii="Arial Narrow" w:hAnsi="Arial Narrow"/>
                <w:sz w:val="20"/>
                <w:szCs w:val="20"/>
              </w:rPr>
            </w:pPr>
            <w:r w:rsidRPr="00BD19A7">
              <w:rPr>
                <w:rFonts w:ascii="Arial Narrow" w:hAnsi="Arial Narrow"/>
                <w:sz w:val="20"/>
                <w:szCs w:val="20"/>
              </w:rPr>
              <w:t>2</w:t>
            </w:r>
          </w:p>
        </w:tc>
        <w:tc>
          <w:tcPr>
            <w:tcW w:w="812" w:type="dxa"/>
            <w:tcBorders>
              <w:top w:val="single" w:sz="4" w:space="0" w:color="auto"/>
              <w:left w:val="single" w:sz="4" w:space="0" w:color="auto"/>
              <w:bottom w:val="single" w:sz="4" w:space="0" w:color="auto"/>
              <w:right w:val="single" w:sz="4" w:space="0" w:color="auto"/>
            </w:tcBorders>
            <w:vAlign w:val="center"/>
            <w:hideMark/>
          </w:tcPr>
          <w:p w14:paraId="1D917400" w14:textId="77777777" w:rsidR="002D67F8" w:rsidRPr="00BD19A7" w:rsidRDefault="002D67F8" w:rsidP="00000BB2">
            <w:pPr>
              <w:keepLines/>
              <w:jc w:val="center"/>
              <w:rPr>
                <w:rFonts w:ascii="Arial Narrow" w:hAnsi="Arial Narrow"/>
                <w:sz w:val="20"/>
                <w:szCs w:val="20"/>
              </w:rPr>
            </w:pPr>
            <w:r w:rsidRPr="00BD19A7">
              <w:rPr>
                <w:rFonts w:ascii="Arial Narrow" w:hAnsi="Arial Narrow"/>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hideMark/>
          </w:tcPr>
          <w:p w14:paraId="701BD886" w14:textId="77777777" w:rsidR="002D67F8" w:rsidRPr="00BD19A7" w:rsidRDefault="002D67F8" w:rsidP="00000BB2">
            <w:pPr>
              <w:rPr>
                <w:rFonts w:ascii="Arial Narrow" w:hAnsi="Arial Narrow"/>
                <w:sz w:val="20"/>
                <w:szCs w:val="20"/>
              </w:rPr>
            </w:pPr>
          </w:p>
        </w:tc>
      </w:tr>
      <w:tr w:rsidR="002D67F8" w:rsidRPr="00BD19A7" w14:paraId="46CA23E6" w14:textId="77777777" w:rsidTr="00000BB2">
        <w:trPr>
          <w:trHeight w:val="340"/>
        </w:trPr>
        <w:tc>
          <w:tcPr>
            <w:tcW w:w="9016"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A59823" w14:textId="77777777" w:rsidR="002D67F8" w:rsidRPr="00BD19A7" w:rsidRDefault="002D67F8" w:rsidP="00000BB2">
            <w:pPr>
              <w:rPr>
                <w:rFonts w:ascii="Arial Narrow" w:hAnsi="Arial Narrow"/>
                <w:sz w:val="20"/>
                <w:szCs w:val="20"/>
              </w:rPr>
            </w:pPr>
          </w:p>
        </w:tc>
      </w:tr>
      <w:tr w:rsidR="002D67F8" w:rsidRPr="00BD19A7" w14:paraId="0C33CCB6" w14:textId="77777777" w:rsidTr="00000BB2">
        <w:trPr>
          <w:cantSplit/>
          <w:trHeight w:val="20"/>
        </w:trPr>
        <w:tc>
          <w:tcPr>
            <w:tcW w:w="127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CFF656" w14:textId="41ED3817" w:rsidR="002D67F8" w:rsidRPr="00BD19A7" w:rsidRDefault="002D67F8" w:rsidP="00000BB2">
            <w:pPr>
              <w:keepLines/>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2A1B87" w14:textId="77777777" w:rsidR="002D67F8" w:rsidRPr="00BD19A7" w:rsidRDefault="002D67F8"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266F0587" w14:textId="77777777" w:rsidR="002D67F8" w:rsidRPr="00BD19A7" w:rsidRDefault="002D67F8" w:rsidP="00000BB2">
            <w:pPr>
              <w:keepLines/>
              <w:rPr>
                <w:rFonts w:ascii="Arial Narrow" w:hAnsi="Arial Narrow"/>
                <w:b/>
                <w:bCs/>
                <w:strike/>
                <w:sz w:val="20"/>
                <w:szCs w:val="20"/>
              </w:rPr>
            </w:pPr>
            <w:r w:rsidRPr="00BD19A7">
              <w:rPr>
                <w:rFonts w:ascii="Arial Narrow" w:hAnsi="Arial Narrow" w:cs="Open Sans"/>
                <w:i/>
                <w:iCs/>
                <w:sz w:val="20"/>
                <w:szCs w:val="20"/>
              </w:rPr>
              <w:t>Where four initial doses of vedolizumab (at weeks 0, 2, 6 and 10) is administered via intravenous infusion, initial treatment with subcutaneous form will commence at week 14 (4 weeks after the fourth dose). A maximum quantity with no repeats should be requested to provide for weeks 14 and 16.</w:t>
            </w:r>
          </w:p>
        </w:tc>
      </w:tr>
    </w:tbl>
    <w:p w14:paraId="140B58B2" w14:textId="4A0EF3BA" w:rsidR="00910732" w:rsidRPr="00BD19A7" w:rsidRDefault="000C0260" w:rsidP="002D67F8">
      <w:pPr>
        <w:pStyle w:val="3-BodyText"/>
        <w:spacing w:before="120"/>
      </w:pPr>
      <w:r w:rsidRPr="00BD19A7">
        <w:t>The proposed effective approved ex-manufacturer price (AEMP) for vedolizumab 300</w:t>
      </w:r>
      <w:r w:rsidR="00EB55A6" w:rsidRPr="00BD19A7">
        <w:t> </w:t>
      </w:r>
      <w:r w:rsidRPr="00BD19A7">
        <w:t xml:space="preserve">mg IV for the treatment of severe CD </w:t>
      </w:r>
      <w:r w:rsidR="00910732" w:rsidRPr="00BD19A7">
        <w:t>was</w:t>
      </w:r>
      <w:r w:rsidRPr="00BD19A7">
        <w:t xml:space="preserve"> $</w:t>
      </w:r>
      <w:r w:rsidR="00206A14" w:rsidRPr="007B0FCD">
        <w:rPr>
          <w:color w:val="000000"/>
          <w:w w:val="15"/>
          <w:shd w:val="solid" w:color="000000" w:fill="000000"/>
          <w:fitText w:val="-20" w:id="-961805056"/>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5056"/>
          <w14:textFill>
            <w14:solidFill>
              <w14:srgbClr w14:val="000000">
                <w14:alpha w14:val="100000"/>
              </w14:srgbClr>
            </w14:solidFill>
          </w14:textFill>
        </w:rPr>
        <w:t>|</w:t>
      </w:r>
      <w:r w:rsidRPr="00BD19A7">
        <w:t>. This is a weighted average AEMP of the current AEMP ($</w:t>
      </w:r>
      <w:r w:rsidR="00206A14" w:rsidRPr="007B0FCD">
        <w:rPr>
          <w:color w:val="000000"/>
          <w:w w:val="15"/>
          <w:shd w:val="solid" w:color="000000" w:fill="000000"/>
          <w:fitText w:val="-20" w:id="-961805055"/>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5055"/>
          <w14:textFill>
            <w14:solidFill>
              <w14:srgbClr w14:val="000000">
                <w14:alpha w14:val="100000"/>
              </w14:srgbClr>
            </w14:solidFill>
          </w14:textFill>
        </w:rPr>
        <w:t>|</w:t>
      </w:r>
      <w:r w:rsidRPr="00BD19A7">
        <w:t xml:space="preserve">) for the </w:t>
      </w:r>
      <w:r w:rsidR="00206A14" w:rsidRPr="007B0FCD">
        <w:rPr>
          <w:color w:val="000000"/>
          <w:w w:val="15"/>
          <w:shd w:val="solid" w:color="000000" w:fill="000000"/>
          <w:fitText w:val="-20" w:id="-961804800"/>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800"/>
          <w14:textFill>
            <w14:solidFill>
              <w14:srgbClr w14:val="000000">
                <w14:alpha w14:val="100000"/>
              </w14:srgbClr>
            </w14:solidFill>
          </w14:textFill>
        </w:rPr>
        <w:t>|</w:t>
      </w:r>
      <w:r w:rsidRPr="00F835AA">
        <w:t>%</w:t>
      </w:r>
      <w:r w:rsidRPr="00BD19A7">
        <w:t xml:space="preserve"> of patients who do not require an additional dose at </w:t>
      </w:r>
      <w:r w:rsidR="00732FCE" w:rsidRPr="00BD19A7">
        <w:t>week</w:t>
      </w:r>
      <w:r w:rsidRPr="00BD19A7">
        <w:t xml:space="preserve"> 10 and the AEMP of $</w:t>
      </w:r>
      <w:r w:rsidR="00206A14" w:rsidRPr="007B0FCD">
        <w:rPr>
          <w:color w:val="000000"/>
          <w:w w:val="15"/>
          <w:shd w:val="solid" w:color="000000" w:fill="000000"/>
          <w:fitText w:val="-20" w:id="-961804799"/>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9"/>
          <w14:textFill>
            <w14:solidFill>
              <w14:srgbClr w14:val="000000">
                <w14:alpha w14:val="100000"/>
              </w14:srgbClr>
            </w14:solidFill>
          </w14:textFill>
        </w:rPr>
        <w:t>|</w:t>
      </w:r>
      <w:r w:rsidRPr="00BD19A7">
        <w:t xml:space="preserve"> that is obtained from the cost minimisation analysis</w:t>
      </w:r>
      <w:r w:rsidR="00BB0EF0" w:rsidRPr="00BD19A7">
        <w:t xml:space="preserve"> (CMA)</w:t>
      </w:r>
      <w:r w:rsidRPr="00BD19A7">
        <w:t xml:space="preserve"> for the </w:t>
      </w:r>
      <w:r w:rsidR="00206A14" w:rsidRPr="007B0FCD">
        <w:rPr>
          <w:color w:val="000000"/>
          <w:w w:val="15"/>
          <w:shd w:val="solid" w:color="000000" w:fill="000000"/>
          <w:fitText w:val="-20" w:id="-961804798"/>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8"/>
          <w14:textFill>
            <w14:solidFill>
              <w14:srgbClr w14:val="000000">
                <w14:alpha w14:val="100000"/>
              </w14:srgbClr>
            </w14:solidFill>
          </w14:textFill>
        </w:rPr>
        <w:t>|</w:t>
      </w:r>
      <w:r w:rsidRPr="00BD19A7">
        <w:t xml:space="preserve">% of patients who may derive additional benefit from the </w:t>
      </w:r>
      <w:r w:rsidR="00732FCE" w:rsidRPr="00BD19A7">
        <w:t>week</w:t>
      </w:r>
      <w:r w:rsidRPr="00BD19A7">
        <w:t xml:space="preserve"> 10 dose (</w:t>
      </w:r>
      <w:r w:rsidR="00176F17" w:rsidRPr="00BD19A7">
        <w:t>(</w:t>
      </w:r>
      <w:r w:rsidR="00206A14" w:rsidRPr="007B0FCD">
        <w:rPr>
          <w:color w:val="000000"/>
          <w:w w:val="15"/>
          <w:shd w:val="solid" w:color="000000" w:fill="000000"/>
          <w:fitText w:val="-20" w:id="-961804797"/>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7"/>
          <w14:textFill>
            <w14:solidFill>
              <w14:srgbClr w14:val="000000">
                <w14:alpha w14:val="100000"/>
              </w14:srgbClr>
            </w14:solidFill>
          </w14:textFill>
        </w:rPr>
        <w:t>|</w:t>
      </w:r>
      <w:r w:rsidRPr="00BD19A7">
        <w:t>% x $</w:t>
      </w:r>
      <w:r w:rsidR="00206A14" w:rsidRPr="007B0FCD">
        <w:rPr>
          <w:color w:val="000000"/>
          <w:w w:val="15"/>
          <w:shd w:val="solid" w:color="000000" w:fill="000000"/>
          <w:fitText w:val="-20" w:id="-961804796"/>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6"/>
          <w14:textFill>
            <w14:solidFill>
              <w14:srgbClr w14:val="000000">
                <w14:alpha w14:val="100000"/>
              </w14:srgbClr>
            </w14:solidFill>
          </w14:textFill>
        </w:rPr>
        <w:t>|</w:t>
      </w:r>
      <w:r w:rsidR="00176F17" w:rsidRPr="00BD19A7">
        <w:t>)</w:t>
      </w:r>
      <w:r w:rsidRPr="00BD19A7">
        <w:t xml:space="preserve"> + </w:t>
      </w:r>
      <w:r w:rsidR="00176F17" w:rsidRPr="00BD19A7">
        <w:t>(</w:t>
      </w:r>
      <w:r w:rsidR="00206A14" w:rsidRPr="007B0FCD">
        <w:rPr>
          <w:color w:val="000000"/>
          <w:w w:val="15"/>
          <w:shd w:val="solid" w:color="000000" w:fill="000000"/>
          <w:fitText w:val="-20" w:id="-961804795"/>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5"/>
          <w14:textFill>
            <w14:solidFill>
              <w14:srgbClr w14:val="000000">
                <w14:alpha w14:val="100000"/>
              </w14:srgbClr>
            </w14:solidFill>
          </w14:textFill>
        </w:rPr>
        <w:t>|</w:t>
      </w:r>
      <w:r w:rsidRPr="00BD19A7">
        <w:t>% x $</w:t>
      </w:r>
      <w:r w:rsidR="00206A14" w:rsidRPr="007B0FCD">
        <w:rPr>
          <w:color w:val="000000"/>
          <w:w w:val="15"/>
          <w:shd w:val="solid" w:color="000000" w:fill="000000"/>
          <w:fitText w:val="-20" w:id="-961804794"/>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4"/>
          <w14:textFill>
            <w14:solidFill>
              <w14:srgbClr w14:val="000000">
                <w14:alpha w14:val="100000"/>
              </w14:srgbClr>
            </w14:solidFill>
          </w14:textFill>
        </w:rPr>
        <w:t>|</w:t>
      </w:r>
      <w:r w:rsidR="00176F17" w:rsidRPr="00BD19A7">
        <w:t>)</w:t>
      </w:r>
      <w:r w:rsidRPr="00BD19A7">
        <w:t xml:space="preserve"> = $</w:t>
      </w:r>
      <w:r w:rsidR="00206A14" w:rsidRPr="007B0FCD">
        <w:rPr>
          <w:color w:val="000000"/>
          <w:w w:val="15"/>
          <w:shd w:val="solid" w:color="000000" w:fill="000000"/>
          <w:fitText w:val="-20" w:id="-961804793"/>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3"/>
          <w14:textFill>
            <w14:solidFill>
              <w14:srgbClr w14:val="000000">
                <w14:alpha w14:val="100000"/>
              </w14:srgbClr>
            </w14:solidFill>
          </w14:textFill>
        </w:rPr>
        <w:t>|</w:t>
      </w:r>
      <w:r w:rsidRPr="00BD19A7">
        <w:t>)</w:t>
      </w:r>
      <w:r w:rsidR="00BD19A7">
        <w:t xml:space="preserve">. </w:t>
      </w:r>
      <w:r w:rsidR="005979B5" w:rsidRPr="00BD19A7">
        <w:t xml:space="preserve">Following the suggested alternative approach to </w:t>
      </w:r>
      <w:r w:rsidR="00071A32" w:rsidRPr="00BD19A7">
        <w:t>achieve cost-neutrality</w:t>
      </w:r>
      <w:r w:rsidR="005979B5" w:rsidRPr="00BD19A7">
        <w:t>, the Pre-Sub-Committee Response</w:t>
      </w:r>
      <w:r w:rsidR="00E75877" w:rsidRPr="00BD19A7">
        <w:t xml:space="preserve"> (PSCR)</w:t>
      </w:r>
      <w:r w:rsidR="005979B5" w:rsidRPr="00BD19A7">
        <w:t xml:space="preserve"> </w:t>
      </w:r>
      <w:r w:rsidR="005979B5" w:rsidRPr="00BD19A7">
        <w:rPr>
          <w:rFonts w:eastAsia="Calibri"/>
          <w:bCs/>
        </w:rPr>
        <w:t>considered that the weighted AEMP for the initiating treatment phase would be determined as follows: ($</w:t>
      </w:r>
      <w:r w:rsidR="00206A14" w:rsidRPr="007B0FCD">
        <w:rPr>
          <w:rFonts w:eastAsia="Calibri"/>
          <w:bCs/>
          <w:color w:val="000000"/>
          <w:w w:val="15"/>
          <w:shd w:val="solid" w:color="000000" w:fill="000000"/>
          <w:fitText w:val="-20" w:id="-961804792"/>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92"/>
          <w14:textFill>
            <w14:solidFill>
              <w14:srgbClr w14:val="000000">
                <w14:alpha w14:val="100000"/>
              </w14:srgbClr>
            </w14:solidFill>
          </w14:textFill>
        </w:rPr>
        <w:t>|</w:t>
      </w:r>
      <w:r w:rsidR="005979B5" w:rsidRPr="00BD19A7">
        <w:rPr>
          <w:rFonts w:eastAsia="Calibri"/>
          <w:bCs/>
        </w:rPr>
        <w:t xml:space="preserve"> x % patients who do NOT require an additional dose) + ($</w:t>
      </w:r>
      <w:r w:rsidR="00206A14" w:rsidRPr="007B0FCD">
        <w:rPr>
          <w:rFonts w:eastAsia="Calibri"/>
          <w:bCs/>
          <w:color w:val="000000"/>
          <w:w w:val="15"/>
          <w:shd w:val="solid" w:color="000000" w:fill="000000"/>
          <w:fitText w:val="-20" w:id="-961804791"/>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91"/>
          <w14:textFill>
            <w14:solidFill>
              <w14:srgbClr w14:val="000000">
                <w14:alpha w14:val="100000"/>
              </w14:srgbClr>
            </w14:solidFill>
          </w14:textFill>
        </w:rPr>
        <w:t>|</w:t>
      </w:r>
      <w:r w:rsidR="005979B5" w:rsidRPr="00BD19A7">
        <w:rPr>
          <w:rFonts w:eastAsia="Calibri"/>
          <w:bCs/>
        </w:rPr>
        <w:t xml:space="preserve"> x % patients who DO require the additional dose at Week 10).</w:t>
      </w:r>
      <w:r w:rsidR="00910732" w:rsidRPr="00BD19A7">
        <w:rPr>
          <w:rFonts w:eastAsia="Calibri"/>
          <w:bCs/>
        </w:rPr>
        <w:t xml:space="preserve"> This was calculated to be </w:t>
      </w:r>
      <w:r w:rsidR="00910732" w:rsidRPr="00BD19A7">
        <w:t>$</w:t>
      </w:r>
      <w:r w:rsidR="00206A14" w:rsidRPr="007B0FCD">
        <w:rPr>
          <w:color w:val="000000"/>
          <w:w w:val="15"/>
          <w:shd w:val="solid" w:color="000000" w:fill="000000"/>
          <w:fitText w:val="-20" w:id="-961804790"/>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0"/>
          <w14:textFill>
            <w14:solidFill>
              <w14:srgbClr w14:val="000000">
                <w14:alpha w14:val="100000"/>
              </w14:srgbClr>
            </w14:solidFill>
          </w14:textFill>
        </w:rPr>
        <w:t>|</w:t>
      </w:r>
      <w:r w:rsidR="00910732" w:rsidRPr="00BD19A7">
        <w:t xml:space="preserve"> (</w:t>
      </w:r>
      <w:r w:rsidR="00910732" w:rsidRPr="00BD19A7">
        <w:rPr>
          <w:rFonts w:eastAsia="Calibri"/>
          <w:bCs/>
        </w:rPr>
        <w:t>($</w:t>
      </w:r>
      <w:r w:rsidR="00206A14" w:rsidRPr="007B0FCD">
        <w:rPr>
          <w:rFonts w:eastAsia="Calibri"/>
          <w:bCs/>
          <w:color w:val="000000"/>
          <w:w w:val="15"/>
          <w:shd w:val="solid" w:color="000000" w:fill="000000"/>
          <w:fitText w:val="-20" w:id="-961804789"/>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89"/>
          <w14:textFill>
            <w14:solidFill>
              <w14:srgbClr w14:val="000000">
                <w14:alpha w14:val="100000"/>
              </w14:srgbClr>
            </w14:solidFill>
          </w14:textFill>
        </w:rPr>
        <w:t>|</w:t>
      </w:r>
      <w:r w:rsidR="00910732" w:rsidRPr="00BD19A7">
        <w:rPr>
          <w:rFonts w:eastAsia="Calibri"/>
          <w:bCs/>
        </w:rPr>
        <w:t xml:space="preserve"> x </w:t>
      </w:r>
      <w:r w:rsidR="00206A14" w:rsidRPr="007B0FCD">
        <w:rPr>
          <w:rFonts w:eastAsia="Calibri"/>
          <w:bCs/>
          <w:color w:val="000000"/>
          <w:w w:val="15"/>
          <w:shd w:val="solid" w:color="000000" w:fill="000000"/>
          <w:fitText w:val="-20" w:id="-961804788"/>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88"/>
          <w14:textFill>
            <w14:solidFill>
              <w14:srgbClr w14:val="000000">
                <w14:alpha w14:val="100000"/>
              </w14:srgbClr>
            </w14:solidFill>
          </w14:textFill>
        </w:rPr>
        <w:t>|</w:t>
      </w:r>
      <w:r w:rsidR="00910732" w:rsidRPr="00BD19A7">
        <w:rPr>
          <w:rFonts w:eastAsia="Calibri"/>
          <w:bCs/>
        </w:rPr>
        <w:t>%) + ($</w:t>
      </w:r>
      <w:r w:rsidR="00206A14" w:rsidRPr="007B0FCD">
        <w:rPr>
          <w:rFonts w:eastAsia="Calibri"/>
          <w:bCs/>
          <w:color w:val="000000"/>
          <w:w w:val="15"/>
          <w:shd w:val="solid" w:color="000000" w:fill="000000"/>
          <w:fitText w:val="-20" w:id="-961804787"/>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87"/>
          <w14:textFill>
            <w14:solidFill>
              <w14:srgbClr w14:val="000000">
                <w14:alpha w14:val="100000"/>
              </w14:srgbClr>
            </w14:solidFill>
          </w14:textFill>
        </w:rPr>
        <w:t>|</w:t>
      </w:r>
      <w:r w:rsidR="00910732" w:rsidRPr="00BD19A7">
        <w:rPr>
          <w:rFonts w:eastAsia="Calibri"/>
          <w:bCs/>
        </w:rPr>
        <w:t xml:space="preserve"> x </w:t>
      </w:r>
      <w:r w:rsidR="00206A14" w:rsidRPr="007B0FCD">
        <w:rPr>
          <w:rFonts w:eastAsia="Calibri"/>
          <w:bCs/>
          <w:color w:val="000000"/>
          <w:w w:val="15"/>
          <w:shd w:val="solid" w:color="000000" w:fill="000000"/>
          <w:fitText w:val="-20" w:id="-961804786"/>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86"/>
          <w14:textFill>
            <w14:solidFill>
              <w14:srgbClr w14:val="000000">
                <w14:alpha w14:val="100000"/>
              </w14:srgbClr>
            </w14:solidFill>
          </w14:textFill>
        </w:rPr>
        <w:t>|</w:t>
      </w:r>
      <w:r w:rsidR="00910732" w:rsidRPr="00BD19A7">
        <w:rPr>
          <w:rFonts w:eastAsia="Calibri"/>
          <w:bCs/>
        </w:rPr>
        <w:t>%))</w:t>
      </w:r>
      <w:r w:rsidR="00910732" w:rsidRPr="00BD19A7">
        <w:t xml:space="preserve">. </w:t>
      </w:r>
    </w:p>
    <w:p w14:paraId="0DE2296F" w14:textId="67AEC1FD" w:rsidR="00E5072D" w:rsidRPr="00BD19A7" w:rsidRDefault="0022439C" w:rsidP="005979B5">
      <w:pPr>
        <w:pStyle w:val="3-BodyText"/>
        <w:spacing w:before="120"/>
        <w:rPr>
          <w:rFonts w:eastAsia="Calibri"/>
          <w:bCs/>
        </w:rPr>
      </w:pPr>
      <w:r w:rsidRPr="00BD19A7">
        <w:rPr>
          <w:rFonts w:eastAsia="Calibri"/>
          <w:bCs/>
        </w:rPr>
        <w:t>The</w:t>
      </w:r>
      <w:r w:rsidR="00E5072D" w:rsidRPr="00BD19A7">
        <w:rPr>
          <w:rFonts w:eastAsia="Calibri"/>
          <w:bCs/>
        </w:rPr>
        <w:t xml:space="preserve"> evaluation</w:t>
      </w:r>
      <w:r w:rsidRPr="00BD19A7">
        <w:rPr>
          <w:rFonts w:eastAsia="Calibri"/>
          <w:bCs/>
        </w:rPr>
        <w:t xml:space="preserve"> noted that the alternative approach to</w:t>
      </w:r>
      <w:r w:rsidR="000760BB" w:rsidRPr="00BD19A7">
        <w:rPr>
          <w:rFonts w:eastAsia="Calibri"/>
          <w:bCs/>
        </w:rPr>
        <w:t xml:space="preserve"> achieving cost neutrality for</w:t>
      </w:r>
      <w:r w:rsidRPr="00BD19A7">
        <w:rPr>
          <w:rFonts w:eastAsia="Calibri"/>
          <w:bCs/>
        </w:rPr>
        <w:t xml:space="preserve"> the financials </w:t>
      </w:r>
      <w:r w:rsidR="00A0170F" w:rsidRPr="00BD19A7">
        <w:rPr>
          <w:rFonts w:eastAsia="Calibri"/>
          <w:bCs/>
        </w:rPr>
        <w:t xml:space="preserve">would </w:t>
      </w:r>
      <w:r w:rsidRPr="00BD19A7">
        <w:rPr>
          <w:rFonts w:eastAsia="Calibri"/>
          <w:bCs/>
        </w:rPr>
        <w:t>require that initial and continuing restrictions be separated into different item codes.</w:t>
      </w:r>
    </w:p>
    <w:p w14:paraId="32E474C3" w14:textId="309B75F2" w:rsidR="000C0260" w:rsidRPr="00BD19A7" w:rsidRDefault="000C0260" w:rsidP="000C0260">
      <w:pPr>
        <w:pStyle w:val="3-BodyText"/>
      </w:pPr>
      <w:r w:rsidRPr="00BD19A7">
        <w:lastRenderedPageBreak/>
        <w:t xml:space="preserve">Vedolizumab 300 mg IV is currently listed with a special pricing arrangement. The sponsor requested that this arrangement and the published AEMP of $2,949.93 are maintained. </w:t>
      </w:r>
    </w:p>
    <w:p w14:paraId="472169D2" w14:textId="202EC006" w:rsidR="00E5072D" w:rsidRPr="00BD19A7" w:rsidRDefault="00E5072D" w:rsidP="00E5072D">
      <w:pPr>
        <w:pStyle w:val="4-SubsectionHeading"/>
      </w:pPr>
      <w:r w:rsidRPr="00BD19A7">
        <w:t>Monitoring for PML</w:t>
      </w:r>
    </w:p>
    <w:p w14:paraId="489B0130" w14:textId="4A1AC697" w:rsidR="00A827C2" w:rsidRPr="00BD19A7" w:rsidRDefault="0068740E" w:rsidP="00A827C2">
      <w:pPr>
        <w:pStyle w:val="3-BodyText"/>
      </w:pPr>
      <w:r w:rsidRPr="00BD19A7">
        <w:t xml:space="preserve">The December 2023 TGA-approved amendment to the PI </w:t>
      </w:r>
      <w:r w:rsidR="00A827C2" w:rsidRPr="00BD19A7">
        <w:t>remove</w:t>
      </w:r>
      <w:r w:rsidRPr="00BD19A7">
        <w:t>d</w:t>
      </w:r>
      <w:r w:rsidR="00A827C2" w:rsidRPr="00BD19A7">
        <w:t xml:space="preserve"> the need for patient to carry a patient alert card, though </w:t>
      </w:r>
      <w:r w:rsidR="00EE1FE4" w:rsidRPr="00BD19A7">
        <w:t xml:space="preserve">it </w:t>
      </w:r>
      <w:r w:rsidR="00A827C2" w:rsidRPr="00BD19A7">
        <w:t>still maintain</w:t>
      </w:r>
      <w:r w:rsidR="00EE1FE4" w:rsidRPr="00BD19A7">
        <w:t>s</w:t>
      </w:r>
      <w:r w:rsidR="00A827C2" w:rsidRPr="00BD19A7">
        <w:t xml:space="preserve"> the need for healthcare professionals to monitor for signs of PML. See PI amendments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C437A0" w:rsidRPr="00BD19A7" w14:paraId="5CF37561" w14:textId="77777777" w:rsidTr="00C437A0">
        <w:trPr>
          <w:trHeight w:val="340"/>
        </w:trPr>
        <w:tc>
          <w:tcPr>
            <w:tcW w:w="9017" w:type="dxa"/>
            <w:tcBorders>
              <w:top w:val="single" w:sz="4" w:space="0" w:color="auto"/>
              <w:left w:val="single" w:sz="4" w:space="0" w:color="auto"/>
              <w:right w:val="single" w:sz="4" w:space="0" w:color="auto"/>
            </w:tcBorders>
            <w:vAlign w:val="center"/>
          </w:tcPr>
          <w:p w14:paraId="4CAE78A8" w14:textId="3BE0D5D4" w:rsidR="00C437A0" w:rsidRPr="00BD19A7" w:rsidRDefault="00C437A0" w:rsidP="00C437A0">
            <w:pPr>
              <w:rPr>
                <w:rFonts w:ascii="Arial Narrow" w:hAnsi="Arial Narrow"/>
                <w:sz w:val="20"/>
                <w:szCs w:val="20"/>
              </w:rPr>
            </w:pPr>
            <w:r w:rsidRPr="00BD19A7">
              <w:rPr>
                <w:rFonts w:ascii="Arial Narrow" w:hAnsi="Arial Narrow"/>
                <w:sz w:val="20"/>
                <w:szCs w:val="20"/>
              </w:rPr>
              <w:t xml:space="preserve">Patients should be monitored for any new onset, or worsening, of neurological signs and symptoms. Typical signs and symptoms associated with PML are diverse, progress over days to weeks, and include progressive weakness on one side of the body or clumsiness of limbs, disturbance of vision, and changes in thinking, memory, and orientation leading to confusion and personality changes. </w:t>
            </w:r>
          </w:p>
          <w:p w14:paraId="3B77FD15" w14:textId="77777777" w:rsidR="00C437A0" w:rsidRPr="00BD19A7" w:rsidRDefault="00C437A0" w:rsidP="00C437A0">
            <w:pPr>
              <w:rPr>
                <w:rFonts w:ascii="Arial Narrow" w:hAnsi="Arial Narrow"/>
                <w:sz w:val="20"/>
                <w:szCs w:val="20"/>
              </w:rPr>
            </w:pPr>
          </w:p>
          <w:p w14:paraId="5C5793B4" w14:textId="0534EB05" w:rsidR="00C437A0" w:rsidRPr="00BD19A7" w:rsidRDefault="00C437A0" w:rsidP="00C437A0">
            <w:pPr>
              <w:rPr>
                <w:rFonts w:ascii="Arial Narrow" w:hAnsi="Arial Narrow"/>
                <w:sz w:val="20"/>
                <w:szCs w:val="20"/>
              </w:rPr>
            </w:pPr>
            <w:r w:rsidRPr="00BD19A7">
              <w:rPr>
                <w:rFonts w:ascii="Arial Narrow" w:hAnsi="Arial Narrow"/>
                <w:sz w:val="20"/>
                <w:szCs w:val="20"/>
              </w:rPr>
              <w:t xml:space="preserve">Patients should be advised of this potential risk for PML and that they should </w:t>
            </w:r>
            <w:proofErr w:type="gramStart"/>
            <w:r w:rsidRPr="00BD19A7">
              <w:rPr>
                <w:rFonts w:ascii="Arial Narrow" w:hAnsi="Arial Narrow"/>
                <w:strike/>
                <w:sz w:val="20"/>
                <w:szCs w:val="20"/>
              </w:rPr>
              <w:t>carry a Patient Alert Card at all times</w:t>
            </w:r>
            <w:proofErr w:type="gramEnd"/>
            <w:r w:rsidRPr="00BD19A7">
              <w:rPr>
                <w:rFonts w:ascii="Arial Narrow" w:hAnsi="Arial Narrow"/>
                <w:strike/>
                <w:sz w:val="20"/>
                <w:szCs w:val="20"/>
              </w:rPr>
              <w:t>. The Alert Card reminds patients that they must</w:t>
            </w:r>
            <w:r w:rsidRPr="00BD19A7">
              <w:rPr>
                <w:rFonts w:ascii="Arial Narrow" w:hAnsi="Arial Narrow"/>
                <w:sz w:val="20"/>
                <w:szCs w:val="20"/>
              </w:rPr>
              <w:t xml:space="preserve"> contact their doctor if they have unusual or prolonged new neurological symptoms or if they have severe or prolonged symptoms of infection.</w:t>
            </w:r>
          </w:p>
          <w:p w14:paraId="5A28D0DE" w14:textId="77777777" w:rsidR="00C437A0" w:rsidRPr="00BD19A7" w:rsidRDefault="00C437A0" w:rsidP="00C437A0">
            <w:pPr>
              <w:rPr>
                <w:rFonts w:ascii="Arial Narrow" w:hAnsi="Arial Narrow"/>
                <w:strike/>
                <w:sz w:val="20"/>
                <w:szCs w:val="20"/>
              </w:rPr>
            </w:pPr>
          </w:p>
          <w:p w14:paraId="28B5AE7B" w14:textId="6AE1BB5F" w:rsidR="00C437A0" w:rsidRPr="00BD19A7" w:rsidRDefault="00C437A0" w:rsidP="00D32871">
            <w:pPr>
              <w:rPr>
                <w:rFonts w:ascii="Arial Narrow" w:hAnsi="Arial Narrow"/>
                <w:sz w:val="20"/>
                <w:szCs w:val="20"/>
              </w:rPr>
            </w:pPr>
            <w:r w:rsidRPr="00BD19A7">
              <w:rPr>
                <w:rFonts w:ascii="Arial Narrow" w:hAnsi="Arial Narrow"/>
                <w:sz w:val="20"/>
                <w:szCs w:val="20"/>
              </w:rPr>
              <w:t>Healthcare professionals should monitor patients on vedolizumab for any new signs or symptoms that may be suggestive of serious infection including PML. Vedolizumab dosing should be withheld immediately at the first signs or symptoms suggestive of PML, and patients should be referred to a neurologist. If PML is confirmed, treatment must be permanently discontinued.</w:t>
            </w:r>
          </w:p>
        </w:tc>
      </w:tr>
    </w:tbl>
    <w:p w14:paraId="70C309D4" w14:textId="5F94325C" w:rsidR="00024C30" w:rsidRPr="00BD19A7" w:rsidRDefault="00024C30" w:rsidP="00C437A0">
      <w:pPr>
        <w:pStyle w:val="3-BodyText"/>
        <w:spacing w:before="120"/>
      </w:pPr>
      <w:r w:rsidRPr="00BD19A7">
        <w:t xml:space="preserve">The administrative advice included for all listings for vedolizumab for severe CD maintains </w:t>
      </w:r>
      <w:r w:rsidR="0068740E" w:rsidRPr="00BD19A7">
        <w:t xml:space="preserve">a </w:t>
      </w:r>
      <w:r w:rsidRPr="00BD19A7">
        <w:t>note about PML. The submission has not requested amendment to this administrative advice</w:t>
      </w:r>
      <w:r w:rsidR="00C437A0" w:rsidRPr="00BD19A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C437A0" w:rsidRPr="00BD19A7" w14:paraId="401D31E0" w14:textId="77777777" w:rsidTr="00D32871">
        <w:trPr>
          <w:trHeight w:val="340"/>
        </w:trPr>
        <w:tc>
          <w:tcPr>
            <w:tcW w:w="9017" w:type="dxa"/>
            <w:tcBorders>
              <w:top w:val="single" w:sz="4" w:space="0" w:color="auto"/>
              <w:left w:val="single" w:sz="4" w:space="0" w:color="auto"/>
              <w:right w:val="single" w:sz="4" w:space="0" w:color="auto"/>
            </w:tcBorders>
            <w:vAlign w:val="center"/>
          </w:tcPr>
          <w:p w14:paraId="1BEF22F8" w14:textId="003DBCE2" w:rsidR="00C437A0" w:rsidRPr="00BD19A7" w:rsidRDefault="00C437A0" w:rsidP="00D32871">
            <w:pPr>
              <w:rPr>
                <w:rFonts w:ascii="Arial Narrow" w:hAnsi="Arial Narrow"/>
                <w:sz w:val="20"/>
                <w:szCs w:val="20"/>
              </w:rPr>
            </w:pPr>
            <w:r w:rsidRPr="00BD19A7">
              <w:rPr>
                <w:rFonts w:ascii="Arial Narrow" w:hAnsi="Arial Narrow"/>
                <w:sz w:val="20"/>
                <w:szCs w:val="20"/>
              </w:rPr>
              <w:t>A serious adverse reaction of a severity resulting in the necessity for permanent withdrawal of treatment, including serious infusion or injection related reactions, Steven</w:t>
            </w:r>
            <w:r w:rsidR="00D80532" w:rsidRPr="00BD19A7">
              <w:rPr>
                <w:rFonts w:ascii="Arial Narrow" w:hAnsi="Arial Narrow"/>
                <w:sz w:val="20"/>
                <w:szCs w:val="20"/>
              </w:rPr>
              <w:t>’</w:t>
            </w:r>
            <w:r w:rsidRPr="00BD19A7">
              <w:rPr>
                <w:rFonts w:ascii="Arial Narrow" w:hAnsi="Arial Narrow"/>
                <w:sz w:val="20"/>
                <w:szCs w:val="20"/>
              </w:rPr>
              <w:t>s Johnson Syndrome, development of a demyelinating lesion, progressive multifocal leukoencephalopathy and malignancy related to treatment with the biological medicine, is not considered as a treatment failure.</w:t>
            </w:r>
          </w:p>
        </w:tc>
      </w:tr>
    </w:tbl>
    <w:p w14:paraId="2469757A" w14:textId="62C0FE74" w:rsidR="00C437A0" w:rsidRPr="00BD19A7" w:rsidRDefault="00724C51" w:rsidP="00A52DDC">
      <w:pPr>
        <w:pStyle w:val="3-BodyText"/>
        <w:spacing w:before="120"/>
      </w:pPr>
      <w:r w:rsidRPr="00BD19A7">
        <w:t>It is</w:t>
      </w:r>
      <w:r w:rsidR="00024C30" w:rsidRPr="00BD19A7">
        <w:t xml:space="preserve"> noted that natalizumab for the treatment of </w:t>
      </w:r>
      <w:r w:rsidR="00C437A0" w:rsidRPr="00BD19A7">
        <w:t xml:space="preserve">clinically definite relapsing-remitting multiple sclerosis includes </w:t>
      </w:r>
      <w:r w:rsidR="00A52DDC" w:rsidRPr="00BD19A7">
        <w:t xml:space="preserve">only </w:t>
      </w:r>
      <w:r w:rsidR="00C437A0" w:rsidRPr="00BD19A7">
        <w:t xml:space="preserve">a caution note </w:t>
      </w:r>
      <w:r w:rsidR="00F137C5" w:rsidRPr="00BD19A7">
        <w:t>related to PML</w:t>
      </w:r>
      <w:r w:rsidR="00A52DDC" w:rsidRPr="00BD19A7">
        <w:t xml:space="preserve">. The PI for natalizumab still requires patients to carry a patient alert card.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C437A0" w:rsidRPr="00BD19A7" w14:paraId="4D29E0C7" w14:textId="77777777" w:rsidTr="00D32871">
        <w:trPr>
          <w:trHeight w:val="340"/>
        </w:trPr>
        <w:tc>
          <w:tcPr>
            <w:tcW w:w="9017" w:type="dxa"/>
            <w:tcBorders>
              <w:top w:val="single" w:sz="4" w:space="0" w:color="auto"/>
              <w:left w:val="single" w:sz="4" w:space="0" w:color="auto"/>
              <w:right w:val="single" w:sz="4" w:space="0" w:color="auto"/>
            </w:tcBorders>
            <w:vAlign w:val="center"/>
          </w:tcPr>
          <w:p w14:paraId="7CCC857C" w14:textId="57C29015" w:rsidR="00C437A0" w:rsidRPr="00BD19A7" w:rsidRDefault="00C437A0" w:rsidP="00D32871">
            <w:pPr>
              <w:rPr>
                <w:rFonts w:ascii="Arial Narrow" w:hAnsi="Arial Narrow"/>
                <w:sz w:val="20"/>
                <w:szCs w:val="20"/>
              </w:rPr>
            </w:pPr>
            <w:r w:rsidRPr="00BD19A7">
              <w:rPr>
                <w:rFonts w:ascii="Arial Narrow" w:hAnsi="Arial Narrow"/>
                <w:sz w:val="20"/>
                <w:szCs w:val="20"/>
              </w:rPr>
              <w:t>Progressive multifocal leukoencephalopathy has been reported with this drug.</w:t>
            </w:r>
          </w:p>
        </w:tc>
      </w:tr>
    </w:tbl>
    <w:p w14:paraId="32A40F45" w14:textId="21B81703" w:rsidR="00724F88" w:rsidRPr="00BD19A7" w:rsidRDefault="00724F88" w:rsidP="00482354">
      <w:pPr>
        <w:pStyle w:val="3-BodyText"/>
        <w:spacing w:before="120"/>
      </w:pPr>
      <w:r w:rsidRPr="00BD19A7">
        <w:t xml:space="preserve">In its PSCR, the sponsor stated that while it is common for a PI to suggest monitoring for adverse events or other parameters that may be suggestive of risks of an AE (e.g., blood pressure, cardiac parameters etc), these do not appear in PBS restrictions, even in cases of medicines with black box warnings, such as upadacitinib. Following the removal of the requirement for a Patient Alert Card for PML, PML is subject to standard monitoring, and the PSCR considered </w:t>
      </w:r>
      <w:r w:rsidR="00E5072D" w:rsidRPr="00BD19A7">
        <w:t xml:space="preserve">it </w:t>
      </w:r>
      <w:r w:rsidRPr="00BD19A7">
        <w:t xml:space="preserve">is reasonable that the monitoring of signs and symptoms suggestive of adverse events for vedolizumab not </w:t>
      </w:r>
      <w:r w:rsidR="00E5072D" w:rsidRPr="00BD19A7">
        <w:t xml:space="preserve">be treated </w:t>
      </w:r>
      <w:r w:rsidRPr="00BD19A7">
        <w:t>different</w:t>
      </w:r>
      <w:r w:rsidR="00E5072D" w:rsidRPr="00BD19A7">
        <w:t>ly</w:t>
      </w:r>
      <w:r w:rsidRPr="00BD19A7">
        <w:t xml:space="preserve"> to that of any other medicine.</w:t>
      </w:r>
    </w:p>
    <w:p w14:paraId="22F627DF" w14:textId="170D30CB" w:rsidR="00167752" w:rsidRPr="00BD19A7" w:rsidRDefault="00167752" w:rsidP="00167752">
      <w:pPr>
        <w:ind w:firstLine="709"/>
        <w:rPr>
          <w:rFonts w:asciiTheme="minorHAnsi" w:hAnsiTheme="minorHAnsi"/>
          <w:i/>
        </w:rPr>
      </w:pPr>
      <w:r w:rsidRPr="00BD19A7">
        <w:rPr>
          <w:rFonts w:asciiTheme="minorHAnsi" w:hAnsiTheme="minorHAnsi"/>
          <w:i/>
        </w:rPr>
        <w:t>For more detail on PBAC’s view, see section 7 PBAC outcome.</w:t>
      </w:r>
    </w:p>
    <w:p w14:paraId="7075B85C" w14:textId="7F2F8562" w:rsidR="00B50DB8" w:rsidRPr="00BD19A7" w:rsidDel="00195452" w:rsidRDefault="00203181" w:rsidP="004E18E9">
      <w:pPr>
        <w:pStyle w:val="2-SectionHeading"/>
      </w:pPr>
      <w:bookmarkStart w:id="10" w:name="_Toc156993252"/>
      <w:r w:rsidRPr="00BD19A7" w:rsidDel="00195452">
        <w:lastRenderedPageBreak/>
        <w:t xml:space="preserve">Population and </w:t>
      </w:r>
      <w:r w:rsidR="008E0D3C" w:rsidRPr="00BD19A7" w:rsidDel="00195452">
        <w:t>d</w:t>
      </w:r>
      <w:r w:rsidRPr="00BD19A7" w:rsidDel="00195452">
        <w:t>isease</w:t>
      </w:r>
      <w:bookmarkEnd w:id="10"/>
    </w:p>
    <w:p w14:paraId="20BF1A71" w14:textId="079372D7" w:rsidR="00CD2DE5" w:rsidRPr="00BD19A7" w:rsidRDefault="00CD2DE5" w:rsidP="004E18E9">
      <w:pPr>
        <w:pStyle w:val="3-BodyText"/>
        <w:rPr>
          <w:color w:val="0066FF"/>
        </w:rPr>
      </w:pPr>
      <w:r w:rsidRPr="00BD19A7">
        <w:t xml:space="preserve">Australia has one of the highest incidence and prevalence rates of </w:t>
      </w:r>
      <w:r w:rsidR="004E5C1B">
        <w:t xml:space="preserve">inflammatory </w:t>
      </w:r>
      <w:r w:rsidRPr="00BD19A7">
        <w:t xml:space="preserve">bowel disease (IBD) in the world. CD and </w:t>
      </w:r>
      <w:r w:rsidR="001454C7" w:rsidRPr="00BD19A7">
        <w:t>ulcerative colitis (</w:t>
      </w:r>
      <w:r w:rsidRPr="00BD19A7">
        <w:t>UC</w:t>
      </w:r>
      <w:r w:rsidR="001454C7" w:rsidRPr="00BD19A7">
        <w:t>)</w:t>
      </w:r>
      <w:r w:rsidRPr="00BD19A7">
        <w:t xml:space="preserve"> are the two most common types of IBD. It is estimated that approximately 100,000 Australians are living with IBD</w:t>
      </w:r>
      <w:r w:rsidR="002D39B7" w:rsidRPr="00BD19A7">
        <w:rPr>
          <w:rStyle w:val="FootnoteReference"/>
        </w:rPr>
        <w:footnoteReference w:id="2"/>
      </w:r>
      <w:r w:rsidRPr="00BD19A7">
        <w:t xml:space="preserve">. </w:t>
      </w:r>
    </w:p>
    <w:p w14:paraId="171F09C8" w14:textId="0CF801C1" w:rsidR="00CD2DE5" w:rsidRPr="00BD19A7" w:rsidRDefault="00B10CBD" w:rsidP="004E18E9">
      <w:pPr>
        <w:pStyle w:val="3-BodyText"/>
        <w:rPr>
          <w:color w:val="0066FF"/>
        </w:rPr>
      </w:pPr>
      <w:r w:rsidRPr="00BD19A7">
        <w:t>CD</w:t>
      </w:r>
      <w:r w:rsidR="00CD2DE5" w:rsidRPr="00BD19A7">
        <w:t xml:space="preserve"> is typically characterised by transmural inflammation of the intestine and can affect any part of the gastrointestinal tract from mouth to perianal area, although it most commonly affects the small intestine and/or the colon. Patients with CD usually present with abdominal pain, weight loss, fever, anaemia and clinical signs of bowel obstruction or diarrhoea with passage of blood, mucous, or both</w:t>
      </w:r>
      <w:r w:rsidR="00B06E67" w:rsidRPr="00BD19A7">
        <w:t xml:space="preserve"> (vedolizumab Public Summary Document (PSD), November 2020 PBAC Meeting)</w:t>
      </w:r>
      <w:r w:rsidR="00CD2DE5" w:rsidRPr="00BD19A7">
        <w:t>.</w:t>
      </w:r>
    </w:p>
    <w:p w14:paraId="150CB9EB" w14:textId="21DF6307" w:rsidR="00CD2DE5" w:rsidRPr="00BD19A7" w:rsidRDefault="00CD2DE5" w:rsidP="004E18E9">
      <w:pPr>
        <w:pStyle w:val="3-BodyText"/>
        <w:rPr>
          <w:color w:val="0066FF"/>
        </w:rPr>
      </w:pPr>
      <w:r w:rsidRPr="00BD19A7">
        <w:t>In both UC and CD, treatment guidelines recommend a step-up treatment strategy. For patients with MSUC and CD, conventional therapies, including 5-aminosalicylic acid (5-ASA) preparations, corticosteroids, and immunomodulators (e.g. azathioprine, 6-mercaptopurine, and methotrexate) are given as first-line therapies. If a patient has inadequate response to, or is unable to tolerate conventional therapy, biologic</w:t>
      </w:r>
      <w:r w:rsidR="00A52DDC" w:rsidRPr="00BD19A7">
        <w:t xml:space="preserve"> or targeted synthetic</w:t>
      </w:r>
      <w:r w:rsidRPr="00BD19A7">
        <w:t xml:space="preserve"> disease modifying </w:t>
      </w:r>
      <w:r w:rsidR="00A52DDC" w:rsidRPr="00BD19A7">
        <w:t>anti-rheumatic drugs</w:t>
      </w:r>
      <w:r w:rsidRPr="00BD19A7">
        <w:t xml:space="preserve"> (</w:t>
      </w:r>
      <w:r w:rsidR="00A52DDC" w:rsidRPr="00BD19A7">
        <w:t>b/tsDMARDs</w:t>
      </w:r>
      <w:r w:rsidRPr="00BD19A7">
        <w:t>) are initiated</w:t>
      </w:r>
      <w:r w:rsidR="002D39B7" w:rsidRPr="00BD19A7">
        <w:t xml:space="preserve"> (vedolizumab </w:t>
      </w:r>
      <w:r w:rsidR="00B06E67" w:rsidRPr="00BD19A7">
        <w:t>PSD, N</w:t>
      </w:r>
      <w:r w:rsidR="002D39B7" w:rsidRPr="00BD19A7">
        <w:t>ovember 2020 PBAC Meeting)</w:t>
      </w:r>
      <w:r w:rsidRPr="00BD19A7">
        <w:t xml:space="preserve">. </w:t>
      </w:r>
    </w:p>
    <w:p w14:paraId="51E5AE96" w14:textId="627D04C7" w:rsidR="00B50DB8" w:rsidRPr="00BD19A7" w:rsidRDefault="00B50DB8" w:rsidP="004E18E9">
      <w:pPr>
        <w:pStyle w:val="2-SectionHeading"/>
      </w:pPr>
      <w:bookmarkStart w:id="11" w:name="_Toc156993253"/>
      <w:r w:rsidRPr="00BD19A7">
        <w:t>Comparator</w:t>
      </w:r>
      <w:bookmarkEnd w:id="11"/>
    </w:p>
    <w:p w14:paraId="47D9B48A" w14:textId="68E7A88C" w:rsidR="002C2775" w:rsidRPr="00BD19A7" w:rsidRDefault="00ED5BD4" w:rsidP="002E4F02">
      <w:pPr>
        <w:pStyle w:val="3-BodyText"/>
      </w:pPr>
      <w:r w:rsidRPr="00BD19A7">
        <w:t xml:space="preserve">The submission nominated </w:t>
      </w:r>
      <w:r w:rsidR="009C53B3" w:rsidRPr="00BD19A7">
        <w:t>vedolizumab</w:t>
      </w:r>
      <w:r w:rsidR="00176F17" w:rsidRPr="00BD19A7">
        <w:t>’s</w:t>
      </w:r>
      <w:r w:rsidR="009C53B3" w:rsidRPr="00BD19A7">
        <w:t xml:space="preserve"> current induction regimen (300 mg IV at </w:t>
      </w:r>
      <w:r w:rsidR="00732FCE" w:rsidRPr="00BD19A7">
        <w:t>week</w:t>
      </w:r>
      <w:r w:rsidR="009C53B3" w:rsidRPr="00BD19A7">
        <w:t>s 0, 2 and 6)</w:t>
      </w:r>
      <w:r w:rsidRPr="00BD19A7">
        <w:t xml:space="preserve"> as the comparator</w:t>
      </w:r>
      <w:r w:rsidR="00FA07B0" w:rsidRPr="00BD19A7">
        <w:t xml:space="preserve"> to the proposed induction regimen (300 mg IV at weeks 0, 2, 6 and 10) for those patients who have not yet had a response</w:t>
      </w:r>
      <w:r w:rsidRPr="00BD19A7">
        <w:t xml:space="preserve">. </w:t>
      </w:r>
      <w:r w:rsidR="009C53B3" w:rsidRPr="00BD19A7">
        <w:t>This was appropriate</w:t>
      </w:r>
      <w:r w:rsidR="00BB6D97" w:rsidRPr="00BD19A7">
        <w:t>, however, as detailed below, there may be additional relevant comparators</w:t>
      </w:r>
      <w:r w:rsidRPr="00BD19A7">
        <w:t>.</w:t>
      </w:r>
      <w:r w:rsidR="008169D2" w:rsidRPr="00BD19A7">
        <w:t xml:space="preserve"> </w:t>
      </w:r>
    </w:p>
    <w:p w14:paraId="0769BF83" w14:textId="542BDB9D" w:rsidR="008169D2" w:rsidRPr="00BD19A7" w:rsidRDefault="008169D2" w:rsidP="008169D2">
      <w:pPr>
        <w:pStyle w:val="3-BodyText"/>
        <w:rPr>
          <w:i/>
          <w:iCs/>
          <w:sz w:val="20"/>
          <w:szCs w:val="20"/>
        </w:rPr>
      </w:pPr>
      <w:r w:rsidRPr="00BD19A7">
        <w:t xml:space="preserve">In the context of the cost-minimisation approach taken by the submission, a further consideration for PBAC is that, under Section 101(3B) of the </w:t>
      </w:r>
      <w:r w:rsidRPr="00BD19A7">
        <w:rPr>
          <w:i/>
          <w:iCs/>
        </w:rPr>
        <w:t>National Health Act 1953</w:t>
      </w:r>
      <w:r w:rsidRPr="00BD19A7">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w:t>
      </w:r>
    </w:p>
    <w:p w14:paraId="68C4570A" w14:textId="3950467D" w:rsidR="008169D2" w:rsidRPr="00BD19A7" w:rsidRDefault="008169D2" w:rsidP="00600DC4">
      <w:pPr>
        <w:pStyle w:val="3-BodyText"/>
      </w:pPr>
      <w:r w:rsidRPr="00BD19A7">
        <w:t xml:space="preserve">While not directly applicable to the nature of this submission, the circumstances of infliximab subcutaneous injection (IFX SC) are noteworthy. When first recommended for rheumatoid arthritis, </w:t>
      </w:r>
      <w:proofErr w:type="gramStart"/>
      <w:r w:rsidR="006D12CF" w:rsidRPr="00BD19A7">
        <w:t>CD</w:t>
      </w:r>
      <w:proofErr w:type="gramEnd"/>
      <w:r w:rsidRPr="00BD19A7">
        <w:t xml:space="preserve"> and ulcerative colitis in November 2020, the PBAC recommended IFX SC (maintenance therapy only) on a cost minimisation basis with infliximab IV, on the basis that while there are alternative therapies which may be less </w:t>
      </w:r>
      <w:r w:rsidRPr="00BD19A7">
        <w:lastRenderedPageBreak/>
        <w:t>costly, a switch from those alternative agents to IFX SC for maintenance therapy is less likely (paragraph 7.12, infliximab PSD, November 2020 PBAC meeting with addendum). However, when IFX SC was recommended for induction therapy in rheumatoid arthritis in 2022, the PBAC considered IFX SC may replace any of the currently listed alternatives, therefore the listing should be on a cost minimisation basis with the lowest cost alternative treatment (paragraph 6.4, infliximab PSD, November 2022 PBAC meeting).</w:t>
      </w:r>
    </w:p>
    <w:p w14:paraId="4F364B17" w14:textId="7D7FB612" w:rsidR="00167752" w:rsidRPr="00BD19A7" w:rsidRDefault="00167752" w:rsidP="00167752">
      <w:pPr>
        <w:ind w:firstLine="709"/>
        <w:rPr>
          <w:rFonts w:asciiTheme="minorHAnsi" w:hAnsiTheme="minorHAnsi"/>
          <w:i/>
        </w:rPr>
      </w:pPr>
      <w:r w:rsidRPr="00BD19A7">
        <w:rPr>
          <w:rFonts w:asciiTheme="minorHAnsi" w:hAnsiTheme="minorHAnsi"/>
          <w:i/>
        </w:rPr>
        <w:t>For more detail on PBAC’s view, see section 7 PBAC outcome.</w:t>
      </w:r>
    </w:p>
    <w:p w14:paraId="7F9C27C8" w14:textId="77777777" w:rsidR="00223D5A" w:rsidRPr="00BD19A7" w:rsidRDefault="00223D5A" w:rsidP="00223D5A">
      <w:pPr>
        <w:pStyle w:val="2-SectionHeading"/>
      </w:pPr>
      <w:bookmarkStart w:id="12" w:name="_Toc156993254"/>
      <w:bookmarkStart w:id="13" w:name="_Toc22897640"/>
      <w:r w:rsidRPr="00BD19A7">
        <w:t>Consideration of the evidence</w:t>
      </w:r>
      <w:bookmarkEnd w:id="12"/>
    </w:p>
    <w:p w14:paraId="4E520951" w14:textId="77777777" w:rsidR="00167752" w:rsidRPr="00BD19A7" w:rsidRDefault="00167752" w:rsidP="00167752">
      <w:pPr>
        <w:pStyle w:val="4-SubsectionHeading"/>
      </w:pPr>
      <w:bookmarkStart w:id="14" w:name="_Hlk76375935"/>
      <w:bookmarkStart w:id="15" w:name="_Toc156993255"/>
      <w:r w:rsidRPr="00BD19A7">
        <w:t>Sponsor hearing</w:t>
      </w:r>
    </w:p>
    <w:p w14:paraId="2BD83EFB" w14:textId="71BB6C11" w:rsidR="00167752" w:rsidRPr="00BD19A7" w:rsidRDefault="00167752" w:rsidP="00167752">
      <w:pPr>
        <w:widowControl w:val="0"/>
        <w:numPr>
          <w:ilvl w:val="1"/>
          <w:numId w:val="1"/>
        </w:numPr>
        <w:spacing w:after="120"/>
        <w:rPr>
          <w:rFonts w:cs="Calibri"/>
          <w:bCs/>
          <w:snapToGrid w:val="0"/>
        </w:rPr>
      </w:pPr>
      <w:r w:rsidRPr="00BD19A7">
        <w:rPr>
          <w:rFonts w:cs="Calibri"/>
          <w:bCs/>
          <w:snapToGrid w:val="0"/>
        </w:rPr>
        <w:t>There was no hearing for this item.</w:t>
      </w:r>
    </w:p>
    <w:p w14:paraId="21F4F322" w14:textId="77777777" w:rsidR="00167752" w:rsidRPr="00BD19A7" w:rsidRDefault="00167752" w:rsidP="00167752">
      <w:pPr>
        <w:pStyle w:val="4-SubsectionHeading"/>
      </w:pPr>
      <w:r w:rsidRPr="00BD19A7">
        <w:t>Consumer comments</w:t>
      </w:r>
    </w:p>
    <w:p w14:paraId="2F530454" w14:textId="61D5E8A2" w:rsidR="00E44EC0" w:rsidRPr="00BD19A7" w:rsidRDefault="00167752" w:rsidP="00167752">
      <w:pPr>
        <w:widowControl w:val="0"/>
        <w:numPr>
          <w:ilvl w:val="1"/>
          <w:numId w:val="1"/>
        </w:numPr>
        <w:spacing w:after="120"/>
        <w:rPr>
          <w:rFonts w:asciiTheme="minorHAnsi" w:hAnsiTheme="minorHAnsi"/>
          <w:bCs/>
          <w:snapToGrid w:val="0"/>
        </w:rPr>
      </w:pPr>
      <w:bookmarkStart w:id="16" w:name="_Hlk76382618"/>
      <w:r w:rsidRPr="00BD19A7">
        <w:rPr>
          <w:rFonts w:asciiTheme="minorHAnsi" w:hAnsiTheme="minorHAnsi"/>
          <w:bCs/>
          <w:snapToGrid w:val="0"/>
        </w:rPr>
        <w:t xml:space="preserve">The PBAC noted and welcomed the input </w:t>
      </w:r>
      <w:r w:rsidR="009732B6" w:rsidRPr="00BD19A7">
        <w:rPr>
          <w:rFonts w:asciiTheme="minorHAnsi" w:hAnsiTheme="minorHAnsi"/>
          <w:bCs/>
          <w:snapToGrid w:val="0"/>
        </w:rPr>
        <w:t>from one organisation</w:t>
      </w:r>
      <w:r w:rsidRPr="00BD19A7">
        <w:rPr>
          <w:rFonts w:asciiTheme="minorHAnsi" w:hAnsiTheme="minorHAnsi"/>
          <w:bCs/>
          <w:snapToGrid w:val="0"/>
        </w:rPr>
        <w:t xml:space="preserve"> via the Consumer Comments facility on the PBS website.</w:t>
      </w:r>
      <w:r w:rsidR="009732B6" w:rsidRPr="00BD19A7">
        <w:rPr>
          <w:rFonts w:asciiTheme="minorHAnsi" w:hAnsiTheme="minorHAnsi"/>
          <w:bCs/>
          <w:snapToGrid w:val="0"/>
        </w:rPr>
        <w:t xml:space="preserve"> Crohn’s and Colitis Australia supported the listing of an additional dose of vedolizumab at week 10 for the initial treatment of severe Crohn disease. </w:t>
      </w:r>
      <w:r w:rsidR="00E44EC0" w:rsidRPr="00BD19A7">
        <w:rPr>
          <w:rFonts w:asciiTheme="minorHAnsi" w:hAnsiTheme="minorHAnsi"/>
          <w:bCs/>
          <w:snapToGrid w:val="0"/>
        </w:rPr>
        <w:t xml:space="preserve">The input stated it </w:t>
      </w:r>
      <w:r w:rsidR="004657F0" w:rsidRPr="00BD19A7">
        <w:rPr>
          <w:rFonts w:asciiTheme="minorHAnsi" w:hAnsiTheme="minorHAnsi"/>
          <w:bCs/>
          <w:snapToGrid w:val="0"/>
        </w:rPr>
        <w:t>understood</w:t>
      </w:r>
      <w:r w:rsidR="00E44EC0" w:rsidRPr="00BD19A7">
        <w:rPr>
          <w:rFonts w:asciiTheme="minorHAnsi" w:hAnsiTheme="minorHAnsi"/>
          <w:bCs/>
          <w:snapToGrid w:val="0"/>
        </w:rPr>
        <w:t xml:space="preserve"> that this is the evidence</w:t>
      </w:r>
      <w:r w:rsidR="00736626" w:rsidRPr="00BD19A7">
        <w:rPr>
          <w:rFonts w:asciiTheme="minorHAnsi" w:hAnsiTheme="minorHAnsi"/>
          <w:bCs/>
          <w:snapToGrid w:val="0"/>
        </w:rPr>
        <w:t>-</w:t>
      </w:r>
      <w:r w:rsidR="00E44EC0" w:rsidRPr="00BD19A7">
        <w:rPr>
          <w:rFonts w:asciiTheme="minorHAnsi" w:hAnsiTheme="minorHAnsi"/>
          <w:bCs/>
          <w:snapToGrid w:val="0"/>
        </w:rPr>
        <w:t>based clinical practice for initial treatment experi</w:t>
      </w:r>
      <w:r w:rsidR="00F14F6B" w:rsidRPr="00BD19A7">
        <w:rPr>
          <w:rFonts w:asciiTheme="minorHAnsi" w:hAnsiTheme="minorHAnsi"/>
          <w:bCs/>
          <w:snapToGrid w:val="0"/>
        </w:rPr>
        <w:t>enced</w:t>
      </w:r>
      <w:r w:rsidR="00E44EC0" w:rsidRPr="00BD19A7">
        <w:rPr>
          <w:rFonts w:asciiTheme="minorHAnsi" w:hAnsiTheme="minorHAnsi"/>
          <w:bCs/>
          <w:snapToGrid w:val="0"/>
        </w:rPr>
        <w:t xml:space="preserve"> by people with IBD. The input further noted that reliance on full payment of compassionate access to the additional dose creates uncertainty and sometimes financial burden for people in the early stages of potentially successful treatment. </w:t>
      </w:r>
    </w:p>
    <w:p w14:paraId="4325688D" w14:textId="18CD1EE3" w:rsidR="00E44EC0" w:rsidRPr="00BD19A7" w:rsidRDefault="00E44EC0" w:rsidP="00167752">
      <w:pPr>
        <w:widowControl w:val="0"/>
        <w:numPr>
          <w:ilvl w:val="1"/>
          <w:numId w:val="1"/>
        </w:numPr>
        <w:spacing w:after="120"/>
        <w:rPr>
          <w:rFonts w:asciiTheme="minorHAnsi" w:hAnsiTheme="minorHAnsi"/>
          <w:bCs/>
          <w:snapToGrid w:val="0"/>
        </w:rPr>
      </w:pPr>
      <w:r w:rsidRPr="00BD19A7">
        <w:rPr>
          <w:rFonts w:asciiTheme="minorHAnsi" w:hAnsiTheme="minorHAnsi"/>
          <w:bCs/>
          <w:snapToGrid w:val="0"/>
        </w:rPr>
        <w:t>The input also provided quotes from patients who are using vedolizumab for the treatment of IBD</w:t>
      </w:r>
      <w:r w:rsidR="00F14F6B" w:rsidRPr="00BD19A7">
        <w:rPr>
          <w:rFonts w:asciiTheme="minorHAnsi" w:hAnsiTheme="minorHAnsi"/>
          <w:bCs/>
          <w:snapToGrid w:val="0"/>
        </w:rPr>
        <w:t xml:space="preserve"> with a four-weekly dosing regimen </w:t>
      </w:r>
      <w:r w:rsidRPr="00BD19A7">
        <w:rPr>
          <w:rFonts w:asciiTheme="minorHAnsi" w:hAnsiTheme="minorHAnsi"/>
          <w:bCs/>
          <w:snapToGrid w:val="0"/>
        </w:rPr>
        <w:t xml:space="preserve">as opposed to the currently listed 8-weekly dosing regimen. </w:t>
      </w:r>
      <w:r w:rsidRPr="00547B4E">
        <w:rPr>
          <w:rFonts w:asciiTheme="minorHAnsi" w:hAnsiTheme="minorHAnsi"/>
          <w:bCs/>
          <w:snapToGrid w:val="0"/>
        </w:rPr>
        <w:t>The PBAC acknowledged this input, though noted that this request was outside the consideration of the current submission.</w:t>
      </w:r>
      <w:r w:rsidRPr="00BD19A7">
        <w:rPr>
          <w:rFonts w:asciiTheme="minorHAnsi" w:hAnsiTheme="minorHAnsi"/>
          <w:bCs/>
          <w:i/>
          <w:iCs/>
          <w:snapToGrid w:val="0"/>
        </w:rPr>
        <w:t xml:space="preserve"> </w:t>
      </w:r>
    </w:p>
    <w:bookmarkEnd w:id="14"/>
    <w:bookmarkEnd w:id="16"/>
    <w:p w14:paraId="609C0765" w14:textId="32C6EA77" w:rsidR="00B60939" w:rsidRPr="00BD19A7" w:rsidRDefault="00B60939" w:rsidP="002E4F02">
      <w:pPr>
        <w:pStyle w:val="4-SubsectionHeading"/>
      </w:pPr>
      <w:r w:rsidRPr="00BD19A7">
        <w:t xml:space="preserve">Clinical </w:t>
      </w:r>
      <w:r w:rsidR="00D5243B" w:rsidRPr="00BD19A7">
        <w:t>studies</w:t>
      </w:r>
      <w:bookmarkEnd w:id="13"/>
      <w:bookmarkEnd w:id="15"/>
    </w:p>
    <w:p w14:paraId="2B7DF68E" w14:textId="389C4E5B" w:rsidR="00551C17" w:rsidRPr="00BD19A7" w:rsidRDefault="00A73134" w:rsidP="00551C17">
      <w:pPr>
        <w:pStyle w:val="3-BodyText"/>
      </w:pPr>
      <w:r w:rsidRPr="00BD19A7">
        <w:rPr>
          <w:snapToGrid/>
        </w:rPr>
        <w:t xml:space="preserve">The submission </w:t>
      </w:r>
      <w:r w:rsidR="00D5243B" w:rsidRPr="00BD19A7">
        <w:rPr>
          <w:snapToGrid/>
        </w:rPr>
        <w:t>wa</w:t>
      </w:r>
      <w:r w:rsidRPr="00BD19A7">
        <w:rPr>
          <w:snapToGrid/>
        </w:rPr>
        <w:t xml:space="preserve">s based on </w:t>
      </w:r>
      <w:r w:rsidR="00551C17" w:rsidRPr="00BD19A7">
        <w:t>the two pivotal vedolizumab randomised, placebo-controlled trials, GEMINI 2 (C13007) and GEMINI 3 (C13011) previously considered by the PBAC that formed the clinical evidence for the basis of listing vedolizumab 300</w:t>
      </w:r>
      <w:r w:rsidR="00547B4E">
        <w:t> </w:t>
      </w:r>
      <w:r w:rsidR="00551C17" w:rsidRPr="00BD19A7">
        <w:t xml:space="preserve">mg for </w:t>
      </w:r>
      <w:r w:rsidR="00AC42BA" w:rsidRPr="00BD19A7">
        <w:t xml:space="preserve">IV </w:t>
      </w:r>
      <w:r w:rsidR="00551C17" w:rsidRPr="00BD19A7">
        <w:t>infusion for the treatment of CD.</w:t>
      </w:r>
    </w:p>
    <w:p w14:paraId="2083A989" w14:textId="2346F32A" w:rsidR="00551C17" w:rsidRPr="00BD19A7" w:rsidRDefault="00551C17" w:rsidP="00551C17">
      <w:pPr>
        <w:pStyle w:val="3-BodyText"/>
      </w:pPr>
      <w:r w:rsidRPr="00BD19A7">
        <w:rPr>
          <w:snapToGrid/>
        </w:rPr>
        <w:t>Details of the trials presented in the submission are provided in</w:t>
      </w:r>
      <w:r w:rsidR="00F04CE9" w:rsidRPr="00BD19A7">
        <w:rPr>
          <w:snapToGrid/>
        </w:rPr>
        <w:t xml:space="preserve"> </w:t>
      </w:r>
      <w:r w:rsidR="00F04CE9" w:rsidRPr="00BD19A7">
        <w:rPr>
          <w:snapToGrid/>
        </w:rPr>
        <w:fldChar w:fldCharType="begin" w:fldLock="1"/>
      </w:r>
      <w:r w:rsidR="00F04CE9" w:rsidRPr="00BD19A7">
        <w:rPr>
          <w:snapToGrid/>
        </w:rPr>
        <w:instrText xml:space="preserve"> REF _Ref155860144 \h </w:instrText>
      </w:r>
      <w:r w:rsidR="00F04CE9" w:rsidRPr="00BD19A7">
        <w:rPr>
          <w:snapToGrid/>
        </w:rPr>
      </w:r>
      <w:r w:rsidR="00F04CE9" w:rsidRPr="00BD19A7">
        <w:rPr>
          <w:snapToGrid/>
        </w:rPr>
        <w:fldChar w:fldCharType="separate"/>
      </w:r>
      <w:r w:rsidR="00A008BF" w:rsidRPr="00BD19A7" w:rsidDel="00A56DFE">
        <w:t>Table 1</w:t>
      </w:r>
      <w:r w:rsidR="00F04CE9" w:rsidRPr="00BD19A7">
        <w:rPr>
          <w:snapToGrid/>
        </w:rPr>
        <w:fldChar w:fldCharType="end"/>
      </w:r>
      <w:r w:rsidRPr="00BD19A7">
        <w:rPr>
          <w:snapToGrid/>
        </w:rPr>
        <w:t>.</w:t>
      </w:r>
    </w:p>
    <w:p w14:paraId="69060F60" w14:textId="6B3492EC" w:rsidR="00F04CE9" w:rsidRPr="00BD19A7" w:rsidRDefault="00F04CE9" w:rsidP="00F04CE9">
      <w:pPr>
        <w:pStyle w:val="Caption"/>
      </w:pPr>
      <w:bookmarkStart w:id="17" w:name="_Ref155860144"/>
      <w:bookmarkStart w:id="18" w:name="_Ref155860139"/>
      <w:r w:rsidRPr="00BD19A7">
        <w:lastRenderedPageBreak/>
        <w:t xml:space="preserve">Table </w:t>
      </w:r>
      <w:r w:rsidR="007B0FCD">
        <w:fldChar w:fldCharType="begin" w:fldLock="1"/>
      </w:r>
      <w:r w:rsidR="007B0FCD">
        <w:instrText xml:space="preserve"> SEQ Table \* ARABIC </w:instrText>
      </w:r>
      <w:r w:rsidR="007B0FCD">
        <w:fldChar w:fldCharType="separate"/>
      </w:r>
      <w:r w:rsidR="00A56DFE">
        <w:rPr>
          <w:noProof/>
        </w:rPr>
        <w:t>1</w:t>
      </w:r>
      <w:r w:rsidR="007B0FCD">
        <w:rPr>
          <w:noProof/>
        </w:rPr>
        <w:fldChar w:fldCharType="end"/>
      </w:r>
      <w:bookmarkEnd w:id="17"/>
      <w:r w:rsidRPr="00BD19A7">
        <w:t>: Trials presented in the submission</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 Trials presented in the submission"/>
      </w:tblPr>
      <w:tblGrid>
        <w:gridCol w:w="1434"/>
        <w:gridCol w:w="5055"/>
        <w:gridCol w:w="2528"/>
      </w:tblGrid>
      <w:tr w:rsidR="00551C17" w:rsidRPr="00BD19A7" w14:paraId="053CDCCD" w14:textId="77777777" w:rsidTr="00780BA5">
        <w:trPr>
          <w:cantSplit/>
          <w:tblHeader/>
        </w:trPr>
        <w:tc>
          <w:tcPr>
            <w:tcW w:w="795" w:type="pct"/>
            <w:vAlign w:val="center"/>
          </w:tcPr>
          <w:p w14:paraId="36C785CB" w14:textId="77777777" w:rsidR="00551C17" w:rsidRPr="00BD19A7" w:rsidRDefault="00551C17" w:rsidP="00780BA5">
            <w:pPr>
              <w:pStyle w:val="In-tableHeading"/>
              <w:jc w:val="center"/>
              <w:rPr>
                <w:lang w:val="en-AU"/>
              </w:rPr>
            </w:pPr>
            <w:r w:rsidRPr="00BD19A7">
              <w:rPr>
                <w:lang w:val="en-AU"/>
              </w:rPr>
              <w:t>Trial ID</w:t>
            </w:r>
          </w:p>
        </w:tc>
        <w:tc>
          <w:tcPr>
            <w:tcW w:w="2803" w:type="pct"/>
            <w:vAlign w:val="center"/>
          </w:tcPr>
          <w:p w14:paraId="1F648A26" w14:textId="77777777" w:rsidR="00551C17" w:rsidRPr="00BD19A7" w:rsidRDefault="00551C17" w:rsidP="00780BA5">
            <w:pPr>
              <w:pStyle w:val="In-tableHeading"/>
              <w:rPr>
                <w:lang w:val="en-AU"/>
              </w:rPr>
            </w:pPr>
            <w:r w:rsidRPr="00BD19A7">
              <w:rPr>
                <w:lang w:val="en-AU"/>
              </w:rPr>
              <w:t>Protocol title/ Publication title</w:t>
            </w:r>
          </w:p>
        </w:tc>
        <w:tc>
          <w:tcPr>
            <w:tcW w:w="1402" w:type="pct"/>
            <w:vAlign w:val="center"/>
          </w:tcPr>
          <w:p w14:paraId="6F149FA1" w14:textId="77777777" w:rsidR="00551C17" w:rsidRPr="00BD19A7" w:rsidRDefault="00551C17" w:rsidP="00780BA5">
            <w:pPr>
              <w:pStyle w:val="In-tableHeading"/>
              <w:rPr>
                <w:lang w:val="en-AU"/>
              </w:rPr>
            </w:pPr>
            <w:r w:rsidRPr="00BD19A7">
              <w:rPr>
                <w:lang w:val="en-AU"/>
              </w:rPr>
              <w:t>Publication citation</w:t>
            </w:r>
          </w:p>
        </w:tc>
      </w:tr>
      <w:tr w:rsidR="00551C17" w:rsidRPr="00BD19A7" w14:paraId="231F87D9" w14:textId="77777777" w:rsidTr="00780BA5">
        <w:trPr>
          <w:cantSplit/>
        </w:trPr>
        <w:tc>
          <w:tcPr>
            <w:tcW w:w="795" w:type="pct"/>
            <w:vMerge w:val="restart"/>
            <w:vAlign w:val="center"/>
          </w:tcPr>
          <w:p w14:paraId="0AEF5AF3" w14:textId="77777777" w:rsidR="00551C17" w:rsidRPr="00BD19A7" w:rsidRDefault="00551C17" w:rsidP="00780BA5">
            <w:pPr>
              <w:pStyle w:val="TableText0"/>
              <w:jc w:val="center"/>
              <w:rPr>
                <w:szCs w:val="20"/>
              </w:rPr>
            </w:pPr>
            <w:r w:rsidRPr="00BD19A7">
              <w:t>GEMINI II</w:t>
            </w:r>
          </w:p>
        </w:tc>
        <w:tc>
          <w:tcPr>
            <w:tcW w:w="2803" w:type="pct"/>
            <w:tcBorders>
              <w:bottom w:val="nil"/>
            </w:tcBorders>
            <w:vAlign w:val="center"/>
          </w:tcPr>
          <w:p w14:paraId="1B80D1C7" w14:textId="77777777" w:rsidR="00551C17" w:rsidRPr="00BD19A7" w:rsidRDefault="00551C17" w:rsidP="00780BA5">
            <w:pPr>
              <w:pStyle w:val="TableText0"/>
            </w:pPr>
            <w:r w:rsidRPr="00BD19A7">
              <w:t>Clinical Study Report C13007. A Phase 3, Randomized, Placebo-Controlled, Blinded, Multicenter Study of the Induction and Maintenance of Clinical Response and Remission by Vedolizumab (MLN0002) in Patients With Moderate to Severe Crohn’s Disease</w:t>
            </w:r>
          </w:p>
          <w:p w14:paraId="37FC8D4B" w14:textId="77777777" w:rsidR="00551C17" w:rsidRPr="00BD19A7" w:rsidRDefault="00551C17" w:rsidP="00780BA5">
            <w:pPr>
              <w:pStyle w:val="TableText0"/>
            </w:pPr>
          </w:p>
        </w:tc>
        <w:tc>
          <w:tcPr>
            <w:tcW w:w="1402" w:type="pct"/>
            <w:tcBorders>
              <w:bottom w:val="nil"/>
            </w:tcBorders>
            <w:vAlign w:val="center"/>
          </w:tcPr>
          <w:p w14:paraId="6EC55374" w14:textId="77777777" w:rsidR="00551C17" w:rsidRPr="00BD19A7" w:rsidRDefault="00551C17" w:rsidP="00780BA5">
            <w:pPr>
              <w:pStyle w:val="TableText0"/>
              <w:rPr>
                <w:rFonts w:ascii="Times" w:hAnsi="Times"/>
              </w:rPr>
            </w:pPr>
            <w:r w:rsidRPr="00BD19A7">
              <w:t>2012</w:t>
            </w:r>
          </w:p>
        </w:tc>
      </w:tr>
      <w:tr w:rsidR="00551C17" w:rsidRPr="00BD19A7" w14:paraId="1311545E" w14:textId="77777777" w:rsidTr="00780BA5">
        <w:trPr>
          <w:cantSplit/>
        </w:trPr>
        <w:tc>
          <w:tcPr>
            <w:tcW w:w="795" w:type="pct"/>
            <w:vMerge/>
            <w:vAlign w:val="center"/>
          </w:tcPr>
          <w:p w14:paraId="0BAB494E" w14:textId="77777777" w:rsidR="00551C17" w:rsidRPr="00BD19A7" w:rsidRDefault="00551C17" w:rsidP="00780BA5">
            <w:pPr>
              <w:pStyle w:val="TableText0"/>
              <w:jc w:val="center"/>
            </w:pPr>
          </w:p>
        </w:tc>
        <w:tc>
          <w:tcPr>
            <w:tcW w:w="2803" w:type="pct"/>
            <w:tcBorders>
              <w:top w:val="nil"/>
              <w:bottom w:val="single" w:sz="4" w:space="0" w:color="auto"/>
            </w:tcBorders>
            <w:vAlign w:val="center"/>
          </w:tcPr>
          <w:p w14:paraId="4527F506" w14:textId="6BD9EFD2" w:rsidR="00551C17" w:rsidRPr="00BD19A7" w:rsidRDefault="00F7537E" w:rsidP="00780BA5">
            <w:pPr>
              <w:pStyle w:val="TableText0"/>
            </w:pPr>
            <w:r w:rsidRPr="00BD19A7">
              <w:t>S</w:t>
            </w:r>
            <w:r w:rsidR="00551C17" w:rsidRPr="00BD19A7">
              <w:t>andborn, W. J., Feagan, B. G., Rutgeerts, P., Hanauer, S., Colombel, J. F., Sands, B. E., Lukas, M., Fedorak, R. N., Lee, S., Bressler, B., Fox, I., Rosario, M., Sankoh, S., Xu, J., Stephens, K., Milch, C., and Parikh, A. Vedolizumab as induction and maintenance therapy for Crohn</w:t>
            </w:r>
            <w:r w:rsidR="00D80532" w:rsidRPr="00BD19A7">
              <w:t>’</w:t>
            </w:r>
            <w:r w:rsidR="00551C17" w:rsidRPr="00BD19A7">
              <w:t>s disease.</w:t>
            </w:r>
          </w:p>
        </w:tc>
        <w:tc>
          <w:tcPr>
            <w:tcW w:w="1402" w:type="pct"/>
            <w:tcBorders>
              <w:top w:val="nil"/>
              <w:bottom w:val="single" w:sz="4" w:space="0" w:color="auto"/>
            </w:tcBorders>
            <w:vAlign w:val="center"/>
          </w:tcPr>
          <w:p w14:paraId="28EFD028" w14:textId="77777777" w:rsidR="00551C17" w:rsidRPr="00BD19A7" w:rsidRDefault="00551C17" w:rsidP="00780BA5">
            <w:pPr>
              <w:pStyle w:val="TableText0"/>
            </w:pPr>
            <w:r w:rsidRPr="00BD19A7">
              <w:t>New England Journal of Medicine. 2013; 369 (8): 711- 721</w:t>
            </w:r>
          </w:p>
        </w:tc>
      </w:tr>
      <w:tr w:rsidR="00551C17" w:rsidRPr="00BD19A7" w14:paraId="6C281DBB" w14:textId="77777777" w:rsidTr="00780BA5">
        <w:trPr>
          <w:cantSplit/>
        </w:trPr>
        <w:tc>
          <w:tcPr>
            <w:tcW w:w="795" w:type="pct"/>
            <w:vAlign w:val="center"/>
          </w:tcPr>
          <w:p w14:paraId="1ADE58B7" w14:textId="77777777" w:rsidR="00551C17" w:rsidRPr="00BD19A7" w:rsidRDefault="00551C17" w:rsidP="00780BA5">
            <w:pPr>
              <w:pStyle w:val="TableText0"/>
              <w:jc w:val="center"/>
              <w:rPr>
                <w:rFonts w:ascii="Times" w:hAnsi="Times"/>
              </w:rPr>
            </w:pPr>
            <w:r w:rsidRPr="00BD19A7">
              <w:t>GEMINI III</w:t>
            </w:r>
          </w:p>
        </w:tc>
        <w:tc>
          <w:tcPr>
            <w:tcW w:w="2803" w:type="pct"/>
            <w:tcBorders>
              <w:bottom w:val="single" w:sz="4" w:space="0" w:color="auto"/>
            </w:tcBorders>
            <w:vAlign w:val="center"/>
          </w:tcPr>
          <w:p w14:paraId="5EFE31A8" w14:textId="77777777" w:rsidR="00551C17" w:rsidRPr="00BD19A7" w:rsidRDefault="00551C17" w:rsidP="00780BA5">
            <w:pPr>
              <w:pStyle w:val="TableText0"/>
              <w:rPr>
                <w:rFonts w:ascii="Times" w:hAnsi="Times"/>
              </w:rPr>
            </w:pPr>
            <w:r w:rsidRPr="00BD19A7">
              <w:t>Clinical Study Report C13011. A Phase 3, Randomized, Placebo-Controlled, Blinded, Multicenter Study of the Induction of Clinical Response and Remission by Vedolizumab in Patients with Moderate to Severe Crohn’s Disease</w:t>
            </w:r>
          </w:p>
        </w:tc>
        <w:tc>
          <w:tcPr>
            <w:tcW w:w="1402" w:type="pct"/>
            <w:tcBorders>
              <w:bottom w:val="single" w:sz="4" w:space="0" w:color="auto"/>
            </w:tcBorders>
            <w:vAlign w:val="center"/>
          </w:tcPr>
          <w:p w14:paraId="58C3D751" w14:textId="77777777" w:rsidR="00551C17" w:rsidRPr="00BD19A7" w:rsidRDefault="00551C17" w:rsidP="00780BA5">
            <w:pPr>
              <w:pStyle w:val="TableText0"/>
            </w:pPr>
            <w:r w:rsidRPr="00BD19A7">
              <w:t>2012</w:t>
            </w:r>
          </w:p>
        </w:tc>
      </w:tr>
    </w:tbl>
    <w:p w14:paraId="43549FCF" w14:textId="3C0A005C" w:rsidR="00551C17" w:rsidRPr="00BD19A7" w:rsidRDefault="00551C17" w:rsidP="00551C17">
      <w:pPr>
        <w:pStyle w:val="FooterTableFigure"/>
        <w:rPr>
          <w:sz w:val="20"/>
        </w:rPr>
      </w:pPr>
      <w:r w:rsidRPr="00BD19A7">
        <w:t>Source: vedolizumab Public Summary Document March 2015</w:t>
      </w:r>
    </w:p>
    <w:p w14:paraId="5172A7A4" w14:textId="030FA1BA" w:rsidR="00093D0E" w:rsidRPr="00BD19A7" w:rsidRDefault="00093D0E" w:rsidP="00093D0E">
      <w:pPr>
        <w:pStyle w:val="3-BodyText"/>
      </w:pPr>
      <w:r w:rsidRPr="00BD19A7">
        <w:t xml:space="preserve">Patients in GEMINI 2 received two doses of induction treatment at </w:t>
      </w:r>
      <w:r w:rsidR="00732FCE" w:rsidRPr="00BD19A7">
        <w:t>week</w:t>
      </w:r>
      <w:r w:rsidRPr="00BD19A7">
        <w:t xml:space="preserve"> 0 and 2 with clinical remission assessed at </w:t>
      </w:r>
      <w:r w:rsidR="00732FCE" w:rsidRPr="00BD19A7">
        <w:t>week</w:t>
      </w:r>
      <w:r w:rsidRPr="00BD19A7">
        <w:t xml:space="preserve"> 6. Patients randomised to GEMINI 3 received three doses of induction treatment at </w:t>
      </w:r>
      <w:r w:rsidR="00732FCE" w:rsidRPr="00BD19A7">
        <w:t>week</w:t>
      </w:r>
      <w:r w:rsidRPr="00BD19A7">
        <w:t xml:space="preserve"> 0, 2 and 6 and clinical remission was assessed at </w:t>
      </w:r>
      <w:r w:rsidR="00732FCE" w:rsidRPr="00BD19A7">
        <w:t>week</w:t>
      </w:r>
      <w:r w:rsidRPr="00BD19A7">
        <w:t xml:space="preserve"> 6 and 10. Clinical remission was defined as a Crohn’s Disease Activity Index (CDAI) &lt; 150 points and corresponds to the criterion for eligibility for continuing (i.e.,</w:t>
      </w:r>
      <w:r w:rsidR="004B2E87" w:rsidRPr="00BD19A7">
        <w:t> </w:t>
      </w:r>
      <w:r w:rsidRPr="00BD19A7">
        <w:t xml:space="preserve">maintenance) treatment for CD on the PBS. </w:t>
      </w:r>
    </w:p>
    <w:p w14:paraId="2E0296B8" w14:textId="47DA51FE" w:rsidR="00732FCE" w:rsidRPr="00BD19A7" w:rsidRDefault="00732FCE" w:rsidP="00732FCE">
      <w:pPr>
        <w:pStyle w:val="3-BodyText"/>
      </w:pPr>
      <w:r w:rsidRPr="00BD19A7">
        <w:t>The clinical evidence provided to support an additional induction dose at week 10 is derived from</w:t>
      </w:r>
      <w:r w:rsidR="00E0311A" w:rsidRPr="00BD19A7">
        <w:t xml:space="preserve"> a subgroup of</w:t>
      </w:r>
      <w:r w:rsidRPr="00BD19A7">
        <w:t xml:space="preserve"> GEMINI 2</w:t>
      </w:r>
      <w:r w:rsidR="00CA4835" w:rsidRPr="00BD19A7">
        <w:t>.</w:t>
      </w:r>
      <w:r w:rsidRPr="00BD19A7">
        <w:t xml:space="preserve"> </w:t>
      </w:r>
      <w:r w:rsidR="00CA4835" w:rsidRPr="00BD19A7">
        <w:t>P</w:t>
      </w:r>
      <w:r w:rsidRPr="00BD19A7">
        <w:t xml:space="preserve">atients in GEMINI 3 did not receive any doses beyond week 6. </w:t>
      </w:r>
    </w:p>
    <w:p w14:paraId="0516F0C0" w14:textId="47487B00" w:rsidR="00692F7F" w:rsidRPr="00BD19A7" w:rsidRDefault="00692F7F" w:rsidP="00692F7F">
      <w:pPr>
        <w:pStyle w:val="3-BodyText"/>
      </w:pPr>
      <w:r w:rsidRPr="00BD19A7">
        <w:rPr>
          <w:rFonts w:eastAsia="Calibri"/>
        </w:rPr>
        <w:t>The submission was based on analysis of the results of a subgroup of patients who were deemed to be non-responders at week 6 in the GEMINI 2 trial following two induction doses at weeks 0 and 2. These patients were moved into an open label, non-randomised arm of the trial and provided vedolizumab 300 mg IV every 4 weeks, beginning week 6. These patients did not form part of the ITT population in the trial and were excluded from the maintenance study and analysis.</w:t>
      </w:r>
      <w:r w:rsidR="00275160" w:rsidRPr="00BD19A7">
        <w:rPr>
          <w:rFonts w:eastAsia="Calibri"/>
          <w:i/>
          <w:iCs/>
        </w:rPr>
        <w:t xml:space="preserve"> </w:t>
      </w:r>
      <w:r w:rsidR="00D80532" w:rsidRPr="00BD19A7">
        <w:rPr>
          <w:rFonts w:eastAsia="Calibri"/>
        </w:rPr>
        <w:t xml:space="preserve">The </w:t>
      </w:r>
      <w:r w:rsidR="00D80532" w:rsidRPr="00BD19A7">
        <w:rPr>
          <w:rFonts w:eastAsia="Calibri"/>
          <w:bCs/>
        </w:rPr>
        <w:t xml:space="preserve">evaluation </w:t>
      </w:r>
      <w:r w:rsidR="00A953B2" w:rsidRPr="00BD19A7">
        <w:rPr>
          <w:rFonts w:eastAsia="Calibri"/>
          <w:bCs/>
        </w:rPr>
        <w:t>noted</w:t>
      </w:r>
      <w:r w:rsidR="00D80532" w:rsidRPr="00BD19A7">
        <w:rPr>
          <w:rFonts w:eastAsia="Calibri"/>
          <w:bCs/>
        </w:rPr>
        <w:t xml:space="preserve"> that </w:t>
      </w:r>
      <w:r w:rsidR="00D80532" w:rsidRPr="00BD19A7">
        <w:rPr>
          <w:rFonts w:eastAsia="Calibri"/>
        </w:rPr>
        <w:t>n</w:t>
      </w:r>
      <w:r w:rsidR="00275160" w:rsidRPr="00BD19A7">
        <w:rPr>
          <w:rFonts w:eastAsia="Calibri"/>
        </w:rPr>
        <w:t>one of the clinical</w:t>
      </w:r>
      <w:r w:rsidRPr="00BD19A7">
        <w:rPr>
          <w:rFonts w:eastAsia="Calibri"/>
        </w:rPr>
        <w:t xml:space="preserve"> data provided </w:t>
      </w:r>
      <w:r w:rsidR="00275160" w:rsidRPr="00BD19A7">
        <w:rPr>
          <w:rFonts w:eastAsia="Calibri"/>
        </w:rPr>
        <w:t>includes</w:t>
      </w:r>
      <w:r w:rsidRPr="00BD19A7">
        <w:rPr>
          <w:rFonts w:eastAsia="Calibri"/>
        </w:rPr>
        <w:t xml:space="preserve"> patients provided with 4 induction doses </w:t>
      </w:r>
      <w:r w:rsidR="00DF11B2" w:rsidRPr="00BD19A7">
        <w:rPr>
          <w:rFonts w:eastAsia="Calibri"/>
        </w:rPr>
        <w:t xml:space="preserve">followed by </w:t>
      </w:r>
      <w:r w:rsidRPr="00BD19A7">
        <w:rPr>
          <w:rFonts w:eastAsia="Calibri"/>
        </w:rPr>
        <w:t>8</w:t>
      </w:r>
      <w:r w:rsidR="00DF11B2" w:rsidRPr="00BD19A7">
        <w:rPr>
          <w:rFonts w:eastAsia="Calibri"/>
        </w:rPr>
        <w:noBreakHyphen/>
      </w:r>
      <w:r w:rsidRPr="00BD19A7">
        <w:rPr>
          <w:rFonts w:eastAsia="Calibri"/>
        </w:rPr>
        <w:t>weekly continuing therapy</w:t>
      </w:r>
      <w:r w:rsidR="00275160" w:rsidRPr="00BD19A7">
        <w:rPr>
          <w:rFonts w:eastAsia="Calibri"/>
        </w:rPr>
        <w:t>, per the requested PBS restriction</w:t>
      </w:r>
      <w:r w:rsidRPr="00BD19A7">
        <w:rPr>
          <w:rFonts w:eastAsia="Calibri"/>
        </w:rPr>
        <w:t xml:space="preserve">. While there </w:t>
      </w:r>
      <w:r w:rsidR="00980CB5" w:rsidRPr="00BD19A7">
        <w:rPr>
          <w:rFonts w:eastAsia="Calibri"/>
        </w:rPr>
        <w:t>is</w:t>
      </w:r>
      <w:r w:rsidRPr="00BD19A7">
        <w:rPr>
          <w:rFonts w:eastAsia="Calibri"/>
        </w:rPr>
        <w:t xml:space="preserve"> a risk that</w:t>
      </w:r>
      <w:r w:rsidR="0077613E" w:rsidRPr="00BD19A7">
        <w:rPr>
          <w:rFonts w:eastAsia="Calibri"/>
        </w:rPr>
        <w:t xml:space="preserve"> some</w:t>
      </w:r>
      <w:r w:rsidRPr="00BD19A7">
        <w:rPr>
          <w:rFonts w:eastAsia="Calibri"/>
        </w:rPr>
        <w:t xml:space="preserve"> patients who achieve response with a 4</w:t>
      </w:r>
      <w:r w:rsidR="006521A0" w:rsidRPr="00BD19A7">
        <w:rPr>
          <w:rFonts w:eastAsia="Calibri"/>
        </w:rPr>
        <w:noBreakHyphen/>
      </w:r>
      <w:r w:rsidRPr="00BD19A7">
        <w:rPr>
          <w:rFonts w:eastAsia="Calibri"/>
        </w:rPr>
        <w:t>dose induction regimen</w:t>
      </w:r>
      <w:r w:rsidR="00E85DE5" w:rsidRPr="00BD19A7">
        <w:rPr>
          <w:rFonts w:eastAsia="Calibri"/>
        </w:rPr>
        <w:t xml:space="preserve"> and Q4W continuation</w:t>
      </w:r>
      <w:r w:rsidRPr="00BD19A7">
        <w:rPr>
          <w:rFonts w:eastAsia="Calibri"/>
        </w:rPr>
        <w:t xml:space="preserve"> may </w:t>
      </w:r>
      <w:r w:rsidR="0077613E" w:rsidRPr="00BD19A7">
        <w:rPr>
          <w:rFonts w:eastAsia="Calibri"/>
        </w:rPr>
        <w:t>not</w:t>
      </w:r>
      <w:r w:rsidRPr="00BD19A7">
        <w:rPr>
          <w:rFonts w:eastAsia="Calibri"/>
        </w:rPr>
        <w:t xml:space="preserve"> maintain response under a Q8W continuation regimen, the financial risk is partially mitigated by the requirement for patients to demonstrate response prior to each continuing therapy prescription</w:t>
      </w:r>
      <w:r w:rsidR="006521A0" w:rsidRPr="00BD19A7">
        <w:rPr>
          <w:rFonts w:eastAsia="Calibri"/>
        </w:rPr>
        <w:t xml:space="preserve"> (i.e., required to demonstrate response after 14 weeks of continuing treatment</w:t>
      </w:r>
      <w:r w:rsidR="0077613E" w:rsidRPr="00BD19A7">
        <w:rPr>
          <w:rFonts w:eastAsia="Calibri"/>
        </w:rPr>
        <w:t>, which is week 24 of treatment</w:t>
      </w:r>
      <w:r w:rsidR="006521A0" w:rsidRPr="00BD19A7">
        <w:rPr>
          <w:rFonts w:eastAsia="Calibri"/>
        </w:rPr>
        <w:t>)</w:t>
      </w:r>
      <w:r w:rsidRPr="00BD19A7">
        <w:rPr>
          <w:rFonts w:eastAsia="Calibri"/>
        </w:rPr>
        <w:t xml:space="preserve">. </w:t>
      </w:r>
    </w:p>
    <w:p w14:paraId="5FE9A46D" w14:textId="20F87BBB" w:rsidR="0026045C" w:rsidRPr="00BD19A7" w:rsidRDefault="005522D8" w:rsidP="003421F9">
      <w:pPr>
        <w:pStyle w:val="3-BodyText"/>
      </w:pPr>
      <w:r w:rsidRPr="00BD19A7">
        <w:lastRenderedPageBreak/>
        <w:t>The submission provided a review article on the predictors of response to vedolizumab and ustekinumab in inflammatory bowel disease (Barré, et al., 201</w:t>
      </w:r>
      <w:r w:rsidR="00934057" w:rsidRPr="00BD19A7">
        <w:t>8</w:t>
      </w:r>
      <w:r w:rsidR="001C3E41" w:rsidRPr="00BD19A7">
        <w:rPr>
          <w:rStyle w:val="FootnoteReference"/>
        </w:rPr>
        <w:footnoteReference w:id="3"/>
      </w:r>
      <w:r w:rsidRPr="00BD19A7">
        <w:t xml:space="preserve">). The review article referenced a prospective study from 2 French hospitals that included patients with CD or UC receiving induction therapy with </w:t>
      </w:r>
      <w:r w:rsidR="003421F9" w:rsidRPr="00BD19A7">
        <w:t>vedolizumab (Williet, et al., 2017</w:t>
      </w:r>
      <w:r w:rsidR="001C3E41" w:rsidRPr="00BD19A7">
        <w:rPr>
          <w:rStyle w:val="FootnoteReference"/>
        </w:rPr>
        <w:footnoteReference w:id="4"/>
      </w:r>
      <w:r w:rsidR="003421F9" w:rsidRPr="00BD19A7">
        <w:t>)</w:t>
      </w:r>
      <w:r w:rsidR="009B147B" w:rsidRPr="00BD19A7">
        <w:t>.</w:t>
      </w:r>
      <w:r w:rsidR="00707C5D" w:rsidRPr="00BD19A7">
        <w:t xml:space="preserve"> Williet used l</w:t>
      </w:r>
      <w:r w:rsidRPr="00BD19A7">
        <w:t>ow trough levels of vedolizumab at week 6 (&lt;</w:t>
      </w:r>
      <w:r w:rsidR="00D05FC3">
        <w:t> </w:t>
      </w:r>
      <w:r w:rsidRPr="00BD19A7">
        <w:t>19.0</w:t>
      </w:r>
      <w:r w:rsidR="00D05FC3">
        <w:t> </w:t>
      </w:r>
      <w:r w:rsidRPr="00BD19A7">
        <w:t>mg/mL)</w:t>
      </w:r>
      <w:r w:rsidR="00707C5D" w:rsidRPr="00BD19A7">
        <w:t xml:space="preserve"> following standard induction doses at weeks 0,</w:t>
      </w:r>
      <w:r w:rsidR="007F0C03" w:rsidRPr="00BD19A7">
        <w:t xml:space="preserve"> </w:t>
      </w:r>
      <w:r w:rsidR="00707C5D" w:rsidRPr="00BD19A7">
        <w:t>2 and 6,</w:t>
      </w:r>
      <w:r w:rsidRPr="00BD19A7">
        <w:t xml:space="preserve"> </w:t>
      </w:r>
      <w:r w:rsidR="009B147B" w:rsidRPr="00BD19A7">
        <w:t xml:space="preserve">as a measure to determine </w:t>
      </w:r>
      <w:r w:rsidR="00707C5D" w:rsidRPr="00BD19A7">
        <w:t>whether patients would be placed onto</w:t>
      </w:r>
      <w:r w:rsidRPr="00BD19A7">
        <w:t xml:space="preserve"> </w:t>
      </w:r>
      <w:r w:rsidR="00707C5D" w:rsidRPr="00BD19A7">
        <w:t>optimised therapy (</w:t>
      </w:r>
      <w:r w:rsidRPr="00BD19A7">
        <w:t xml:space="preserve">additional doses </w:t>
      </w:r>
      <w:r w:rsidR="009B147B" w:rsidRPr="00BD19A7">
        <w:t xml:space="preserve">of vedolizumab </w:t>
      </w:r>
      <w:r w:rsidRPr="00BD19A7">
        <w:t xml:space="preserve">given at week 10 and then every 4 weeks). The observational study consisted of 47 consecutive patients with </w:t>
      </w:r>
      <w:r w:rsidR="007F0C03" w:rsidRPr="00BD19A7">
        <w:t>CD</w:t>
      </w:r>
      <w:r w:rsidRPr="00BD19A7">
        <w:t xml:space="preserve"> [</w:t>
      </w:r>
      <w:r w:rsidR="00DE4A7D" w:rsidRPr="00BD19A7">
        <w:t>n=</w:t>
      </w:r>
      <w:r w:rsidRPr="00BD19A7">
        <w:t>31</w:t>
      </w:r>
      <w:r w:rsidR="003421F9" w:rsidRPr="00BD19A7">
        <w:t>]</w:t>
      </w:r>
      <w:r w:rsidRPr="00BD19A7">
        <w:t xml:space="preserve"> or </w:t>
      </w:r>
      <w:r w:rsidR="007F0C03" w:rsidRPr="00BD19A7">
        <w:t>UC</w:t>
      </w:r>
      <w:r w:rsidRPr="00BD19A7">
        <w:t xml:space="preserve"> [</w:t>
      </w:r>
      <w:r w:rsidR="00DE4A7D" w:rsidRPr="00BD19A7">
        <w:t>n=</w:t>
      </w:r>
      <w:r w:rsidRPr="00BD19A7">
        <w:t>16</w:t>
      </w:r>
      <w:r w:rsidR="003421F9" w:rsidRPr="00BD19A7">
        <w:t>]</w:t>
      </w:r>
      <w:r w:rsidRPr="00BD19A7">
        <w:t xml:space="preserve"> who had not responded to 2 previous treatment regimens with antagonists of </w:t>
      </w:r>
      <w:r w:rsidR="00CE2650" w:rsidRPr="00BD19A7">
        <w:t>tumour</w:t>
      </w:r>
      <w:r w:rsidRPr="00BD19A7">
        <w:t xml:space="preserve"> necrosis factor. Of the 47 patients</w:t>
      </w:r>
      <w:r w:rsidR="003421F9" w:rsidRPr="00BD19A7">
        <w:t xml:space="preserve"> included in the study</w:t>
      </w:r>
      <w:r w:rsidRPr="00BD19A7">
        <w:t xml:space="preserve">, 27 patients achieved clinical remission at week 6, and 20 patients required an additional dose at week 10. Of the 20 patients </w:t>
      </w:r>
      <w:r w:rsidR="003421F9" w:rsidRPr="00BD19A7">
        <w:t>receiving an additional dose, 15 achieved clinical remission at week 10 (75%).</w:t>
      </w:r>
      <w:r w:rsidRPr="00BD19A7">
        <w:t xml:space="preserve"> </w:t>
      </w:r>
      <w:r w:rsidR="00E175BA" w:rsidRPr="00BD19A7">
        <w:t xml:space="preserve">The </w:t>
      </w:r>
      <w:r w:rsidR="00D80532" w:rsidRPr="00BD19A7">
        <w:t xml:space="preserve">evaluation </w:t>
      </w:r>
      <w:r w:rsidR="00A953B2" w:rsidRPr="00BD19A7">
        <w:t>noted</w:t>
      </w:r>
      <w:r w:rsidR="00D80532" w:rsidRPr="00BD19A7">
        <w:t xml:space="preserve"> that the </w:t>
      </w:r>
      <w:r w:rsidR="00E175BA" w:rsidRPr="00BD19A7">
        <w:t xml:space="preserve">study is limited by its </w:t>
      </w:r>
      <w:r w:rsidR="003421F9" w:rsidRPr="00BD19A7">
        <w:t>small cohort size</w:t>
      </w:r>
      <w:r w:rsidR="00E175BA" w:rsidRPr="00BD19A7">
        <w:t>,</w:t>
      </w:r>
      <w:r w:rsidR="003421F9" w:rsidRPr="00BD19A7">
        <w:t xml:space="preserve"> and </w:t>
      </w:r>
      <w:r w:rsidR="00E175BA" w:rsidRPr="00BD19A7">
        <w:t xml:space="preserve">it </w:t>
      </w:r>
      <w:r w:rsidR="009B147B" w:rsidRPr="00BD19A7">
        <w:t xml:space="preserve">did not differentiate patients by </w:t>
      </w:r>
      <w:r w:rsidR="003421F9" w:rsidRPr="00BD19A7">
        <w:t xml:space="preserve">inflammatory disease in </w:t>
      </w:r>
      <w:r w:rsidR="009B147B" w:rsidRPr="00BD19A7">
        <w:t xml:space="preserve">its results, making it unclear how applicable these results would be to the severe </w:t>
      </w:r>
      <w:r w:rsidR="006C3E70" w:rsidRPr="00BD19A7">
        <w:t>CD</w:t>
      </w:r>
      <w:r w:rsidR="009B147B" w:rsidRPr="00BD19A7">
        <w:t xml:space="preserve"> population</w:t>
      </w:r>
      <w:r w:rsidR="003421F9" w:rsidRPr="00BD19A7">
        <w:t>.</w:t>
      </w:r>
      <w:r w:rsidR="00692F7F" w:rsidRPr="00BD19A7">
        <w:t xml:space="preserve"> </w:t>
      </w:r>
    </w:p>
    <w:p w14:paraId="7B2F4BFC" w14:textId="7E58F132" w:rsidR="005522D8" w:rsidRPr="00BD19A7" w:rsidRDefault="00934057" w:rsidP="003421F9">
      <w:pPr>
        <w:pStyle w:val="3-BodyText"/>
      </w:pPr>
      <w:r w:rsidRPr="00BD19A7">
        <w:t>Barré</w:t>
      </w:r>
      <w:r w:rsidR="00E175BA" w:rsidRPr="00BD19A7">
        <w:t>, et al.</w:t>
      </w:r>
      <w:r w:rsidR="0026045C" w:rsidRPr="00BD19A7">
        <w:t>,</w:t>
      </w:r>
      <w:r w:rsidR="00692F7F" w:rsidRPr="00BD19A7">
        <w:t xml:space="preserve"> also noted patients who a</w:t>
      </w:r>
      <w:r w:rsidR="00DF42A8" w:rsidRPr="00BD19A7">
        <w:t>c</w:t>
      </w:r>
      <w:r w:rsidR="00692F7F" w:rsidRPr="00BD19A7">
        <w:t>hieved early response to vedolizumab are more likely to have a long-term response, which may indicate patients requiring a week 10 dose</w:t>
      </w:r>
      <w:r w:rsidR="00DF42A8" w:rsidRPr="00BD19A7">
        <w:t xml:space="preserve"> are less likely to maintain a clinical response and remain in remission.</w:t>
      </w:r>
      <w:r w:rsidR="003421F9" w:rsidRPr="00BD19A7">
        <w:t xml:space="preserve"> </w:t>
      </w:r>
      <w:r w:rsidR="00D80532" w:rsidRPr="00BD19A7">
        <w:t xml:space="preserve">The evaluation </w:t>
      </w:r>
      <w:r w:rsidR="00A953B2" w:rsidRPr="00BD19A7">
        <w:t>noted</w:t>
      </w:r>
      <w:r w:rsidR="00D80532" w:rsidRPr="00BD19A7">
        <w:t xml:space="preserve"> that t</w:t>
      </w:r>
      <w:r w:rsidR="00FA0998" w:rsidRPr="00BD19A7">
        <w:t>here was insufficient data provided to draw any clear conclusions, although the committee may wish to consider the difference in response between patients who had previously failed TNFα</w:t>
      </w:r>
      <w:r w:rsidR="003421F9" w:rsidRPr="00BD19A7">
        <w:t xml:space="preserve"> </w:t>
      </w:r>
      <w:r w:rsidR="00FA0998" w:rsidRPr="00BD19A7">
        <w:t xml:space="preserve">therapy and those who did not, presented in </w:t>
      </w:r>
      <w:r w:rsidR="00A25635" w:rsidRPr="00BD19A7">
        <w:t>T</w:t>
      </w:r>
      <w:r w:rsidR="00FA0998" w:rsidRPr="00BD19A7">
        <w:t>ables 2 and 3</w:t>
      </w:r>
      <w:r w:rsidR="00906876" w:rsidRPr="00BD19A7">
        <w:t>, and the risk that some of these patients may be treatment resistant</w:t>
      </w:r>
      <w:r w:rsidR="00FA0998" w:rsidRPr="00BD19A7">
        <w:t>.</w:t>
      </w:r>
    </w:p>
    <w:p w14:paraId="2A0EC0F5" w14:textId="6624731B" w:rsidR="00816580" w:rsidRPr="00BD19A7" w:rsidRDefault="00D80532" w:rsidP="00816580">
      <w:pPr>
        <w:pStyle w:val="3-BodyText"/>
        <w:rPr>
          <w:sz w:val="20"/>
          <w:szCs w:val="20"/>
        </w:rPr>
      </w:pPr>
      <w:r w:rsidRPr="00BD19A7">
        <w:t>The evaluation conducted an</w:t>
      </w:r>
      <w:r w:rsidR="00816580" w:rsidRPr="00BD19A7">
        <w:t xml:space="preserve"> abbreviated literature search (PubMed; Cochrane Library)</w:t>
      </w:r>
      <w:r w:rsidRPr="00BD19A7">
        <w:t xml:space="preserve"> that</w:t>
      </w:r>
      <w:r w:rsidR="00816580" w:rsidRPr="00BD19A7">
        <w:t xml:space="preserve"> identified one additional induction trial of note which was not included in the submission: Watanabe 2020</w:t>
      </w:r>
      <w:r w:rsidR="001C3E41" w:rsidRPr="00BD19A7">
        <w:rPr>
          <w:rStyle w:val="FootnoteReference"/>
        </w:rPr>
        <w:footnoteReference w:id="5"/>
      </w:r>
      <w:r w:rsidR="00816580" w:rsidRPr="00BD19A7">
        <w:t xml:space="preserve">, a Japanese study of vedolizumab with a comparable design to GEMINI 2; however, given the trial was limited to a Japanese population, it is unlikely to be generalisable to the Australian population. The </w:t>
      </w:r>
      <w:r w:rsidR="00816580" w:rsidRPr="00BD19A7">
        <w:lastRenderedPageBreak/>
        <w:t>Cochrane Library search identified one additional study (Feagan 2008</w:t>
      </w:r>
      <w:r w:rsidR="001C3E41" w:rsidRPr="00BD19A7">
        <w:rPr>
          <w:rStyle w:val="FootnoteReference"/>
        </w:rPr>
        <w:footnoteReference w:id="6"/>
      </w:r>
      <w:r w:rsidR="00816580" w:rsidRPr="00BD19A7">
        <w:t>) within a review of vedolizumab for Crohn’s disease</w:t>
      </w:r>
      <w:r w:rsidR="001C3E41" w:rsidRPr="00BD19A7">
        <w:rPr>
          <w:rStyle w:val="FootnoteReference"/>
        </w:rPr>
        <w:footnoteReference w:id="7"/>
      </w:r>
      <w:r w:rsidR="00816580" w:rsidRPr="00BD19A7">
        <w:t>; however</w:t>
      </w:r>
      <w:r w:rsidR="00A25635" w:rsidRPr="00BD19A7">
        <w:t>,</w:t>
      </w:r>
      <w:r w:rsidR="00816580" w:rsidRPr="00BD19A7">
        <w:t xml:space="preserve"> this study used both weight-based dosing and a different dosing regimen and was considered not relevant to the current submission.</w:t>
      </w:r>
    </w:p>
    <w:p w14:paraId="4A4FE085" w14:textId="5A705205" w:rsidR="00B60939" w:rsidRPr="00BD19A7" w:rsidRDefault="00B60939" w:rsidP="00EC5836">
      <w:pPr>
        <w:pStyle w:val="4-SubsectionHeading"/>
      </w:pPr>
      <w:bookmarkStart w:id="19" w:name="_Toc22897641"/>
      <w:bookmarkStart w:id="20" w:name="_Toc156993256"/>
      <w:r w:rsidRPr="00BD19A7">
        <w:t>Comparative effectiveness</w:t>
      </w:r>
      <w:bookmarkEnd w:id="19"/>
      <w:bookmarkEnd w:id="20"/>
    </w:p>
    <w:p w14:paraId="0D97CD0C" w14:textId="6BEC3D37" w:rsidR="00045878" w:rsidRPr="00BD19A7" w:rsidRDefault="00045878" w:rsidP="0007562C">
      <w:pPr>
        <w:pStyle w:val="3-BodyText"/>
      </w:pPr>
      <w:r w:rsidRPr="00BD19A7">
        <w:t>GEMINI 2 included an induction and maintenance phase. A schematic of the clinical trial design of GEMINI 2 is presented i</w:t>
      </w:r>
      <w:r w:rsidR="000B2AE0" w:rsidRPr="00BD19A7">
        <w:t xml:space="preserve">n </w:t>
      </w:r>
      <w:r w:rsidR="007741F1" w:rsidRPr="00BD19A7">
        <w:fldChar w:fldCharType="begin" w:fldLock="1"/>
      </w:r>
      <w:r w:rsidR="007741F1" w:rsidRPr="00BD19A7">
        <w:instrText xml:space="preserve"> REF _Ref155860635 \h </w:instrText>
      </w:r>
      <w:r w:rsidR="007741F1" w:rsidRPr="00BD19A7">
        <w:fldChar w:fldCharType="separate"/>
      </w:r>
      <w:r w:rsidR="00A008BF" w:rsidRPr="00BD19A7" w:rsidDel="00A56DFE">
        <w:t>Figure 1</w:t>
      </w:r>
      <w:r w:rsidR="007741F1" w:rsidRPr="00BD19A7">
        <w:fldChar w:fldCharType="end"/>
      </w:r>
      <w:r w:rsidRPr="00BD19A7">
        <w:t>. The circles highlight the induction and maintenance intend-to-treat (ITT) populations.</w:t>
      </w:r>
      <w:r w:rsidR="00707C5D" w:rsidRPr="00BD19A7">
        <w:rPr>
          <w:i/>
          <w:iCs/>
        </w:rPr>
        <w:t xml:space="preserve"> </w:t>
      </w:r>
      <w:r w:rsidR="00D80532" w:rsidRPr="00BD19A7">
        <w:t xml:space="preserve">The evaluation </w:t>
      </w:r>
      <w:r w:rsidR="00A953B2" w:rsidRPr="00BD19A7">
        <w:t>noted</w:t>
      </w:r>
      <w:r w:rsidR="00D80532" w:rsidRPr="00BD19A7">
        <w:t xml:space="preserve"> that r</w:t>
      </w:r>
      <w:r w:rsidR="00707C5D" w:rsidRPr="00BD19A7">
        <w:t>esults from these populations were considered by the PBAC in its March 2015 recommendat</w:t>
      </w:r>
      <w:r w:rsidR="004A4C5B" w:rsidRPr="00BD19A7">
        <w:t>i</w:t>
      </w:r>
      <w:r w:rsidR="00707C5D" w:rsidRPr="00BD19A7">
        <w:t>on.</w:t>
      </w:r>
      <w:r w:rsidRPr="00BD19A7">
        <w:t xml:space="preserve"> Patients received two induction doses (</w:t>
      </w:r>
      <w:r w:rsidR="00732FCE" w:rsidRPr="00BD19A7">
        <w:t>week</w:t>
      </w:r>
      <w:r w:rsidRPr="00BD19A7">
        <w:t xml:space="preserve"> 0 and 2) and those who demonstrated a clinical response (CDAI-70) at </w:t>
      </w:r>
      <w:r w:rsidR="00732FCE" w:rsidRPr="00BD19A7">
        <w:t>week</w:t>
      </w:r>
      <w:r w:rsidRPr="00BD19A7">
        <w:t xml:space="preserve"> 6 for the maintenance ITT population. The maintenance ITT population received a third dose at </w:t>
      </w:r>
      <w:r w:rsidR="00732FCE" w:rsidRPr="00BD19A7">
        <w:t>week</w:t>
      </w:r>
      <w:r w:rsidRPr="00BD19A7">
        <w:t xml:space="preserve"> 6 and every 8 </w:t>
      </w:r>
      <w:r w:rsidR="00732FCE" w:rsidRPr="00BD19A7">
        <w:t>week</w:t>
      </w:r>
      <w:r w:rsidRPr="00BD19A7">
        <w:t xml:space="preserve">s (i.e., </w:t>
      </w:r>
      <w:r w:rsidR="00732FCE" w:rsidRPr="00BD19A7">
        <w:t>week</w:t>
      </w:r>
      <w:r w:rsidRPr="00BD19A7">
        <w:t xml:space="preserve"> 14, 22 etc.). </w:t>
      </w:r>
      <w:bookmarkStart w:id="21" w:name="_Ref148527071"/>
      <w:bookmarkStart w:id="22" w:name="_Toc149676906"/>
    </w:p>
    <w:p w14:paraId="13A208F3" w14:textId="718E1D78" w:rsidR="00045878" w:rsidRPr="00BD19A7" w:rsidRDefault="00F04CE9" w:rsidP="00D05FC3">
      <w:pPr>
        <w:pStyle w:val="Caption"/>
        <w:keepLines w:val="0"/>
        <w:rPr>
          <w:b w:val="0"/>
          <w:bCs w:val="0"/>
          <w:szCs w:val="20"/>
        </w:rPr>
      </w:pPr>
      <w:bookmarkStart w:id="23" w:name="_Ref155860635"/>
      <w:bookmarkEnd w:id="21"/>
      <w:bookmarkEnd w:id="22"/>
      <w:r w:rsidRPr="00BD19A7">
        <w:t xml:space="preserve">Figure </w:t>
      </w:r>
      <w:r w:rsidR="007B0FCD">
        <w:fldChar w:fldCharType="begin" w:fldLock="1"/>
      </w:r>
      <w:r w:rsidR="007B0FCD">
        <w:instrText xml:space="preserve"> SEQ Figure \* ARABIC </w:instrText>
      </w:r>
      <w:r w:rsidR="007B0FCD">
        <w:fldChar w:fldCharType="separate"/>
      </w:r>
      <w:r w:rsidR="00A56DFE">
        <w:rPr>
          <w:noProof/>
        </w:rPr>
        <w:t>1</w:t>
      </w:r>
      <w:r w:rsidR="007B0FCD">
        <w:rPr>
          <w:noProof/>
        </w:rPr>
        <w:fldChar w:fldCharType="end"/>
      </w:r>
      <w:bookmarkEnd w:id="23"/>
      <w:r w:rsidRPr="00BD19A7">
        <w:t>: GEMINI 2 trial design</w:t>
      </w:r>
    </w:p>
    <w:p w14:paraId="4A3DFF9C" w14:textId="77777777" w:rsidR="00045878" w:rsidRPr="00BD19A7" w:rsidRDefault="00045878" w:rsidP="0007562C">
      <w:pPr>
        <w:pStyle w:val="BodyText"/>
        <w:keepNext/>
      </w:pPr>
      <w:r w:rsidRPr="00BD19A7">
        <w:rPr>
          <w:noProof/>
        </w:rPr>
        <w:drawing>
          <wp:inline distT="0" distB="0" distL="0" distR="0" wp14:anchorId="00035EC4" wp14:editId="019DBCF4">
            <wp:extent cx="5813425" cy="3389463"/>
            <wp:effectExtent l="0" t="0" r="0" b="1905"/>
            <wp:docPr id="811480658" name="Picture 811480658" descr="Figure 1: GEMINI 2 tri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80658" name="Picture 811480658" descr="Figure 1: GEMINI 2 trial de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3987" cy="3395621"/>
                    </a:xfrm>
                    <a:prstGeom prst="rect">
                      <a:avLst/>
                    </a:prstGeom>
                    <a:noFill/>
                  </pic:spPr>
                </pic:pic>
              </a:graphicData>
            </a:graphic>
          </wp:inline>
        </w:drawing>
      </w:r>
    </w:p>
    <w:p w14:paraId="4783D964" w14:textId="77777777" w:rsidR="00045878" w:rsidRPr="00BD19A7" w:rsidRDefault="00045878" w:rsidP="0007562C">
      <w:pPr>
        <w:pStyle w:val="BodyText"/>
        <w:keepNext/>
        <w:rPr>
          <w:rFonts w:ascii="Arial Narrow" w:hAnsi="Arial Narrow"/>
        </w:rPr>
      </w:pPr>
      <w:r w:rsidRPr="00BD19A7">
        <w:rPr>
          <w:rFonts w:ascii="Arial Narrow" w:hAnsi="Arial Narrow"/>
          <w:sz w:val="18"/>
          <w:szCs w:val="18"/>
        </w:rPr>
        <w:t>Source: Submission main body p11</w:t>
      </w:r>
    </w:p>
    <w:p w14:paraId="2837A360" w14:textId="1236482C" w:rsidR="00045878" w:rsidRPr="00BD19A7" w:rsidRDefault="00045878" w:rsidP="00D05FC3">
      <w:pPr>
        <w:pStyle w:val="BodyText"/>
        <w:widowControl w:val="0"/>
        <w:spacing w:after="120"/>
        <w:rPr>
          <w:rFonts w:ascii="Arial Narrow" w:hAnsi="Arial Narrow"/>
          <w:sz w:val="18"/>
          <w:szCs w:val="18"/>
        </w:rPr>
      </w:pPr>
      <w:r w:rsidRPr="00BD19A7">
        <w:rPr>
          <w:rFonts w:ascii="Arial Narrow" w:hAnsi="Arial Narrow"/>
          <w:sz w:val="18"/>
          <w:szCs w:val="18"/>
        </w:rPr>
        <w:t>Black circles indicate the induction and maintenance ITT population. Blue square indicates the maintenance non-ITT population</w:t>
      </w:r>
      <w:r w:rsidR="00D05FC3">
        <w:rPr>
          <w:rFonts w:ascii="Arial Narrow" w:hAnsi="Arial Narrow"/>
          <w:sz w:val="18"/>
          <w:szCs w:val="18"/>
        </w:rPr>
        <w:t>.</w:t>
      </w:r>
    </w:p>
    <w:p w14:paraId="79836FBD" w14:textId="33770601" w:rsidR="00045878" w:rsidRPr="00BD19A7" w:rsidRDefault="00045878" w:rsidP="0007562C">
      <w:pPr>
        <w:pStyle w:val="3-BodyText"/>
      </w:pPr>
      <w:r w:rsidRPr="00BD19A7">
        <w:lastRenderedPageBreak/>
        <w:t xml:space="preserve">The sponsor stated that the justification for an additional induction dose at </w:t>
      </w:r>
      <w:r w:rsidR="00732FCE" w:rsidRPr="00BD19A7">
        <w:t>week</w:t>
      </w:r>
      <w:r w:rsidRPr="00BD19A7">
        <w:t xml:space="preserve"> 10 is derived from the response to vedolizumab in the delayed response population (i.e., vedolizumab non-ITT maintenance population). These patients received two induction doses (</w:t>
      </w:r>
      <w:r w:rsidR="00732FCE" w:rsidRPr="00BD19A7">
        <w:t>week</w:t>
      </w:r>
      <w:r w:rsidRPr="00BD19A7">
        <w:t xml:space="preserve"> 0 and 2), did not demonstrate a clinical </w:t>
      </w:r>
      <w:proofErr w:type="gramStart"/>
      <w:r w:rsidRPr="00BD19A7">
        <w:t>response</w:t>
      </w:r>
      <w:proofErr w:type="gramEnd"/>
      <w:r w:rsidRPr="00BD19A7">
        <w:t xml:space="preserve"> and received vedolizumab every 4 </w:t>
      </w:r>
      <w:r w:rsidR="00732FCE" w:rsidRPr="00BD19A7">
        <w:t>week</w:t>
      </w:r>
      <w:r w:rsidRPr="00BD19A7">
        <w:t xml:space="preserve">s (i.e., at </w:t>
      </w:r>
      <w:r w:rsidR="00732FCE" w:rsidRPr="00BD19A7">
        <w:t>week</w:t>
      </w:r>
      <w:r w:rsidRPr="00BD19A7">
        <w:t xml:space="preserve"> 6, 10</w:t>
      </w:r>
      <w:r w:rsidR="009B147B" w:rsidRPr="00BD19A7">
        <w:t>,</w:t>
      </w:r>
      <w:r w:rsidRPr="00BD19A7">
        <w:t xml:space="preserve"> etc.) (</w:t>
      </w:r>
      <w:r w:rsidR="007741F1" w:rsidRPr="00BD19A7">
        <w:fldChar w:fldCharType="begin" w:fldLock="1"/>
      </w:r>
      <w:r w:rsidR="007741F1" w:rsidRPr="00BD19A7">
        <w:instrText xml:space="preserve"> REF _Ref155860635 \h </w:instrText>
      </w:r>
      <w:r w:rsidR="007741F1" w:rsidRPr="00BD19A7">
        <w:fldChar w:fldCharType="separate"/>
      </w:r>
      <w:r w:rsidR="00A008BF" w:rsidRPr="00BD19A7" w:rsidDel="00A56DFE">
        <w:t>Figure 1</w:t>
      </w:r>
      <w:r w:rsidR="007741F1" w:rsidRPr="00BD19A7">
        <w:fldChar w:fldCharType="end"/>
      </w:r>
      <w:r w:rsidR="000B2AE0" w:rsidRPr="00BD19A7">
        <w:t xml:space="preserve">, </w:t>
      </w:r>
      <w:r w:rsidRPr="00BD19A7">
        <w:t xml:space="preserve">blue rectangle). </w:t>
      </w:r>
      <w:r w:rsidR="00D80532" w:rsidRPr="00BD19A7">
        <w:t xml:space="preserve">The evaluation </w:t>
      </w:r>
      <w:r w:rsidR="00A953B2" w:rsidRPr="00BD19A7">
        <w:t>noted</w:t>
      </w:r>
      <w:r w:rsidR="00D80532" w:rsidRPr="00BD19A7">
        <w:t xml:space="preserve"> that a</w:t>
      </w:r>
      <w:r w:rsidR="00EB580F" w:rsidRPr="00BD19A7">
        <w:t xml:space="preserve">s the patients deemed not to have met criteria for response at week 6 were not included in the maintenance study component of the </w:t>
      </w:r>
      <w:r w:rsidR="009B147B" w:rsidRPr="00BD19A7">
        <w:t xml:space="preserve">GEMINI 2 </w:t>
      </w:r>
      <w:r w:rsidR="00EB580F" w:rsidRPr="00BD19A7">
        <w:t>trial</w:t>
      </w:r>
      <w:r w:rsidR="009B147B" w:rsidRPr="00BD19A7">
        <w:t xml:space="preserve"> or the analyses presented to the PBAC in the March 2015 submission</w:t>
      </w:r>
      <w:r w:rsidR="00EB580F" w:rsidRPr="00BD19A7">
        <w:t>, this population was not previously considered by the PBAC as part of the ITT population in its 2015 recommendation.</w:t>
      </w:r>
      <w:r w:rsidR="00EB580F" w:rsidRPr="00BD19A7">
        <w:rPr>
          <w:i/>
          <w:iCs/>
        </w:rPr>
        <w:t xml:space="preserve"> </w:t>
      </w:r>
    </w:p>
    <w:p w14:paraId="4262AC02" w14:textId="1D18259F" w:rsidR="00045878" w:rsidRPr="00BD19A7" w:rsidRDefault="00045878" w:rsidP="00045878">
      <w:pPr>
        <w:pStyle w:val="3-BodyText"/>
      </w:pPr>
      <w:r w:rsidRPr="00BD19A7">
        <w:t xml:space="preserve">The </w:t>
      </w:r>
      <w:r w:rsidR="00E8451B" w:rsidRPr="00BD19A7">
        <w:t xml:space="preserve">submission claimed the </w:t>
      </w:r>
      <w:r w:rsidRPr="00BD19A7">
        <w:t xml:space="preserve">response to treatment in the vedolizumab non-ITT population can also be compared with the patients who did not achieve a response to two doses of placebo at </w:t>
      </w:r>
      <w:r w:rsidR="00732FCE" w:rsidRPr="00BD19A7">
        <w:t>week</w:t>
      </w:r>
      <w:r w:rsidRPr="00BD19A7">
        <w:t xml:space="preserve"> 6 and continued to receive placebo (i.e., a subgroup of the placebo non-ITT maintenance population). </w:t>
      </w:r>
      <w:r w:rsidR="00D80532" w:rsidRPr="00BD19A7">
        <w:t xml:space="preserve">The evaluation </w:t>
      </w:r>
      <w:r w:rsidR="00A953B2" w:rsidRPr="00BD19A7">
        <w:t>noted</w:t>
      </w:r>
      <w:r w:rsidR="00D80532" w:rsidRPr="00BD19A7">
        <w:t xml:space="preserve"> that t</w:t>
      </w:r>
      <w:r w:rsidR="00B202C2" w:rsidRPr="00BD19A7">
        <w:t>his proposal does not reflect the proposed comparator regimen of a three</w:t>
      </w:r>
      <w:r w:rsidR="006747E7" w:rsidRPr="00BD19A7">
        <w:noBreakHyphen/>
      </w:r>
      <w:r w:rsidR="00B202C2" w:rsidRPr="00BD19A7">
        <w:t xml:space="preserve">dose induction regimen. </w:t>
      </w:r>
    </w:p>
    <w:p w14:paraId="29449D8F" w14:textId="6DF10E13" w:rsidR="00045878" w:rsidRPr="00BD19A7" w:rsidRDefault="009B147B" w:rsidP="00045878">
      <w:pPr>
        <w:pStyle w:val="3-BodyText"/>
      </w:pPr>
      <w:r w:rsidRPr="00BD19A7">
        <w:t>The submission stated p</w:t>
      </w:r>
      <w:r w:rsidR="00045878" w:rsidRPr="00BD19A7">
        <w:t xml:space="preserve">atients who had not achieved a clinical response (CDAI-70) at </w:t>
      </w:r>
      <w:r w:rsidR="00732FCE" w:rsidRPr="00BD19A7">
        <w:t>week</w:t>
      </w:r>
      <w:r w:rsidR="00045878" w:rsidRPr="00BD19A7">
        <w:t xml:space="preserve"> 6 after receiving two doses of vedolizumab (</w:t>
      </w:r>
      <w:r w:rsidR="00732FCE" w:rsidRPr="00BD19A7">
        <w:t>week</w:t>
      </w:r>
      <w:r w:rsidR="00045878" w:rsidRPr="00BD19A7">
        <w:t xml:space="preserve"> 0 and 2) benefited from an additional dose of vedolizumab at </w:t>
      </w:r>
      <w:r w:rsidR="00732FCE" w:rsidRPr="00BD19A7">
        <w:t>week</w:t>
      </w:r>
      <w:r w:rsidR="00045878" w:rsidRPr="00BD19A7">
        <w:t xml:space="preserve"> 6 with 16.0% of patients achieving an enhanced clinical response (CDAI-100) at </w:t>
      </w:r>
      <w:r w:rsidR="00732FCE" w:rsidRPr="00BD19A7">
        <w:t>week</w:t>
      </w:r>
      <w:r w:rsidR="00045878" w:rsidRPr="00BD19A7">
        <w:t xml:space="preserve"> 10. </w:t>
      </w:r>
      <w:r w:rsidR="000A0EF7" w:rsidRPr="00BD19A7">
        <w:t xml:space="preserve">This was a combination of patients form Cohorts 1 and 2 combined. </w:t>
      </w:r>
      <w:r w:rsidR="00045878" w:rsidRPr="00BD19A7">
        <w:t xml:space="preserve">An additional dose of vedolizumab at </w:t>
      </w:r>
      <w:r w:rsidR="00732FCE" w:rsidRPr="00BD19A7">
        <w:t>week</w:t>
      </w:r>
      <w:r w:rsidR="00045878" w:rsidRPr="00BD19A7">
        <w:t xml:space="preserve"> 10 increased the proportion of patients who achieved an enhanced clinical response (CDAI-100) to 21.7% at </w:t>
      </w:r>
      <w:r w:rsidR="00732FCE" w:rsidRPr="00BD19A7">
        <w:t>week</w:t>
      </w:r>
      <w:r w:rsidR="00045878" w:rsidRPr="00BD19A7">
        <w:t xml:space="preserve"> 14. The enhanced clinical response rate among placebo-treated subjects who had not responded at </w:t>
      </w:r>
      <w:r w:rsidR="00732FCE" w:rsidRPr="00BD19A7">
        <w:t>week</w:t>
      </w:r>
      <w:r w:rsidR="00045878" w:rsidRPr="00BD19A7">
        <w:t xml:space="preserve"> 6 and continued placebo in the maintenance phase was 7.2% at </w:t>
      </w:r>
      <w:r w:rsidR="00732FCE" w:rsidRPr="00BD19A7">
        <w:t>week</w:t>
      </w:r>
      <w:r w:rsidR="00045878" w:rsidRPr="00BD19A7">
        <w:t xml:space="preserve"> 10 and 11.6% at </w:t>
      </w:r>
      <w:r w:rsidR="00732FCE" w:rsidRPr="00BD19A7">
        <w:t>week</w:t>
      </w:r>
      <w:r w:rsidR="00045878" w:rsidRPr="00BD19A7">
        <w:t xml:space="preserve"> 14</w:t>
      </w:r>
      <w:r w:rsidR="004332B1" w:rsidRPr="00BD19A7">
        <w:t xml:space="preserve">. </w:t>
      </w:r>
      <w:r w:rsidR="00D80532" w:rsidRPr="00BD19A7">
        <w:t>The evaluation noted that a</w:t>
      </w:r>
      <w:r w:rsidR="004332B1" w:rsidRPr="00BD19A7">
        <w:t>s the existing induction regimen includes a dose at week 6, the relevant statistic here is the increase in response, within the non-responder group, of 5.7% at week 14 following the additional dose at week 10 compared to those who achieved clinical response at week 10 following 3 doses at weeks 0,2 and 6.</w:t>
      </w:r>
    </w:p>
    <w:p w14:paraId="771CE45A" w14:textId="1FC0F042" w:rsidR="00045878" w:rsidRPr="00BD19A7" w:rsidRDefault="00045878" w:rsidP="00045878">
      <w:pPr>
        <w:pStyle w:val="3-BodyText"/>
      </w:pPr>
      <w:r w:rsidRPr="00BD19A7">
        <w:t>The proportions of patients who achieved an enhanced clinical response (CDAI-100) also increase with additional vedolizumab doses in the subgroup of patients who had failed TNF</w:t>
      </w:r>
      <w:r w:rsidRPr="00BD19A7">
        <w:rPr>
          <w:rFonts w:cstheme="minorHAnsi"/>
        </w:rPr>
        <w:t>α</w:t>
      </w:r>
      <w:r w:rsidRPr="00BD19A7">
        <w:t xml:space="preserve"> antagonist from </w:t>
      </w:r>
      <w:r w:rsidR="00732FCE" w:rsidRPr="00BD19A7">
        <w:t>week</w:t>
      </w:r>
      <w:r w:rsidRPr="00BD19A7">
        <w:t xml:space="preserve"> 10 (16.2%) to </w:t>
      </w:r>
      <w:r w:rsidR="00732FCE" w:rsidRPr="00BD19A7">
        <w:t>week</w:t>
      </w:r>
      <w:r w:rsidRPr="00BD19A7">
        <w:t xml:space="preserve"> 14 (17.1%) as well as those who had not failed (</w:t>
      </w:r>
      <w:r w:rsidR="00732FCE" w:rsidRPr="00BD19A7">
        <w:t>week</w:t>
      </w:r>
      <w:r w:rsidRPr="00BD19A7">
        <w:t xml:space="preserve"> 10: 15.4%, </w:t>
      </w:r>
      <w:r w:rsidR="00732FCE" w:rsidRPr="00BD19A7">
        <w:t>week</w:t>
      </w:r>
      <w:r w:rsidRPr="00BD19A7">
        <w:t xml:space="preserve"> 14: 30.8%). </w:t>
      </w:r>
      <w:r w:rsidR="006C2530" w:rsidRPr="00BD19A7">
        <w:t>The proportion of week 6 responders from the ITT population of Cohort 1 of the GEMINI 2 study have been added for reference in both Tables 2 and 3.</w:t>
      </w:r>
    </w:p>
    <w:p w14:paraId="776AF393" w14:textId="1CB3B0BD" w:rsidR="00F04CE9" w:rsidRPr="00BD19A7" w:rsidRDefault="00F04CE9" w:rsidP="00F04CE9">
      <w:pPr>
        <w:pStyle w:val="Caption"/>
      </w:pPr>
      <w:r w:rsidRPr="00BD19A7">
        <w:lastRenderedPageBreak/>
        <w:t xml:space="preserve">Table </w:t>
      </w:r>
      <w:r w:rsidR="007B0FCD">
        <w:fldChar w:fldCharType="begin" w:fldLock="1"/>
      </w:r>
      <w:r w:rsidR="007B0FCD">
        <w:instrText xml:space="preserve"> SEQ Table \* ARAB</w:instrText>
      </w:r>
      <w:r w:rsidR="007B0FCD">
        <w:instrText xml:space="preserve">IC </w:instrText>
      </w:r>
      <w:r w:rsidR="007B0FCD">
        <w:fldChar w:fldCharType="separate"/>
      </w:r>
      <w:r w:rsidR="00A56DFE">
        <w:rPr>
          <w:noProof/>
        </w:rPr>
        <w:t>2</w:t>
      </w:r>
      <w:r w:rsidR="007B0FCD">
        <w:rPr>
          <w:noProof/>
        </w:rPr>
        <w:fldChar w:fldCharType="end"/>
      </w:r>
      <w:r w:rsidRPr="00BD19A7">
        <w:t>: Enhanced clinical response (CDAI-100) in the delayed response population</w:t>
      </w:r>
    </w:p>
    <w:tbl>
      <w:tblPr>
        <w:tblStyle w:val="TableHTAsimple"/>
        <w:tblW w:w="5002"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Enhanced clinical response (CDAI-100) in the delayed response population"/>
      </w:tblPr>
      <w:tblGrid>
        <w:gridCol w:w="2261"/>
        <w:gridCol w:w="1988"/>
        <w:gridCol w:w="2268"/>
        <w:gridCol w:w="2504"/>
      </w:tblGrid>
      <w:tr w:rsidR="00F7537E" w:rsidRPr="00BD19A7" w14:paraId="4B159A66" w14:textId="7F00A2B8" w:rsidTr="00F7537E">
        <w:trPr>
          <w:cnfStyle w:val="100000000000" w:firstRow="1" w:lastRow="0" w:firstColumn="0" w:lastColumn="0" w:oddVBand="0" w:evenVBand="0" w:oddHBand="0" w:evenHBand="0" w:firstRowFirstColumn="0" w:firstRowLastColumn="0" w:lastRowFirstColumn="0" w:lastRowLastColumn="0"/>
        </w:trPr>
        <w:tc>
          <w:tcPr>
            <w:tcW w:w="1253" w:type="pct"/>
            <w:shd w:val="clear" w:color="auto" w:fill="FFFFFF" w:themeFill="background1"/>
          </w:tcPr>
          <w:p w14:paraId="418E3B6F" w14:textId="77777777" w:rsidR="00F7537E" w:rsidRPr="00BD19A7" w:rsidRDefault="00F7537E" w:rsidP="00F7537E">
            <w:pPr>
              <w:keepNext/>
              <w:keepLines/>
              <w:spacing w:before="0" w:after="0"/>
              <w:rPr>
                <w:rFonts w:ascii="Arial Narrow" w:hAnsi="Arial Narrow"/>
                <w:b/>
                <w:sz w:val="20"/>
                <w:szCs w:val="20"/>
                <w:lang w:val="en-AU" w:eastAsia="en-AU"/>
              </w:rPr>
            </w:pPr>
          </w:p>
        </w:tc>
        <w:tc>
          <w:tcPr>
            <w:tcW w:w="1102" w:type="pct"/>
            <w:shd w:val="clear" w:color="auto" w:fill="FFFFFF" w:themeFill="background1"/>
          </w:tcPr>
          <w:p w14:paraId="088AEF96" w14:textId="77777777" w:rsidR="00F7537E" w:rsidRPr="00BD19A7" w:rsidRDefault="00F7537E" w:rsidP="00F7537E">
            <w:pPr>
              <w:keepNext/>
              <w:keepLines/>
              <w:spacing w:before="0" w:after="0"/>
              <w:jc w:val="center"/>
              <w:rPr>
                <w:rFonts w:ascii="Arial Narrow" w:hAnsi="Arial Narrow"/>
                <w:b/>
                <w:sz w:val="20"/>
                <w:szCs w:val="20"/>
                <w:lang w:val="en-AU" w:eastAsia="en-AU"/>
              </w:rPr>
            </w:pPr>
            <w:r w:rsidRPr="00BD19A7">
              <w:rPr>
                <w:rFonts w:ascii="Arial Narrow" w:hAnsi="Arial Narrow"/>
                <w:b/>
                <w:sz w:val="20"/>
                <w:szCs w:val="20"/>
                <w:lang w:val="en-AU" w:eastAsia="en-AU"/>
              </w:rPr>
              <w:t>Vedolizumab*</w:t>
            </w:r>
          </w:p>
        </w:tc>
        <w:tc>
          <w:tcPr>
            <w:tcW w:w="1257" w:type="pct"/>
            <w:shd w:val="clear" w:color="auto" w:fill="FFFFFF" w:themeFill="background1"/>
          </w:tcPr>
          <w:p w14:paraId="5516144C" w14:textId="77777777" w:rsidR="00F7537E" w:rsidRPr="00BD19A7" w:rsidRDefault="00F7537E" w:rsidP="00F7537E">
            <w:pPr>
              <w:keepNext/>
              <w:keepLines/>
              <w:spacing w:before="0" w:after="0"/>
              <w:jc w:val="center"/>
              <w:rPr>
                <w:rFonts w:ascii="Arial Narrow" w:hAnsi="Arial Narrow"/>
                <w:b/>
                <w:sz w:val="20"/>
                <w:szCs w:val="20"/>
                <w:lang w:val="en-AU" w:eastAsia="en-AU"/>
              </w:rPr>
            </w:pPr>
            <w:r w:rsidRPr="00BD19A7">
              <w:rPr>
                <w:rFonts w:ascii="Arial Narrow" w:hAnsi="Arial Narrow"/>
                <w:b/>
                <w:sz w:val="20"/>
                <w:szCs w:val="20"/>
                <w:lang w:val="en-AU" w:eastAsia="en-AU"/>
              </w:rPr>
              <w:t>Placebo*</w:t>
            </w:r>
          </w:p>
        </w:tc>
        <w:tc>
          <w:tcPr>
            <w:tcW w:w="1388" w:type="pct"/>
            <w:shd w:val="clear" w:color="auto" w:fill="FFFFFF" w:themeFill="background1"/>
          </w:tcPr>
          <w:p w14:paraId="50C33D83" w14:textId="277407ED" w:rsidR="00F7537E" w:rsidRPr="00BD19A7" w:rsidRDefault="006C2530" w:rsidP="00F7537E">
            <w:pPr>
              <w:keepNext/>
              <w:keepLines/>
              <w:jc w:val="center"/>
              <w:rPr>
                <w:rFonts w:ascii="Arial Narrow" w:hAnsi="Arial Narrow"/>
                <w:b/>
                <w:sz w:val="20"/>
                <w:szCs w:val="20"/>
                <w:lang w:val="en-AU"/>
              </w:rPr>
            </w:pPr>
            <w:r w:rsidRPr="00BD19A7">
              <w:rPr>
                <w:rFonts w:ascii="Arial Narrow" w:hAnsi="Arial Narrow"/>
                <w:b/>
                <w:sz w:val="20"/>
                <w:szCs w:val="20"/>
                <w:lang w:val="en-AU"/>
              </w:rPr>
              <w:t xml:space="preserve">Vedolizumab </w:t>
            </w:r>
            <w:r w:rsidR="00F7537E" w:rsidRPr="00BD19A7">
              <w:rPr>
                <w:rFonts w:ascii="Arial Narrow" w:hAnsi="Arial Narrow"/>
                <w:b/>
                <w:sz w:val="20"/>
                <w:szCs w:val="20"/>
                <w:lang w:val="en-AU"/>
              </w:rPr>
              <w:t>Cohort 1  in GEMINI 2 (reference case)</w:t>
            </w:r>
            <w:r w:rsidR="00F7537E" w:rsidRPr="00BD19A7">
              <w:rPr>
                <w:b/>
                <w:vertAlign w:val="superscript"/>
                <w:lang w:val="en-AU"/>
              </w:rPr>
              <w:t>**</w:t>
            </w:r>
          </w:p>
        </w:tc>
      </w:tr>
      <w:tr w:rsidR="00F7537E" w:rsidRPr="00BD19A7" w14:paraId="6FADD4C1" w14:textId="6D1BBD3A" w:rsidTr="00F7537E">
        <w:trPr>
          <w:cnfStyle w:val="000000100000" w:firstRow="0" w:lastRow="0" w:firstColumn="0" w:lastColumn="0" w:oddVBand="0" w:evenVBand="0" w:oddHBand="1" w:evenHBand="0" w:firstRowFirstColumn="0" w:firstRowLastColumn="0" w:lastRowFirstColumn="0" w:lastRowLastColumn="0"/>
        </w:trPr>
        <w:tc>
          <w:tcPr>
            <w:tcW w:w="3612" w:type="pct"/>
            <w:gridSpan w:val="3"/>
            <w:shd w:val="clear" w:color="auto" w:fill="F2F2F2" w:themeFill="background1" w:themeFillShade="F2"/>
          </w:tcPr>
          <w:p w14:paraId="16D11F63" w14:textId="77777777"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Delayed response population</w:t>
            </w:r>
          </w:p>
        </w:tc>
        <w:tc>
          <w:tcPr>
            <w:tcW w:w="1388" w:type="pct"/>
            <w:shd w:val="clear" w:color="auto" w:fill="F2F2F2" w:themeFill="background1" w:themeFillShade="F2"/>
          </w:tcPr>
          <w:p w14:paraId="63227907" w14:textId="3266249E" w:rsidR="00F7537E" w:rsidRPr="00BD19A7" w:rsidRDefault="006C2530" w:rsidP="006C2530">
            <w:pPr>
              <w:keepNext/>
              <w:jc w:val="center"/>
              <w:rPr>
                <w:rFonts w:ascii="Arial Narrow" w:hAnsi="Arial Narrow"/>
                <w:sz w:val="20"/>
                <w:szCs w:val="20"/>
                <w:lang w:val="en-AU"/>
              </w:rPr>
            </w:pPr>
            <w:r w:rsidRPr="00BD19A7">
              <w:rPr>
                <w:rFonts w:ascii="Arial Narrow" w:hAnsi="Arial Narrow"/>
                <w:sz w:val="20"/>
                <w:szCs w:val="20"/>
                <w:lang w:val="en-AU"/>
              </w:rPr>
              <w:t>Measured at week 6</w:t>
            </w:r>
          </w:p>
        </w:tc>
      </w:tr>
      <w:tr w:rsidR="00F7537E" w:rsidRPr="00BD19A7" w14:paraId="748947FF" w14:textId="3C89E5B9" w:rsidTr="00F7537E">
        <w:trPr>
          <w:cnfStyle w:val="000000010000" w:firstRow="0" w:lastRow="0" w:firstColumn="0" w:lastColumn="0" w:oddVBand="0" w:evenVBand="0" w:oddHBand="0" w:evenHBand="1" w:firstRowFirstColumn="0" w:firstRowLastColumn="0" w:lastRowFirstColumn="0" w:lastRowLastColumn="0"/>
        </w:trPr>
        <w:tc>
          <w:tcPr>
            <w:tcW w:w="1253" w:type="pct"/>
          </w:tcPr>
          <w:p w14:paraId="7AC7EE5D" w14:textId="12806EE4"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week 10</w:t>
            </w:r>
          </w:p>
        </w:tc>
        <w:tc>
          <w:tcPr>
            <w:tcW w:w="1102" w:type="pct"/>
          </w:tcPr>
          <w:p w14:paraId="63106889"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351</w:t>
            </w:r>
          </w:p>
          <w:p w14:paraId="07872843" w14:textId="3C7C0BAD"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56 (16.0</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257" w:type="pct"/>
          </w:tcPr>
          <w:p w14:paraId="672059AB"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69</w:t>
            </w:r>
          </w:p>
          <w:p w14:paraId="5F1CF253" w14:textId="149B1A32"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5 (7.2</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8" w:type="pct"/>
            <w:vMerge w:val="restart"/>
          </w:tcPr>
          <w:p w14:paraId="2D17B11E" w14:textId="7ADB60C3" w:rsidR="00F7537E" w:rsidRPr="00BD19A7" w:rsidRDefault="00F7537E" w:rsidP="00F7537E">
            <w:pPr>
              <w:keepNext/>
              <w:jc w:val="center"/>
              <w:rPr>
                <w:rFonts w:ascii="Arial Narrow" w:hAnsi="Arial Narrow"/>
                <w:sz w:val="20"/>
                <w:szCs w:val="20"/>
                <w:lang w:val="en-AU"/>
              </w:rPr>
            </w:pPr>
            <w:r w:rsidRPr="00BD19A7">
              <w:rPr>
                <w:rFonts w:ascii="Arial Narrow" w:hAnsi="Arial Narrow"/>
                <w:sz w:val="20"/>
                <w:szCs w:val="20"/>
                <w:lang w:val="en-AU"/>
              </w:rPr>
              <w:t xml:space="preserve">N = 220 </w:t>
            </w:r>
          </w:p>
          <w:p w14:paraId="680AAF87" w14:textId="099BB8BD" w:rsidR="00F7537E" w:rsidRPr="00BD19A7" w:rsidRDefault="006C2530" w:rsidP="00F7537E">
            <w:pPr>
              <w:keepNext/>
              <w:jc w:val="center"/>
              <w:rPr>
                <w:rFonts w:ascii="Arial Narrow" w:hAnsi="Arial Narrow"/>
                <w:sz w:val="20"/>
                <w:szCs w:val="20"/>
                <w:lang w:val="en-AU"/>
              </w:rPr>
            </w:pPr>
            <w:r w:rsidRPr="00BD19A7">
              <w:rPr>
                <w:rFonts w:ascii="Arial Narrow" w:hAnsi="Arial Narrow"/>
                <w:sz w:val="20"/>
                <w:szCs w:val="20"/>
                <w:lang w:val="en-AU"/>
              </w:rPr>
              <w:t>69</w:t>
            </w:r>
            <w:r w:rsidR="00F7537E" w:rsidRPr="00BD19A7">
              <w:rPr>
                <w:rFonts w:ascii="Arial Narrow" w:hAnsi="Arial Narrow"/>
                <w:sz w:val="20"/>
                <w:szCs w:val="20"/>
                <w:lang w:val="en-AU"/>
              </w:rPr>
              <w:t xml:space="preserve"> (</w:t>
            </w:r>
            <w:r w:rsidRPr="00BD19A7">
              <w:rPr>
                <w:rFonts w:ascii="Arial Narrow" w:hAnsi="Arial Narrow"/>
                <w:sz w:val="20"/>
                <w:szCs w:val="20"/>
                <w:lang w:val="en-AU"/>
              </w:rPr>
              <w:t>31.4</w:t>
            </w:r>
            <w:r w:rsidR="00F24E28" w:rsidRPr="00BD19A7">
              <w:rPr>
                <w:rFonts w:ascii="Arial Narrow" w:hAnsi="Arial Narrow"/>
                <w:sz w:val="20"/>
                <w:szCs w:val="20"/>
                <w:lang w:val="en-AU"/>
              </w:rPr>
              <w:t>%</w:t>
            </w:r>
            <w:r w:rsidR="00F7537E" w:rsidRPr="00BD19A7">
              <w:rPr>
                <w:rFonts w:ascii="Arial Narrow" w:hAnsi="Arial Narrow"/>
                <w:sz w:val="20"/>
                <w:szCs w:val="20"/>
                <w:lang w:val="en-AU"/>
              </w:rPr>
              <w:t>)</w:t>
            </w:r>
          </w:p>
        </w:tc>
      </w:tr>
      <w:tr w:rsidR="00F7537E" w:rsidRPr="00BD19A7" w14:paraId="57B2C829" w14:textId="2F1C3BBB" w:rsidTr="00BD19A7">
        <w:trPr>
          <w:cnfStyle w:val="000000100000" w:firstRow="0" w:lastRow="0" w:firstColumn="0" w:lastColumn="0" w:oddVBand="0" w:evenVBand="0" w:oddHBand="1" w:evenHBand="0" w:firstRowFirstColumn="0" w:firstRowLastColumn="0" w:lastRowFirstColumn="0" w:lastRowLastColumn="0"/>
        </w:trPr>
        <w:tc>
          <w:tcPr>
            <w:tcW w:w="1253" w:type="pct"/>
          </w:tcPr>
          <w:p w14:paraId="519BE66A" w14:textId="5ACBFE3F"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week 14</w:t>
            </w:r>
          </w:p>
        </w:tc>
        <w:tc>
          <w:tcPr>
            <w:tcW w:w="1102" w:type="pct"/>
          </w:tcPr>
          <w:p w14:paraId="64E3562F"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351</w:t>
            </w:r>
          </w:p>
          <w:p w14:paraId="006E3593" w14:textId="33445D3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76 (21.7</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257" w:type="pct"/>
          </w:tcPr>
          <w:p w14:paraId="1F09FC7B"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69</w:t>
            </w:r>
          </w:p>
          <w:p w14:paraId="5D27B760" w14:textId="5EB66FF4"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8 (11.6</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8" w:type="pct"/>
            <w:vMerge/>
            <w:tcBorders>
              <w:bottom w:val="single" w:sz="4" w:space="0" w:color="auto"/>
            </w:tcBorders>
          </w:tcPr>
          <w:p w14:paraId="08BAD87D" w14:textId="77777777" w:rsidR="00F7537E" w:rsidRPr="00BD19A7" w:rsidRDefault="00F7537E" w:rsidP="00F7537E">
            <w:pPr>
              <w:keepNext/>
              <w:jc w:val="center"/>
              <w:rPr>
                <w:rFonts w:ascii="Arial Narrow" w:hAnsi="Arial Narrow"/>
                <w:sz w:val="20"/>
                <w:szCs w:val="20"/>
                <w:lang w:val="en-AU"/>
              </w:rPr>
            </w:pPr>
          </w:p>
        </w:tc>
      </w:tr>
      <w:tr w:rsidR="00F7537E" w:rsidRPr="00BD19A7" w14:paraId="54B3217E" w14:textId="030FED2F" w:rsidTr="00BD19A7">
        <w:trPr>
          <w:cnfStyle w:val="000000010000" w:firstRow="0" w:lastRow="0" w:firstColumn="0" w:lastColumn="0" w:oddVBand="0" w:evenVBand="0" w:oddHBand="0" w:evenHBand="1" w:firstRowFirstColumn="0" w:firstRowLastColumn="0" w:lastRowFirstColumn="0" w:lastRowLastColumn="0"/>
        </w:trPr>
        <w:tc>
          <w:tcPr>
            <w:tcW w:w="3612" w:type="pct"/>
            <w:gridSpan w:val="3"/>
            <w:shd w:val="clear" w:color="auto" w:fill="F2F2F2" w:themeFill="background1" w:themeFillShade="F2"/>
          </w:tcPr>
          <w:p w14:paraId="00B5ACCF" w14:textId="77777777"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Prior TNF</w:t>
            </w:r>
            <w:r w:rsidRPr="00BD19A7">
              <w:rPr>
                <w:rFonts w:ascii="Arial Narrow" w:hAnsi="Arial Narrow" w:cstheme="minorHAnsi"/>
                <w:sz w:val="20"/>
                <w:szCs w:val="20"/>
                <w:lang w:val="en-AU"/>
              </w:rPr>
              <w:t>α</w:t>
            </w:r>
            <w:r w:rsidRPr="00BD19A7">
              <w:rPr>
                <w:rFonts w:ascii="Arial Narrow" w:hAnsi="Arial Narrow"/>
                <w:sz w:val="20"/>
                <w:szCs w:val="20"/>
                <w:lang w:val="en-AU"/>
              </w:rPr>
              <w:t xml:space="preserve"> antagonist failure</w:t>
            </w:r>
          </w:p>
        </w:tc>
        <w:tc>
          <w:tcPr>
            <w:tcW w:w="1388" w:type="pct"/>
            <w:tcBorders>
              <w:bottom w:val="nil"/>
            </w:tcBorders>
            <w:shd w:val="clear" w:color="auto" w:fill="D9D9D9" w:themeFill="background1" w:themeFillShade="D9"/>
          </w:tcPr>
          <w:p w14:paraId="2BD417D2" w14:textId="77777777" w:rsidR="00F7537E" w:rsidRPr="00BD19A7" w:rsidRDefault="00F7537E" w:rsidP="00F7537E">
            <w:pPr>
              <w:keepNext/>
              <w:rPr>
                <w:rFonts w:ascii="Arial Narrow" w:hAnsi="Arial Narrow"/>
                <w:sz w:val="20"/>
                <w:szCs w:val="20"/>
                <w:lang w:val="en-AU"/>
              </w:rPr>
            </w:pPr>
          </w:p>
        </w:tc>
      </w:tr>
      <w:tr w:rsidR="00F7537E" w:rsidRPr="00BD19A7" w14:paraId="2DF9ED76" w14:textId="02A2AA23" w:rsidTr="00BD19A7">
        <w:trPr>
          <w:cnfStyle w:val="000000100000" w:firstRow="0" w:lastRow="0" w:firstColumn="0" w:lastColumn="0" w:oddVBand="0" w:evenVBand="0" w:oddHBand="1" w:evenHBand="0" w:firstRowFirstColumn="0" w:firstRowLastColumn="0" w:lastRowFirstColumn="0" w:lastRowLastColumn="0"/>
        </w:trPr>
        <w:tc>
          <w:tcPr>
            <w:tcW w:w="1253" w:type="pct"/>
          </w:tcPr>
          <w:p w14:paraId="7718C3A0" w14:textId="2B0D1D4B"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week 10</w:t>
            </w:r>
          </w:p>
        </w:tc>
        <w:tc>
          <w:tcPr>
            <w:tcW w:w="1102" w:type="pct"/>
          </w:tcPr>
          <w:p w14:paraId="0C15C92A"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234</w:t>
            </w:r>
          </w:p>
          <w:p w14:paraId="3AD3036F" w14:textId="360AD392"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38 (16.2</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257" w:type="pct"/>
          </w:tcPr>
          <w:p w14:paraId="4C37957C"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31</w:t>
            </w:r>
          </w:p>
          <w:p w14:paraId="0B6E9FED" w14:textId="1FBAEC6A"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3 (9.7</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8" w:type="pct"/>
            <w:tcBorders>
              <w:top w:val="nil"/>
              <w:bottom w:val="nil"/>
            </w:tcBorders>
            <w:shd w:val="clear" w:color="auto" w:fill="D9D9D9" w:themeFill="background1" w:themeFillShade="D9"/>
          </w:tcPr>
          <w:p w14:paraId="4C4E4650" w14:textId="77777777" w:rsidR="00F7537E" w:rsidRPr="00BD19A7" w:rsidRDefault="00F7537E" w:rsidP="00F7537E">
            <w:pPr>
              <w:keepNext/>
              <w:jc w:val="center"/>
              <w:rPr>
                <w:rFonts w:ascii="Arial Narrow" w:hAnsi="Arial Narrow"/>
                <w:sz w:val="20"/>
                <w:szCs w:val="20"/>
                <w:lang w:val="en-AU"/>
              </w:rPr>
            </w:pPr>
          </w:p>
        </w:tc>
      </w:tr>
      <w:tr w:rsidR="00F7537E" w:rsidRPr="00BD19A7" w14:paraId="6249FF76" w14:textId="16FE4D2A" w:rsidTr="00BD19A7">
        <w:trPr>
          <w:cnfStyle w:val="000000010000" w:firstRow="0" w:lastRow="0" w:firstColumn="0" w:lastColumn="0" w:oddVBand="0" w:evenVBand="0" w:oddHBand="0" w:evenHBand="1" w:firstRowFirstColumn="0" w:firstRowLastColumn="0" w:lastRowFirstColumn="0" w:lastRowLastColumn="0"/>
        </w:trPr>
        <w:tc>
          <w:tcPr>
            <w:tcW w:w="1253" w:type="pct"/>
          </w:tcPr>
          <w:p w14:paraId="6817A1B4" w14:textId="1FE7779B"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week 14</w:t>
            </w:r>
          </w:p>
        </w:tc>
        <w:tc>
          <w:tcPr>
            <w:tcW w:w="1102" w:type="pct"/>
          </w:tcPr>
          <w:p w14:paraId="6DA36E6C"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234</w:t>
            </w:r>
          </w:p>
          <w:p w14:paraId="31D024FD" w14:textId="6B1165FD"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40 (17.1</w:t>
            </w:r>
            <w:r w:rsidR="00F24E28" w:rsidRPr="00BD19A7">
              <w:rPr>
                <w:rFonts w:ascii="Arial Narrow" w:hAnsi="Arial Narrow"/>
                <w:sz w:val="20"/>
                <w:szCs w:val="20"/>
                <w:lang w:val="en-AU"/>
              </w:rPr>
              <w:t xml:space="preserve"> %</w:t>
            </w:r>
            <w:r w:rsidRPr="00BD19A7">
              <w:rPr>
                <w:rFonts w:ascii="Arial Narrow" w:hAnsi="Arial Narrow"/>
                <w:sz w:val="20"/>
                <w:szCs w:val="20"/>
                <w:lang w:val="en-AU"/>
              </w:rPr>
              <w:t>)</w:t>
            </w:r>
          </w:p>
        </w:tc>
        <w:tc>
          <w:tcPr>
            <w:tcW w:w="1257" w:type="pct"/>
          </w:tcPr>
          <w:p w14:paraId="1927CC37"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31</w:t>
            </w:r>
          </w:p>
          <w:p w14:paraId="26D20657" w14:textId="12702D3C"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6 (19.4</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8" w:type="pct"/>
            <w:tcBorders>
              <w:top w:val="nil"/>
              <w:bottom w:val="nil"/>
            </w:tcBorders>
            <w:shd w:val="clear" w:color="auto" w:fill="D9D9D9" w:themeFill="background1" w:themeFillShade="D9"/>
          </w:tcPr>
          <w:p w14:paraId="133B3FA4" w14:textId="77777777" w:rsidR="00F7537E" w:rsidRPr="00BD19A7" w:rsidRDefault="00F7537E" w:rsidP="00F7537E">
            <w:pPr>
              <w:keepNext/>
              <w:jc w:val="center"/>
              <w:rPr>
                <w:rFonts w:ascii="Arial Narrow" w:hAnsi="Arial Narrow"/>
                <w:sz w:val="20"/>
                <w:szCs w:val="20"/>
                <w:lang w:val="en-AU"/>
              </w:rPr>
            </w:pPr>
          </w:p>
        </w:tc>
      </w:tr>
      <w:tr w:rsidR="00F7537E" w:rsidRPr="00BD19A7" w14:paraId="0CE823A0" w14:textId="63052ED9" w:rsidTr="00BD19A7">
        <w:trPr>
          <w:cnfStyle w:val="000000100000" w:firstRow="0" w:lastRow="0" w:firstColumn="0" w:lastColumn="0" w:oddVBand="0" w:evenVBand="0" w:oddHBand="1" w:evenHBand="0" w:firstRowFirstColumn="0" w:firstRowLastColumn="0" w:lastRowFirstColumn="0" w:lastRowLastColumn="0"/>
        </w:trPr>
        <w:tc>
          <w:tcPr>
            <w:tcW w:w="3612" w:type="pct"/>
            <w:gridSpan w:val="3"/>
            <w:shd w:val="clear" w:color="auto" w:fill="F2F2F2" w:themeFill="background1" w:themeFillShade="F2"/>
          </w:tcPr>
          <w:p w14:paraId="4BDA3320" w14:textId="77777777"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No TNF</w:t>
            </w:r>
            <w:bookmarkStart w:id="24" w:name="_Hlk156976086"/>
            <w:r w:rsidRPr="00BD19A7">
              <w:rPr>
                <w:rFonts w:ascii="Arial Narrow" w:hAnsi="Arial Narrow"/>
                <w:sz w:val="20"/>
                <w:szCs w:val="20"/>
                <w:lang w:val="en-AU"/>
              </w:rPr>
              <w:t>α</w:t>
            </w:r>
            <w:bookmarkEnd w:id="24"/>
            <w:r w:rsidRPr="00BD19A7">
              <w:rPr>
                <w:rFonts w:ascii="Arial Narrow" w:hAnsi="Arial Narrow"/>
                <w:sz w:val="20"/>
                <w:szCs w:val="20"/>
                <w:lang w:val="en-AU"/>
              </w:rPr>
              <w:t xml:space="preserve"> antagonist failure</w:t>
            </w:r>
          </w:p>
        </w:tc>
        <w:tc>
          <w:tcPr>
            <w:tcW w:w="1388" w:type="pct"/>
            <w:tcBorders>
              <w:top w:val="nil"/>
              <w:bottom w:val="nil"/>
            </w:tcBorders>
            <w:shd w:val="clear" w:color="auto" w:fill="D9D9D9" w:themeFill="background1" w:themeFillShade="D9"/>
          </w:tcPr>
          <w:p w14:paraId="40FF00BB" w14:textId="77777777" w:rsidR="00F7537E" w:rsidRPr="00BD19A7" w:rsidRDefault="00F7537E" w:rsidP="00F7537E">
            <w:pPr>
              <w:keepNext/>
              <w:rPr>
                <w:rFonts w:ascii="Arial Narrow" w:hAnsi="Arial Narrow"/>
                <w:sz w:val="20"/>
                <w:szCs w:val="20"/>
                <w:lang w:val="en-AU"/>
              </w:rPr>
            </w:pPr>
          </w:p>
        </w:tc>
      </w:tr>
      <w:tr w:rsidR="00F7537E" w:rsidRPr="00BD19A7" w14:paraId="44E27DA4" w14:textId="11CBE88B" w:rsidTr="00BD19A7">
        <w:trPr>
          <w:cnfStyle w:val="000000010000" w:firstRow="0" w:lastRow="0" w:firstColumn="0" w:lastColumn="0" w:oddVBand="0" w:evenVBand="0" w:oddHBand="0" w:evenHBand="1" w:firstRowFirstColumn="0" w:firstRowLastColumn="0" w:lastRowFirstColumn="0" w:lastRowLastColumn="0"/>
        </w:trPr>
        <w:tc>
          <w:tcPr>
            <w:tcW w:w="1253" w:type="pct"/>
          </w:tcPr>
          <w:p w14:paraId="40AB722A" w14:textId="05A43132"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week 10</w:t>
            </w:r>
          </w:p>
        </w:tc>
        <w:tc>
          <w:tcPr>
            <w:tcW w:w="1102" w:type="pct"/>
          </w:tcPr>
          <w:p w14:paraId="0C478236"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117</w:t>
            </w:r>
          </w:p>
          <w:p w14:paraId="2E5B1A00" w14:textId="603A4D0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18 (15.4</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257" w:type="pct"/>
          </w:tcPr>
          <w:p w14:paraId="7801374E"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38</w:t>
            </w:r>
          </w:p>
          <w:p w14:paraId="61B3AC36" w14:textId="0DBA742C"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2 (5.3</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8" w:type="pct"/>
            <w:tcBorders>
              <w:top w:val="nil"/>
              <w:bottom w:val="nil"/>
            </w:tcBorders>
            <w:shd w:val="clear" w:color="auto" w:fill="D9D9D9" w:themeFill="background1" w:themeFillShade="D9"/>
          </w:tcPr>
          <w:p w14:paraId="4C6D1DBE" w14:textId="77777777" w:rsidR="00F7537E" w:rsidRPr="00BD19A7" w:rsidRDefault="00F7537E" w:rsidP="00F7537E">
            <w:pPr>
              <w:keepNext/>
              <w:jc w:val="center"/>
              <w:rPr>
                <w:rFonts w:ascii="Arial Narrow" w:hAnsi="Arial Narrow"/>
                <w:sz w:val="20"/>
                <w:szCs w:val="20"/>
                <w:lang w:val="en-AU"/>
              </w:rPr>
            </w:pPr>
          </w:p>
        </w:tc>
      </w:tr>
      <w:tr w:rsidR="00F7537E" w:rsidRPr="00BD19A7" w14:paraId="5229EA2F" w14:textId="0F774AD8" w:rsidTr="00BD19A7">
        <w:trPr>
          <w:cnfStyle w:val="000000100000" w:firstRow="0" w:lastRow="0" w:firstColumn="0" w:lastColumn="0" w:oddVBand="0" w:evenVBand="0" w:oddHBand="1" w:evenHBand="0" w:firstRowFirstColumn="0" w:firstRowLastColumn="0" w:lastRowFirstColumn="0" w:lastRowLastColumn="0"/>
        </w:trPr>
        <w:tc>
          <w:tcPr>
            <w:tcW w:w="1253" w:type="pct"/>
          </w:tcPr>
          <w:p w14:paraId="3FFAD73E" w14:textId="24743B4A" w:rsidR="00F7537E" w:rsidRPr="00BD19A7" w:rsidRDefault="00F7537E" w:rsidP="00F7537E">
            <w:pPr>
              <w:keepNext/>
              <w:spacing w:before="0" w:after="0"/>
              <w:rPr>
                <w:rFonts w:ascii="Arial Narrow" w:hAnsi="Arial Narrow"/>
                <w:sz w:val="20"/>
                <w:szCs w:val="20"/>
                <w:lang w:val="en-AU"/>
              </w:rPr>
            </w:pPr>
            <w:r w:rsidRPr="00BD19A7">
              <w:rPr>
                <w:rFonts w:ascii="Arial Narrow" w:hAnsi="Arial Narrow"/>
                <w:sz w:val="20"/>
                <w:szCs w:val="20"/>
                <w:lang w:val="en-AU"/>
              </w:rPr>
              <w:t>week 14</w:t>
            </w:r>
          </w:p>
        </w:tc>
        <w:tc>
          <w:tcPr>
            <w:tcW w:w="1102" w:type="pct"/>
          </w:tcPr>
          <w:p w14:paraId="15203720"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117</w:t>
            </w:r>
          </w:p>
          <w:p w14:paraId="0FEF72B0" w14:textId="41BEBA91"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36 (30.8</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257" w:type="pct"/>
          </w:tcPr>
          <w:p w14:paraId="700F75EB" w14:textId="77777777"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N = 38</w:t>
            </w:r>
          </w:p>
          <w:p w14:paraId="1C2BAA1D" w14:textId="2B05B7A4" w:rsidR="00F7537E" w:rsidRPr="00BD19A7" w:rsidRDefault="00F7537E" w:rsidP="00F7537E">
            <w:pPr>
              <w:keepNext/>
              <w:spacing w:before="0" w:after="0"/>
              <w:jc w:val="center"/>
              <w:rPr>
                <w:rFonts w:ascii="Arial Narrow" w:hAnsi="Arial Narrow"/>
                <w:sz w:val="20"/>
                <w:szCs w:val="20"/>
                <w:lang w:val="en-AU"/>
              </w:rPr>
            </w:pPr>
            <w:r w:rsidRPr="00BD19A7">
              <w:rPr>
                <w:rFonts w:ascii="Arial Narrow" w:hAnsi="Arial Narrow"/>
                <w:sz w:val="20"/>
                <w:szCs w:val="20"/>
                <w:lang w:val="en-AU"/>
              </w:rPr>
              <w:t>2 (5.3</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8" w:type="pct"/>
            <w:tcBorders>
              <w:top w:val="nil"/>
            </w:tcBorders>
            <w:shd w:val="clear" w:color="auto" w:fill="D9D9D9" w:themeFill="background1" w:themeFillShade="D9"/>
          </w:tcPr>
          <w:p w14:paraId="4FF86D5E" w14:textId="77777777" w:rsidR="00F7537E" w:rsidRPr="00BD19A7" w:rsidRDefault="00F7537E" w:rsidP="00F7537E">
            <w:pPr>
              <w:keepNext/>
              <w:jc w:val="center"/>
              <w:rPr>
                <w:rFonts w:ascii="Arial Narrow" w:hAnsi="Arial Narrow"/>
                <w:sz w:val="20"/>
                <w:szCs w:val="20"/>
                <w:lang w:val="en-AU"/>
              </w:rPr>
            </w:pPr>
          </w:p>
        </w:tc>
      </w:tr>
    </w:tbl>
    <w:p w14:paraId="2D09EA23" w14:textId="77777777" w:rsidR="00045878" w:rsidRPr="00BD19A7" w:rsidRDefault="00045878" w:rsidP="00045878">
      <w:pPr>
        <w:pStyle w:val="BodyText"/>
        <w:keepNext/>
        <w:rPr>
          <w:rFonts w:ascii="Arial Narrow" w:hAnsi="Arial Narrow"/>
          <w:sz w:val="18"/>
          <w:szCs w:val="18"/>
        </w:rPr>
      </w:pPr>
      <w:r w:rsidRPr="00BD19A7">
        <w:rPr>
          <w:rFonts w:ascii="Arial Narrow" w:hAnsi="Arial Narrow"/>
          <w:sz w:val="18"/>
          <w:szCs w:val="18"/>
        </w:rPr>
        <w:t>Source: Submission main body p12</w:t>
      </w:r>
    </w:p>
    <w:p w14:paraId="70680B1E" w14:textId="0A0FB44C" w:rsidR="00045878" w:rsidRPr="00BD19A7" w:rsidRDefault="00045878" w:rsidP="00045878">
      <w:pPr>
        <w:pStyle w:val="BodyText"/>
        <w:keepNext/>
        <w:spacing w:after="120"/>
        <w:contextualSpacing/>
        <w:rPr>
          <w:rFonts w:ascii="Arial Narrow" w:hAnsi="Arial Narrow"/>
          <w:sz w:val="18"/>
          <w:szCs w:val="18"/>
        </w:rPr>
      </w:pPr>
      <w:r w:rsidRPr="00BD19A7">
        <w:rPr>
          <w:rFonts w:ascii="Arial Narrow" w:hAnsi="Arial Narrow"/>
          <w:sz w:val="18"/>
          <w:szCs w:val="18"/>
        </w:rPr>
        <w:t xml:space="preserve">*Patients who had not achieved a response at </w:t>
      </w:r>
      <w:r w:rsidR="00732FCE" w:rsidRPr="00BD19A7">
        <w:rPr>
          <w:rFonts w:ascii="Arial Narrow" w:hAnsi="Arial Narrow"/>
          <w:sz w:val="18"/>
          <w:szCs w:val="18"/>
        </w:rPr>
        <w:t>week</w:t>
      </w:r>
      <w:r w:rsidRPr="00BD19A7">
        <w:rPr>
          <w:rFonts w:ascii="Arial Narrow" w:hAnsi="Arial Narrow"/>
          <w:sz w:val="18"/>
          <w:szCs w:val="18"/>
        </w:rPr>
        <w:t xml:space="preserve"> 6 to their respective treatments</w:t>
      </w:r>
      <w:r w:rsidR="001771AE" w:rsidRPr="00BD19A7">
        <w:rPr>
          <w:rFonts w:ascii="Arial Narrow" w:hAnsi="Arial Narrow"/>
          <w:sz w:val="18"/>
          <w:szCs w:val="18"/>
        </w:rPr>
        <w:t xml:space="preserve"> </w:t>
      </w:r>
    </w:p>
    <w:p w14:paraId="6EDAD955" w14:textId="1408E7F9" w:rsidR="00F7537E" w:rsidRPr="00BD19A7" w:rsidRDefault="00F7537E" w:rsidP="00D05FC3">
      <w:pPr>
        <w:pStyle w:val="BodyText"/>
        <w:spacing w:after="120"/>
        <w:rPr>
          <w:rFonts w:ascii="Arial Narrow" w:hAnsi="Arial Narrow"/>
          <w:sz w:val="18"/>
          <w:szCs w:val="18"/>
        </w:rPr>
      </w:pPr>
      <w:r w:rsidRPr="00BD19A7">
        <w:rPr>
          <w:rFonts w:ascii="Arial Narrow" w:hAnsi="Arial Narrow"/>
          <w:sz w:val="18"/>
          <w:szCs w:val="18"/>
        </w:rPr>
        <w:t>**Figure 1A from Sandborn et al 2013.</w:t>
      </w:r>
    </w:p>
    <w:p w14:paraId="028A4338" w14:textId="33C6E7CE" w:rsidR="000E3C13" w:rsidRPr="00BD19A7" w:rsidRDefault="00045878" w:rsidP="00045878">
      <w:pPr>
        <w:pStyle w:val="3-BodyText"/>
      </w:pPr>
      <w:r w:rsidRPr="00BD19A7">
        <w:t>The</w:t>
      </w:r>
      <w:r w:rsidR="00B202C2" w:rsidRPr="00BD19A7">
        <w:t xml:space="preserve"> submission presented</w:t>
      </w:r>
      <w:r w:rsidRPr="00BD19A7">
        <w:t xml:space="preserve"> corresponding results for clinical remission (CDAI &lt; 150) for the delayed response population </w:t>
      </w:r>
      <w:r w:rsidR="006C2530" w:rsidRPr="00BD19A7">
        <w:t>(</w:t>
      </w:r>
      <w:r w:rsidRPr="00BD19A7">
        <w:t>presented in</w:t>
      </w:r>
      <w:r w:rsidR="007741F1" w:rsidRPr="00BD19A7">
        <w:t xml:space="preserve"> </w:t>
      </w:r>
      <w:r w:rsidR="007741F1" w:rsidRPr="00BD19A7">
        <w:fldChar w:fldCharType="begin" w:fldLock="1"/>
      </w:r>
      <w:r w:rsidR="007741F1" w:rsidRPr="00BD19A7">
        <w:instrText xml:space="preserve"> REF _Ref155860431 \h </w:instrText>
      </w:r>
      <w:r w:rsidR="007741F1" w:rsidRPr="00BD19A7">
        <w:fldChar w:fldCharType="separate"/>
      </w:r>
      <w:r w:rsidR="00A008BF" w:rsidRPr="00BD19A7" w:rsidDel="00A56DFE">
        <w:t>Table 3</w:t>
      </w:r>
      <w:r w:rsidR="007741F1" w:rsidRPr="00BD19A7">
        <w:fldChar w:fldCharType="end"/>
      </w:r>
      <w:r w:rsidR="006C2530" w:rsidRPr="00BD19A7">
        <w:t>)</w:t>
      </w:r>
      <w:r w:rsidRPr="00BD19A7">
        <w:t>.</w:t>
      </w:r>
    </w:p>
    <w:p w14:paraId="24DA6238" w14:textId="1AD04E11" w:rsidR="000E3C13" w:rsidRPr="00BD19A7" w:rsidRDefault="00B202C2" w:rsidP="00045878">
      <w:pPr>
        <w:pStyle w:val="3-BodyText"/>
      </w:pPr>
      <w:r w:rsidRPr="00BD19A7">
        <w:t>The submission stated a</w:t>
      </w:r>
      <w:r w:rsidR="00045878" w:rsidRPr="00BD19A7">
        <w:t xml:space="preserve">n additional dose of vedolizumab at </w:t>
      </w:r>
      <w:r w:rsidR="00732FCE" w:rsidRPr="00BD19A7">
        <w:t>week</w:t>
      </w:r>
      <w:r w:rsidR="00045878" w:rsidRPr="00BD19A7">
        <w:t xml:space="preserve"> 10 increased the proportion of patients who achieved clinical remission to 10.5% at </w:t>
      </w:r>
      <w:r w:rsidR="00732FCE" w:rsidRPr="00BD19A7">
        <w:t>week</w:t>
      </w:r>
      <w:r w:rsidR="00045878" w:rsidRPr="00BD19A7">
        <w:t xml:space="preserve"> 14. The clinical remission rate among placebo-treated subjects was 4.3% at </w:t>
      </w:r>
      <w:r w:rsidR="00732FCE" w:rsidRPr="00BD19A7">
        <w:t>week</w:t>
      </w:r>
      <w:r w:rsidR="00045878" w:rsidRPr="00BD19A7">
        <w:t xml:space="preserve"> 10 and 10.1% at </w:t>
      </w:r>
      <w:r w:rsidR="00732FCE" w:rsidRPr="00BD19A7">
        <w:t>week</w:t>
      </w:r>
      <w:r w:rsidR="00045878" w:rsidRPr="00BD19A7">
        <w:t xml:space="preserve"> 14. </w:t>
      </w:r>
      <w:r w:rsidR="00ED7AC7" w:rsidRPr="00BD19A7">
        <w:t xml:space="preserve">Patient numbers were small making percentage comparison less reliable. However, </w:t>
      </w:r>
      <w:r w:rsidR="00D80532" w:rsidRPr="00BD19A7">
        <w:t xml:space="preserve">the evaluation </w:t>
      </w:r>
      <w:r w:rsidR="00A953B2" w:rsidRPr="00BD19A7">
        <w:t>noted</w:t>
      </w:r>
      <w:r w:rsidR="00D80532" w:rsidRPr="00BD19A7">
        <w:t xml:space="preserve"> that </w:t>
      </w:r>
      <w:r w:rsidR="000A0EF7" w:rsidRPr="00BD19A7">
        <w:t>the increase in</w:t>
      </w:r>
      <w:r w:rsidR="00ED7AC7" w:rsidRPr="00BD19A7">
        <w:t xml:space="preserve"> percentage</w:t>
      </w:r>
      <w:r w:rsidR="000A0EF7" w:rsidRPr="00BD19A7">
        <w:t xml:space="preserve"> of patients achieving clinical remission between weeks 10 and 14 was larger in the placebo group compared to those that received the week 10 dose. </w:t>
      </w:r>
      <w:r w:rsidR="00ED7AC7" w:rsidRPr="00BD19A7">
        <w:t>A</w:t>
      </w:r>
      <w:r w:rsidR="000A0EF7" w:rsidRPr="00BD19A7">
        <w:t xml:space="preserve">s outlined in Table 3, this was largely driven by low response in the prior </w:t>
      </w:r>
      <w:r w:rsidR="00ED7AC7" w:rsidRPr="00BD19A7">
        <w:t xml:space="preserve">TNFα </w:t>
      </w:r>
      <w:r w:rsidR="000A0EF7" w:rsidRPr="00BD19A7">
        <w:t xml:space="preserve">antagonist failure subgroup, compared to the </w:t>
      </w:r>
      <w:r w:rsidR="00ED7AC7" w:rsidRPr="00BD19A7">
        <w:t xml:space="preserve">TNFα </w:t>
      </w:r>
      <w:r w:rsidR="000A0EF7" w:rsidRPr="00BD19A7">
        <w:t>antagonist naïve group</w:t>
      </w:r>
      <w:r w:rsidR="00ED7AC7" w:rsidRPr="00BD19A7">
        <w:t xml:space="preserve"> where a greater response rate was seen</w:t>
      </w:r>
      <w:r w:rsidR="000A0EF7" w:rsidRPr="00BD19A7">
        <w:t xml:space="preserve">. </w:t>
      </w:r>
    </w:p>
    <w:p w14:paraId="4C549EB8" w14:textId="57D0491C" w:rsidR="000E3C13" w:rsidRPr="00BD19A7" w:rsidRDefault="00045878" w:rsidP="00045878">
      <w:pPr>
        <w:pStyle w:val="3-BodyText"/>
      </w:pPr>
      <w:r w:rsidRPr="00BD19A7">
        <w:t>The</w:t>
      </w:r>
      <w:r w:rsidR="00B202C2" w:rsidRPr="00BD19A7">
        <w:t xml:space="preserve"> submission claimed the</w:t>
      </w:r>
      <w:r w:rsidRPr="00BD19A7">
        <w:t xml:space="preserve"> proportions of patients who achieved clinical remission also increased with additional vedolizumab doses in the subgroup of patients who had failed TNFα antagonist failures from </w:t>
      </w:r>
      <w:r w:rsidR="00732FCE" w:rsidRPr="00BD19A7">
        <w:t>week</w:t>
      </w:r>
      <w:r w:rsidRPr="00BD19A7">
        <w:t xml:space="preserve"> 10 (5.1%) to </w:t>
      </w:r>
      <w:r w:rsidR="00732FCE" w:rsidRPr="00BD19A7">
        <w:t>week</w:t>
      </w:r>
      <w:r w:rsidRPr="00BD19A7">
        <w:t xml:space="preserve"> 14 (6.4%) as well as those who had not failed (</w:t>
      </w:r>
      <w:r w:rsidR="00732FCE" w:rsidRPr="00BD19A7">
        <w:t>week</w:t>
      </w:r>
      <w:r w:rsidRPr="00BD19A7">
        <w:t xml:space="preserve"> 10: 10.3%, </w:t>
      </w:r>
      <w:r w:rsidR="00732FCE" w:rsidRPr="00BD19A7">
        <w:t>week</w:t>
      </w:r>
      <w:r w:rsidRPr="00BD19A7">
        <w:t xml:space="preserve"> 14: 18.8%). </w:t>
      </w:r>
    </w:p>
    <w:p w14:paraId="627F65E6" w14:textId="4B6CEA20" w:rsidR="00045878" w:rsidRPr="00BD19A7" w:rsidRDefault="000E3C13" w:rsidP="00045878">
      <w:pPr>
        <w:pStyle w:val="3-BodyText"/>
      </w:pPr>
      <w:r w:rsidRPr="00BD19A7">
        <w:t>T</w:t>
      </w:r>
      <w:r w:rsidR="00045878" w:rsidRPr="00BD19A7">
        <w:t xml:space="preserve">he </w:t>
      </w:r>
      <w:r w:rsidR="00FA0998" w:rsidRPr="00BD19A7">
        <w:t xml:space="preserve">submission stated the </w:t>
      </w:r>
      <w:r w:rsidR="00045878" w:rsidRPr="00BD19A7">
        <w:t>placebo arm</w:t>
      </w:r>
      <w:r w:rsidR="00924F15" w:rsidRPr="00BD19A7">
        <w:t>s</w:t>
      </w:r>
      <w:r w:rsidR="00045878" w:rsidRPr="00BD19A7">
        <w:t xml:space="preserve"> in the TNFα antagonist subgroups </w:t>
      </w:r>
      <w:r w:rsidR="00FA0998" w:rsidRPr="00BD19A7">
        <w:t>were</w:t>
      </w:r>
      <w:r w:rsidR="00045878" w:rsidRPr="00BD19A7">
        <w:t xml:space="preserve"> small and hence the estimates of response less reliable than in the overall delayed response population. </w:t>
      </w:r>
    </w:p>
    <w:p w14:paraId="4ABBE202" w14:textId="42EBD897" w:rsidR="00F04CE9" w:rsidRPr="00BD19A7" w:rsidRDefault="00F04CE9" w:rsidP="00F04CE9">
      <w:pPr>
        <w:pStyle w:val="Caption"/>
      </w:pPr>
      <w:bookmarkStart w:id="25" w:name="_Ref155860431"/>
      <w:r w:rsidRPr="00BD19A7">
        <w:lastRenderedPageBreak/>
        <w:t xml:space="preserve">Table </w:t>
      </w:r>
      <w:r w:rsidR="007B0FCD">
        <w:fldChar w:fldCharType="begin" w:fldLock="1"/>
      </w:r>
      <w:r w:rsidR="007B0FCD">
        <w:instrText xml:space="preserve"> SEQ Table \* ARABIC </w:instrText>
      </w:r>
      <w:r w:rsidR="007B0FCD">
        <w:fldChar w:fldCharType="separate"/>
      </w:r>
      <w:r w:rsidR="00A56DFE">
        <w:rPr>
          <w:noProof/>
        </w:rPr>
        <w:t>3</w:t>
      </w:r>
      <w:r w:rsidR="007B0FCD">
        <w:rPr>
          <w:noProof/>
        </w:rPr>
        <w:fldChar w:fldCharType="end"/>
      </w:r>
      <w:bookmarkEnd w:id="25"/>
      <w:r w:rsidRPr="00BD19A7">
        <w:t>: Clinical remission (CDAI &lt; 150) in the delayed response population</w:t>
      </w:r>
    </w:p>
    <w:tbl>
      <w:tblPr>
        <w:tblStyle w:val="TableHTAsimple"/>
        <w:tblW w:w="5000" w:type="pct"/>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Clinical remission (CDAI &lt; 150) in the delayed response population"/>
      </w:tblPr>
      <w:tblGrid>
        <w:gridCol w:w="2260"/>
        <w:gridCol w:w="2130"/>
        <w:gridCol w:w="2126"/>
        <w:gridCol w:w="2501"/>
      </w:tblGrid>
      <w:tr w:rsidR="0085531C" w:rsidRPr="00BD19A7" w14:paraId="24A4604C" w14:textId="5876F631" w:rsidTr="00F7537E">
        <w:trPr>
          <w:cnfStyle w:val="100000000000" w:firstRow="1" w:lastRow="0" w:firstColumn="0" w:lastColumn="0" w:oddVBand="0" w:evenVBand="0" w:oddHBand="0" w:evenHBand="0" w:firstRowFirstColumn="0" w:firstRowLastColumn="0" w:lastRowFirstColumn="0" w:lastRowLastColumn="0"/>
        </w:trPr>
        <w:tc>
          <w:tcPr>
            <w:tcW w:w="1253" w:type="pct"/>
            <w:shd w:val="clear" w:color="auto" w:fill="FFFFFF" w:themeFill="background1"/>
          </w:tcPr>
          <w:p w14:paraId="4096269B" w14:textId="77777777" w:rsidR="0085531C" w:rsidRPr="00BD19A7" w:rsidRDefault="0085531C" w:rsidP="00F316D5">
            <w:pPr>
              <w:keepNext/>
              <w:keepLines/>
              <w:spacing w:before="0" w:after="0"/>
              <w:rPr>
                <w:rFonts w:ascii="Arial Narrow" w:hAnsi="Arial Narrow"/>
                <w:b/>
                <w:sz w:val="20"/>
                <w:szCs w:val="20"/>
                <w:lang w:val="en-AU" w:eastAsia="en-AU"/>
              </w:rPr>
            </w:pPr>
            <w:bookmarkStart w:id="26" w:name="_Hlk156560275"/>
          </w:p>
        </w:tc>
        <w:tc>
          <w:tcPr>
            <w:tcW w:w="1181" w:type="pct"/>
            <w:shd w:val="clear" w:color="auto" w:fill="FFFFFF" w:themeFill="background1"/>
          </w:tcPr>
          <w:p w14:paraId="5B53D09D" w14:textId="77777777" w:rsidR="0085531C" w:rsidRPr="00BD19A7" w:rsidRDefault="0085531C" w:rsidP="00F316D5">
            <w:pPr>
              <w:keepNext/>
              <w:keepLines/>
              <w:spacing w:before="0" w:after="0"/>
              <w:jc w:val="center"/>
              <w:rPr>
                <w:rFonts w:ascii="Arial Narrow" w:hAnsi="Arial Narrow"/>
                <w:b/>
                <w:sz w:val="20"/>
                <w:szCs w:val="20"/>
                <w:lang w:val="en-AU" w:eastAsia="en-AU"/>
              </w:rPr>
            </w:pPr>
            <w:r w:rsidRPr="00BD19A7">
              <w:rPr>
                <w:rFonts w:ascii="Arial Narrow" w:hAnsi="Arial Narrow"/>
                <w:b/>
                <w:sz w:val="20"/>
                <w:szCs w:val="20"/>
                <w:lang w:val="en-AU" w:eastAsia="en-AU"/>
              </w:rPr>
              <w:t>Vedolizumab*</w:t>
            </w:r>
          </w:p>
        </w:tc>
        <w:tc>
          <w:tcPr>
            <w:tcW w:w="1179" w:type="pct"/>
            <w:shd w:val="clear" w:color="auto" w:fill="FFFFFF" w:themeFill="background1"/>
          </w:tcPr>
          <w:p w14:paraId="3976FBBD" w14:textId="77777777" w:rsidR="0085531C" w:rsidRPr="00BD19A7" w:rsidRDefault="0085531C" w:rsidP="00F316D5">
            <w:pPr>
              <w:keepNext/>
              <w:keepLines/>
              <w:spacing w:before="0" w:after="0"/>
              <w:jc w:val="center"/>
              <w:rPr>
                <w:rFonts w:ascii="Arial Narrow" w:hAnsi="Arial Narrow"/>
                <w:b/>
                <w:sz w:val="20"/>
                <w:szCs w:val="20"/>
                <w:lang w:val="en-AU" w:eastAsia="en-AU"/>
              </w:rPr>
            </w:pPr>
            <w:r w:rsidRPr="00BD19A7">
              <w:rPr>
                <w:rFonts w:ascii="Arial Narrow" w:hAnsi="Arial Narrow"/>
                <w:b/>
                <w:sz w:val="20"/>
                <w:szCs w:val="20"/>
                <w:lang w:val="en-AU" w:eastAsia="en-AU"/>
              </w:rPr>
              <w:t>Placebo*</w:t>
            </w:r>
          </w:p>
        </w:tc>
        <w:tc>
          <w:tcPr>
            <w:tcW w:w="1387" w:type="pct"/>
            <w:shd w:val="clear" w:color="auto" w:fill="FFFFFF" w:themeFill="background1"/>
          </w:tcPr>
          <w:p w14:paraId="66CF928F" w14:textId="6C2049F7" w:rsidR="0085531C" w:rsidRPr="00BD19A7" w:rsidRDefault="006C2530" w:rsidP="00F316D5">
            <w:pPr>
              <w:keepNext/>
              <w:keepLines/>
              <w:jc w:val="center"/>
              <w:rPr>
                <w:rFonts w:ascii="Arial Narrow" w:hAnsi="Arial Narrow"/>
                <w:b/>
                <w:sz w:val="20"/>
                <w:szCs w:val="20"/>
                <w:vertAlign w:val="superscript"/>
                <w:lang w:val="en-AU"/>
              </w:rPr>
            </w:pPr>
            <w:r w:rsidRPr="00BD19A7">
              <w:rPr>
                <w:rFonts w:ascii="Arial Narrow" w:hAnsi="Arial Narrow"/>
                <w:b/>
                <w:sz w:val="20"/>
                <w:szCs w:val="20"/>
                <w:lang w:val="en-AU"/>
              </w:rPr>
              <w:t xml:space="preserve">Vedolizumab </w:t>
            </w:r>
            <w:r w:rsidR="00F7537E" w:rsidRPr="00BD19A7">
              <w:rPr>
                <w:rFonts w:ascii="Arial Narrow" w:hAnsi="Arial Narrow"/>
                <w:b/>
                <w:sz w:val="20"/>
                <w:szCs w:val="20"/>
                <w:lang w:val="en-AU"/>
              </w:rPr>
              <w:t>Cohort 1</w:t>
            </w:r>
            <w:r w:rsidR="0085531C" w:rsidRPr="00BD19A7">
              <w:rPr>
                <w:rFonts w:ascii="Arial Narrow" w:hAnsi="Arial Narrow"/>
                <w:b/>
                <w:sz w:val="20"/>
                <w:szCs w:val="20"/>
                <w:lang w:val="en-AU"/>
              </w:rPr>
              <w:t xml:space="preserve">  in GEMINI 2 (reference case)</w:t>
            </w:r>
            <w:r w:rsidR="00F7537E" w:rsidRPr="00BD19A7">
              <w:rPr>
                <w:b/>
                <w:vertAlign w:val="superscript"/>
                <w:lang w:val="en-AU"/>
              </w:rPr>
              <w:t>**</w:t>
            </w:r>
          </w:p>
        </w:tc>
      </w:tr>
      <w:tr w:rsidR="0085531C" w:rsidRPr="00BD19A7" w14:paraId="48885D60" w14:textId="44367335" w:rsidTr="00F7537E">
        <w:trPr>
          <w:cnfStyle w:val="000000100000" w:firstRow="0" w:lastRow="0" w:firstColumn="0" w:lastColumn="0" w:oddVBand="0" w:evenVBand="0" w:oddHBand="1" w:evenHBand="0" w:firstRowFirstColumn="0" w:firstRowLastColumn="0" w:lastRowFirstColumn="0" w:lastRowLastColumn="0"/>
        </w:trPr>
        <w:tc>
          <w:tcPr>
            <w:tcW w:w="3613" w:type="pct"/>
            <w:gridSpan w:val="3"/>
            <w:shd w:val="clear" w:color="auto" w:fill="F2F2F2" w:themeFill="background1" w:themeFillShade="F2"/>
          </w:tcPr>
          <w:p w14:paraId="510F06E5" w14:textId="77777777"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Delayed response population</w:t>
            </w:r>
          </w:p>
        </w:tc>
        <w:tc>
          <w:tcPr>
            <w:tcW w:w="1387" w:type="pct"/>
            <w:shd w:val="clear" w:color="auto" w:fill="F2F2F2" w:themeFill="background1" w:themeFillShade="F2"/>
          </w:tcPr>
          <w:p w14:paraId="77EE8A5F" w14:textId="2FEE827F" w:rsidR="0085531C" w:rsidRPr="00BD19A7" w:rsidRDefault="006C2530" w:rsidP="006C2530">
            <w:pPr>
              <w:keepNext/>
              <w:jc w:val="center"/>
              <w:rPr>
                <w:rFonts w:ascii="Arial Narrow" w:hAnsi="Arial Narrow"/>
                <w:sz w:val="20"/>
                <w:szCs w:val="20"/>
                <w:lang w:val="en-AU"/>
              </w:rPr>
            </w:pPr>
            <w:r w:rsidRPr="00BD19A7">
              <w:rPr>
                <w:rFonts w:ascii="Arial Narrow" w:hAnsi="Arial Narrow"/>
                <w:sz w:val="20"/>
                <w:szCs w:val="20"/>
                <w:lang w:val="en-AU"/>
              </w:rPr>
              <w:t>Measured at week 6</w:t>
            </w:r>
          </w:p>
        </w:tc>
      </w:tr>
      <w:tr w:rsidR="00F7537E" w:rsidRPr="00BD19A7" w14:paraId="0D55C2FD" w14:textId="153F61B7" w:rsidTr="00F7537E">
        <w:trPr>
          <w:cnfStyle w:val="000000010000" w:firstRow="0" w:lastRow="0" w:firstColumn="0" w:lastColumn="0" w:oddVBand="0" w:evenVBand="0" w:oddHBand="0" w:evenHBand="1" w:firstRowFirstColumn="0" w:firstRowLastColumn="0" w:lastRowFirstColumn="0" w:lastRowLastColumn="0"/>
        </w:trPr>
        <w:tc>
          <w:tcPr>
            <w:tcW w:w="1253" w:type="pct"/>
          </w:tcPr>
          <w:p w14:paraId="32731214" w14:textId="2F93CC44" w:rsidR="00F7537E" w:rsidRPr="00BD19A7" w:rsidRDefault="00F7537E" w:rsidP="00F316D5">
            <w:pPr>
              <w:keepNext/>
              <w:spacing w:before="0" w:after="0"/>
              <w:rPr>
                <w:rFonts w:ascii="Arial Narrow" w:hAnsi="Arial Narrow"/>
                <w:sz w:val="20"/>
                <w:szCs w:val="20"/>
                <w:lang w:val="en-AU"/>
              </w:rPr>
            </w:pPr>
            <w:r w:rsidRPr="00BD19A7">
              <w:rPr>
                <w:rFonts w:ascii="Arial Narrow" w:hAnsi="Arial Narrow"/>
                <w:sz w:val="20"/>
                <w:szCs w:val="20"/>
                <w:lang w:val="en-AU"/>
              </w:rPr>
              <w:t>week 10</w:t>
            </w:r>
          </w:p>
        </w:tc>
        <w:tc>
          <w:tcPr>
            <w:tcW w:w="1181" w:type="pct"/>
          </w:tcPr>
          <w:p w14:paraId="038959D1" w14:textId="77777777"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351</w:t>
            </w:r>
          </w:p>
          <w:p w14:paraId="47476484" w14:textId="76499AD8"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24 (6.8%)</w:t>
            </w:r>
          </w:p>
        </w:tc>
        <w:tc>
          <w:tcPr>
            <w:tcW w:w="1179" w:type="pct"/>
          </w:tcPr>
          <w:p w14:paraId="18E801A2" w14:textId="77777777"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69</w:t>
            </w:r>
          </w:p>
          <w:p w14:paraId="179369FD" w14:textId="0F493FBC"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3 (4.3</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7" w:type="pct"/>
            <w:vMerge w:val="restart"/>
          </w:tcPr>
          <w:p w14:paraId="741BD3C9" w14:textId="621A6C88" w:rsidR="00F7537E" w:rsidRPr="00BD19A7" w:rsidRDefault="00F7537E" w:rsidP="00F7537E">
            <w:pPr>
              <w:keepNext/>
              <w:jc w:val="center"/>
              <w:rPr>
                <w:rFonts w:ascii="Arial Narrow" w:hAnsi="Arial Narrow"/>
                <w:sz w:val="20"/>
                <w:szCs w:val="20"/>
                <w:lang w:val="en-AU"/>
              </w:rPr>
            </w:pPr>
            <w:r w:rsidRPr="00BD19A7">
              <w:rPr>
                <w:rFonts w:ascii="Arial Narrow" w:hAnsi="Arial Narrow"/>
                <w:sz w:val="20"/>
                <w:szCs w:val="20"/>
                <w:lang w:val="en-AU"/>
              </w:rPr>
              <w:t xml:space="preserve">N = 220 </w:t>
            </w:r>
          </w:p>
          <w:p w14:paraId="3B945F0E" w14:textId="2F70A34F" w:rsidR="00F7537E" w:rsidRPr="00BD19A7" w:rsidRDefault="00F7537E" w:rsidP="00F316D5">
            <w:pPr>
              <w:keepNext/>
              <w:jc w:val="center"/>
              <w:rPr>
                <w:rFonts w:ascii="Arial Narrow" w:hAnsi="Arial Narrow"/>
                <w:sz w:val="20"/>
                <w:szCs w:val="20"/>
                <w:lang w:val="en-AU"/>
              </w:rPr>
            </w:pPr>
            <w:r w:rsidRPr="00BD19A7">
              <w:rPr>
                <w:rFonts w:ascii="Arial Narrow" w:hAnsi="Arial Narrow"/>
                <w:sz w:val="20"/>
                <w:szCs w:val="20"/>
                <w:lang w:val="en-AU"/>
              </w:rPr>
              <w:t>32 (14.5</w:t>
            </w:r>
            <w:r w:rsidR="00F24E28" w:rsidRPr="00BD19A7">
              <w:rPr>
                <w:rFonts w:ascii="Arial Narrow" w:hAnsi="Arial Narrow"/>
                <w:sz w:val="20"/>
                <w:szCs w:val="20"/>
                <w:lang w:val="en-AU"/>
              </w:rPr>
              <w:t>%</w:t>
            </w:r>
            <w:r w:rsidRPr="00BD19A7">
              <w:rPr>
                <w:rFonts w:ascii="Arial Narrow" w:hAnsi="Arial Narrow"/>
                <w:sz w:val="20"/>
                <w:szCs w:val="20"/>
                <w:lang w:val="en-AU"/>
              </w:rPr>
              <w:t>)</w:t>
            </w:r>
          </w:p>
        </w:tc>
      </w:tr>
      <w:tr w:rsidR="00F7537E" w:rsidRPr="00BD19A7" w14:paraId="6138754C" w14:textId="460F710E" w:rsidTr="00BD19A7">
        <w:trPr>
          <w:cnfStyle w:val="000000100000" w:firstRow="0" w:lastRow="0" w:firstColumn="0" w:lastColumn="0" w:oddVBand="0" w:evenVBand="0" w:oddHBand="1" w:evenHBand="0" w:firstRowFirstColumn="0" w:firstRowLastColumn="0" w:lastRowFirstColumn="0" w:lastRowLastColumn="0"/>
        </w:trPr>
        <w:tc>
          <w:tcPr>
            <w:tcW w:w="1253" w:type="pct"/>
          </w:tcPr>
          <w:p w14:paraId="2E26209A" w14:textId="08B50A6A" w:rsidR="00F7537E" w:rsidRPr="00BD19A7" w:rsidRDefault="00F7537E" w:rsidP="00F316D5">
            <w:pPr>
              <w:keepNext/>
              <w:spacing w:before="0" w:after="0"/>
              <w:rPr>
                <w:rFonts w:ascii="Arial Narrow" w:hAnsi="Arial Narrow"/>
                <w:sz w:val="20"/>
                <w:szCs w:val="20"/>
                <w:lang w:val="en-AU"/>
              </w:rPr>
            </w:pPr>
            <w:r w:rsidRPr="00BD19A7">
              <w:rPr>
                <w:rFonts w:ascii="Arial Narrow" w:hAnsi="Arial Narrow"/>
                <w:sz w:val="20"/>
                <w:szCs w:val="20"/>
                <w:lang w:val="en-AU"/>
              </w:rPr>
              <w:t>week 14</w:t>
            </w:r>
          </w:p>
        </w:tc>
        <w:tc>
          <w:tcPr>
            <w:tcW w:w="1181" w:type="pct"/>
          </w:tcPr>
          <w:p w14:paraId="07BD92BC" w14:textId="77777777"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351</w:t>
            </w:r>
          </w:p>
          <w:p w14:paraId="0EB2E129" w14:textId="4C479FFD"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37 (10.5</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179" w:type="pct"/>
          </w:tcPr>
          <w:p w14:paraId="7F749178" w14:textId="77777777"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69</w:t>
            </w:r>
          </w:p>
          <w:p w14:paraId="35FDB5E9" w14:textId="769508CD" w:rsidR="00F7537E" w:rsidRPr="00BD19A7" w:rsidRDefault="00F7537E"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7 (10.1</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7" w:type="pct"/>
            <w:vMerge/>
            <w:tcBorders>
              <w:bottom w:val="single" w:sz="4" w:space="0" w:color="auto"/>
            </w:tcBorders>
          </w:tcPr>
          <w:p w14:paraId="5970FF2D" w14:textId="77777777" w:rsidR="00F7537E" w:rsidRPr="00BD19A7" w:rsidRDefault="00F7537E" w:rsidP="00F316D5">
            <w:pPr>
              <w:keepNext/>
              <w:jc w:val="center"/>
              <w:rPr>
                <w:rFonts w:ascii="Arial Narrow" w:hAnsi="Arial Narrow"/>
                <w:sz w:val="20"/>
                <w:szCs w:val="20"/>
                <w:lang w:val="en-AU"/>
              </w:rPr>
            </w:pPr>
          </w:p>
        </w:tc>
      </w:tr>
      <w:tr w:rsidR="0085531C" w:rsidRPr="00BD19A7" w14:paraId="5DDC8ED9" w14:textId="5EFA3A10" w:rsidTr="00BD19A7">
        <w:trPr>
          <w:cnfStyle w:val="000000010000" w:firstRow="0" w:lastRow="0" w:firstColumn="0" w:lastColumn="0" w:oddVBand="0" w:evenVBand="0" w:oddHBand="0" w:evenHBand="1" w:firstRowFirstColumn="0" w:firstRowLastColumn="0" w:lastRowFirstColumn="0" w:lastRowLastColumn="0"/>
        </w:trPr>
        <w:tc>
          <w:tcPr>
            <w:tcW w:w="3613" w:type="pct"/>
            <w:gridSpan w:val="3"/>
            <w:shd w:val="clear" w:color="auto" w:fill="F2F2F2" w:themeFill="background1" w:themeFillShade="F2"/>
          </w:tcPr>
          <w:p w14:paraId="4DF8D3A7" w14:textId="77777777"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Prior TNF</w:t>
            </w:r>
            <w:r w:rsidRPr="00BD19A7">
              <w:rPr>
                <w:rFonts w:ascii="Arial Narrow" w:hAnsi="Arial Narrow" w:cstheme="minorHAnsi"/>
                <w:sz w:val="20"/>
                <w:szCs w:val="20"/>
                <w:lang w:val="en-AU"/>
              </w:rPr>
              <w:t>α</w:t>
            </w:r>
            <w:r w:rsidRPr="00BD19A7">
              <w:rPr>
                <w:rFonts w:ascii="Arial Narrow" w:hAnsi="Arial Narrow"/>
                <w:sz w:val="20"/>
                <w:szCs w:val="20"/>
                <w:lang w:val="en-AU"/>
              </w:rPr>
              <w:t xml:space="preserve"> antagonist failure subgroup</w:t>
            </w:r>
          </w:p>
        </w:tc>
        <w:tc>
          <w:tcPr>
            <w:tcW w:w="1387" w:type="pct"/>
            <w:tcBorders>
              <w:bottom w:val="nil"/>
            </w:tcBorders>
            <w:shd w:val="clear" w:color="auto" w:fill="D9D9D9" w:themeFill="background1" w:themeFillShade="D9"/>
          </w:tcPr>
          <w:p w14:paraId="4092540D" w14:textId="77777777" w:rsidR="0085531C" w:rsidRPr="00BD19A7" w:rsidRDefault="0085531C" w:rsidP="00F316D5">
            <w:pPr>
              <w:keepNext/>
              <w:rPr>
                <w:rFonts w:ascii="Arial Narrow" w:hAnsi="Arial Narrow"/>
                <w:sz w:val="20"/>
                <w:szCs w:val="20"/>
                <w:lang w:val="en-AU"/>
              </w:rPr>
            </w:pPr>
          </w:p>
        </w:tc>
      </w:tr>
      <w:tr w:rsidR="0085531C" w:rsidRPr="00BD19A7" w14:paraId="243DCEBF" w14:textId="48AF4134" w:rsidTr="00BD19A7">
        <w:trPr>
          <w:cnfStyle w:val="000000100000" w:firstRow="0" w:lastRow="0" w:firstColumn="0" w:lastColumn="0" w:oddVBand="0" w:evenVBand="0" w:oddHBand="1" w:evenHBand="0" w:firstRowFirstColumn="0" w:firstRowLastColumn="0" w:lastRowFirstColumn="0" w:lastRowLastColumn="0"/>
        </w:trPr>
        <w:tc>
          <w:tcPr>
            <w:tcW w:w="1253" w:type="pct"/>
          </w:tcPr>
          <w:p w14:paraId="71610B39" w14:textId="29E5B171"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week 10</w:t>
            </w:r>
          </w:p>
        </w:tc>
        <w:tc>
          <w:tcPr>
            <w:tcW w:w="1181" w:type="pct"/>
          </w:tcPr>
          <w:p w14:paraId="32F8753B"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234</w:t>
            </w:r>
          </w:p>
          <w:p w14:paraId="00B62517" w14:textId="437796D5"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12 (5.1</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179" w:type="pct"/>
          </w:tcPr>
          <w:p w14:paraId="66B98FDC"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31</w:t>
            </w:r>
          </w:p>
          <w:p w14:paraId="77D0E713" w14:textId="7FE90AFB"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2 (6.5</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7" w:type="pct"/>
            <w:tcBorders>
              <w:top w:val="nil"/>
              <w:bottom w:val="nil"/>
            </w:tcBorders>
            <w:shd w:val="clear" w:color="auto" w:fill="D9D9D9" w:themeFill="background1" w:themeFillShade="D9"/>
          </w:tcPr>
          <w:p w14:paraId="06653080" w14:textId="77777777" w:rsidR="0085531C" w:rsidRPr="00BD19A7" w:rsidRDefault="0085531C" w:rsidP="00F316D5">
            <w:pPr>
              <w:keepNext/>
              <w:jc w:val="center"/>
              <w:rPr>
                <w:rFonts w:ascii="Arial Narrow" w:hAnsi="Arial Narrow"/>
                <w:sz w:val="20"/>
                <w:szCs w:val="20"/>
                <w:lang w:val="en-AU"/>
              </w:rPr>
            </w:pPr>
          </w:p>
        </w:tc>
      </w:tr>
      <w:tr w:rsidR="0085531C" w:rsidRPr="00BD19A7" w14:paraId="5926B776" w14:textId="73025259" w:rsidTr="00BD19A7">
        <w:trPr>
          <w:cnfStyle w:val="000000010000" w:firstRow="0" w:lastRow="0" w:firstColumn="0" w:lastColumn="0" w:oddVBand="0" w:evenVBand="0" w:oddHBand="0" w:evenHBand="1" w:firstRowFirstColumn="0" w:firstRowLastColumn="0" w:lastRowFirstColumn="0" w:lastRowLastColumn="0"/>
        </w:trPr>
        <w:tc>
          <w:tcPr>
            <w:tcW w:w="1253" w:type="pct"/>
          </w:tcPr>
          <w:p w14:paraId="72313F30" w14:textId="6562C3C7"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week 14</w:t>
            </w:r>
          </w:p>
        </w:tc>
        <w:tc>
          <w:tcPr>
            <w:tcW w:w="1181" w:type="pct"/>
          </w:tcPr>
          <w:p w14:paraId="6652116A"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234</w:t>
            </w:r>
          </w:p>
          <w:p w14:paraId="75730ECF" w14:textId="4C0B60B1"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15 (6.4</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179" w:type="pct"/>
          </w:tcPr>
          <w:p w14:paraId="5A0C0C57"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31</w:t>
            </w:r>
          </w:p>
          <w:p w14:paraId="1B424A3D" w14:textId="6DC46A01"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4 (12.9</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7" w:type="pct"/>
            <w:tcBorders>
              <w:top w:val="nil"/>
              <w:bottom w:val="nil"/>
            </w:tcBorders>
            <w:shd w:val="clear" w:color="auto" w:fill="D9D9D9" w:themeFill="background1" w:themeFillShade="D9"/>
          </w:tcPr>
          <w:p w14:paraId="3B1E14D9" w14:textId="77777777" w:rsidR="0085531C" w:rsidRPr="00BD19A7" w:rsidRDefault="0085531C" w:rsidP="00F316D5">
            <w:pPr>
              <w:keepNext/>
              <w:jc w:val="center"/>
              <w:rPr>
                <w:rFonts w:ascii="Arial Narrow" w:hAnsi="Arial Narrow"/>
                <w:sz w:val="20"/>
                <w:szCs w:val="20"/>
                <w:lang w:val="en-AU"/>
              </w:rPr>
            </w:pPr>
          </w:p>
        </w:tc>
      </w:tr>
      <w:tr w:rsidR="0085531C" w:rsidRPr="00BD19A7" w14:paraId="1DECA607" w14:textId="0C128DB2" w:rsidTr="00BD19A7">
        <w:trPr>
          <w:cnfStyle w:val="000000100000" w:firstRow="0" w:lastRow="0" w:firstColumn="0" w:lastColumn="0" w:oddVBand="0" w:evenVBand="0" w:oddHBand="1" w:evenHBand="0" w:firstRowFirstColumn="0" w:firstRowLastColumn="0" w:lastRowFirstColumn="0" w:lastRowLastColumn="0"/>
        </w:trPr>
        <w:tc>
          <w:tcPr>
            <w:tcW w:w="3613" w:type="pct"/>
            <w:gridSpan w:val="3"/>
            <w:shd w:val="clear" w:color="auto" w:fill="F2F2F2" w:themeFill="background1" w:themeFillShade="F2"/>
          </w:tcPr>
          <w:p w14:paraId="3D5917A3" w14:textId="77777777"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No TNFα antagonist failure subgroup</w:t>
            </w:r>
          </w:p>
        </w:tc>
        <w:tc>
          <w:tcPr>
            <w:tcW w:w="1387" w:type="pct"/>
            <w:tcBorders>
              <w:top w:val="nil"/>
              <w:bottom w:val="nil"/>
            </w:tcBorders>
            <w:shd w:val="clear" w:color="auto" w:fill="D9D9D9" w:themeFill="background1" w:themeFillShade="D9"/>
          </w:tcPr>
          <w:p w14:paraId="3ED2965E" w14:textId="77777777" w:rsidR="0085531C" w:rsidRPr="00BD19A7" w:rsidRDefault="0085531C" w:rsidP="00F316D5">
            <w:pPr>
              <w:keepNext/>
              <w:rPr>
                <w:rFonts w:ascii="Arial Narrow" w:hAnsi="Arial Narrow"/>
                <w:sz w:val="20"/>
                <w:szCs w:val="20"/>
                <w:lang w:val="en-AU"/>
              </w:rPr>
            </w:pPr>
          </w:p>
        </w:tc>
      </w:tr>
      <w:tr w:rsidR="0085531C" w:rsidRPr="00BD19A7" w14:paraId="302C03CD" w14:textId="2FDF7089" w:rsidTr="00BD19A7">
        <w:trPr>
          <w:cnfStyle w:val="000000010000" w:firstRow="0" w:lastRow="0" w:firstColumn="0" w:lastColumn="0" w:oddVBand="0" w:evenVBand="0" w:oddHBand="0" w:evenHBand="1" w:firstRowFirstColumn="0" w:firstRowLastColumn="0" w:lastRowFirstColumn="0" w:lastRowLastColumn="0"/>
        </w:trPr>
        <w:tc>
          <w:tcPr>
            <w:tcW w:w="1253" w:type="pct"/>
          </w:tcPr>
          <w:p w14:paraId="1AAA1DE8" w14:textId="5525CCC6"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week 10</w:t>
            </w:r>
          </w:p>
        </w:tc>
        <w:tc>
          <w:tcPr>
            <w:tcW w:w="1181" w:type="pct"/>
          </w:tcPr>
          <w:p w14:paraId="0B4A0C13"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117</w:t>
            </w:r>
          </w:p>
          <w:p w14:paraId="32BDF09F" w14:textId="35AACA6E"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12 (10.3</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179" w:type="pct"/>
          </w:tcPr>
          <w:p w14:paraId="3BC4D4AF"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38</w:t>
            </w:r>
          </w:p>
          <w:p w14:paraId="09201E03" w14:textId="65358A8C"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1 (2.6</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7" w:type="pct"/>
            <w:tcBorders>
              <w:top w:val="nil"/>
              <w:bottom w:val="nil"/>
            </w:tcBorders>
            <w:shd w:val="clear" w:color="auto" w:fill="D9D9D9" w:themeFill="background1" w:themeFillShade="D9"/>
          </w:tcPr>
          <w:p w14:paraId="29ED1030" w14:textId="77777777" w:rsidR="0085531C" w:rsidRPr="00BD19A7" w:rsidRDefault="0085531C" w:rsidP="00F316D5">
            <w:pPr>
              <w:keepNext/>
              <w:jc w:val="center"/>
              <w:rPr>
                <w:rFonts w:ascii="Arial Narrow" w:hAnsi="Arial Narrow"/>
                <w:sz w:val="20"/>
                <w:szCs w:val="20"/>
                <w:lang w:val="en-AU"/>
              </w:rPr>
            </w:pPr>
          </w:p>
        </w:tc>
      </w:tr>
      <w:tr w:rsidR="0085531C" w:rsidRPr="00BD19A7" w14:paraId="6B75AA39" w14:textId="0692C1CE" w:rsidTr="00BD19A7">
        <w:trPr>
          <w:cnfStyle w:val="000000100000" w:firstRow="0" w:lastRow="0" w:firstColumn="0" w:lastColumn="0" w:oddVBand="0" w:evenVBand="0" w:oddHBand="1" w:evenHBand="0" w:firstRowFirstColumn="0" w:firstRowLastColumn="0" w:lastRowFirstColumn="0" w:lastRowLastColumn="0"/>
        </w:trPr>
        <w:tc>
          <w:tcPr>
            <w:tcW w:w="1253" w:type="pct"/>
          </w:tcPr>
          <w:p w14:paraId="239A977B" w14:textId="4307ED2F" w:rsidR="0085531C" w:rsidRPr="00BD19A7" w:rsidRDefault="0085531C" w:rsidP="00F316D5">
            <w:pPr>
              <w:keepNext/>
              <w:spacing w:before="0" w:after="0"/>
              <w:rPr>
                <w:rFonts w:ascii="Arial Narrow" w:hAnsi="Arial Narrow"/>
                <w:sz w:val="20"/>
                <w:szCs w:val="20"/>
                <w:lang w:val="en-AU"/>
              </w:rPr>
            </w:pPr>
            <w:r w:rsidRPr="00BD19A7">
              <w:rPr>
                <w:rFonts w:ascii="Arial Narrow" w:hAnsi="Arial Narrow"/>
                <w:sz w:val="20"/>
                <w:szCs w:val="20"/>
                <w:lang w:val="en-AU"/>
              </w:rPr>
              <w:t>week 14</w:t>
            </w:r>
          </w:p>
        </w:tc>
        <w:tc>
          <w:tcPr>
            <w:tcW w:w="1181" w:type="pct"/>
          </w:tcPr>
          <w:p w14:paraId="7CB21283"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117</w:t>
            </w:r>
          </w:p>
          <w:p w14:paraId="567D1AB5" w14:textId="6A9EAA5A"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22 (18.8</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179" w:type="pct"/>
          </w:tcPr>
          <w:p w14:paraId="187679FB" w14:textId="77777777"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N = 38</w:t>
            </w:r>
          </w:p>
          <w:p w14:paraId="14325F10" w14:textId="0698D8E1" w:rsidR="0085531C" w:rsidRPr="00BD19A7" w:rsidRDefault="0085531C" w:rsidP="00F316D5">
            <w:pPr>
              <w:keepNext/>
              <w:spacing w:before="0" w:after="0"/>
              <w:jc w:val="center"/>
              <w:rPr>
                <w:rFonts w:ascii="Arial Narrow" w:hAnsi="Arial Narrow"/>
                <w:sz w:val="20"/>
                <w:szCs w:val="20"/>
                <w:lang w:val="en-AU"/>
              </w:rPr>
            </w:pPr>
            <w:r w:rsidRPr="00BD19A7">
              <w:rPr>
                <w:rFonts w:ascii="Arial Narrow" w:hAnsi="Arial Narrow"/>
                <w:sz w:val="20"/>
                <w:szCs w:val="20"/>
                <w:lang w:val="en-AU"/>
              </w:rPr>
              <w:t>1 (7.9</w:t>
            </w:r>
            <w:r w:rsidR="00F24E28" w:rsidRPr="00BD19A7">
              <w:rPr>
                <w:rFonts w:ascii="Arial Narrow" w:hAnsi="Arial Narrow"/>
                <w:sz w:val="20"/>
                <w:szCs w:val="20"/>
                <w:lang w:val="en-AU"/>
              </w:rPr>
              <w:t>%</w:t>
            </w:r>
            <w:r w:rsidRPr="00BD19A7">
              <w:rPr>
                <w:rFonts w:ascii="Arial Narrow" w:hAnsi="Arial Narrow"/>
                <w:sz w:val="20"/>
                <w:szCs w:val="20"/>
                <w:lang w:val="en-AU"/>
              </w:rPr>
              <w:t>)</w:t>
            </w:r>
          </w:p>
        </w:tc>
        <w:tc>
          <w:tcPr>
            <w:tcW w:w="1387" w:type="pct"/>
            <w:tcBorders>
              <w:top w:val="nil"/>
            </w:tcBorders>
            <w:shd w:val="clear" w:color="auto" w:fill="D9D9D9" w:themeFill="background1" w:themeFillShade="D9"/>
          </w:tcPr>
          <w:p w14:paraId="4721B06F" w14:textId="77777777" w:rsidR="0085531C" w:rsidRPr="00BD19A7" w:rsidRDefault="0085531C" w:rsidP="00F316D5">
            <w:pPr>
              <w:keepNext/>
              <w:jc w:val="center"/>
              <w:rPr>
                <w:rFonts w:ascii="Arial Narrow" w:hAnsi="Arial Narrow"/>
                <w:sz w:val="20"/>
                <w:szCs w:val="20"/>
                <w:lang w:val="en-AU"/>
              </w:rPr>
            </w:pPr>
          </w:p>
        </w:tc>
      </w:tr>
    </w:tbl>
    <w:bookmarkEnd w:id="26"/>
    <w:p w14:paraId="1C103C81" w14:textId="77777777" w:rsidR="00045878" w:rsidRPr="00BD19A7" w:rsidRDefault="00045878" w:rsidP="00045878">
      <w:pPr>
        <w:pStyle w:val="BodyText"/>
        <w:keepNext/>
        <w:rPr>
          <w:rFonts w:ascii="Arial Narrow" w:hAnsi="Arial Narrow"/>
          <w:sz w:val="18"/>
          <w:szCs w:val="18"/>
        </w:rPr>
      </w:pPr>
      <w:r w:rsidRPr="00BD19A7">
        <w:rPr>
          <w:rFonts w:ascii="Arial Narrow" w:hAnsi="Arial Narrow"/>
          <w:sz w:val="18"/>
          <w:szCs w:val="18"/>
        </w:rPr>
        <w:t>Source: Submission main body p13</w:t>
      </w:r>
    </w:p>
    <w:p w14:paraId="66D7E9AD" w14:textId="0EF1484E" w:rsidR="00491AA3" w:rsidRPr="00BD19A7" w:rsidRDefault="00045878" w:rsidP="00045878">
      <w:pPr>
        <w:pStyle w:val="BodyText"/>
        <w:keepNext/>
        <w:spacing w:after="120"/>
        <w:contextualSpacing/>
        <w:rPr>
          <w:rFonts w:ascii="Arial Narrow" w:hAnsi="Arial Narrow"/>
          <w:sz w:val="18"/>
          <w:szCs w:val="18"/>
        </w:rPr>
      </w:pPr>
      <w:r w:rsidRPr="00BD19A7">
        <w:rPr>
          <w:rFonts w:ascii="Arial Narrow" w:hAnsi="Arial Narrow"/>
          <w:sz w:val="18"/>
          <w:szCs w:val="18"/>
        </w:rPr>
        <w:t xml:space="preserve">*Patients who had not achieved a response at </w:t>
      </w:r>
      <w:r w:rsidR="00732FCE" w:rsidRPr="00BD19A7">
        <w:rPr>
          <w:rFonts w:ascii="Arial Narrow" w:hAnsi="Arial Narrow"/>
          <w:sz w:val="18"/>
          <w:szCs w:val="18"/>
        </w:rPr>
        <w:t>week</w:t>
      </w:r>
      <w:r w:rsidRPr="00BD19A7">
        <w:rPr>
          <w:rFonts w:ascii="Arial Narrow" w:hAnsi="Arial Narrow"/>
          <w:sz w:val="18"/>
          <w:szCs w:val="18"/>
        </w:rPr>
        <w:t xml:space="preserve"> 6 to their respective treatments</w:t>
      </w:r>
    </w:p>
    <w:p w14:paraId="596F8212" w14:textId="7E778704" w:rsidR="00F7537E" w:rsidRPr="00BD19A7" w:rsidRDefault="00F7537E" w:rsidP="00D05FC3">
      <w:pPr>
        <w:pStyle w:val="BodyText"/>
        <w:spacing w:after="120"/>
        <w:rPr>
          <w:rFonts w:ascii="Arial Narrow" w:hAnsi="Arial Narrow"/>
          <w:sz w:val="18"/>
          <w:szCs w:val="18"/>
        </w:rPr>
      </w:pPr>
      <w:r w:rsidRPr="00BD19A7">
        <w:rPr>
          <w:rFonts w:ascii="Arial Narrow" w:hAnsi="Arial Narrow"/>
          <w:sz w:val="18"/>
          <w:szCs w:val="18"/>
        </w:rPr>
        <w:t>** Figure 1A from Sandborn et al 2013.</w:t>
      </w:r>
    </w:p>
    <w:p w14:paraId="3B1C0660" w14:textId="019D79A4" w:rsidR="00E16A3A" w:rsidRPr="00BD19A7" w:rsidRDefault="00E16A3A" w:rsidP="00E16A3A">
      <w:pPr>
        <w:pStyle w:val="3-BodyText"/>
      </w:pPr>
      <w:bookmarkStart w:id="27" w:name="_Toc22897644"/>
      <w:r w:rsidRPr="00BD19A7">
        <w:t>Of the 76 patients who achieved enhanced clinical response with the additional induction dose at week 10 and then continued to receive dosing every four weeks, by week 52, 53 (69.7%) of these patients were in clinical response and 41 (53.9%) were in clinical remission.</w:t>
      </w:r>
      <w:r w:rsidR="00DC52E9" w:rsidRPr="00BD19A7">
        <w:t xml:space="preserve"> </w:t>
      </w:r>
      <w:r w:rsidR="00193C72" w:rsidRPr="00BD19A7">
        <w:t xml:space="preserve">The evaluation </w:t>
      </w:r>
      <w:r w:rsidR="00A953B2" w:rsidRPr="00BD19A7">
        <w:t>noted</w:t>
      </w:r>
      <w:r w:rsidR="00193C72" w:rsidRPr="00BD19A7">
        <w:t xml:space="preserve"> that the i</w:t>
      </w:r>
      <w:r w:rsidR="00DC52E9" w:rsidRPr="00BD19A7">
        <w:t>nclusion of the fourth induction dose at week 10 in the PI was approved by the TGA based on the clinical response/remission following a four weekly continuing dosing regimen. Vedolizumab 300 mg IV for the treatment of severe CD is only PBS listed for eight weekly continuing dosing. The submission did not provide any clinical response/remission data based on the non-response population receiving a fourth dose at week 10, and then continuing vedolizumab</w:t>
      </w:r>
      <w:r w:rsidR="001928DD" w:rsidRPr="00BD19A7">
        <w:t xml:space="preserve"> at the PBS maintenance regimen. </w:t>
      </w:r>
    </w:p>
    <w:p w14:paraId="74488789" w14:textId="43DEAC52" w:rsidR="00167AE1" w:rsidRPr="00BD19A7" w:rsidRDefault="00167AE1" w:rsidP="00E16A3A">
      <w:pPr>
        <w:pStyle w:val="3-BodyText"/>
      </w:pPr>
      <w:r w:rsidRPr="00BD19A7">
        <w:t xml:space="preserve">The PSCR stated that </w:t>
      </w:r>
      <w:r w:rsidRPr="00BD19A7">
        <w:rPr>
          <w:rFonts w:eastAsia="Calibri"/>
          <w:bCs/>
        </w:rPr>
        <w:t>due to the trial design of the GEMINI 2 trial, the cohort of patients presented as evidence for a Week 10 dose improving response rates is derived from patients who did not achieve a response to the induction phase of GEMINI 2 (i.e., non-ITT maintenance phase). These patients received vedolizumab 300</w:t>
      </w:r>
      <w:r w:rsidR="0015710A" w:rsidRPr="00BD19A7">
        <w:rPr>
          <w:rFonts w:eastAsia="Calibri"/>
          <w:bCs/>
        </w:rPr>
        <w:t> </w:t>
      </w:r>
      <w:r w:rsidRPr="00BD19A7">
        <w:rPr>
          <w:rFonts w:eastAsia="Calibri"/>
          <w:bCs/>
        </w:rPr>
        <w:t>mg every 4 weeks (i.e., non-ITT maintenance phase) rather than vedolizumab 300</w:t>
      </w:r>
      <w:r w:rsidR="0015710A" w:rsidRPr="00BD19A7">
        <w:rPr>
          <w:rFonts w:eastAsia="Calibri"/>
          <w:bCs/>
        </w:rPr>
        <w:t> </w:t>
      </w:r>
      <w:r w:rsidRPr="00BD19A7">
        <w:rPr>
          <w:rFonts w:eastAsia="Calibri"/>
          <w:bCs/>
        </w:rPr>
        <w:t>mg IV every 8 weeks (i.e., this was the ITT maintenance phase) due to the trial design of GEMINI 2.</w:t>
      </w:r>
    </w:p>
    <w:p w14:paraId="7A1772B6" w14:textId="3C681E3B" w:rsidR="00B60939" w:rsidRPr="00BD19A7" w:rsidRDefault="00B60939" w:rsidP="00E9094A">
      <w:pPr>
        <w:pStyle w:val="4-SubsectionHeading"/>
      </w:pPr>
      <w:bookmarkStart w:id="28" w:name="_Toc156993257"/>
      <w:r w:rsidRPr="00BD19A7">
        <w:t>Clinical claim</w:t>
      </w:r>
      <w:bookmarkEnd w:id="27"/>
      <w:bookmarkEnd w:id="28"/>
    </w:p>
    <w:p w14:paraId="1B897FB9" w14:textId="17C49F05" w:rsidR="000A4354" w:rsidRPr="00BD19A7" w:rsidRDefault="000E3C13" w:rsidP="00816580">
      <w:pPr>
        <w:pStyle w:val="3-BodyText"/>
      </w:pPr>
      <w:r w:rsidRPr="00BD19A7">
        <w:t>The submission</w:t>
      </w:r>
      <w:r w:rsidR="0019195B" w:rsidRPr="00BD19A7">
        <w:t xml:space="preserve"> did not </w:t>
      </w:r>
      <w:r w:rsidR="001928DD" w:rsidRPr="00BD19A7">
        <w:t>make a</w:t>
      </w:r>
      <w:r w:rsidR="0019195B" w:rsidRPr="00BD19A7">
        <w:t xml:space="preserve"> specific clinical claim.</w:t>
      </w:r>
      <w:r w:rsidR="001C3E41" w:rsidRPr="00BD19A7">
        <w:t xml:space="preserve"> </w:t>
      </w:r>
      <w:r w:rsidR="00CC6502" w:rsidRPr="00BD19A7">
        <w:t>T</w:t>
      </w:r>
      <w:r w:rsidR="0019195B" w:rsidRPr="00BD19A7">
        <w:t xml:space="preserve">he submission </w:t>
      </w:r>
      <w:r w:rsidR="001C3E41" w:rsidRPr="00BD19A7">
        <w:t>stated that</w:t>
      </w:r>
      <w:r w:rsidRPr="00BD19A7">
        <w:t xml:space="preserve"> </w:t>
      </w:r>
      <w:r w:rsidR="001C3E41" w:rsidRPr="00BD19A7">
        <w:t>for non-responders in week 6, an additional dose at week 10 may allow an additional proportion of patients to achieve clinical response and/or remission versus no additional dose.</w:t>
      </w:r>
      <w:r w:rsidRPr="00BD19A7">
        <w:t xml:space="preserve"> </w:t>
      </w:r>
    </w:p>
    <w:p w14:paraId="74A1172E" w14:textId="40475A2D" w:rsidR="00B60939" w:rsidRPr="00BD19A7" w:rsidRDefault="00B60939" w:rsidP="00E9094A">
      <w:pPr>
        <w:pStyle w:val="4-SubsectionHeading"/>
      </w:pPr>
      <w:bookmarkStart w:id="29" w:name="_Toc22897645"/>
      <w:bookmarkStart w:id="30" w:name="_Toc156993258"/>
      <w:r w:rsidRPr="00BD19A7">
        <w:lastRenderedPageBreak/>
        <w:t>Economic analysis</w:t>
      </w:r>
      <w:bookmarkEnd w:id="29"/>
      <w:bookmarkEnd w:id="30"/>
      <w:r w:rsidR="00491B3A" w:rsidRPr="00BD19A7">
        <w:t xml:space="preserve"> </w:t>
      </w:r>
    </w:p>
    <w:p w14:paraId="081730C5" w14:textId="7BC0B654" w:rsidR="00A3520A" w:rsidRPr="00BD19A7" w:rsidRDefault="000374EF" w:rsidP="001002A3">
      <w:pPr>
        <w:pStyle w:val="3-BodyText"/>
        <w:spacing w:before="120"/>
        <w:rPr>
          <w:rFonts w:eastAsia="Calibri"/>
          <w:bCs/>
        </w:rPr>
      </w:pPr>
      <w:r w:rsidRPr="00BD19A7">
        <w:t xml:space="preserve">The submission </w:t>
      </w:r>
      <w:r w:rsidR="009F7F7C" w:rsidRPr="00BD19A7">
        <w:t xml:space="preserve">initially </w:t>
      </w:r>
      <w:r w:rsidR="00A3520A" w:rsidRPr="00BD19A7">
        <w:t>presented a cost minimisation a</w:t>
      </w:r>
      <w:r w:rsidR="00600884" w:rsidRPr="00BD19A7">
        <w:t>pproach</w:t>
      </w:r>
      <w:r w:rsidR="00A3520A" w:rsidRPr="00BD19A7">
        <w:t xml:space="preserve"> (CMA) of vedolizumab IV under the current PBS restriction versus vedolizumab IV under the proposed PBS restriction</w:t>
      </w:r>
      <w:r w:rsidR="00E8451B" w:rsidRPr="00BD19A7">
        <w:t xml:space="preserve"> over a two-year time horizon</w:t>
      </w:r>
      <w:r w:rsidR="001928DD" w:rsidRPr="00BD19A7">
        <w:t xml:space="preserve"> (104 weeks)</w:t>
      </w:r>
      <w:r w:rsidR="001002A3" w:rsidRPr="00BD19A7">
        <w:t xml:space="preserve"> resulting in a nil cost to Government</w:t>
      </w:r>
      <w:r w:rsidR="00BD19A7">
        <w:t xml:space="preserve">. </w:t>
      </w:r>
    </w:p>
    <w:p w14:paraId="42699DC6" w14:textId="710E13B3" w:rsidR="000374EF" w:rsidRPr="00BD19A7" w:rsidRDefault="00A3520A" w:rsidP="00A3520A">
      <w:pPr>
        <w:pStyle w:val="3-BodyText"/>
      </w:pPr>
      <w:r w:rsidRPr="00BD19A7">
        <w:t xml:space="preserve">The submission </w:t>
      </w:r>
      <w:r w:rsidR="000374EF" w:rsidRPr="00BD19A7">
        <w:t xml:space="preserve">stated that patients who commence treatment with PBS-subsidised vedolizumab can lodge a request with the sponsor for an additional dose at week 10 as part of its patient access program. </w:t>
      </w:r>
      <w:r w:rsidR="002D6BA5" w:rsidRPr="00BD19A7">
        <w:t>The submission presented a</w:t>
      </w:r>
      <w:r w:rsidR="000374EF" w:rsidRPr="00BD19A7">
        <w:t xml:space="preserve">n analysis of the data from </w:t>
      </w:r>
      <w:r w:rsidR="005611F1" w:rsidRPr="00BD19A7">
        <w:t>the patient access</w:t>
      </w:r>
      <w:r w:rsidR="000374EF" w:rsidRPr="00BD19A7">
        <w:t xml:space="preserve"> program and</w:t>
      </w:r>
      <w:r w:rsidR="005611F1" w:rsidRPr="00BD19A7">
        <w:t xml:space="preserve"> compared this to </w:t>
      </w:r>
      <w:r w:rsidR="000374EF" w:rsidRPr="00BD19A7">
        <w:t>the</w:t>
      </w:r>
      <w:r w:rsidR="005611F1" w:rsidRPr="00BD19A7">
        <w:t xml:space="preserve"> number of initiating patients based on the</w:t>
      </w:r>
      <w:r w:rsidR="000374EF" w:rsidRPr="00BD19A7">
        <w:t xml:space="preserve"> 10% PBS sample data </w:t>
      </w:r>
      <w:r w:rsidR="005611F1" w:rsidRPr="00BD19A7">
        <w:t>to calculate</w:t>
      </w:r>
      <w:r w:rsidR="000374EF" w:rsidRPr="00BD19A7">
        <w:t xml:space="preserve"> approximately </w:t>
      </w:r>
      <w:r w:rsidR="00206A14" w:rsidRPr="007B0FCD">
        <w:rPr>
          <w:color w:val="000000"/>
          <w:w w:val="15"/>
          <w:shd w:val="solid" w:color="000000" w:fill="000000"/>
          <w:fitText w:val="-20" w:id="-961804785"/>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85"/>
          <w14:textFill>
            <w14:solidFill>
              <w14:srgbClr w14:val="000000">
                <w14:alpha w14:val="100000"/>
              </w14:srgbClr>
            </w14:solidFill>
          </w14:textFill>
        </w:rPr>
        <w:t>|</w:t>
      </w:r>
      <w:r w:rsidR="000374EF" w:rsidRPr="00BD19A7">
        <w:t>% of patients who initiate PBS-subsidised treatment with vedolizumab for severe CD</w:t>
      </w:r>
      <w:r w:rsidR="005611F1" w:rsidRPr="00BD19A7">
        <w:t xml:space="preserve"> were receiving the additional dose through the patient access program.</w:t>
      </w:r>
      <w:r w:rsidR="000374EF" w:rsidRPr="00BD19A7">
        <w:t xml:space="preserve"> </w:t>
      </w:r>
    </w:p>
    <w:p w14:paraId="1EB6088B" w14:textId="1213619F" w:rsidR="00A3520A" w:rsidRPr="00BD19A7" w:rsidRDefault="00A3520A" w:rsidP="00A3520A">
      <w:pPr>
        <w:pStyle w:val="3-BodyText"/>
      </w:pPr>
      <w:r w:rsidRPr="00BD19A7">
        <w:t>The submission stated that while a CMA is presented, equi-effective doses and/or dosing regimens are not applicable and hence have not been estimated</w:t>
      </w:r>
      <w:r w:rsidR="00BD19A7">
        <w:t xml:space="preserve">. </w:t>
      </w:r>
      <w:r w:rsidRPr="00BD19A7">
        <w:t xml:space="preserve"> </w:t>
      </w:r>
    </w:p>
    <w:p w14:paraId="15D7AB47" w14:textId="77777777" w:rsidR="001002A3" w:rsidRPr="00BD19A7" w:rsidRDefault="001002A3" w:rsidP="001002A3">
      <w:pPr>
        <w:pStyle w:val="3-BodyText"/>
        <w:spacing w:before="120"/>
      </w:pPr>
      <w:r w:rsidRPr="00BD19A7">
        <w:t>The submission did not provide financial estimates to support a claim of cost savings or cost neutrality. The evaluation considered that to assess the financial impact to Government, a new model would need to be provided, considering:</w:t>
      </w:r>
    </w:p>
    <w:p w14:paraId="0DD286FB" w14:textId="77777777" w:rsidR="001002A3" w:rsidRPr="00BD19A7" w:rsidRDefault="001002A3" w:rsidP="004A35C6">
      <w:pPr>
        <w:pStyle w:val="3-BodyText"/>
        <w:numPr>
          <w:ilvl w:val="0"/>
          <w:numId w:val="11"/>
        </w:numPr>
        <w:spacing w:before="120"/>
      </w:pPr>
      <w:r w:rsidRPr="00BD19A7">
        <w:t xml:space="preserve">The proportion of patients receiving a fourth dose that would be expected not to meet the continuation treatment criteria </w:t>
      </w:r>
    </w:p>
    <w:p w14:paraId="609109E6" w14:textId="77777777" w:rsidR="001002A3" w:rsidRPr="00BD19A7" w:rsidRDefault="001002A3" w:rsidP="004A35C6">
      <w:pPr>
        <w:pStyle w:val="3-BodyText"/>
        <w:numPr>
          <w:ilvl w:val="0"/>
          <w:numId w:val="11"/>
        </w:numPr>
        <w:spacing w:before="120"/>
      </w:pPr>
      <w:r w:rsidRPr="00BD19A7">
        <w:t>The discontinuation rate of vedolizumab in the continuing phase</w:t>
      </w:r>
    </w:p>
    <w:p w14:paraId="373597AB" w14:textId="77777777" w:rsidR="001002A3" w:rsidRPr="00BD19A7" w:rsidRDefault="001002A3" w:rsidP="004A35C6">
      <w:pPr>
        <w:pStyle w:val="3-BodyText"/>
        <w:numPr>
          <w:ilvl w:val="0"/>
          <w:numId w:val="11"/>
        </w:numPr>
        <w:spacing w:before="120"/>
      </w:pPr>
      <w:r w:rsidRPr="00BD19A7">
        <w:t>The proportion of patients switching from IV to SC</w:t>
      </w:r>
    </w:p>
    <w:p w14:paraId="1E08502B" w14:textId="77777777" w:rsidR="001002A3" w:rsidRPr="00BD19A7" w:rsidRDefault="001002A3" w:rsidP="004A35C6">
      <w:pPr>
        <w:pStyle w:val="3-BodyText"/>
        <w:numPr>
          <w:ilvl w:val="0"/>
          <w:numId w:val="11"/>
        </w:numPr>
        <w:spacing w:before="120"/>
      </w:pPr>
      <w:r w:rsidRPr="00BD19A7">
        <w:t>The additional MBS costs associated with additional testing and specialist visits</w:t>
      </w:r>
    </w:p>
    <w:p w14:paraId="3FF83B51" w14:textId="77777777" w:rsidR="001002A3" w:rsidRPr="00BD19A7" w:rsidRDefault="001002A3" w:rsidP="001002A3">
      <w:pPr>
        <w:pStyle w:val="3-BodyText"/>
        <w:spacing w:before="120"/>
      </w:pPr>
      <w:r w:rsidRPr="00BD19A7">
        <w:t>The submission stated it requested a lower AEMP to offset any costs of an additional induction dose over a two-year period of continuing treatment. The</w:t>
      </w:r>
      <w:r w:rsidRPr="00BD19A7">
        <w:rPr>
          <w:rFonts w:ascii="Arial Narrow" w:hAnsi="Arial Narrow" w:cstheme="minorHAnsi"/>
          <w:snapToGrid/>
          <w:sz w:val="20"/>
          <w:szCs w:val="20"/>
        </w:rPr>
        <w:t xml:space="preserve"> </w:t>
      </w:r>
      <w:r w:rsidRPr="00BD19A7">
        <w:t xml:space="preserve">evaluation considered that a simpler way to introduce a nil cost to Government would be to amend the AEMP at the initiating item codes only. This would require amendment of the restrictions to separate the initiating and continuing phases, and amendment of the current SPA in place to incorporate differing AEMPs for initiating and continuing regimens. This would reduce the risk of cost neutrality not being realised over two years by limiting the impact of patient discontinuations and switching (including from IV to SC). </w:t>
      </w:r>
    </w:p>
    <w:p w14:paraId="64E8AC9A" w14:textId="75030993" w:rsidR="001002A3" w:rsidRPr="00BD19A7" w:rsidRDefault="001002A3" w:rsidP="001002A3">
      <w:pPr>
        <w:pStyle w:val="3-BodyText"/>
        <w:spacing w:before="120"/>
        <w:rPr>
          <w:rFonts w:eastAsia="Calibri"/>
          <w:bCs/>
        </w:rPr>
      </w:pPr>
      <w:r w:rsidRPr="00BD19A7">
        <w:rPr>
          <w:rFonts w:eastAsia="Calibri"/>
          <w:bCs/>
        </w:rPr>
        <w:t>The PSCR stated that the sponsor was amenable to this suggestion, and based on the updated CMA that considers the initiating treatment phase only, the AEMP for vedolizumab IV for the proportion of patients who require an additional dose at Week 10 is $</w:t>
      </w:r>
      <w:r w:rsidR="00206A14" w:rsidRPr="007B0FCD">
        <w:rPr>
          <w:rFonts w:eastAsia="Calibri"/>
          <w:bCs/>
          <w:color w:val="000000"/>
          <w:w w:val="15"/>
          <w:shd w:val="solid" w:color="000000" w:fill="000000"/>
          <w:fitText w:val="-20" w:id="-961804784"/>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84"/>
          <w14:textFill>
            <w14:solidFill>
              <w14:srgbClr w14:val="000000">
                <w14:alpha w14:val="100000"/>
              </w14:srgbClr>
            </w14:solidFill>
          </w14:textFill>
        </w:rPr>
        <w:t>|</w:t>
      </w:r>
      <w:r w:rsidRPr="00BD19A7">
        <w:rPr>
          <w:rFonts w:eastAsia="Calibri"/>
          <w:bCs/>
        </w:rPr>
        <w:t xml:space="preserve"> (</w:t>
      </w:r>
      <w:r w:rsidRPr="00BD19A7">
        <w:rPr>
          <w:rFonts w:eastAsia="Calibri"/>
          <w:bCs/>
        </w:rPr>
        <w:fldChar w:fldCharType="begin" w:fldLock="1"/>
      </w:r>
      <w:r w:rsidRPr="00BD19A7">
        <w:rPr>
          <w:rFonts w:eastAsia="Calibri"/>
          <w:bCs/>
        </w:rPr>
        <w:instrText xml:space="preserve"> REF _Ref158622809 \h </w:instrText>
      </w:r>
      <w:r w:rsidRPr="00BD19A7">
        <w:rPr>
          <w:rFonts w:eastAsia="Calibri"/>
          <w:bCs/>
        </w:rPr>
      </w:r>
      <w:r w:rsidRPr="00BD19A7">
        <w:rPr>
          <w:rFonts w:eastAsia="Calibri"/>
          <w:bCs/>
        </w:rPr>
        <w:fldChar w:fldCharType="separate"/>
      </w:r>
      <w:r w:rsidR="00A008BF" w:rsidRPr="00BD19A7" w:rsidDel="00A56DFE">
        <w:t>Table 6</w:t>
      </w:r>
      <w:r w:rsidRPr="00BD19A7">
        <w:rPr>
          <w:rFonts w:eastAsia="Calibri"/>
          <w:bCs/>
        </w:rPr>
        <w:fldChar w:fldCharType="end"/>
      </w:r>
      <w:r w:rsidRPr="00BD19A7">
        <w:rPr>
          <w:rFonts w:eastAsia="Calibri"/>
          <w:bCs/>
        </w:rPr>
        <w:t xml:space="preserve">). The PSCR noted this would require amendment of the restrictions to separate the initiation and continuing phases, and amendment of the current SPA to incorporate differing AEMPs for initiating and continuing regimens. </w:t>
      </w:r>
    </w:p>
    <w:p w14:paraId="7634F6C0" w14:textId="5C91689A" w:rsidR="009732B6" w:rsidRPr="00BD19A7" w:rsidRDefault="002B12B8" w:rsidP="009732B6">
      <w:pPr>
        <w:pStyle w:val="3-BodyText"/>
        <w:spacing w:before="120"/>
        <w:rPr>
          <w:rFonts w:eastAsia="Calibri"/>
          <w:bCs/>
        </w:rPr>
      </w:pPr>
      <w:r w:rsidRPr="00BD19A7">
        <w:rPr>
          <w:rFonts w:eastAsia="Calibri"/>
          <w:bCs/>
        </w:rPr>
        <w:lastRenderedPageBreak/>
        <w:t xml:space="preserve">It may also be possible to achieve cost neutrality through the application of a </w:t>
      </w:r>
      <w:r w:rsidR="00206A14" w:rsidRPr="00206A14">
        <w:rPr>
          <w:rFonts w:eastAsia="Calibri"/>
          <w:bCs/>
          <w:color w:val="000000"/>
          <w:w w:val="61"/>
          <w:shd w:val="solid" w:color="000000" w:fill="000000"/>
          <w:fitText w:val="472" w:id="-961804800"/>
          <w14:textFill>
            <w14:solidFill>
              <w14:srgbClr w14:val="000000">
                <w14:alpha w14:val="100000"/>
              </w14:srgbClr>
            </w14:solidFill>
          </w14:textFill>
        </w:rPr>
        <w:t>|||  ||</w:t>
      </w:r>
      <w:r w:rsidR="00206A14" w:rsidRPr="00206A14">
        <w:rPr>
          <w:rFonts w:eastAsia="Calibri"/>
          <w:bCs/>
          <w:color w:val="000000"/>
          <w:spacing w:val="2"/>
          <w:w w:val="61"/>
          <w:shd w:val="solid" w:color="000000" w:fill="000000"/>
          <w:fitText w:val="472" w:id="-961804800"/>
          <w14:textFill>
            <w14:solidFill>
              <w14:srgbClr w14:val="000000">
                <w14:alpha w14:val="100000"/>
              </w14:srgbClr>
            </w14:solidFill>
          </w14:textFill>
        </w:rPr>
        <w:t>|</w:t>
      </w:r>
      <w:r w:rsidRPr="00BD19A7">
        <w:rPr>
          <w:rFonts w:eastAsia="Calibri"/>
          <w:bCs/>
        </w:rPr>
        <w:t>% rebate for the week 10 dose under the SPA. This approach would require creation of a separate item code for the week 10 dose.</w:t>
      </w:r>
    </w:p>
    <w:p w14:paraId="0B9087EE" w14:textId="698790CF" w:rsidR="009732B6" w:rsidRPr="00BD19A7" w:rsidRDefault="009732B6" w:rsidP="009732B6">
      <w:pPr>
        <w:pStyle w:val="3-BodyText"/>
        <w:spacing w:before="120"/>
        <w:rPr>
          <w:rFonts w:eastAsia="Calibri"/>
          <w:bCs/>
        </w:rPr>
      </w:pPr>
      <w:r w:rsidRPr="00BD19A7">
        <w:rPr>
          <w:rFonts w:eastAsia="Calibri"/>
          <w:bCs/>
        </w:rPr>
        <w:t xml:space="preserve">In its pre-PBAC response, the sponsor stated the </w:t>
      </w:r>
      <w:r w:rsidR="00206A14" w:rsidRPr="00206A14">
        <w:rPr>
          <w:rFonts w:eastAsia="Calibri"/>
          <w:bCs/>
          <w:color w:val="000000"/>
          <w:w w:val="61"/>
          <w:shd w:val="solid" w:color="000000" w:fill="000000"/>
          <w:fitText w:val="472" w:id="-961804799"/>
          <w14:textFill>
            <w14:solidFill>
              <w14:srgbClr w14:val="000000">
                <w14:alpha w14:val="100000"/>
              </w14:srgbClr>
            </w14:solidFill>
          </w14:textFill>
        </w:rPr>
        <w:t>|||  ||</w:t>
      </w:r>
      <w:r w:rsidR="00206A14" w:rsidRPr="00206A14">
        <w:rPr>
          <w:rFonts w:eastAsia="Calibri"/>
          <w:bCs/>
          <w:color w:val="000000"/>
          <w:spacing w:val="2"/>
          <w:w w:val="61"/>
          <w:shd w:val="solid" w:color="000000" w:fill="000000"/>
          <w:fitText w:val="472" w:id="-961804799"/>
          <w14:textFill>
            <w14:solidFill>
              <w14:srgbClr w14:val="000000">
                <w14:alpha w14:val="100000"/>
              </w14:srgbClr>
            </w14:solidFill>
          </w14:textFill>
        </w:rPr>
        <w:t>|</w:t>
      </w:r>
      <w:r w:rsidRPr="00BD19A7">
        <w:rPr>
          <w:rFonts w:eastAsia="Calibri"/>
          <w:bCs/>
        </w:rPr>
        <w:t xml:space="preserve">% rebate approach to achieving cost neutrality to Government is consistent with the submission’s intent and that it is open to considering this approach. The pre-PBAC response noted that in practice a corresponding SPA rebate is likely to be marginally less than </w:t>
      </w:r>
      <w:r w:rsidR="00206A14" w:rsidRPr="007B0FCD">
        <w:rPr>
          <w:rFonts w:eastAsia="Calibri"/>
          <w:bCs/>
          <w:color w:val="000000"/>
          <w:w w:val="15"/>
          <w:shd w:val="solid" w:color="000000" w:fill="000000"/>
          <w:fitText w:val="-20" w:id="-961804798"/>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798"/>
          <w14:textFill>
            <w14:solidFill>
              <w14:srgbClr w14:val="000000">
                <w14:alpha w14:val="100000"/>
              </w14:srgbClr>
            </w14:solidFill>
          </w14:textFill>
        </w:rPr>
        <w:t>|</w:t>
      </w:r>
      <w:r w:rsidRPr="00BD19A7">
        <w:rPr>
          <w:rFonts w:eastAsia="Calibri"/>
          <w:bCs/>
        </w:rPr>
        <w:t>% once the weighted average patient copayment ($25.24, using Medicare services data F</w:t>
      </w:r>
      <w:r w:rsidR="00A008BF" w:rsidRPr="00BD19A7">
        <w:rPr>
          <w:rFonts w:eastAsia="Calibri"/>
          <w:bCs/>
        </w:rPr>
        <w:t>eb</w:t>
      </w:r>
      <w:r w:rsidRPr="00BD19A7">
        <w:rPr>
          <w:rFonts w:eastAsia="Calibri"/>
          <w:bCs/>
        </w:rPr>
        <w:t>23-J</w:t>
      </w:r>
      <w:r w:rsidR="00A008BF" w:rsidRPr="00BD19A7">
        <w:rPr>
          <w:rFonts w:eastAsia="Calibri"/>
          <w:bCs/>
        </w:rPr>
        <w:t>an</w:t>
      </w:r>
      <w:r w:rsidRPr="00BD19A7">
        <w:rPr>
          <w:rFonts w:eastAsia="Calibri"/>
          <w:bCs/>
        </w:rPr>
        <w:t xml:space="preserve">24) and weighted hospital markup fees </w:t>
      </w:r>
      <w:r w:rsidRPr="0096623F">
        <w:rPr>
          <w:rFonts w:eastAsia="Calibri"/>
          <w:bCs/>
        </w:rPr>
        <w:t>(62% public hospitals and 38% private hospitals)</w:t>
      </w:r>
      <w:r w:rsidRPr="00BD19A7">
        <w:rPr>
          <w:rFonts w:eastAsia="Calibri"/>
          <w:bCs/>
        </w:rPr>
        <w:t xml:space="preserve"> are </w:t>
      </w:r>
      <w:proofErr w:type="gramStart"/>
      <w:r w:rsidRPr="00BD19A7">
        <w:rPr>
          <w:rFonts w:eastAsia="Calibri"/>
          <w:bCs/>
        </w:rPr>
        <w:t>taken into account</w:t>
      </w:r>
      <w:proofErr w:type="gramEnd"/>
      <w:r w:rsidRPr="00BD19A7">
        <w:rPr>
          <w:rFonts w:eastAsia="Calibri"/>
          <w:bCs/>
        </w:rPr>
        <w:t xml:space="preserve"> in the SPA rebate calculation. </w:t>
      </w:r>
    </w:p>
    <w:p w14:paraId="22DE4D8D" w14:textId="76EE39A7" w:rsidR="00A3520A" w:rsidRPr="00BD19A7" w:rsidRDefault="00A3520A" w:rsidP="00A3520A">
      <w:pPr>
        <w:pStyle w:val="3-BodyText"/>
        <w:numPr>
          <w:ilvl w:val="0"/>
          <w:numId w:val="0"/>
        </w:numPr>
        <w:rPr>
          <w:b/>
          <w:bCs/>
        </w:rPr>
      </w:pPr>
      <w:bookmarkStart w:id="31" w:name="_Hlk151715888"/>
      <w:r w:rsidRPr="00BD19A7">
        <w:rPr>
          <w:b/>
          <w:bCs/>
        </w:rPr>
        <w:t>Additional costs and/or offsets</w:t>
      </w:r>
    </w:p>
    <w:bookmarkEnd w:id="31"/>
    <w:p w14:paraId="61A9A939" w14:textId="325CEC86" w:rsidR="00A3520A" w:rsidRPr="00BD19A7" w:rsidRDefault="00A3520A" w:rsidP="00A3520A">
      <w:pPr>
        <w:pStyle w:val="3-BodyText"/>
      </w:pPr>
      <w:r w:rsidRPr="00BD19A7">
        <w:t>The submission considered that th</w:t>
      </w:r>
      <w:r w:rsidR="005D5D1B" w:rsidRPr="00BD19A7">
        <w:t>e</w:t>
      </w:r>
      <w:r w:rsidRPr="00BD19A7">
        <w:t xml:space="preserve"> additional prescription </w:t>
      </w:r>
      <w:r w:rsidR="005D5D1B" w:rsidRPr="00BD19A7">
        <w:t xml:space="preserve">for week 10 induction dose </w:t>
      </w:r>
      <w:r w:rsidRPr="00BD19A7">
        <w:t xml:space="preserve">will be written on the same day as vedolizumab is dispensed before being administered </w:t>
      </w:r>
      <w:r w:rsidR="00E16A3A" w:rsidRPr="00BD19A7">
        <w:t>intravenously</w:t>
      </w:r>
      <w:r w:rsidR="005D5D1B" w:rsidRPr="00BD19A7">
        <w:t>.</w:t>
      </w:r>
      <w:r w:rsidRPr="00BD19A7">
        <w:t xml:space="preserve"> </w:t>
      </w:r>
      <w:r w:rsidR="005D5D1B" w:rsidRPr="00BD19A7">
        <w:t>The submission stated that t</w:t>
      </w:r>
      <w:r w:rsidRPr="00BD19A7">
        <w:t xml:space="preserve">he cost of a health care practitioner writing the prescription is not included separately and is instead assumed to be captured in the additional cost associated with the IV infusion. </w:t>
      </w:r>
      <w:r w:rsidR="00F012DA" w:rsidRPr="00BD19A7">
        <w:t xml:space="preserve">This </w:t>
      </w:r>
      <w:r w:rsidR="001C3E41" w:rsidRPr="00BD19A7">
        <w:t>consideration formed</w:t>
      </w:r>
      <w:r w:rsidR="00F012DA" w:rsidRPr="00BD19A7">
        <w:t xml:space="preserve"> part of the submission’s basis for requesting an Authority Required (Telephone/Online) listing due to the</w:t>
      </w:r>
      <w:r w:rsidR="001C3E41" w:rsidRPr="00BD19A7">
        <w:t xml:space="preserve"> 1-2 week</w:t>
      </w:r>
      <w:r w:rsidR="00F012DA" w:rsidRPr="00BD19A7">
        <w:t xml:space="preserve"> processing time required for Authority Required (Written) listings</w:t>
      </w:r>
      <w:r w:rsidR="001C3E41" w:rsidRPr="00BD19A7">
        <w:t>.</w:t>
      </w:r>
    </w:p>
    <w:p w14:paraId="02366BBB" w14:textId="406D3213" w:rsidR="00DA122C" w:rsidRPr="00BD19A7" w:rsidRDefault="00DA122C" w:rsidP="00DA122C">
      <w:pPr>
        <w:pStyle w:val="3-BodyText"/>
        <w:rPr>
          <w:i/>
          <w:iCs/>
        </w:rPr>
      </w:pPr>
      <w:r w:rsidRPr="00BD19A7">
        <w:t>For the existing vedolizumab initial 1, 2 and 3 listings, patients receive the third induction dose in week 6 and an assessment of response is required to be conducted no earlier than week 12. However, for the proposed week 10 dose regimen, patients will need to be assessed prior to or at week 10 to determine eligibility for the week</w:t>
      </w:r>
      <w:r w:rsidR="002A1416" w:rsidRPr="00BD19A7">
        <w:t> </w:t>
      </w:r>
      <w:r w:rsidRPr="00BD19A7">
        <w:t xml:space="preserve">10 dose and reassessed after week 12 to determine eligibility for continuing therapy. The submission claimed some doctors already organise a visit between weeks 6 and 8 and so this additional assessment would not result in an increase in prescriber appointments. The submission also stated response could also be assessed based on an additional blood test (platelet count, ESR or CRP) or faecal test (calprotectin or lactoferrin), which can be conducted at a local pathology laboratory. </w:t>
      </w:r>
      <w:r w:rsidR="00A953B2" w:rsidRPr="00BD19A7">
        <w:t>The evaluation noted that n</w:t>
      </w:r>
      <w:r w:rsidRPr="00BD19A7">
        <w:t xml:space="preserve">o data was provided to show the extent to which prescribers routinely schedule appointments for patients in weeks 6 to 8. Given the submission claimed only some doctors undertake this practice, it would be reasonable to anticipate that this would constitute an increase in appointments for patients of the doctors who do not currently organise appointments in weeks 6 to 8. An assessment of response prior to week 12 would not be valid for the purpose of determining eligibility for continuing therapy under the current criteria. It is unclear based on what is provided if any prescribers currently perform assessment prior to week 10. It seems reasonable to assume the proposed listing is likely to incentivise prescribers to perform an additional assessment for a majority, if not all, patients prior to, or at week 10 to determine eligibility for the additional subsidised dose. The cost of any additional health services required to complete assessment, such as blood tests and </w:t>
      </w:r>
      <w:r w:rsidR="00FA0998" w:rsidRPr="00BD19A7">
        <w:t xml:space="preserve">specialist </w:t>
      </w:r>
      <w:r w:rsidRPr="00BD19A7">
        <w:t xml:space="preserve">appointments, were not included in the financial estimates. </w:t>
      </w:r>
    </w:p>
    <w:p w14:paraId="2A379810" w14:textId="061CF443" w:rsidR="005D5D1B" w:rsidRPr="00BD19A7" w:rsidRDefault="005D5D1B" w:rsidP="0099692D">
      <w:pPr>
        <w:pStyle w:val="3-BodyText"/>
      </w:pPr>
      <w:r w:rsidRPr="00BD19A7">
        <w:lastRenderedPageBreak/>
        <w:t>The submission noted that the inclusion of the week 10 dose in the PBS restriction is associated with an additional IV infusion. Consistent with previous economic analyses of vedolizumab IV, the cost of this additional IV infusion has been included in the CMA. The submission stated that aside from dosing frequency during the initiation treatment period, there are no other differences in administration for which the resource use and associated cost should be included in the analysis. The cost of the additional IV administration is based on the 85% benefit for MBS item 14245 (i.e.,</w:t>
      </w:r>
      <w:r w:rsidR="009C2570" w:rsidRPr="00BD19A7">
        <w:t> </w:t>
      </w:r>
      <w:r w:rsidRPr="00BD19A7">
        <w:t>$91.25); intravenous infusion of an immunomodulating agent for at least 2 hours duration where the agent is provided under Section 100 of the PBS.</w:t>
      </w:r>
    </w:p>
    <w:p w14:paraId="2078C424" w14:textId="77777777" w:rsidR="0099692D" w:rsidRPr="00BD19A7" w:rsidRDefault="005D5D1B" w:rsidP="005D5D1B">
      <w:pPr>
        <w:pStyle w:val="3-BodyText"/>
      </w:pPr>
      <w:r w:rsidRPr="00BD19A7">
        <w:t xml:space="preserve">The </w:t>
      </w:r>
      <w:r w:rsidR="0099692D" w:rsidRPr="00BD19A7">
        <w:t xml:space="preserve">submission stated that the </w:t>
      </w:r>
      <w:r w:rsidRPr="00BD19A7">
        <w:t xml:space="preserve">inclusion of an additional dose at Week 10 in the current restriction does not result in additional monitoring requirements or management of adverse events. </w:t>
      </w:r>
    </w:p>
    <w:p w14:paraId="1E52D202" w14:textId="54102D73" w:rsidR="005D5D1B" w:rsidRPr="00BD19A7" w:rsidRDefault="0099692D" w:rsidP="0099692D">
      <w:pPr>
        <w:pStyle w:val="3-BodyText"/>
      </w:pPr>
      <w:r w:rsidRPr="00BD19A7">
        <w:t xml:space="preserve">The AEMP for vedolizumab was initially established based on a CMA that included an additional cost of approximately </w:t>
      </w:r>
      <w:r w:rsidRPr="0096623F">
        <w:t>$3.00</w:t>
      </w:r>
      <w:r w:rsidRPr="00C45C82">
        <w:t xml:space="preserve"> </w:t>
      </w:r>
      <w:r w:rsidRPr="00BD19A7">
        <w:t xml:space="preserve">per 300 mg vial associated with the monitoring for PML. As the submission has requested </w:t>
      </w:r>
      <w:r w:rsidR="005D5D1B" w:rsidRPr="00BD19A7">
        <w:t xml:space="preserve">removal of the monitoring requirement for </w:t>
      </w:r>
      <w:r w:rsidRPr="00BD19A7">
        <w:t>PML</w:t>
      </w:r>
      <w:r w:rsidR="005D5D1B" w:rsidRPr="00BD19A7">
        <w:t xml:space="preserve"> from all restrictions for vedolizumab</w:t>
      </w:r>
      <w:r w:rsidRPr="00BD19A7">
        <w:t xml:space="preserve">, the submission stated that these administration costs </w:t>
      </w:r>
      <w:r w:rsidR="005D5D1B" w:rsidRPr="00BD19A7">
        <w:t>could reasonably be added back to the AEMP</w:t>
      </w:r>
      <w:r w:rsidR="00600884" w:rsidRPr="00BD19A7">
        <w:t xml:space="preserve">. However, </w:t>
      </w:r>
      <w:r w:rsidRPr="00BD19A7">
        <w:t>th</w:t>
      </w:r>
      <w:r w:rsidR="00154C12" w:rsidRPr="00BD19A7">
        <w:t>e submission has not included this</w:t>
      </w:r>
      <w:r w:rsidRPr="00BD19A7">
        <w:t xml:space="preserve"> cost offset</w:t>
      </w:r>
      <w:r w:rsidR="005D5D1B" w:rsidRPr="00BD19A7">
        <w:t xml:space="preserve"> in the </w:t>
      </w:r>
      <w:r w:rsidR="00600884" w:rsidRPr="00BD19A7">
        <w:t>CMA</w:t>
      </w:r>
      <w:r w:rsidR="00BD19A7">
        <w:t xml:space="preserve">. </w:t>
      </w:r>
    </w:p>
    <w:p w14:paraId="1B029993" w14:textId="5BCBF765" w:rsidR="00B62BE0" w:rsidRPr="00BD19A7" w:rsidRDefault="00B62BE0" w:rsidP="001002A3">
      <w:pPr>
        <w:keepNext/>
        <w:spacing w:after="120"/>
        <w:rPr>
          <w:b/>
          <w:bCs/>
          <w:i/>
          <w:snapToGrid w:val="0"/>
        </w:rPr>
      </w:pPr>
      <w:r w:rsidRPr="00BD19A7">
        <w:rPr>
          <w:b/>
          <w:bCs/>
          <w:snapToGrid w:val="0"/>
        </w:rPr>
        <w:t>Vedolizumab subcutaneous form</w:t>
      </w:r>
    </w:p>
    <w:p w14:paraId="6BDCBE4F" w14:textId="0408A4CC" w:rsidR="0005411F" w:rsidRPr="00BD19A7" w:rsidRDefault="0005411F" w:rsidP="001002A3">
      <w:pPr>
        <w:pStyle w:val="3-BodyText"/>
        <w:keepNext/>
      </w:pPr>
      <w:r w:rsidRPr="00BD19A7">
        <w:t xml:space="preserve">The submission stated </w:t>
      </w:r>
      <w:r w:rsidR="00DA122C" w:rsidRPr="00BD19A7">
        <w:t>‘</w:t>
      </w:r>
      <w:r w:rsidRPr="00BD19A7">
        <w:t>The current analysis assumes that patients continue treatment with vedolizumab 300 mg IV when some may prefer vedolizumab 108 mg SC. However, the Services Australia data indicate that most patients receive treatment with vedolizumab 300 mg IV rather than vedolizumab 108 mg SC thereby supporting the approach. Further, vedolizumab 108 mg SC is listed on a CMA-basis to vedolizumab 300 mg when used for continuing treatment and is therefore not expected to impact on the analysis.</w:t>
      </w:r>
      <w:r w:rsidR="00DA122C" w:rsidRPr="00BD19A7">
        <w:t>’</w:t>
      </w:r>
    </w:p>
    <w:p w14:paraId="0DD0DAEF" w14:textId="55147F98" w:rsidR="00DD7771" w:rsidRPr="00BD19A7" w:rsidRDefault="004624AC" w:rsidP="00DD7771">
      <w:pPr>
        <w:pStyle w:val="3-BodyText"/>
        <w:rPr>
          <w:rFonts w:eastAsia="Calibri"/>
          <w:bCs/>
        </w:rPr>
      </w:pPr>
      <w:r w:rsidRPr="00BD19A7">
        <w:t>The</w:t>
      </w:r>
      <w:r w:rsidR="005611F1" w:rsidRPr="00BD19A7">
        <w:t xml:space="preserve"> evaluation</w:t>
      </w:r>
      <w:r w:rsidRPr="00BD19A7">
        <w:t xml:space="preserve"> note</w:t>
      </w:r>
      <w:r w:rsidR="00DA122C" w:rsidRPr="00BD19A7">
        <w:t>d</w:t>
      </w:r>
      <w:r w:rsidRPr="00BD19A7">
        <w:t xml:space="preserve"> that vedolizumab SC listings allow for </w:t>
      </w:r>
      <w:r w:rsidR="002D6BA5" w:rsidRPr="00BD19A7">
        <w:t>patients</w:t>
      </w:r>
      <w:r w:rsidRPr="00BD19A7">
        <w:t xml:space="preserve"> to switch to SC therapy after a minimum of two IV </w:t>
      </w:r>
      <w:r w:rsidR="002D6BA5" w:rsidRPr="00BD19A7">
        <w:t>induction</w:t>
      </w:r>
      <w:r w:rsidRPr="00BD19A7">
        <w:t xml:space="preserve"> doses (at week 6) and is then dosed fortnightly. </w:t>
      </w:r>
      <w:r w:rsidR="002D6BA5" w:rsidRPr="00BD19A7">
        <w:t>Pa</w:t>
      </w:r>
      <w:r w:rsidRPr="00BD19A7">
        <w:t xml:space="preserve">tients are also able to switch to SC therapy after </w:t>
      </w:r>
      <w:r w:rsidR="002D6BA5" w:rsidRPr="00BD19A7">
        <w:t>completion</w:t>
      </w:r>
      <w:r w:rsidRPr="00BD19A7">
        <w:t xml:space="preserve"> o</w:t>
      </w:r>
      <w:r w:rsidR="002D6BA5" w:rsidRPr="00BD19A7">
        <w:t>f</w:t>
      </w:r>
      <w:r w:rsidRPr="00BD19A7">
        <w:t xml:space="preserve"> induction therapy with VDZ IV or following a 24</w:t>
      </w:r>
      <w:r w:rsidR="000E723E" w:rsidRPr="00BD19A7">
        <w:noBreakHyphen/>
      </w:r>
      <w:r w:rsidRPr="00BD19A7">
        <w:t xml:space="preserve">week continuing therapy </w:t>
      </w:r>
      <w:r w:rsidR="002D6BA5" w:rsidRPr="00BD19A7">
        <w:t xml:space="preserve">prescription. The submission did not consider whether patients who transfer to VDZ SC at weeks 6 or 8 should be eligible for the week 10 IV dose if they meet the criteria. </w:t>
      </w:r>
    </w:p>
    <w:p w14:paraId="6745D0C4" w14:textId="77777777" w:rsidR="005979B5" w:rsidRPr="00BD19A7" w:rsidRDefault="005979B5" w:rsidP="005979B5">
      <w:pPr>
        <w:pStyle w:val="3-BodyText"/>
        <w:rPr>
          <w:rFonts w:eastAsia="Calibri"/>
          <w:bCs/>
        </w:rPr>
      </w:pPr>
      <w:r w:rsidRPr="00BD19A7">
        <w:rPr>
          <w:rFonts w:eastAsia="Calibri"/>
          <w:bCs/>
        </w:rPr>
        <w:t xml:space="preserve">The PSRC stated that the week 10 dose is solely intended for patients receiving initial treatment with vedolizumab IV. While the initial restriction allows for patients to commence treatment with vedolizumab SC from week 6, the TGA PI clearly describes that the SC form is for maintenance treatment only. Thus, patients who commence treatment with vedolizumab SC from Week 6 must necessarily have achieved a response and the SC form is therefore used to maintain this response. </w:t>
      </w:r>
    </w:p>
    <w:p w14:paraId="680395EF" w14:textId="0C95B28F" w:rsidR="000B2AE0" w:rsidRPr="00BD19A7" w:rsidRDefault="000B2AE0" w:rsidP="00547B4E">
      <w:pPr>
        <w:pStyle w:val="3-BodyText"/>
        <w:keepNext/>
        <w:numPr>
          <w:ilvl w:val="0"/>
          <w:numId w:val="0"/>
        </w:numPr>
        <w:rPr>
          <w:b/>
          <w:bCs/>
        </w:rPr>
      </w:pPr>
      <w:r w:rsidRPr="00BD19A7">
        <w:rPr>
          <w:b/>
          <w:bCs/>
        </w:rPr>
        <w:lastRenderedPageBreak/>
        <w:t>Cost of medicines</w:t>
      </w:r>
    </w:p>
    <w:p w14:paraId="23383F50" w14:textId="6AAB23C3" w:rsidR="00716441" w:rsidRPr="00BD19A7" w:rsidRDefault="000B2AE0" w:rsidP="00716441">
      <w:pPr>
        <w:pStyle w:val="3-BodyText"/>
      </w:pPr>
      <w:r w:rsidRPr="00BD19A7">
        <w:t xml:space="preserve">The </w:t>
      </w:r>
      <w:r w:rsidR="00716441" w:rsidRPr="00BD19A7">
        <w:t xml:space="preserve">proposed </w:t>
      </w:r>
      <w:r w:rsidRPr="00BD19A7">
        <w:t>effective AEMP for vedolizumab 300 mg IV for severe CD is presented in</w:t>
      </w:r>
      <w:r w:rsidR="007741F1" w:rsidRPr="00BD19A7">
        <w:t xml:space="preserve"> </w:t>
      </w:r>
      <w:r w:rsidR="007741F1" w:rsidRPr="00BD19A7">
        <w:fldChar w:fldCharType="begin" w:fldLock="1"/>
      </w:r>
      <w:r w:rsidR="007741F1" w:rsidRPr="00BD19A7">
        <w:instrText xml:space="preserve"> REF _Ref155860444 \h </w:instrText>
      </w:r>
      <w:r w:rsidR="007741F1" w:rsidRPr="00BD19A7">
        <w:fldChar w:fldCharType="separate"/>
      </w:r>
      <w:r w:rsidR="00A008BF" w:rsidRPr="00BD19A7" w:rsidDel="00A56DFE">
        <w:t>Table 4</w:t>
      </w:r>
      <w:r w:rsidR="007741F1" w:rsidRPr="00BD19A7">
        <w:fldChar w:fldCharType="end"/>
      </w:r>
      <w:r w:rsidRPr="00BD19A7">
        <w:t xml:space="preserve">. </w:t>
      </w:r>
      <w:r w:rsidR="00810FD4" w:rsidRPr="00BD19A7">
        <w:t>The submission stated that because</w:t>
      </w:r>
      <w:r w:rsidRPr="00BD19A7">
        <w:t xml:space="preserve"> the AEMP for the proposed restriction applies only to the </w:t>
      </w:r>
      <w:r w:rsidR="00206A14" w:rsidRPr="007B0FCD">
        <w:rPr>
          <w:color w:val="000000"/>
          <w:w w:val="15"/>
          <w:shd w:val="solid" w:color="000000" w:fill="000000"/>
          <w:fitText w:val="-20" w:id="-961804797"/>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7"/>
          <w14:textFill>
            <w14:solidFill>
              <w14:srgbClr w14:val="000000">
                <w14:alpha w14:val="100000"/>
              </w14:srgbClr>
            </w14:solidFill>
          </w14:textFill>
        </w:rPr>
        <w:t>|</w:t>
      </w:r>
      <w:r w:rsidRPr="00BD19A7">
        <w:t xml:space="preserve">% of patients who require an additional dose at </w:t>
      </w:r>
      <w:r w:rsidR="00716441" w:rsidRPr="00BD19A7">
        <w:t>w</w:t>
      </w:r>
      <w:r w:rsidRPr="00BD19A7">
        <w:t>eek 10, the proposed effective AEMP that accounts for the distribution of patients who do (</w:t>
      </w:r>
      <w:r w:rsidR="00206A14" w:rsidRPr="007B0FCD">
        <w:rPr>
          <w:color w:val="000000"/>
          <w:w w:val="15"/>
          <w:shd w:val="solid" w:color="000000" w:fill="000000"/>
          <w:fitText w:val="-20" w:id="-961804796"/>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6"/>
          <w14:textFill>
            <w14:solidFill>
              <w14:srgbClr w14:val="000000">
                <w14:alpha w14:val="100000"/>
              </w14:srgbClr>
            </w14:solidFill>
          </w14:textFill>
        </w:rPr>
        <w:t>|</w:t>
      </w:r>
      <w:r w:rsidRPr="00BD19A7">
        <w:t>% at $</w:t>
      </w:r>
      <w:r w:rsidR="00206A14" w:rsidRPr="007B0FCD">
        <w:rPr>
          <w:color w:val="000000"/>
          <w:w w:val="15"/>
          <w:shd w:val="solid" w:color="000000" w:fill="000000"/>
          <w:fitText w:val="-20" w:id="-961804795"/>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5"/>
          <w14:textFill>
            <w14:solidFill>
              <w14:srgbClr w14:val="000000">
                <w14:alpha w14:val="100000"/>
              </w14:srgbClr>
            </w14:solidFill>
          </w14:textFill>
        </w:rPr>
        <w:t>|</w:t>
      </w:r>
      <w:r w:rsidRPr="00BD19A7">
        <w:t>) and do not (</w:t>
      </w:r>
      <w:r w:rsidR="00206A14" w:rsidRPr="007B0FCD">
        <w:rPr>
          <w:color w:val="000000"/>
          <w:w w:val="15"/>
          <w:shd w:val="solid" w:color="000000" w:fill="000000"/>
          <w:fitText w:val="-20" w:id="-961804794"/>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4"/>
          <w14:textFill>
            <w14:solidFill>
              <w14:srgbClr w14:val="000000">
                <w14:alpha w14:val="100000"/>
              </w14:srgbClr>
            </w14:solidFill>
          </w14:textFill>
        </w:rPr>
        <w:t>|</w:t>
      </w:r>
      <w:r w:rsidRPr="00BD19A7">
        <w:t>% at $</w:t>
      </w:r>
      <w:r w:rsidR="00206A14" w:rsidRPr="007B0FCD">
        <w:rPr>
          <w:color w:val="000000"/>
          <w:w w:val="15"/>
          <w:shd w:val="solid" w:color="000000" w:fill="000000"/>
          <w:fitText w:val="-20" w:id="-961804793"/>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3"/>
          <w14:textFill>
            <w14:solidFill>
              <w14:srgbClr w14:val="000000">
                <w14:alpha w14:val="100000"/>
              </w14:srgbClr>
            </w14:solidFill>
          </w14:textFill>
        </w:rPr>
        <w:t>|</w:t>
      </w:r>
      <w:r w:rsidRPr="00BD19A7">
        <w:t xml:space="preserve">) require the additional dose at </w:t>
      </w:r>
      <w:r w:rsidR="00716441" w:rsidRPr="00BD19A7">
        <w:t>w</w:t>
      </w:r>
      <w:r w:rsidRPr="00BD19A7">
        <w:t>eek 10 is therefore $</w:t>
      </w:r>
      <w:r w:rsidR="00206A14" w:rsidRPr="007B0FCD">
        <w:rPr>
          <w:color w:val="000000"/>
          <w:w w:val="15"/>
          <w:shd w:val="solid" w:color="000000" w:fill="000000"/>
          <w:fitText w:val="-20" w:id="-961804792"/>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2"/>
          <w14:textFill>
            <w14:solidFill>
              <w14:srgbClr w14:val="000000">
                <w14:alpha w14:val="100000"/>
              </w14:srgbClr>
            </w14:solidFill>
          </w14:textFill>
        </w:rPr>
        <w:t>|</w:t>
      </w:r>
      <w:r w:rsidRPr="00BD19A7">
        <w:t xml:space="preserve"> (</w:t>
      </w:r>
      <w:r w:rsidR="007741F1" w:rsidRPr="00BD19A7">
        <w:fldChar w:fldCharType="begin" w:fldLock="1"/>
      </w:r>
      <w:r w:rsidR="007741F1" w:rsidRPr="00BD19A7">
        <w:instrText xml:space="preserve"> REF _Ref155860444 \h </w:instrText>
      </w:r>
      <w:r w:rsidR="007741F1" w:rsidRPr="00BD19A7">
        <w:fldChar w:fldCharType="separate"/>
      </w:r>
      <w:r w:rsidR="00A008BF" w:rsidRPr="00BD19A7" w:rsidDel="00A56DFE">
        <w:t>Table 4</w:t>
      </w:r>
      <w:r w:rsidR="007741F1" w:rsidRPr="00BD19A7">
        <w:fldChar w:fldCharType="end"/>
      </w:r>
      <w:r w:rsidRPr="00BD19A7">
        <w:t xml:space="preserve">). </w:t>
      </w:r>
      <w:bookmarkStart w:id="32" w:name="_Ref149207435"/>
      <w:bookmarkStart w:id="33" w:name="_Toc149234277"/>
    </w:p>
    <w:p w14:paraId="18EAB33F" w14:textId="4308E3B4" w:rsidR="00E05D63" w:rsidRPr="00BD19A7" w:rsidRDefault="00E05D63" w:rsidP="00E05D63">
      <w:pPr>
        <w:pStyle w:val="3-BodyText"/>
      </w:pPr>
      <w:r w:rsidRPr="00BD19A7">
        <w:fldChar w:fldCharType="begin" w:fldLock="1"/>
      </w:r>
      <w:r w:rsidRPr="00BD19A7">
        <w:instrText xml:space="preserve"> REF _Ref159223396 \h </w:instrText>
      </w:r>
      <w:r w:rsidRPr="00BD19A7">
        <w:fldChar w:fldCharType="separate"/>
      </w:r>
      <w:r w:rsidR="00A008BF" w:rsidRPr="00BD19A7" w:rsidDel="00A56DFE">
        <w:t>Table 5</w:t>
      </w:r>
      <w:r w:rsidRPr="00BD19A7">
        <w:fldChar w:fldCharType="end"/>
      </w:r>
      <w:r w:rsidRPr="00BD19A7">
        <w:t xml:space="preserve"> presents the PSCR amended proposed effective AEMP based on </w:t>
      </w:r>
      <w:r w:rsidR="00206A14" w:rsidRPr="00206A14">
        <w:rPr>
          <w:color w:val="000000"/>
          <w:w w:val="61"/>
          <w:shd w:val="solid" w:color="000000" w:fill="000000"/>
          <w:fitText w:val="472" w:id="-961804791"/>
          <w14:textFill>
            <w14:solidFill>
              <w14:srgbClr w14:val="000000">
                <w14:alpha w14:val="100000"/>
              </w14:srgbClr>
            </w14:solidFill>
          </w14:textFill>
        </w:rPr>
        <w:t>|||  ||</w:t>
      </w:r>
      <w:r w:rsidR="00206A14" w:rsidRPr="00206A14">
        <w:rPr>
          <w:color w:val="000000"/>
          <w:spacing w:val="2"/>
          <w:w w:val="61"/>
          <w:shd w:val="solid" w:color="000000" w:fill="000000"/>
          <w:fitText w:val="472" w:id="-961804791"/>
          <w14:textFill>
            <w14:solidFill>
              <w14:srgbClr w14:val="000000">
                <w14:alpha w14:val="100000"/>
              </w14:srgbClr>
            </w14:solidFill>
          </w14:textFill>
        </w:rPr>
        <w:t>|</w:t>
      </w:r>
      <w:r w:rsidRPr="00BD19A7">
        <w:t>% patients who require an additional dose at week 10</w:t>
      </w:r>
      <w:r w:rsidR="00283869" w:rsidRPr="00BD19A7">
        <w:t xml:space="preserve"> and an effective price of $</w:t>
      </w:r>
      <w:r w:rsidR="00206A14" w:rsidRPr="007B0FCD">
        <w:rPr>
          <w:color w:val="000000"/>
          <w:w w:val="15"/>
          <w:shd w:val="solid" w:color="000000" w:fill="000000"/>
          <w:fitText w:val="-20" w:id="-961804790"/>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0"/>
          <w14:textFill>
            <w14:solidFill>
              <w14:srgbClr w14:val="000000">
                <w14:alpha w14:val="100000"/>
              </w14:srgbClr>
            </w14:solidFill>
          </w14:textFill>
        </w:rPr>
        <w:t>|</w:t>
      </w:r>
      <w:r w:rsidR="00283869" w:rsidRPr="00BD19A7">
        <w:t xml:space="preserve"> for the induction doses</w:t>
      </w:r>
      <w:r w:rsidRPr="00BD19A7">
        <w:t xml:space="preserve">. </w:t>
      </w:r>
    </w:p>
    <w:p w14:paraId="4BE8F09A" w14:textId="03BF3F1E" w:rsidR="00F04CE9" w:rsidRPr="00BD19A7" w:rsidRDefault="00F04CE9" w:rsidP="00F04CE9">
      <w:pPr>
        <w:pStyle w:val="Caption"/>
      </w:pPr>
      <w:bookmarkStart w:id="34" w:name="_Ref155860444"/>
      <w:bookmarkEnd w:id="32"/>
      <w:bookmarkEnd w:id="33"/>
      <w:r w:rsidRPr="00BD19A7">
        <w:t xml:space="preserve">Table </w:t>
      </w:r>
      <w:r w:rsidR="007B0FCD">
        <w:fldChar w:fldCharType="begin" w:fldLock="1"/>
      </w:r>
      <w:r w:rsidR="007B0FCD">
        <w:instrText xml:space="preserve"> SEQ Table \* ARABIC </w:instrText>
      </w:r>
      <w:r w:rsidR="007B0FCD">
        <w:fldChar w:fldCharType="separate"/>
      </w:r>
      <w:r w:rsidR="00A56DFE">
        <w:rPr>
          <w:noProof/>
        </w:rPr>
        <w:t>4</w:t>
      </w:r>
      <w:r w:rsidR="007B0FCD">
        <w:rPr>
          <w:noProof/>
        </w:rPr>
        <w:fldChar w:fldCharType="end"/>
      </w:r>
      <w:bookmarkEnd w:id="34"/>
      <w:r w:rsidRPr="00BD19A7">
        <w:t>: Cost of medicines at the confidential effective AEMP</w:t>
      </w:r>
    </w:p>
    <w:tbl>
      <w:tblPr>
        <w:tblStyle w:val="TableGrid"/>
        <w:tblW w:w="5000" w:type="pct"/>
        <w:tblLook w:val="04A0" w:firstRow="1" w:lastRow="0" w:firstColumn="1" w:lastColumn="0" w:noHBand="0" w:noVBand="1"/>
        <w:tblCaption w:val="Table 4: Cost of medicines at the confidential effective AEMP"/>
      </w:tblPr>
      <w:tblGrid>
        <w:gridCol w:w="2648"/>
        <w:gridCol w:w="1593"/>
        <w:gridCol w:w="1592"/>
        <w:gridCol w:w="1592"/>
        <w:gridCol w:w="1592"/>
      </w:tblGrid>
      <w:tr w:rsidR="00716441" w:rsidRPr="00BD19A7" w14:paraId="5F29B977" w14:textId="77777777" w:rsidTr="00F04CE9">
        <w:tc>
          <w:tcPr>
            <w:tcW w:w="1468" w:type="pct"/>
          </w:tcPr>
          <w:p w14:paraId="76EB3764" w14:textId="77777777" w:rsidR="00716441" w:rsidRPr="00BD19A7" w:rsidRDefault="00716441" w:rsidP="009003F3">
            <w:pPr>
              <w:pStyle w:val="SyneviNormal"/>
              <w:keepNext/>
              <w:spacing w:line="240" w:lineRule="auto"/>
              <w:rPr>
                <w:rFonts w:ascii="Arial Narrow" w:hAnsi="Arial Narrow" w:cstheme="minorHAnsi"/>
                <w:b/>
                <w:bCs/>
                <w:sz w:val="20"/>
                <w:lang w:val="en-AU"/>
              </w:rPr>
            </w:pPr>
            <w:bookmarkStart w:id="35" w:name="_Hlk32312641"/>
          </w:p>
        </w:tc>
        <w:tc>
          <w:tcPr>
            <w:tcW w:w="883" w:type="pct"/>
          </w:tcPr>
          <w:p w14:paraId="38B8EAA5" w14:textId="77777777" w:rsidR="00716441" w:rsidRPr="00BD19A7" w:rsidRDefault="00716441" w:rsidP="009003F3">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Strength</w:t>
            </w:r>
          </w:p>
        </w:tc>
        <w:tc>
          <w:tcPr>
            <w:tcW w:w="883" w:type="pct"/>
          </w:tcPr>
          <w:p w14:paraId="290E8466" w14:textId="77777777" w:rsidR="00716441" w:rsidRPr="00BD19A7" w:rsidRDefault="00716441" w:rsidP="009003F3">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Max Qty (units)</w:t>
            </w:r>
          </w:p>
        </w:tc>
        <w:tc>
          <w:tcPr>
            <w:tcW w:w="883" w:type="pct"/>
          </w:tcPr>
          <w:p w14:paraId="2CFA0955" w14:textId="77777777" w:rsidR="00716441" w:rsidRPr="00BD19A7" w:rsidRDefault="00716441" w:rsidP="009003F3">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Max Qty (packs)</w:t>
            </w:r>
          </w:p>
        </w:tc>
        <w:tc>
          <w:tcPr>
            <w:tcW w:w="884" w:type="pct"/>
          </w:tcPr>
          <w:p w14:paraId="0F44D846" w14:textId="77777777" w:rsidR="00716441" w:rsidRPr="00BD19A7" w:rsidRDefault="00716441" w:rsidP="009003F3">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Effective AEMP</w:t>
            </w:r>
          </w:p>
        </w:tc>
      </w:tr>
      <w:tr w:rsidR="00716441" w:rsidRPr="00BD19A7" w14:paraId="0F1EDCDF" w14:textId="77777777" w:rsidTr="00953738">
        <w:tc>
          <w:tcPr>
            <w:tcW w:w="5000" w:type="pct"/>
            <w:gridSpan w:val="5"/>
            <w:shd w:val="clear" w:color="auto" w:fill="F2F2F2" w:themeFill="background1" w:themeFillShade="F2"/>
          </w:tcPr>
          <w:p w14:paraId="5EBCE15F" w14:textId="77777777" w:rsidR="00716441" w:rsidRPr="00BD19A7" w:rsidRDefault="00716441" w:rsidP="009003F3">
            <w:pPr>
              <w:pStyle w:val="SyneviNormal"/>
              <w:keepNext/>
              <w:spacing w:line="240" w:lineRule="auto"/>
              <w:jc w:val="left"/>
              <w:rPr>
                <w:rFonts w:ascii="Arial Narrow" w:hAnsi="Arial Narrow" w:cstheme="minorHAnsi"/>
                <w:b/>
                <w:bCs/>
                <w:sz w:val="20"/>
                <w:lang w:val="en-AU"/>
              </w:rPr>
            </w:pPr>
            <w:r w:rsidRPr="00BD19A7">
              <w:rPr>
                <w:rFonts w:ascii="Arial Narrow" w:hAnsi="Arial Narrow" w:cstheme="minorHAnsi"/>
                <w:b/>
                <w:bCs/>
                <w:sz w:val="20"/>
                <w:lang w:val="en-AU"/>
              </w:rPr>
              <w:t>AEMP for the current restriction</w:t>
            </w:r>
          </w:p>
        </w:tc>
      </w:tr>
      <w:bookmarkEnd w:id="35"/>
      <w:tr w:rsidR="00716441" w:rsidRPr="00BD19A7" w14:paraId="469C1FA7" w14:textId="77777777" w:rsidTr="00F04CE9">
        <w:tc>
          <w:tcPr>
            <w:tcW w:w="1468" w:type="pct"/>
          </w:tcPr>
          <w:p w14:paraId="2E0C04F2" w14:textId="77777777" w:rsidR="00716441" w:rsidRPr="00BD19A7" w:rsidRDefault="00716441" w:rsidP="009003F3">
            <w:pPr>
              <w:pStyle w:val="SyneviNormal"/>
              <w:keepNext/>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883" w:type="pct"/>
          </w:tcPr>
          <w:p w14:paraId="1E2678A8"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300 mg</w:t>
            </w:r>
          </w:p>
        </w:tc>
        <w:tc>
          <w:tcPr>
            <w:tcW w:w="883" w:type="pct"/>
          </w:tcPr>
          <w:p w14:paraId="44EF761C"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3192E90A"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4" w:type="pct"/>
          </w:tcPr>
          <w:p w14:paraId="6C02E871" w14:textId="7250B1BC"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r w:rsidR="00716441" w:rsidRPr="00BD19A7" w14:paraId="6921A059" w14:textId="77777777" w:rsidTr="00953738">
        <w:tc>
          <w:tcPr>
            <w:tcW w:w="5000" w:type="pct"/>
            <w:gridSpan w:val="5"/>
            <w:shd w:val="clear" w:color="auto" w:fill="F2F2F2" w:themeFill="background1" w:themeFillShade="F2"/>
          </w:tcPr>
          <w:p w14:paraId="6E771305" w14:textId="7FEB5F1E" w:rsidR="00716441" w:rsidRPr="00BD19A7" w:rsidRDefault="00716441" w:rsidP="009003F3">
            <w:pPr>
              <w:pStyle w:val="SyneviNormal"/>
              <w:keepNext/>
              <w:spacing w:line="240" w:lineRule="auto"/>
              <w:jc w:val="left"/>
              <w:rPr>
                <w:rFonts w:ascii="Arial Narrow" w:hAnsi="Arial Narrow" w:cstheme="minorHAnsi"/>
                <w:b/>
                <w:bCs/>
                <w:sz w:val="20"/>
                <w:lang w:val="en-AU"/>
              </w:rPr>
            </w:pPr>
            <w:r w:rsidRPr="00BD19A7">
              <w:rPr>
                <w:rFonts w:ascii="Arial Narrow" w:hAnsi="Arial Narrow" w:cstheme="minorHAnsi"/>
                <w:b/>
                <w:bCs/>
                <w:sz w:val="20"/>
                <w:lang w:val="en-AU"/>
              </w:rPr>
              <w:t xml:space="preserve">AEMP for the </w:t>
            </w:r>
            <w:r w:rsidR="00206A14" w:rsidRPr="00206A14">
              <w:rPr>
                <w:rFonts w:ascii="Arial Narrow" w:hAnsi="Arial Narrow" w:cstheme="minorHAnsi"/>
                <w:b/>
                <w:bCs/>
                <w:color w:val="000000"/>
                <w:spacing w:val="57"/>
                <w:sz w:val="20"/>
                <w:shd w:val="solid" w:color="000000" w:fill="000000"/>
                <w:fitText w:val="356" w:id="-961804789"/>
                <w:lang w:val="en-AU"/>
                <w14:textFill>
                  <w14:solidFill>
                    <w14:srgbClr w14:val="000000">
                      <w14:alpha w14:val="100000"/>
                    </w14:srgbClr>
                  </w14:solidFill>
                </w14:textFill>
              </w:rPr>
              <w:t>|||</w:t>
            </w:r>
            <w:r w:rsidR="00206A14" w:rsidRPr="00206A14">
              <w:rPr>
                <w:rFonts w:ascii="Arial Narrow" w:hAnsi="Arial Narrow" w:cstheme="minorHAnsi"/>
                <w:b/>
                <w:bCs/>
                <w:color w:val="000000"/>
                <w:spacing w:val="2"/>
                <w:sz w:val="20"/>
                <w:shd w:val="solid" w:color="000000" w:fill="000000"/>
                <w:fitText w:val="356" w:id="-961804789"/>
                <w:lang w:val="en-AU"/>
                <w14:textFill>
                  <w14:solidFill>
                    <w14:srgbClr w14:val="000000">
                      <w14:alpha w14:val="100000"/>
                    </w14:srgbClr>
                  </w14:solidFill>
                </w14:textFill>
              </w:rPr>
              <w:t>|</w:t>
            </w:r>
            <w:r w:rsidRPr="00BD19A7">
              <w:rPr>
                <w:rFonts w:ascii="Arial Narrow" w:hAnsi="Arial Narrow" w:cstheme="minorHAnsi"/>
                <w:b/>
                <w:bCs/>
                <w:sz w:val="20"/>
                <w:lang w:val="en-AU"/>
              </w:rPr>
              <w:t>% of patients who may derive benefit from a dose at Week 10</w:t>
            </w:r>
          </w:p>
        </w:tc>
      </w:tr>
      <w:tr w:rsidR="00716441" w:rsidRPr="00BD19A7" w14:paraId="4FFF1FCD" w14:textId="77777777" w:rsidTr="00F04CE9">
        <w:tc>
          <w:tcPr>
            <w:tcW w:w="1468" w:type="pct"/>
          </w:tcPr>
          <w:p w14:paraId="4A116826" w14:textId="77777777" w:rsidR="00716441" w:rsidRPr="00BD19A7" w:rsidRDefault="00716441" w:rsidP="009003F3">
            <w:pPr>
              <w:pStyle w:val="SyneviNormal"/>
              <w:keepNext/>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883" w:type="pct"/>
          </w:tcPr>
          <w:p w14:paraId="18D55046"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300 mg</w:t>
            </w:r>
          </w:p>
        </w:tc>
        <w:tc>
          <w:tcPr>
            <w:tcW w:w="883" w:type="pct"/>
          </w:tcPr>
          <w:p w14:paraId="4A75586F"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12CE6D59"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4" w:type="pct"/>
          </w:tcPr>
          <w:p w14:paraId="1445ACB4" w14:textId="71DC2562"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r w:rsidR="00716441" w:rsidRPr="00BD19A7" w14:paraId="3AB17C69" w14:textId="77777777" w:rsidTr="00953738">
        <w:tc>
          <w:tcPr>
            <w:tcW w:w="5000" w:type="pct"/>
            <w:gridSpan w:val="5"/>
            <w:shd w:val="clear" w:color="auto" w:fill="F2F2F2" w:themeFill="background1" w:themeFillShade="F2"/>
          </w:tcPr>
          <w:p w14:paraId="0973CDF9" w14:textId="3E748AE1" w:rsidR="00716441" w:rsidRPr="00BD19A7" w:rsidRDefault="00716441" w:rsidP="009003F3">
            <w:pPr>
              <w:pStyle w:val="SyneviNormal"/>
              <w:keepNext/>
              <w:spacing w:line="240" w:lineRule="auto"/>
              <w:jc w:val="left"/>
              <w:rPr>
                <w:rFonts w:ascii="Arial Narrow" w:hAnsi="Arial Narrow" w:cstheme="minorHAnsi"/>
                <w:b/>
                <w:bCs/>
                <w:sz w:val="20"/>
                <w:lang w:val="en-AU"/>
              </w:rPr>
            </w:pPr>
            <w:r w:rsidRPr="00BD19A7">
              <w:rPr>
                <w:rFonts w:ascii="Arial Narrow" w:hAnsi="Arial Narrow" w:cstheme="minorHAnsi"/>
                <w:b/>
                <w:bCs/>
                <w:sz w:val="20"/>
                <w:lang w:val="en-AU"/>
              </w:rPr>
              <w:t>Weighted average AEMP under the proposed restriction (</w:t>
            </w:r>
            <w:r w:rsidR="00206A14" w:rsidRPr="00206A14">
              <w:rPr>
                <w:rFonts w:ascii="Arial Narrow" w:hAnsi="Arial Narrow" w:cstheme="minorHAnsi"/>
                <w:b/>
                <w:bCs/>
                <w:color w:val="000000"/>
                <w:spacing w:val="57"/>
                <w:sz w:val="20"/>
                <w:shd w:val="solid" w:color="000000" w:fill="000000"/>
                <w:fitText w:val="355" w:id="-961804788"/>
                <w:lang w:val="en-AU"/>
                <w14:textFill>
                  <w14:solidFill>
                    <w14:srgbClr w14:val="000000">
                      <w14:alpha w14:val="100000"/>
                    </w14:srgbClr>
                  </w14:solidFill>
                </w14:textFill>
              </w:rPr>
              <w:t>|||</w:t>
            </w:r>
            <w:r w:rsidR="00206A14" w:rsidRPr="00206A14">
              <w:rPr>
                <w:rFonts w:ascii="Arial Narrow" w:hAnsi="Arial Narrow" w:cstheme="minorHAnsi"/>
                <w:b/>
                <w:bCs/>
                <w:color w:val="000000"/>
                <w:spacing w:val="1"/>
                <w:sz w:val="20"/>
                <w:shd w:val="solid" w:color="000000" w:fill="000000"/>
                <w:fitText w:val="355" w:id="-961804788"/>
                <w:lang w:val="en-AU"/>
                <w14:textFill>
                  <w14:solidFill>
                    <w14:srgbClr w14:val="000000">
                      <w14:alpha w14:val="100000"/>
                    </w14:srgbClr>
                  </w14:solidFill>
                </w14:textFill>
              </w:rPr>
              <w:t>|</w:t>
            </w:r>
            <w:r w:rsidRPr="00BD19A7">
              <w:rPr>
                <w:rFonts w:ascii="Arial Narrow" w:hAnsi="Arial Narrow" w:cstheme="minorHAnsi"/>
                <w:b/>
                <w:bCs/>
                <w:sz w:val="20"/>
                <w:lang w:val="en-AU"/>
              </w:rPr>
              <w:t>% of patients)</w:t>
            </w:r>
          </w:p>
        </w:tc>
      </w:tr>
      <w:tr w:rsidR="00716441" w:rsidRPr="00BD19A7" w14:paraId="1B442A82" w14:textId="77777777" w:rsidTr="00F04CE9">
        <w:tc>
          <w:tcPr>
            <w:tcW w:w="1468" w:type="pct"/>
          </w:tcPr>
          <w:p w14:paraId="45FE8F67" w14:textId="77777777" w:rsidR="00716441" w:rsidRPr="00BD19A7" w:rsidRDefault="00716441" w:rsidP="009003F3">
            <w:pPr>
              <w:pStyle w:val="SyneviNormal"/>
              <w:keepNext/>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883" w:type="pct"/>
          </w:tcPr>
          <w:p w14:paraId="51D0324A"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300 mg</w:t>
            </w:r>
          </w:p>
        </w:tc>
        <w:tc>
          <w:tcPr>
            <w:tcW w:w="883" w:type="pct"/>
          </w:tcPr>
          <w:p w14:paraId="3B2632D9"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4379933C" w14:textId="77777777"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4" w:type="pct"/>
          </w:tcPr>
          <w:p w14:paraId="2A124DEC" w14:textId="413620A4" w:rsidR="00716441" w:rsidRPr="00BD19A7" w:rsidRDefault="00716441" w:rsidP="009003F3">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bl>
    <w:p w14:paraId="7583A659" w14:textId="77777777" w:rsidR="00810FD4" w:rsidRPr="00BD19A7" w:rsidRDefault="00810FD4" w:rsidP="009003F3">
      <w:pPr>
        <w:pStyle w:val="3-BodyText"/>
        <w:keepNext/>
        <w:numPr>
          <w:ilvl w:val="0"/>
          <w:numId w:val="0"/>
        </w:numPr>
        <w:spacing w:after="0"/>
        <w:rPr>
          <w:rFonts w:ascii="Arial Narrow" w:hAnsi="Arial Narrow"/>
          <w:sz w:val="18"/>
          <w:szCs w:val="18"/>
        </w:rPr>
      </w:pPr>
      <w:r w:rsidRPr="00BD19A7">
        <w:rPr>
          <w:rFonts w:ascii="Arial Narrow" w:hAnsi="Arial Narrow"/>
          <w:sz w:val="18"/>
          <w:szCs w:val="18"/>
        </w:rPr>
        <w:t>Source: Submission main body p16</w:t>
      </w:r>
    </w:p>
    <w:p w14:paraId="33822D09" w14:textId="6C706C5C" w:rsidR="00E05D63" w:rsidRPr="00BD19A7" w:rsidRDefault="00716441" w:rsidP="009003F3">
      <w:pPr>
        <w:pStyle w:val="3-BodyText"/>
        <w:keepNext/>
        <w:numPr>
          <w:ilvl w:val="0"/>
          <w:numId w:val="0"/>
        </w:numPr>
        <w:rPr>
          <w:rFonts w:ascii="Arial Narrow" w:hAnsi="Arial Narrow"/>
          <w:sz w:val="18"/>
          <w:szCs w:val="18"/>
        </w:rPr>
      </w:pPr>
      <w:r w:rsidRPr="00BD19A7">
        <w:rPr>
          <w:rFonts w:ascii="Arial Narrow" w:hAnsi="Arial Narrow"/>
          <w:sz w:val="18"/>
          <w:szCs w:val="18"/>
        </w:rPr>
        <w:t>Abbreviations: Max = maximum, Qty = Quantity, AEMP = Approved Ex-manufacture price, IV = intravenous</w:t>
      </w:r>
    </w:p>
    <w:p w14:paraId="4D260B68" w14:textId="45B0EA36" w:rsidR="00E05D63" w:rsidRPr="00BD19A7" w:rsidRDefault="00E05D63" w:rsidP="00E05D63">
      <w:pPr>
        <w:pStyle w:val="Caption"/>
      </w:pPr>
      <w:bookmarkStart w:id="36" w:name="_Ref159223396"/>
      <w:bookmarkStart w:id="37" w:name="_Ref104805102"/>
      <w:r w:rsidRPr="00BD19A7">
        <w:t xml:space="preserve">Table </w:t>
      </w:r>
      <w:r w:rsidR="007B0FCD">
        <w:fldChar w:fldCharType="begin" w:fldLock="1"/>
      </w:r>
      <w:r w:rsidR="007B0FCD">
        <w:instrText xml:space="preserve"> SEQ Table \* ARABIC </w:instrText>
      </w:r>
      <w:r w:rsidR="007B0FCD">
        <w:fldChar w:fldCharType="separate"/>
      </w:r>
      <w:r w:rsidR="00A56DFE">
        <w:rPr>
          <w:noProof/>
        </w:rPr>
        <w:t>5</w:t>
      </w:r>
      <w:r w:rsidR="007B0FCD">
        <w:rPr>
          <w:noProof/>
        </w:rPr>
        <w:fldChar w:fldCharType="end"/>
      </w:r>
      <w:bookmarkEnd w:id="36"/>
      <w:r w:rsidRPr="00BD19A7">
        <w:t>:</w:t>
      </w:r>
      <w:r w:rsidR="00BD19A7">
        <w:t xml:space="preserve"> </w:t>
      </w:r>
      <w:r w:rsidRPr="00BD19A7">
        <w:t>Cost of medicines at the confidential effective AEMP following PSCR</w:t>
      </w:r>
    </w:p>
    <w:tbl>
      <w:tblPr>
        <w:tblStyle w:val="TableGrid"/>
        <w:tblW w:w="5000" w:type="pct"/>
        <w:tblLook w:val="04A0" w:firstRow="1" w:lastRow="0" w:firstColumn="1" w:lastColumn="0" w:noHBand="0" w:noVBand="1"/>
        <w:tblCaption w:val="Table 5: Cost of medicines at the confidential effective AEMP following PSCR"/>
      </w:tblPr>
      <w:tblGrid>
        <w:gridCol w:w="2648"/>
        <w:gridCol w:w="1593"/>
        <w:gridCol w:w="1592"/>
        <w:gridCol w:w="1592"/>
        <w:gridCol w:w="1592"/>
      </w:tblGrid>
      <w:tr w:rsidR="00E05D63" w:rsidRPr="00BD19A7" w14:paraId="5995FF53" w14:textId="77777777" w:rsidTr="00870C38">
        <w:tc>
          <w:tcPr>
            <w:tcW w:w="1468" w:type="pct"/>
          </w:tcPr>
          <w:p w14:paraId="47906DB9" w14:textId="77777777" w:rsidR="00E05D63" w:rsidRPr="00BD19A7" w:rsidRDefault="00E05D63" w:rsidP="00870C38">
            <w:pPr>
              <w:pStyle w:val="SyneviNormal"/>
              <w:keepNext/>
              <w:spacing w:line="240" w:lineRule="auto"/>
              <w:rPr>
                <w:rFonts w:ascii="Arial Narrow" w:hAnsi="Arial Narrow" w:cstheme="minorHAnsi"/>
                <w:b/>
                <w:bCs/>
                <w:sz w:val="20"/>
                <w:lang w:val="en-AU"/>
              </w:rPr>
            </w:pPr>
          </w:p>
        </w:tc>
        <w:tc>
          <w:tcPr>
            <w:tcW w:w="883" w:type="pct"/>
          </w:tcPr>
          <w:p w14:paraId="0ACE1CFD" w14:textId="77777777" w:rsidR="00E05D63" w:rsidRPr="00BD19A7" w:rsidRDefault="00E05D63" w:rsidP="00870C38">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Strength</w:t>
            </w:r>
          </w:p>
        </w:tc>
        <w:tc>
          <w:tcPr>
            <w:tcW w:w="883" w:type="pct"/>
          </w:tcPr>
          <w:p w14:paraId="203AD407" w14:textId="77777777" w:rsidR="00E05D63" w:rsidRPr="00BD19A7" w:rsidRDefault="00E05D63" w:rsidP="00870C38">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Max Qty (units)</w:t>
            </w:r>
          </w:p>
        </w:tc>
        <w:tc>
          <w:tcPr>
            <w:tcW w:w="883" w:type="pct"/>
          </w:tcPr>
          <w:p w14:paraId="0BE4DA47" w14:textId="77777777" w:rsidR="00E05D63" w:rsidRPr="00BD19A7" w:rsidRDefault="00E05D63" w:rsidP="00870C38">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Max Qty (packs)</w:t>
            </w:r>
          </w:p>
        </w:tc>
        <w:tc>
          <w:tcPr>
            <w:tcW w:w="883" w:type="pct"/>
          </w:tcPr>
          <w:p w14:paraId="65967F14" w14:textId="77777777" w:rsidR="00E05D63" w:rsidRPr="00BD19A7" w:rsidRDefault="00E05D63" w:rsidP="00870C38">
            <w:pPr>
              <w:pStyle w:val="SyneviNormal"/>
              <w:keepNext/>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Effective AEMP</w:t>
            </w:r>
          </w:p>
        </w:tc>
      </w:tr>
      <w:tr w:rsidR="00E05D63" w:rsidRPr="00BD19A7" w14:paraId="0CB03660" w14:textId="77777777" w:rsidTr="00870C38">
        <w:tc>
          <w:tcPr>
            <w:tcW w:w="5000" w:type="pct"/>
            <w:gridSpan w:val="5"/>
            <w:shd w:val="clear" w:color="auto" w:fill="F2F2F2" w:themeFill="background1" w:themeFillShade="F2"/>
          </w:tcPr>
          <w:p w14:paraId="6A7103EB" w14:textId="77777777" w:rsidR="00E05D63" w:rsidRPr="00BD19A7" w:rsidRDefault="00E05D63" w:rsidP="00870C38">
            <w:pPr>
              <w:pStyle w:val="SyneviNormal"/>
              <w:keepNext/>
              <w:spacing w:line="240" w:lineRule="auto"/>
              <w:jc w:val="left"/>
              <w:rPr>
                <w:rFonts w:ascii="Arial Narrow" w:hAnsi="Arial Narrow" w:cstheme="minorHAnsi"/>
                <w:b/>
                <w:bCs/>
                <w:sz w:val="20"/>
                <w:lang w:val="en-AU"/>
              </w:rPr>
            </w:pPr>
            <w:r w:rsidRPr="00BD19A7">
              <w:rPr>
                <w:rFonts w:ascii="Arial Narrow" w:hAnsi="Arial Narrow" w:cstheme="minorHAnsi"/>
                <w:b/>
                <w:bCs/>
                <w:sz w:val="20"/>
                <w:lang w:val="en-AU"/>
              </w:rPr>
              <w:t>AEMP for the current restriction</w:t>
            </w:r>
          </w:p>
        </w:tc>
      </w:tr>
      <w:tr w:rsidR="00E05D63" w:rsidRPr="00BD19A7" w14:paraId="5412B2C9" w14:textId="77777777" w:rsidTr="00870C38">
        <w:tc>
          <w:tcPr>
            <w:tcW w:w="1468" w:type="pct"/>
          </w:tcPr>
          <w:p w14:paraId="5F22B8D8" w14:textId="77777777" w:rsidR="00E05D63" w:rsidRPr="00BD19A7" w:rsidRDefault="00E05D63" w:rsidP="00870C38">
            <w:pPr>
              <w:pStyle w:val="SyneviNormal"/>
              <w:keepNext/>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883" w:type="pct"/>
          </w:tcPr>
          <w:p w14:paraId="521A2A9B"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300 mg</w:t>
            </w:r>
          </w:p>
        </w:tc>
        <w:tc>
          <w:tcPr>
            <w:tcW w:w="883" w:type="pct"/>
          </w:tcPr>
          <w:p w14:paraId="50E16AFA"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72D1DD85"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782C3C50" w14:textId="7557A372"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r w:rsidR="00E05D63" w:rsidRPr="00BD19A7" w14:paraId="7A668FEF" w14:textId="77777777" w:rsidTr="00870C38">
        <w:tc>
          <w:tcPr>
            <w:tcW w:w="5000" w:type="pct"/>
            <w:gridSpan w:val="5"/>
            <w:shd w:val="clear" w:color="auto" w:fill="F2F2F2" w:themeFill="background1" w:themeFillShade="F2"/>
          </w:tcPr>
          <w:p w14:paraId="6C61AE3F" w14:textId="2644EB39" w:rsidR="00E05D63" w:rsidRPr="00BD19A7" w:rsidRDefault="00E05D63" w:rsidP="00870C38">
            <w:pPr>
              <w:pStyle w:val="SyneviNormal"/>
              <w:keepNext/>
              <w:spacing w:line="240" w:lineRule="auto"/>
              <w:jc w:val="left"/>
              <w:rPr>
                <w:rFonts w:ascii="Arial Narrow" w:hAnsi="Arial Narrow" w:cstheme="minorHAnsi"/>
                <w:b/>
                <w:bCs/>
                <w:sz w:val="20"/>
                <w:lang w:val="en-AU"/>
              </w:rPr>
            </w:pPr>
            <w:r w:rsidRPr="00BD19A7">
              <w:rPr>
                <w:rFonts w:ascii="Arial Narrow" w:hAnsi="Arial Narrow" w:cstheme="minorHAnsi"/>
                <w:b/>
                <w:bCs/>
                <w:sz w:val="20"/>
                <w:lang w:val="en-AU"/>
              </w:rPr>
              <w:t xml:space="preserve">AEMP for the </w:t>
            </w:r>
            <w:r w:rsidR="00206A14" w:rsidRPr="00206A14">
              <w:rPr>
                <w:rFonts w:ascii="Arial Narrow" w:hAnsi="Arial Narrow" w:cstheme="minorHAnsi"/>
                <w:b/>
                <w:bCs/>
                <w:color w:val="000000"/>
                <w:spacing w:val="57"/>
                <w:sz w:val="20"/>
                <w:shd w:val="solid" w:color="000000" w:fill="000000"/>
                <w:fitText w:val="356" w:id="-961804787"/>
                <w:lang w:val="en-AU"/>
                <w14:textFill>
                  <w14:solidFill>
                    <w14:srgbClr w14:val="000000">
                      <w14:alpha w14:val="100000"/>
                    </w14:srgbClr>
                  </w14:solidFill>
                </w14:textFill>
              </w:rPr>
              <w:t>|||</w:t>
            </w:r>
            <w:r w:rsidR="00206A14" w:rsidRPr="00206A14">
              <w:rPr>
                <w:rFonts w:ascii="Arial Narrow" w:hAnsi="Arial Narrow" w:cstheme="minorHAnsi"/>
                <w:b/>
                <w:bCs/>
                <w:color w:val="000000"/>
                <w:spacing w:val="2"/>
                <w:sz w:val="20"/>
                <w:shd w:val="solid" w:color="000000" w:fill="000000"/>
                <w:fitText w:val="356" w:id="-961804787"/>
                <w:lang w:val="en-AU"/>
                <w14:textFill>
                  <w14:solidFill>
                    <w14:srgbClr w14:val="000000">
                      <w14:alpha w14:val="100000"/>
                    </w14:srgbClr>
                  </w14:solidFill>
                </w14:textFill>
              </w:rPr>
              <w:t>|</w:t>
            </w:r>
            <w:r w:rsidRPr="00BD19A7">
              <w:rPr>
                <w:rFonts w:ascii="Arial Narrow" w:hAnsi="Arial Narrow" w:cstheme="minorHAnsi"/>
                <w:b/>
                <w:bCs/>
                <w:sz w:val="20"/>
                <w:lang w:val="en-AU"/>
              </w:rPr>
              <w:t>% of patients who may derive benefit from a dose at Week 10</w:t>
            </w:r>
          </w:p>
        </w:tc>
      </w:tr>
      <w:tr w:rsidR="00E05D63" w:rsidRPr="00BD19A7" w14:paraId="31F076F3" w14:textId="77777777" w:rsidTr="00870C38">
        <w:tc>
          <w:tcPr>
            <w:tcW w:w="1468" w:type="pct"/>
          </w:tcPr>
          <w:p w14:paraId="4BACB723" w14:textId="77777777" w:rsidR="00E05D63" w:rsidRPr="00BD19A7" w:rsidRDefault="00E05D63" w:rsidP="00870C38">
            <w:pPr>
              <w:pStyle w:val="SyneviNormal"/>
              <w:keepNext/>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883" w:type="pct"/>
          </w:tcPr>
          <w:p w14:paraId="3BFAA889"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300 mg</w:t>
            </w:r>
          </w:p>
        </w:tc>
        <w:tc>
          <w:tcPr>
            <w:tcW w:w="883" w:type="pct"/>
          </w:tcPr>
          <w:p w14:paraId="1A205C0D"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66780EC0"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26DAC626" w14:textId="21924894"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r w:rsidR="00E05D63" w:rsidRPr="00BD19A7" w14:paraId="0EA6FC5D" w14:textId="77777777" w:rsidTr="00870C38">
        <w:tc>
          <w:tcPr>
            <w:tcW w:w="5000" w:type="pct"/>
            <w:gridSpan w:val="5"/>
            <w:shd w:val="clear" w:color="auto" w:fill="F2F2F2" w:themeFill="background1" w:themeFillShade="F2"/>
          </w:tcPr>
          <w:p w14:paraId="71100544" w14:textId="0F157C59" w:rsidR="00E05D63" w:rsidRPr="00BD19A7" w:rsidRDefault="00E05D63" w:rsidP="00870C38">
            <w:pPr>
              <w:pStyle w:val="SyneviNormal"/>
              <w:keepNext/>
              <w:spacing w:line="240" w:lineRule="auto"/>
              <w:jc w:val="left"/>
              <w:rPr>
                <w:rFonts w:ascii="Arial Narrow" w:hAnsi="Arial Narrow" w:cstheme="minorHAnsi"/>
                <w:b/>
                <w:bCs/>
                <w:sz w:val="20"/>
                <w:lang w:val="en-AU"/>
              </w:rPr>
            </w:pPr>
            <w:r w:rsidRPr="00BD19A7">
              <w:rPr>
                <w:rFonts w:ascii="Arial Narrow" w:hAnsi="Arial Narrow" w:cstheme="minorHAnsi"/>
                <w:b/>
                <w:bCs/>
                <w:sz w:val="20"/>
                <w:lang w:val="en-AU"/>
              </w:rPr>
              <w:t>Weighted average AEMP under the proposed restriction (</w:t>
            </w:r>
            <w:r w:rsidR="00206A14" w:rsidRPr="00206A14">
              <w:rPr>
                <w:rFonts w:ascii="Arial Narrow" w:hAnsi="Arial Narrow" w:cstheme="minorHAnsi"/>
                <w:b/>
                <w:bCs/>
                <w:color w:val="000000"/>
                <w:spacing w:val="57"/>
                <w:sz w:val="20"/>
                <w:shd w:val="solid" w:color="000000" w:fill="000000"/>
                <w:fitText w:val="355" w:id="-961804786"/>
                <w:lang w:val="en-AU"/>
                <w14:textFill>
                  <w14:solidFill>
                    <w14:srgbClr w14:val="000000">
                      <w14:alpha w14:val="100000"/>
                    </w14:srgbClr>
                  </w14:solidFill>
                </w14:textFill>
              </w:rPr>
              <w:t>|||</w:t>
            </w:r>
            <w:r w:rsidR="00206A14" w:rsidRPr="00206A14">
              <w:rPr>
                <w:rFonts w:ascii="Arial Narrow" w:hAnsi="Arial Narrow" w:cstheme="minorHAnsi"/>
                <w:b/>
                <w:bCs/>
                <w:color w:val="000000"/>
                <w:spacing w:val="1"/>
                <w:sz w:val="20"/>
                <w:shd w:val="solid" w:color="000000" w:fill="000000"/>
                <w:fitText w:val="355" w:id="-961804786"/>
                <w:lang w:val="en-AU"/>
                <w14:textFill>
                  <w14:solidFill>
                    <w14:srgbClr w14:val="000000">
                      <w14:alpha w14:val="100000"/>
                    </w14:srgbClr>
                  </w14:solidFill>
                </w14:textFill>
              </w:rPr>
              <w:t>|</w:t>
            </w:r>
            <w:r w:rsidRPr="00BD19A7">
              <w:rPr>
                <w:rFonts w:ascii="Arial Narrow" w:hAnsi="Arial Narrow" w:cstheme="minorHAnsi"/>
                <w:b/>
                <w:bCs/>
                <w:sz w:val="20"/>
                <w:lang w:val="en-AU"/>
              </w:rPr>
              <w:t>% of patients)</w:t>
            </w:r>
          </w:p>
        </w:tc>
      </w:tr>
      <w:tr w:rsidR="00E05D63" w:rsidRPr="00BD19A7" w14:paraId="5D9D6F60" w14:textId="77777777" w:rsidTr="00870C38">
        <w:tc>
          <w:tcPr>
            <w:tcW w:w="1468" w:type="pct"/>
          </w:tcPr>
          <w:p w14:paraId="372C3C99" w14:textId="77777777" w:rsidR="00E05D63" w:rsidRPr="00BD19A7" w:rsidRDefault="00E05D63" w:rsidP="00870C38">
            <w:pPr>
              <w:pStyle w:val="SyneviNormal"/>
              <w:keepNext/>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883" w:type="pct"/>
          </w:tcPr>
          <w:p w14:paraId="371D97FE"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300 mg</w:t>
            </w:r>
          </w:p>
        </w:tc>
        <w:tc>
          <w:tcPr>
            <w:tcW w:w="883" w:type="pct"/>
          </w:tcPr>
          <w:p w14:paraId="055CC005"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523F4400" w14:textId="77777777"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1</w:t>
            </w:r>
          </w:p>
        </w:tc>
        <w:tc>
          <w:tcPr>
            <w:tcW w:w="883" w:type="pct"/>
          </w:tcPr>
          <w:p w14:paraId="60209914" w14:textId="1B74517E" w:rsidR="00E05D63" w:rsidRPr="00BD19A7" w:rsidRDefault="00E05D63" w:rsidP="00870C38">
            <w:pPr>
              <w:pStyle w:val="SyneviNormal"/>
              <w:keepNext/>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bl>
    <w:p w14:paraId="7BC6B147" w14:textId="77777777" w:rsidR="00E05D63" w:rsidRPr="00BD19A7" w:rsidRDefault="00E05D63" w:rsidP="00E05D63">
      <w:pPr>
        <w:pStyle w:val="3-BodyText"/>
        <w:keepNext/>
        <w:numPr>
          <w:ilvl w:val="0"/>
          <w:numId w:val="0"/>
        </w:numPr>
        <w:spacing w:after="0"/>
        <w:rPr>
          <w:rFonts w:ascii="Arial Narrow" w:hAnsi="Arial Narrow"/>
          <w:sz w:val="18"/>
          <w:szCs w:val="18"/>
        </w:rPr>
      </w:pPr>
      <w:r w:rsidRPr="00BD19A7">
        <w:rPr>
          <w:rFonts w:ascii="Arial Narrow" w:hAnsi="Arial Narrow"/>
          <w:sz w:val="18"/>
          <w:szCs w:val="18"/>
        </w:rPr>
        <w:t>Source: Submission main body p16</w:t>
      </w:r>
    </w:p>
    <w:p w14:paraId="694C9003" w14:textId="14CBFB11" w:rsidR="00E05D63" w:rsidRPr="00BD19A7" w:rsidRDefault="00E05D63" w:rsidP="00E05D63">
      <w:pPr>
        <w:pStyle w:val="3-BodyText"/>
        <w:keepNext/>
        <w:numPr>
          <w:ilvl w:val="0"/>
          <w:numId w:val="0"/>
        </w:numPr>
      </w:pPr>
      <w:r w:rsidRPr="00BD19A7">
        <w:rPr>
          <w:rFonts w:ascii="Arial Narrow" w:hAnsi="Arial Narrow"/>
          <w:sz w:val="18"/>
          <w:szCs w:val="18"/>
        </w:rPr>
        <w:t>Abbreviations: Max = maximum, Qty = Quantity, AEMP = Approved Ex-manufacture price, IV = intravenous</w:t>
      </w:r>
    </w:p>
    <w:p w14:paraId="71C39D5A" w14:textId="152C8DE7" w:rsidR="00E46A23" w:rsidRPr="00BD19A7" w:rsidRDefault="00E46A23" w:rsidP="00E46A23">
      <w:pPr>
        <w:pStyle w:val="3-BodyText"/>
      </w:pPr>
      <w:r w:rsidRPr="00BD19A7">
        <w:t xml:space="preserve">Over </w:t>
      </w:r>
      <w:r w:rsidR="001737EF" w:rsidRPr="00BD19A7">
        <w:t xml:space="preserve">the </w:t>
      </w:r>
      <w:r w:rsidRPr="00BD19A7">
        <w:t xml:space="preserve">2-year </w:t>
      </w:r>
      <w:r w:rsidR="001737EF" w:rsidRPr="00BD19A7">
        <w:t>time horizon</w:t>
      </w:r>
      <w:r w:rsidRPr="00BD19A7">
        <w:t>, patients under the current PBS restriction require a total 14.25 administrations</w:t>
      </w:r>
      <w:r w:rsidR="001737EF" w:rsidRPr="00BD19A7">
        <w:t>,</w:t>
      </w:r>
      <w:r w:rsidRPr="00BD19A7">
        <w:t xml:space="preserve"> whereas 15.25 administrations </w:t>
      </w:r>
      <w:r w:rsidR="001737EF" w:rsidRPr="00BD19A7">
        <w:t xml:space="preserve">are required </w:t>
      </w:r>
      <w:r w:rsidRPr="00BD19A7">
        <w:t xml:space="preserve">under the proposed restriction. </w:t>
      </w:r>
    </w:p>
    <w:p w14:paraId="4BAE2A8E" w14:textId="2D59B5AC" w:rsidR="005D284B" w:rsidRPr="00BD19A7" w:rsidRDefault="005D284B" w:rsidP="005D284B">
      <w:pPr>
        <w:pStyle w:val="Caption"/>
      </w:pPr>
      <w:bookmarkStart w:id="38" w:name="_Ref158622809"/>
      <w:r w:rsidRPr="00BD19A7">
        <w:t xml:space="preserve">Table </w:t>
      </w:r>
      <w:r w:rsidR="007B0FCD">
        <w:fldChar w:fldCharType="begin" w:fldLock="1"/>
      </w:r>
      <w:r w:rsidR="007B0FCD">
        <w:instrText xml:space="preserve"> SEQ Table \* ARABIC </w:instrText>
      </w:r>
      <w:r w:rsidR="007B0FCD">
        <w:fldChar w:fldCharType="separate"/>
      </w:r>
      <w:r w:rsidR="00A56DFE">
        <w:rPr>
          <w:noProof/>
        </w:rPr>
        <w:t>6</w:t>
      </w:r>
      <w:r w:rsidR="007B0FCD">
        <w:rPr>
          <w:noProof/>
        </w:rPr>
        <w:fldChar w:fldCharType="end"/>
      </w:r>
      <w:bookmarkEnd w:id="38"/>
      <w:r w:rsidRPr="00BD19A7">
        <w:t>: C</w:t>
      </w:r>
      <w:r w:rsidR="00B41524" w:rsidRPr="00BD19A7">
        <w:t>ost minimisation approach</w:t>
      </w:r>
      <w:r w:rsidRPr="00BD19A7">
        <w:t xml:space="preserve"> – Additional dose at Week 10 versus current PBS dosing schedule</w:t>
      </w:r>
    </w:p>
    <w:tbl>
      <w:tblPr>
        <w:tblStyle w:val="List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6: Cost minimisation approach – Additional dose at Week 10 versus current PBS dosing schedule"/>
      </w:tblPr>
      <w:tblGrid>
        <w:gridCol w:w="3991"/>
        <w:gridCol w:w="2512"/>
        <w:gridCol w:w="2514"/>
      </w:tblGrid>
      <w:tr w:rsidR="005D284B" w:rsidRPr="00BD19A7" w14:paraId="5A195548" w14:textId="77777777" w:rsidTr="005D284B">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91" w:type="dxa"/>
            <w:tcBorders>
              <w:top w:val="single" w:sz="4" w:space="0" w:color="auto"/>
              <w:left w:val="single" w:sz="4" w:space="0" w:color="auto"/>
              <w:bottom w:val="single" w:sz="4" w:space="0" w:color="auto"/>
            </w:tcBorders>
            <w:shd w:val="clear" w:color="auto" w:fill="F2F2F2" w:themeFill="background1" w:themeFillShade="F2"/>
          </w:tcPr>
          <w:p w14:paraId="73A363B9" w14:textId="77777777" w:rsidR="005D284B" w:rsidRPr="00BD19A7" w:rsidRDefault="005D284B" w:rsidP="005D284B">
            <w:pPr>
              <w:pStyle w:val="NoSpacing"/>
              <w:keepNext/>
              <w:rPr>
                <w:rFonts w:ascii="Arial Narrow" w:hAnsi="Arial Narrow" w:cstheme="minorHAnsi"/>
                <w:color w:val="auto"/>
                <w:sz w:val="20"/>
                <w:szCs w:val="20"/>
                <w:lang w:val="en-AU"/>
              </w:rPr>
            </w:pPr>
          </w:p>
        </w:tc>
        <w:tc>
          <w:tcPr>
            <w:tcW w:w="2512" w:type="dxa"/>
            <w:tcBorders>
              <w:top w:val="single" w:sz="4" w:space="0" w:color="auto"/>
              <w:bottom w:val="single" w:sz="4" w:space="0" w:color="auto"/>
            </w:tcBorders>
            <w:shd w:val="clear" w:color="auto" w:fill="F2F2F2" w:themeFill="background1" w:themeFillShade="F2"/>
          </w:tcPr>
          <w:p w14:paraId="5E359DC0" w14:textId="77777777" w:rsidR="005D284B" w:rsidRPr="00BD19A7" w:rsidRDefault="005D284B" w:rsidP="005D284B">
            <w:pPr>
              <w:pStyle w:val="NoSpacing"/>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20"/>
                <w:szCs w:val="20"/>
                <w:lang w:val="en-AU"/>
              </w:rPr>
            </w:pPr>
            <w:r w:rsidRPr="00BD19A7">
              <w:rPr>
                <w:rFonts w:ascii="Arial Narrow" w:hAnsi="Arial Narrow" w:cstheme="minorHAnsi"/>
                <w:color w:val="auto"/>
                <w:sz w:val="20"/>
                <w:szCs w:val="20"/>
                <w:lang w:val="en-AU"/>
              </w:rPr>
              <w:t>PBS dosing schedule</w:t>
            </w:r>
          </w:p>
        </w:tc>
        <w:tc>
          <w:tcPr>
            <w:tcW w:w="2514" w:type="dxa"/>
            <w:tcBorders>
              <w:top w:val="single" w:sz="4" w:space="0" w:color="auto"/>
              <w:bottom w:val="single" w:sz="4" w:space="0" w:color="auto"/>
              <w:right w:val="single" w:sz="4" w:space="0" w:color="auto"/>
            </w:tcBorders>
            <w:shd w:val="clear" w:color="auto" w:fill="F2F2F2" w:themeFill="background1" w:themeFillShade="F2"/>
          </w:tcPr>
          <w:p w14:paraId="49F1BE2B" w14:textId="77777777" w:rsidR="005D284B" w:rsidRPr="00BD19A7" w:rsidRDefault="005D284B" w:rsidP="005D284B">
            <w:pPr>
              <w:pStyle w:val="NoSpacing"/>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color w:val="auto"/>
                <w:sz w:val="20"/>
                <w:szCs w:val="20"/>
                <w:lang w:val="en-AU"/>
              </w:rPr>
            </w:pPr>
            <w:r w:rsidRPr="00BD19A7">
              <w:rPr>
                <w:rFonts w:ascii="Arial Narrow" w:hAnsi="Arial Narrow" w:cstheme="minorHAnsi"/>
                <w:color w:val="auto"/>
                <w:sz w:val="20"/>
                <w:szCs w:val="20"/>
                <w:lang w:val="en-AU"/>
              </w:rPr>
              <w:t>Additional dose at Week 10</w:t>
            </w:r>
          </w:p>
        </w:tc>
      </w:tr>
      <w:tr w:rsidR="005D284B" w:rsidRPr="00BD19A7" w14:paraId="2A9131DB" w14:textId="77777777" w:rsidTr="005D284B">
        <w:trPr>
          <w:trHeight w:val="60"/>
        </w:trPr>
        <w:tc>
          <w:tcPr>
            <w:cnfStyle w:val="001000000000" w:firstRow="0" w:lastRow="0" w:firstColumn="1" w:lastColumn="0" w:oddVBand="0" w:evenVBand="0" w:oddHBand="0" w:evenHBand="0" w:firstRowFirstColumn="0" w:firstRowLastColumn="0" w:lastRowFirstColumn="0" w:lastRowLastColumn="0"/>
            <w:tcW w:w="3991" w:type="dxa"/>
          </w:tcPr>
          <w:p w14:paraId="18E986F2" w14:textId="77777777" w:rsidR="005D284B" w:rsidRPr="00BD19A7" w:rsidRDefault="005D284B" w:rsidP="005D284B">
            <w:pPr>
              <w:pStyle w:val="NoSpacing"/>
              <w:keepNext/>
              <w:rPr>
                <w:rFonts w:ascii="Arial Narrow" w:hAnsi="Arial Narrow" w:cstheme="minorHAnsi"/>
                <w:b w:val="0"/>
                <w:bCs w:val="0"/>
                <w:sz w:val="20"/>
                <w:szCs w:val="20"/>
                <w:lang w:val="en-AU"/>
              </w:rPr>
            </w:pPr>
            <w:r w:rsidRPr="00BD19A7">
              <w:rPr>
                <w:rFonts w:ascii="Arial Narrow" w:hAnsi="Arial Narrow" w:cstheme="minorHAnsi"/>
                <w:b w:val="0"/>
                <w:bCs w:val="0"/>
                <w:sz w:val="20"/>
                <w:szCs w:val="20"/>
                <w:lang w:val="en-AU"/>
              </w:rPr>
              <w:t>Initial treatment AEMP</w:t>
            </w:r>
          </w:p>
        </w:tc>
        <w:tc>
          <w:tcPr>
            <w:tcW w:w="2512" w:type="dxa"/>
          </w:tcPr>
          <w:p w14:paraId="51EAB8F2" w14:textId="548D697B"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tc>
        <w:tc>
          <w:tcPr>
            <w:tcW w:w="2514" w:type="dxa"/>
          </w:tcPr>
          <w:p w14:paraId="34C5FD3F" w14:textId="73C39940"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tc>
      </w:tr>
      <w:tr w:rsidR="005D284B" w:rsidRPr="00BD19A7" w14:paraId="6B3A5752" w14:textId="77777777" w:rsidTr="005D284B">
        <w:trPr>
          <w:trHeight w:val="60"/>
        </w:trPr>
        <w:tc>
          <w:tcPr>
            <w:cnfStyle w:val="001000000000" w:firstRow="0" w:lastRow="0" w:firstColumn="1" w:lastColumn="0" w:oddVBand="0" w:evenVBand="0" w:oddHBand="0" w:evenHBand="0" w:firstRowFirstColumn="0" w:firstRowLastColumn="0" w:lastRowFirstColumn="0" w:lastRowLastColumn="0"/>
            <w:tcW w:w="3991" w:type="dxa"/>
          </w:tcPr>
          <w:p w14:paraId="1F325B7A" w14:textId="77777777" w:rsidR="005D284B" w:rsidRPr="00BD19A7" w:rsidRDefault="005D284B" w:rsidP="005D284B">
            <w:pPr>
              <w:pStyle w:val="NoSpacing"/>
              <w:keepNext/>
              <w:rPr>
                <w:rFonts w:ascii="Arial Narrow" w:hAnsi="Arial Narrow" w:cstheme="minorHAnsi"/>
                <w:b w:val="0"/>
                <w:bCs w:val="0"/>
                <w:sz w:val="20"/>
                <w:szCs w:val="20"/>
                <w:lang w:val="en-AU"/>
              </w:rPr>
            </w:pPr>
            <w:r w:rsidRPr="00BD19A7">
              <w:rPr>
                <w:rFonts w:ascii="Arial Narrow" w:hAnsi="Arial Narrow" w:cstheme="minorHAnsi"/>
                <w:b w:val="0"/>
                <w:bCs w:val="0"/>
                <w:sz w:val="20"/>
                <w:szCs w:val="20"/>
                <w:lang w:val="en-AU"/>
              </w:rPr>
              <w:t>Cost of infusion</w:t>
            </w:r>
          </w:p>
        </w:tc>
        <w:tc>
          <w:tcPr>
            <w:tcW w:w="2512" w:type="dxa"/>
          </w:tcPr>
          <w:p w14:paraId="69EC24A5" w14:textId="77777777"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$91.25</w:t>
            </w:r>
          </w:p>
        </w:tc>
        <w:tc>
          <w:tcPr>
            <w:tcW w:w="2514" w:type="dxa"/>
          </w:tcPr>
          <w:p w14:paraId="2346B92A" w14:textId="77777777"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$91.25</w:t>
            </w:r>
          </w:p>
        </w:tc>
      </w:tr>
      <w:tr w:rsidR="005D284B" w:rsidRPr="00BD19A7" w14:paraId="45DF3559" w14:textId="77777777" w:rsidTr="005D284B">
        <w:trPr>
          <w:trHeight w:val="60"/>
        </w:trPr>
        <w:tc>
          <w:tcPr>
            <w:cnfStyle w:val="001000000000" w:firstRow="0" w:lastRow="0" w:firstColumn="1" w:lastColumn="0" w:oddVBand="0" w:evenVBand="0" w:oddHBand="0" w:evenHBand="0" w:firstRowFirstColumn="0" w:firstRowLastColumn="0" w:lastRowFirstColumn="0" w:lastRowLastColumn="0"/>
            <w:tcW w:w="3991" w:type="dxa"/>
          </w:tcPr>
          <w:p w14:paraId="3834E78A" w14:textId="77777777" w:rsidR="005D284B" w:rsidRPr="00BD19A7" w:rsidRDefault="005D284B" w:rsidP="005D284B">
            <w:pPr>
              <w:pStyle w:val="NoSpacing"/>
              <w:keepNext/>
              <w:rPr>
                <w:rFonts w:ascii="Arial Narrow" w:hAnsi="Arial Narrow" w:cstheme="minorHAnsi"/>
                <w:b w:val="0"/>
                <w:bCs w:val="0"/>
                <w:sz w:val="20"/>
                <w:szCs w:val="20"/>
                <w:lang w:val="en-AU"/>
              </w:rPr>
            </w:pPr>
            <w:r w:rsidRPr="00BD19A7">
              <w:rPr>
                <w:rFonts w:ascii="Arial Narrow" w:hAnsi="Arial Narrow" w:cstheme="minorHAnsi"/>
                <w:b w:val="0"/>
                <w:bCs w:val="0"/>
                <w:sz w:val="20"/>
                <w:szCs w:val="20"/>
                <w:lang w:val="en-AU"/>
              </w:rPr>
              <w:t>Cost per administration</w:t>
            </w:r>
          </w:p>
        </w:tc>
        <w:tc>
          <w:tcPr>
            <w:tcW w:w="2512" w:type="dxa"/>
          </w:tcPr>
          <w:p w14:paraId="60A3719F" w14:textId="437B189B"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tc>
        <w:tc>
          <w:tcPr>
            <w:tcW w:w="2514" w:type="dxa"/>
          </w:tcPr>
          <w:p w14:paraId="794ACE74" w14:textId="41BEC804"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tc>
      </w:tr>
      <w:tr w:rsidR="005D284B" w:rsidRPr="00BD19A7" w14:paraId="6C675FFB" w14:textId="77777777" w:rsidTr="00870C38">
        <w:tc>
          <w:tcPr>
            <w:cnfStyle w:val="001000000000" w:firstRow="0" w:lastRow="0" w:firstColumn="1" w:lastColumn="0" w:oddVBand="0" w:evenVBand="0" w:oddHBand="0" w:evenHBand="0" w:firstRowFirstColumn="0" w:firstRowLastColumn="0" w:lastRowFirstColumn="0" w:lastRowLastColumn="0"/>
            <w:tcW w:w="3991" w:type="dxa"/>
          </w:tcPr>
          <w:p w14:paraId="1F0E5EE4" w14:textId="77777777" w:rsidR="005D284B" w:rsidRPr="00BD19A7" w:rsidRDefault="005D284B" w:rsidP="005D284B">
            <w:pPr>
              <w:pStyle w:val="NoSpacing"/>
              <w:keepNext/>
              <w:rPr>
                <w:rFonts w:ascii="Arial Narrow" w:hAnsi="Arial Narrow" w:cstheme="minorHAnsi"/>
                <w:b w:val="0"/>
                <w:bCs w:val="0"/>
                <w:sz w:val="20"/>
                <w:szCs w:val="20"/>
                <w:lang w:val="en-AU"/>
              </w:rPr>
            </w:pPr>
            <w:r w:rsidRPr="00BD19A7">
              <w:rPr>
                <w:rFonts w:ascii="Arial Narrow" w:hAnsi="Arial Narrow" w:cstheme="minorHAnsi"/>
                <w:b w:val="0"/>
                <w:bCs w:val="0"/>
                <w:sz w:val="20"/>
                <w:szCs w:val="20"/>
                <w:lang w:val="en-AU"/>
              </w:rPr>
              <w:t>Administration initial treatment period</w:t>
            </w:r>
          </w:p>
        </w:tc>
        <w:tc>
          <w:tcPr>
            <w:tcW w:w="2512" w:type="dxa"/>
          </w:tcPr>
          <w:p w14:paraId="055B1637" w14:textId="77777777"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3</w:t>
            </w:r>
          </w:p>
        </w:tc>
        <w:tc>
          <w:tcPr>
            <w:tcW w:w="2514" w:type="dxa"/>
          </w:tcPr>
          <w:p w14:paraId="126FF71A" w14:textId="77777777"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4</w:t>
            </w:r>
          </w:p>
        </w:tc>
      </w:tr>
      <w:tr w:rsidR="005D284B" w:rsidRPr="00BD19A7" w14:paraId="4E668A66" w14:textId="77777777" w:rsidTr="00870C38">
        <w:tc>
          <w:tcPr>
            <w:cnfStyle w:val="001000000000" w:firstRow="0" w:lastRow="0" w:firstColumn="1" w:lastColumn="0" w:oddVBand="0" w:evenVBand="0" w:oddHBand="0" w:evenHBand="0" w:firstRowFirstColumn="0" w:firstRowLastColumn="0" w:lastRowFirstColumn="0" w:lastRowLastColumn="0"/>
            <w:tcW w:w="3991" w:type="dxa"/>
          </w:tcPr>
          <w:p w14:paraId="54DA2195" w14:textId="77777777" w:rsidR="005D284B" w:rsidRPr="00BD19A7" w:rsidRDefault="005D284B" w:rsidP="005D284B">
            <w:pPr>
              <w:pStyle w:val="NoSpacing"/>
              <w:keepNext/>
              <w:rPr>
                <w:rFonts w:ascii="Arial Narrow" w:hAnsi="Arial Narrow" w:cstheme="minorHAnsi"/>
                <w:b w:val="0"/>
                <w:bCs w:val="0"/>
                <w:sz w:val="20"/>
                <w:szCs w:val="20"/>
                <w:lang w:val="en-AU"/>
              </w:rPr>
            </w:pPr>
            <w:r w:rsidRPr="00BD19A7">
              <w:rPr>
                <w:rFonts w:ascii="Arial Narrow" w:hAnsi="Arial Narrow" w:cstheme="minorHAnsi"/>
                <w:b w:val="0"/>
                <w:bCs w:val="0"/>
                <w:sz w:val="20"/>
                <w:szCs w:val="20"/>
                <w:lang w:val="en-AU"/>
              </w:rPr>
              <w:t>Total cost of initial treatment period</w:t>
            </w:r>
          </w:p>
        </w:tc>
        <w:tc>
          <w:tcPr>
            <w:tcW w:w="2512" w:type="dxa"/>
          </w:tcPr>
          <w:p w14:paraId="4F4745A4" w14:textId="61B156AE"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p w14:paraId="7C478FB9" w14:textId="3339459A"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(3 x $</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r w:rsidRPr="00BD19A7">
              <w:rPr>
                <w:rFonts w:ascii="Arial Narrow" w:hAnsi="Arial Narrow" w:cstheme="minorHAnsi"/>
                <w:sz w:val="20"/>
                <w:szCs w:val="20"/>
                <w:lang w:val="en-AU"/>
              </w:rPr>
              <w:t>)</w:t>
            </w:r>
          </w:p>
        </w:tc>
        <w:tc>
          <w:tcPr>
            <w:tcW w:w="2514" w:type="dxa"/>
          </w:tcPr>
          <w:p w14:paraId="6061A2AB" w14:textId="3DF72E6A"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p>
          <w:p w14:paraId="1CAA5AB5" w14:textId="7E217C29" w:rsidR="005D284B" w:rsidRPr="00BD19A7" w:rsidRDefault="005D284B" w:rsidP="005D284B">
            <w:pPr>
              <w:pStyle w:val="NoSpacing"/>
              <w:keepNext/>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lang w:val="en-AU"/>
              </w:rPr>
            </w:pPr>
            <w:r w:rsidRPr="00BD19A7">
              <w:rPr>
                <w:rFonts w:ascii="Arial Narrow" w:hAnsi="Arial Narrow" w:cstheme="minorHAnsi"/>
                <w:sz w:val="20"/>
                <w:szCs w:val="20"/>
                <w:lang w:val="en-AU"/>
              </w:rPr>
              <w:t>(4 x $</w:t>
            </w:r>
            <w:r w:rsidR="00206A14" w:rsidRPr="00206A14">
              <w:rPr>
                <w:rFonts w:ascii="Arial Narrow" w:hAnsi="Arial Narrow" w:cstheme="minorHAnsi"/>
                <w:color w:val="000000"/>
                <w:sz w:val="20"/>
                <w:szCs w:val="20"/>
                <w:shd w:val="solid" w:color="000000" w:fill="000000"/>
                <w:lang w:val="en-AU"/>
                <w14:textFill>
                  <w14:solidFill>
                    <w14:srgbClr w14:val="000000">
                      <w14:alpha w14:val="100000"/>
                    </w14:srgbClr>
                  </w14:solidFill>
                </w14:textFill>
              </w:rPr>
              <w:t>|</w:t>
            </w:r>
            <w:r w:rsidRPr="00BD19A7">
              <w:rPr>
                <w:rFonts w:ascii="Arial Narrow" w:hAnsi="Arial Narrow" w:cstheme="minorHAnsi"/>
                <w:sz w:val="20"/>
                <w:szCs w:val="20"/>
                <w:lang w:val="en-AU"/>
              </w:rPr>
              <w:t>)</w:t>
            </w:r>
          </w:p>
        </w:tc>
      </w:tr>
    </w:tbl>
    <w:p w14:paraId="3B143E54" w14:textId="2848004E" w:rsidR="005D284B" w:rsidRPr="00BD19A7" w:rsidRDefault="005D284B" w:rsidP="00547B4E">
      <w:pPr>
        <w:widowControl w:val="0"/>
        <w:spacing w:after="120"/>
        <w:rPr>
          <w:rFonts w:ascii="Arial Narrow" w:eastAsia="Calibri" w:hAnsi="Arial Narrow"/>
          <w:bCs/>
          <w:sz w:val="18"/>
          <w:szCs w:val="18"/>
        </w:rPr>
      </w:pPr>
      <w:r w:rsidRPr="00BD19A7">
        <w:rPr>
          <w:rFonts w:ascii="Arial Narrow" w:eastAsia="Calibri" w:hAnsi="Arial Narrow"/>
          <w:bCs/>
          <w:sz w:val="18"/>
          <w:szCs w:val="18"/>
        </w:rPr>
        <w:t>Source: Pre-Sub-Committee Response p3</w:t>
      </w:r>
    </w:p>
    <w:p w14:paraId="050D3F7B" w14:textId="003CEE65" w:rsidR="004E1E7F" w:rsidRPr="00BD19A7" w:rsidRDefault="004E1E7F" w:rsidP="00547B4E">
      <w:pPr>
        <w:pStyle w:val="Caption"/>
      </w:pPr>
      <w:r w:rsidRPr="00BD19A7">
        <w:lastRenderedPageBreak/>
        <w:t xml:space="preserve">Table </w:t>
      </w:r>
      <w:r w:rsidR="007B0FCD">
        <w:fldChar w:fldCharType="begin" w:fldLock="1"/>
      </w:r>
      <w:r w:rsidR="007B0FCD">
        <w:instrText xml:space="preserve"> SEQ Table \* ARABIC </w:instrText>
      </w:r>
      <w:r w:rsidR="007B0FCD">
        <w:fldChar w:fldCharType="separate"/>
      </w:r>
      <w:r w:rsidR="00A56DFE">
        <w:rPr>
          <w:noProof/>
        </w:rPr>
        <w:t>7</w:t>
      </w:r>
      <w:r w:rsidR="007B0FCD">
        <w:rPr>
          <w:noProof/>
        </w:rPr>
        <w:fldChar w:fldCharType="end"/>
      </w:r>
      <w:r w:rsidRPr="00BD19A7">
        <w:t xml:space="preserve">: Cost minimisation </w:t>
      </w:r>
      <w:r w:rsidR="00B41524" w:rsidRPr="00BD19A7">
        <w:t xml:space="preserve">approach </w:t>
      </w:r>
      <w:r w:rsidR="005D284B" w:rsidRPr="00BD19A7">
        <w:t>over 2 years</w:t>
      </w:r>
    </w:p>
    <w:tbl>
      <w:tblPr>
        <w:tblStyle w:val="TableGrid"/>
        <w:tblW w:w="5000" w:type="pct"/>
        <w:tblLook w:val="04A0" w:firstRow="1" w:lastRow="0" w:firstColumn="1" w:lastColumn="0" w:noHBand="0" w:noVBand="1"/>
        <w:tblCaption w:val="Table 7: Cost minimisation approach over 2 years"/>
      </w:tblPr>
      <w:tblGrid>
        <w:gridCol w:w="2546"/>
        <w:gridCol w:w="2157"/>
        <w:gridCol w:w="2238"/>
        <w:gridCol w:w="2076"/>
      </w:tblGrid>
      <w:tr w:rsidR="004E1E7F" w:rsidRPr="00BD19A7" w14:paraId="64757542" w14:textId="77777777" w:rsidTr="00547B4E">
        <w:tc>
          <w:tcPr>
            <w:tcW w:w="1412" w:type="pct"/>
            <w:shd w:val="clear" w:color="auto" w:fill="F2F2F2" w:themeFill="background1" w:themeFillShade="F2"/>
          </w:tcPr>
          <w:p w14:paraId="6848FF50" w14:textId="77777777" w:rsidR="004E1E7F" w:rsidRPr="00BD19A7" w:rsidRDefault="004E1E7F" w:rsidP="00547B4E">
            <w:pPr>
              <w:pStyle w:val="SyneviNormal"/>
              <w:keepNext/>
              <w:keepLines/>
              <w:spacing w:line="240" w:lineRule="auto"/>
              <w:rPr>
                <w:rFonts w:ascii="Arial Narrow" w:hAnsi="Arial Narrow" w:cstheme="minorHAnsi"/>
                <w:b/>
                <w:bCs/>
                <w:sz w:val="20"/>
                <w:lang w:val="en-AU"/>
              </w:rPr>
            </w:pPr>
          </w:p>
        </w:tc>
        <w:tc>
          <w:tcPr>
            <w:tcW w:w="1196" w:type="pct"/>
            <w:shd w:val="clear" w:color="auto" w:fill="F2F2F2" w:themeFill="background1" w:themeFillShade="F2"/>
          </w:tcPr>
          <w:p w14:paraId="537791A7" w14:textId="77777777" w:rsidR="004E1E7F" w:rsidRPr="00BD19A7" w:rsidRDefault="004E1E7F" w:rsidP="00547B4E">
            <w:pPr>
              <w:pStyle w:val="SyneviNormal"/>
              <w:keepNext/>
              <w:keepLines/>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Current PBS restriction</w:t>
            </w:r>
          </w:p>
          <w:p w14:paraId="2D1B9B98" w14:textId="7F5BF69D" w:rsidR="004E1E7F" w:rsidRPr="00BD19A7" w:rsidRDefault="004E1E7F" w:rsidP="00547B4E">
            <w:pPr>
              <w:pStyle w:val="SyneviNormal"/>
              <w:keepNext/>
              <w:keepLines/>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w:t>
            </w:r>
            <w:r w:rsidR="00E05D63" w:rsidRPr="00BD19A7">
              <w:rPr>
                <w:rFonts w:ascii="Arial Narrow" w:hAnsi="Arial Narrow" w:cstheme="minorHAnsi"/>
                <w:b/>
                <w:bCs/>
                <w:sz w:val="20"/>
                <w:lang w:val="en-AU"/>
              </w:rPr>
              <w:t xml:space="preserve">14.25 * </w:t>
            </w:r>
            <w:r w:rsidRPr="00BD19A7">
              <w:rPr>
                <w:rFonts w:ascii="Arial Narrow" w:hAnsi="Arial Narrow" w:cstheme="minorHAnsi"/>
                <w:b/>
                <w:bCs/>
                <w:sz w:val="20"/>
                <w:lang w:val="en-AU"/>
              </w:rPr>
              <w:t>$</w:t>
            </w:r>
            <w:r w:rsidR="00206A14" w:rsidRPr="00206A14">
              <w:rPr>
                <w:rFonts w:ascii="Arial Narrow" w:hAnsi="Arial Narrow" w:cstheme="minorHAnsi"/>
                <w:b/>
                <w:bCs/>
                <w:color w:val="000000"/>
                <w:sz w:val="20"/>
                <w:shd w:val="solid" w:color="000000" w:fill="000000"/>
                <w:lang w:val="en-AU"/>
                <w14:textFill>
                  <w14:solidFill>
                    <w14:srgbClr w14:val="000000">
                      <w14:alpha w14:val="100000"/>
                    </w14:srgbClr>
                  </w14:solidFill>
                </w14:textFill>
              </w:rPr>
              <w:t>|</w:t>
            </w:r>
            <w:r w:rsidRPr="00BD19A7">
              <w:rPr>
                <w:rFonts w:ascii="Arial Narrow" w:hAnsi="Arial Narrow" w:cstheme="minorHAnsi"/>
                <w:b/>
                <w:bCs/>
                <w:sz w:val="20"/>
                <w:lang w:val="en-AU"/>
              </w:rPr>
              <w:t>)</w:t>
            </w:r>
          </w:p>
        </w:tc>
        <w:tc>
          <w:tcPr>
            <w:tcW w:w="1241" w:type="pct"/>
            <w:shd w:val="clear" w:color="auto" w:fill="F2F2F2" w:themeFill="background1" w:themeFillShade="F2"/>
          </w:tcPr>
          <w:p w14:paraId="172CED97" w14:textId="21D67672" w:rsidR="004E1E7F" w:rsidRPr="00BD19A7" w:rsidRDefault="004E1E7F" w:rsidP="00547B4E">
            <w:pPr>
              <w:pStyle w:val="SyneviNormal"/>
              <w:keepNext/>
              <w:keepLines/>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Proposed PBS restriction incl Week 10 dose (</w:t>
            </w:r>
            <w:r w:rsidR="00E05D63" w:rsidRPr="00BD19A7">
              <w:rPr>
                <w:rFonts w:ascii="Arial Narrow" w:hAnsi="Arial Narrow" w:cstheme="minorHAnsi"/>
                <w:b/>
                <w:bCs/>
                <w:sz w:val="20"/>
                <w:lang w:val="en-AU"/>
              </w:rPr>
              <w:t xml:space="preserve">4 * </w:t>
            </w:r>
            <w:r w:rsidRPr="00BD19A7">
              <w:rPr>
                <w:rFonts w:ascii="Arial Narrow" w:hAnsi="Arial Narrow" w:cstheme="minorHAnsi"/>
                <w:b/>
                <w:bCs/>
                <w:sz w:val="20"/>
                <w:lang w:val="en-AU"/>
              </w:rPr>
              <w:t>$</w:t>
            </w:r>
            <w:r w:rsidR="00206A14" w:rsidRPr="00206A14">
              <w:rPr>
                <w:rFonts w:ascii="Arial Narrow" w:hAnsi="Arial Narrow" w:cstheme="minorHAnsi"/>
                <w:b/>
                <w:bCs/>
                <w:color w:val="000000"/>
                <w:spacing w:val="48"/>
                <w:sz w:val="20"/>
                <w:shd w:val="solid" w:color="000000" w:fill="000000"/>
                <w:fitText w:val="328" w:id="-961804785"/>
                <w:lang w:val="en-AU"/>
                <w14:textFill>
                  <w14:solidFill>
                    <w14:srgbClr w14:val="000000">
                      <w14:alpha w14:val="100000"/>
                    </w14:srgbClr>
                  </w14:solidFill>
                </w14:textFill>
              </w:rPr>
              <w:t>|||</w:t>
            </w:r>
            <w:r w:rsidR="00206A14" w:rsidRPr="00206A14">
              <w:rPr>
                <w:rFonts w:ascii="Arial Narrow" w:hAnsi="Arial Narrow" w:cstheme="minorHAnsi"/>
                <w:b/>
                <w:bCs/>
                <w:color w:val="000000"/>
                <w:spacing w:val="1"/>
                <w:sz w:val="20"/>
                <w:shd w:val="solid" w:color="000000" w:fill="000000"/>
                <w:fitText w:val="328" w:id="-961804785"/>
                <w:lang w:val="en-AU"/>
                <w14:textFill>
                  <w14:solidFill>
                    <w14:srgbClr w14:val="000000">
                      <w14:alpha w14:val="100000"/>
                    </w14:srgbClr>
                  </w14:solidFill>
                </w14:textFill>
              </w:rPr>
              <w:t>|</w:t>
            </w:r>
            <w:r w:rsidR="00E05D63" w:rsidRPr="00BD19A7">
              <w:rPr>
                <w:rFonts w:ascii="Arial Narrow" w:hAnsi="Arial Narrow" w:cstheme="minorHAnsi"/>
                <w:b/>
                <w:bCs/>
                <w:sz w:val="20"/>
                <w:lang w:val="en-AU"/>
              </w:rPr>
              <w:t xml:space="preserve"> + 11.25 * $</w:t>
            </w:r>
            <w:r w:rsidR="00206A14" w:rsidRPr="00206A14">
              <w:rPr>
                <w:rFonts w:ascii="Arial Narrow" w:hAnsi="Arial Narrow" w:cstheme="minorHAnsi"/>
                <w:b/>
                <w:bCs/>
                <w:color w:val="000000"/>
                <w:sz w:val="20"/>
                <w:shd w:val="solid" w:color="000000" w:fill="000000"/>
                <w:lang w:val="en-AU"/>
                <w14:textFill>
                  <w14:solidFill>
                    <w14:srgbClr w14:val="000000">
                      <w14:alpha w14:val="100000"/>
                    </w14:srgbClr>
                  </w14:solidFill>
                </w14:textFill>
              </w:rPr>
              <w:t>|</w:t>
            </w:r>
            <w:r w:rsidRPr="00BD19A7">
              <w:rPr>
                <w:rFonts w:ascii="Arial Narrow" w:hAnsi="Arial Narrow" w:cstheme="minorHAnsi"/>
                <w:b/>
                <w:bCs/>
                <w:sz w:val="20"/>
                <w:lang w:val="en-AU"/>
              </w:rPr>
              <w:t>)</w:t>
            </w:r>
            <w:r w:rsidR="00E05D63" w:rsidRPr="00BD19A7">
              <w:rPr>
                <w:rFonts w:ascii="Arial Narrow" w:hAnsi="Arial Narrow" w:cstheme="minorHAnsi"/>
                <w:b/>
                <w:bCs/>
                <w:sz w:val="20"/>
                <w:vertAlign w:val="superscript"/>
                <w:lang w:val="en-AU"/>
              </w:rPr>
              <w:t>a</w:t>
            </w:r>
          </w:p>
        </w:tc>
        <w:tc>
          <w:tcPr>
            <w:tcW w:w="1151" w:type="pct"/>
            <w:shd w:val="clear" w:color="auto" w:fill="F2F2F2" w:themeFill="background1" w:themeFillShade="F2"/>
          </w:tcPr>
          <w:p w14:paraId="31A36564" w14:textId="77777777" w:rsidR="004E1E7F" w:rsidRPr="00BD19A7" w:rsidRDefault="004E1E7F" w:rsidP="00547B4E">
            <w:pPr>
              <w:pStyle w:val="SyneviNormal"/>
              <w:keepNext/>
              <w:keepLines/>
              <w:spacing w:line="240" w:lineRule="auto"/>
              <w:jc w:val="center"/>
              <w:rPr>
                <w:rFonts w:ascii="Arial Narrow" w:hAnsi="Arial Narrow" w:cstheme="minorHAnsi"/>
                <w:b/>
                <w:bCs/>
                <w:sz w:val="20"/>
                <w:lang w:val="en-AU"/>
              </w:rPr>
            </w:pPr>
            <w:r w:rsidRPr="00BD19A7">
              <w:rPr>
                <w:rFonts w:ascii="Arial Narrow" w:hAnsi="Arial Narrow" w:cstheme="minorHAnsi"/>
                <w:b/>
                <w:bCs/>
                <w:sz w:val="20"/>
                <w:lang w:val="en-AU"/>
              </w:rPr>
              <w:t>Incremental cost</w:t>
            </w:r>
          </w:p>
        </w:tc>
      </w:tr>
      <w:tr w:rsidR="004E1E7F" w:rsidRPr="00BD19A7" w14:paraId="602F352C" w14:textId="77777777" w:rsidTr="00547B4E">
        <w:tc>
          <w:tcPr>
            <w:tcW w:w="1412" w:type="pct"/>
          </w:tcPr>
          <w:p w14:paraId="09204D35" w14:textId="77777777" w:rsidR="004E1E7F" w:rsidRPr="00BD19A7" w:rsidRDefault="004E1E7F" w:rsidP="00547B4E">
            <w:pPr>
              <w:pStyle w:val="SyneviNormal"/>
              <w:keepNext/>
              <w:keepLines/>
              <w:spacing w:line="240" w:lineRule="auto"/>
              <w:jc w:val="left"/>
              <w:rPr>
                <w:rFonts w:ascii="Arial Narrow" w:hAnsi="Arial Narrow" w:cstheme="minorHAnsi"/>
                <w:sz w:val="20"/>
                <w:lang w:val="en-AU"/>
              </w:rPr>
            </w:pPr>
            <w:r w:rsidRPr="00BD19A7">
              <w:rPr>
                <w:rFonts w:ascii="Arial Narrow" w:hAnsi="Arial Narrow" w:cstheme="minorHAnsi"/>
                <w:sz w:val="20"/>
                <w:lang w:val="en-AU"/>
              </w:rPr>
              <w:t>Vedolizumab 300 mg IV</w:t>
            </w:r>
          </w:p>
        </w:tc>
        <w:tc>
          <w:tcPr>
            <w:tcW w:w="1196" w:type="pct"/>
          </w:tcPr>
          <w:p w14:paraId="373E90C5" w14:textId="3D644BB0"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c>
          <w:tcPr>
            <w:tcW w:w="1241" w:type="pct"/>
          </w:tcPr>
          <w:p w14:paraId="764496FA" w14:textId="4956B0E8"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c>
          <w:tcPr>
            <w:tcW w:w="1151" w:type="pct"/>
          </w:tcPr>
          <w:p w14:paraId="4060E49D" w14:textId="2E88304A"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r w:rsidR="004E1E7F" w:rsidRPr="00BD19A7" w14:paraId="05BD7402" w14:textId="77777777" w:rsidTr="00547B4E">
        <w:tc>
          <w:tcPr>
            <w:tcW w:w="1412" w:type="pct"/>
          </w:tcPr>
          <w:p w14:paraId="0E17C688" w14:textId="77777777" w:rsidR="004E1E7F" w:rsidRPr="00BD19A7" w:rsidRDefault="004E1E7F" w:rsidP="00547B4E">
            <w:pPr>
              <w:pStyle w:val="SyneviNormal"/>
              <w:keepNext/>
              <w:keepLines/>
              <w:spacing w:line="240" w:lineRule="auto"/>
              <w:jc w:val="left"/>
              <w:rPr>
                <w:rFonts w:ascii="Arial Narrow" w:hAnsi="Arial Narrow" w:cstheme="minorHAnsi"/>
                <w:sz w:val="20"/>
                <w:lang w:val="en-AU"/>
              </w:rPr>
            </w:pPr>
            <w:r w:rsidRPr="00BD19A7">
              <w:rPr>
                <w:rFonts w:ascii="Arial Narrow" w:hAnsi="Arial Narrow" w:cstheme="minorHAnsi"/>
                <w:sz w:val="20"/>
                <w:lang w:val="en-AU"/>
              </w:rPr>
              <w:t xml:space="preserve">Administration </w:t>
            </w:r>
          </w:p>
        </w:tc>
        <w:tc>
          <w:tcPr>
            <w:tcW w:w="1196" w:type="pct"/>
          </w:tcPr>
          <w:p w14:paraId="41281850" w14:textId="77777777"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$1,300.31</w:t>
            </w:r>
          </w:p>
        </w:tc>
        <w:tc>
          <w:tcPr>
            <w:tcW w:w="1241" w:type="pct"/>
          </w:tcPr>
          <w:p w14:paraId="3A3984C9" w14:textId="77777777"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$1,391.56</w:t>
            </w:r>
          </w:p>
        </w:tc>
        <w:tc>
          <w:tcPr>
            <w:tcW w:w="1151" w:type="pct"/>
          </w:tcPr>
          <w:p w14:paraId="4BA7F70C" w14:textId="77777777"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$91.25</w:t>
            </w:r>
          </w:p>
        </w:tc>
      </w:tr>
      <w:tr w:rsidR="004E1E7F" w:rsidRPr="00BD19A7" w14:paraId="40FDFEBD" w14:textId="77777777" w:rsidTr="00547B4E">
        <w:tc>
          <w:tcPr>
            <w:tcW w:w="1412" w:type="pct"/>
          </w:tcPr>
          <w:p w14:paraId="501832BD" w14:textId="77777777" w:rsidR="004E1E7F" w:rsidRPr="00BD19A7" w:rsidRDefault="004E1E7F" w:rsidP="00547B4E">
            <w:pPr>
              <w:pStyle w:val="SyneviNormal"/>
              <w:keepNext/>
              <w:keepLines/>
              <w:spacing w:line="240" w:lineRule="auto"/>
              <w:jc w:val="left"/>
              <w:rPr>
                <w:rFonts w:ascii="Arial Narrow" w:hAnsi="Arial Narrow" w:cstheme="minorHAnsi"/>
                <w:sz w:val="20"/>
                <w:lang w:val="en-AU"/>
              </w:rPr>
            </w:pPr>
            <w:r w:rsidRPr="00BD19A7">
              <w:rPr>
                <w:rFonts w:ascii="Arial Narrow" w:hAnsi="Arial Narrow" w:cstheme="minorHAnsi"/>
                <w:sz w:val="20"/>
                <w:lang w:val="en-AU"/>
              </w:rPr>
              <w:t>Total cost of treatment</w:t>
            </w:r>
          </w:p>
        </w:tc>
        <w:tc>
          <w:tcPr>
            <w:tcW w:w="1196" w:type="pct"/>
          </w:tcPr>
          <w:p w14:paraId="4B5F5779" w14:textId="0BBF2315"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c>
          <w:tcPr>
            <w:tcW w:w="1241" w:type="pct"/>
          </w:tcPr>
          <w:p w14:paraId="23AB9C7E" w14:textId="6EEADAAD"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c>
          <w:tcPr>
            <w:tcW w:w="1151" w:type="pct"/>
          </w:tcPr>
          <w:p w14:paraId="099F57F5" w14:textId="4C178BFA" w:rsidR="004E1E7F" w:rsidRPr="00BD19A7" w:rsidRDefault="004E1E7F" w:rsidP="00547B4E">
            <w:pPr>
              <w:pStyle w:val="SyneviNormal"/>
              <w:keepNext/>
              <w:keepLines/>
              <w:spacing w:line="240" w:lineRule="auto"/>
              <w:jc w:val="center"/>
              <w:rPr>
                <w:rFonts w:ascii="Arial Narrow" w:hAnsi="Arial Narrow" w:cstheme="minorHAnsi"/>
                <w:sz w:val="20"/>
                <w:lang w:val="en-AU"/>
              </w:rPr>
            </w:pPr>
            <w:r w:rsidRPr="00BD19A7">
              <w:rPr>
                <w:rFonts w:ascii="Arial Narrow" w:hAnsi="Arial Narrow" w:cstheme="minorHAnsi"/>
                <w:sz w:val="20"/>
                <w:lang w:val="en-AU"/>
              </w:rPr>
              <w:t>$</w:t>
            </w:r>
            <w:r w:rsidR="00206A14" w:rsidRPr="00206A14">
              <w:rPr>
                <w:rFonts w:ascii="Arial Narrow" w:hAnsi="Arial Narrow" w:cstheme="minorHAnsi"/>
                <w:color w:val="000000"/>
                <w:sz w:val="20"/>
                <w:shd w:val="solid" w:color="000000" w:fill="000000"/>
                <w:lang w:val="en-AU"/>
                <w14:textFill>
                  <w14:solidFill>
                    <w14:srgbClr w14:val="000000">
                      <w14:alpha w14:val="100000"/>
                    </w14:srgbClr>
                  </w14:solidFill>
                </w14:textFill>
              </w:rPr>
              <w:t>|</w:t>
            </w:r>
          </w:p>
        </w:tc>
      </w:tr>
    </w:tbl>
    <w:p w14:paraId="6B225CFE" w14:textId="10D585C3" w:rsidR="004E1E7F" w:rsidRPr="00BD19A7" w:rsidRDefault="004E1E7F" w:rsidP="00547B4E">
      <w:pPr>
        <w:pStyle w:val="BodyText"/>
        <w:keepNext/>
        <w:keepLines/>
        <w:rPr>
          <w:rFonts w:ascii="Arial Narrow" w:hAnsi="Arial Narrow"/>
          <w:sz w:val="18"/>
          <w:szCs w:val="18"/>
        </w:rPr>
      </w:pPr>
      <w:r w:rsidRPr="00BD19A7">
        <w:rPr>
          <w:rFonts w:ascii="Arial Narrow" w:hAnsi="Arial Narrow"/>
          <w:sz w:val="18"/>
          <w:szCs w:val="18"/>
        </w:rPr>
        <w:t>Source: Submission ma</w:t>
      </w:r>
      <w:r w:rsidR="00BC0798" w:rsidRPr="00BD19A7">
        <w:rPr>
          <w:rFonts w:ascii="Arial Narrow" w:hAnsi="Arial Narrow"/>
          <w:sz w:val="18"/>
          <w:szCs w:val="18"/>
        </w:rPr>
        <w:t>i</w:t>
      </w:r>
      <w:r w:rsidRPr="00BD19A7">
        <w:rPr>
          <w:rFonts w:ascii="Arial Narrow" w:hAnsi="Arial Narrow"/>
          <w:sz w:val="18"/>
          <w:szCs w:val="18"/>
        </w:rPr>
        <w:t>n body p17</w:t>
      </w:r>
    </w:p>
    <w:p w14:paraId="3BF88712" w14:textId="5236DCCA" w:rsidR="00E05D63" w:rsidRPr="00BD19A7" w:rsidRDefault="00E05D63" w:rsidP="00547B4E">
      <w:pPr>
        <w:pStyle w:val="BodyText"/>
        <w:keepNext/>
        <w:keepLines/>
        <w:rPr>
          <w:rFonts w:ascii="Arial Narrow" w:hAnsi="Arial Narrow"/>
          <w:sz w:val="18"/>
          <w:szCs w:val="18"/>
        </w:rPr>
      </w:pPr>
      <w:r w:rsidRPr="00BD19A7">
        <w:rPr>
          <w:rFonts w:ascii="Arial Narrow" w:hAnsi="Arial Narrow"/>
          <w:sz w:val="18"/>
          <w:szCs w:val="18"/>
          <w:vertAlign w:val="superscript"/>
        </w:rPr>
        <w:t xml:space="preserve">a </w:t>
      </w:r>
      <w:r w:rsidRPr="00BD19A7">
        <w:rPr>
          <w:rFonts w:ascii="Arial Narrow" w:hAnsi="Arial Narrow"/>
          <w:sz w:val="18"/>
          <w:szCs w:val="18"/>
        </w:rPr>
        <w:t>calculation amended following Pre-Sub-Committee Response</w:t>
      </w:r>
    </w:p>
    <w:p w14:paraId="279DEF6B" w14:textId="6CED0F1B" w:rsidR="00BB61CC" w:rsidRPr="00547B4E" w:rsidRDefault="004E1E7F" w:rsidP="00547B4E">
      <w:pPr>
        <w:pStyle w:val="BodyText"/>
        <w:spacing w:after="120"/>
        <w:rPr>
          <w:rFonts w:ascii="Arial Narrow" w:hAnsi="Arial Narrow"/>
          <w:sz w:val="18"/>
          <w:szCs w:val="18"/>
        </w:rPr>
      </w:pPr>
      <w:r w:rsidRPr="00BD19A7">
        <w:rPr>
          <w:rFonts w:ascii="Arial Narrow" w:hAnsi="Arial Narrow"/>
          <w:sz w:val="18"/>
          <w:szCs w:val="18"/>
        </w:rPr>
        <w:t>Abbreviations: IV = intravenous; PBS = Pharmaceutical Benefits Scheme</w:t>
      </w:r>
    </w:p>
    <w:p w14:paraId="78787DBA" w14:textId="39F950EE" w:rsidR="00E46A23" w:rsidRPr="00BD19A7" w:rsidRDefault="00E46A23" w:rsidP="00E46A23">
      <w:pPr>
        <w:pStyle w:val="3-BodyText"/>
      </w:pPr>
      <w:r w:rsidRPr="00BD19A7">
        <w:t>The submission stated that based on the current and proposed confidential AEMP and the cost of the IV administration, the total cost of treatment with vedolizumab 300 mg IV under the current and proposed PBS restrictions of $</w:t>
      </w:r>
      <w:r w:rsidR="00206A14" w:rsidRPr="007B0FCD">
        <w:rPr>
          <w:color w:val="000000"/>
          <w:w w:val="15"/>
          <w:shd w:val="solid" w:color="000000" w:fill="000000"/>
          <w:fitText w:val="-20" w:id="-961804784"/>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84"/>
          <w14:textFill>
            <w14:solidFill>
              <w14:srgbClr w14:val="000000">
                <w14:alpha w14:val="100000"/>
              </w14:srgbClr>
            </w14:solidFill>
          </w14:textFill>
        </w:rPr>
        <w:t>|</w:t>
      </w:r>
      <w:r w:rsidRPr="00BD19A7">
        <w:t xml:space="preserve"> are identical</w:t>
      </w:r>
      <w:r w:rsidR="00BD19A7">
        <w:t xml:space="preserve">. </w:t>
      </w:r>
    </w:p>
    <w:p w14:paraId="472842D7" w14:textId="075CB617" w:rsidR="00C25D9C" w:rsidRPr="00BD19A7" w:rsidRDefault="00810FD4" w:rsidP="00BB732D">
      <w:pPr>
        <w:pStyle w:val="4-SubsectionHeading"/>
      </w:pPr>
      <w:bookmarkStart w:id="39" w:name="_Toc22897646"/>
      <w:bookmarkStart w:id="40" w:name="_Toc156993259"/>
      <w:bookmarkEnd w:id="37"/>
      <w:r w:rsidRPr="00BD19A7">
        <w:t>Drug</w:t>
      </w:r>
      <w:r w:rsidR="00C25D9C" w:rsidRPr="00BD19A7">
        <w:t xml:space="preserve"> cost/patient/</w:t>
      </w:r>
      <w:bookmarkEnd w:id="39"/>
      <w:r w:rsidR="00A06E57" w:rsidRPr="00BD19A7">
        <w:t xml:space="preserve">2 </w:t>
      </w:r>
      <w:r w:rsidR="00963826" w:rsidRPr="00BD19A7">
        <w:t>year</w:t>
      </w:r>
      <w:r w:rsidR="00A06E57" w:rsidRPr="00BD19A7">
        <w:t>s</w:t>
      </w:r>
      <w:bookmarkEnd w:id="40"/>
    </w:p>
    <w:p w14:paraId="25FFA5AB" w14:textId="1C447D62" w:rsidR="00E46A23" w:rsidRPr="00BD19A7" w:rsidRDefault="00E46A23" w:rsidP="00E46A23">
      <w:pPr>
        <w:pStyle w:val="3-BodyText"/>
      </w:pPr>
      <w:r w:rsidRPr="00BD19A7">
        <w:t xml:space="preserve">Based on the proposed effective AEMP of </w:t>
      </w:r>
      <w:r w:rsidR="00910732" w:rsidRPr="00BD19A7">
        <w:t>$</w:t>
      </w:r>
      <w:r w:rsidR="00206A14" w:rsidRPr="00206A14">
        <w:rPr>
          <w:color w:val="000000"/>
          <w:w w:val="61"/>
          <w:shd w:val="solid" w:color="000000" w:fill="000000"/>
          <w:fitText w:val="472" w:id="-961804800"/>
          <w14:textFill>
            <w14:solidFill>
              <w14:srgbClr w14:val="000000">
                <w14:alpha w14:val="100000"/>
              </w14:srgbClr>
            </w14:solidFill>
          </w14:textFill>
        </w:rPr>
        <w:t>|||  ||</w:t>
      </w:r>
      <w:r w:rsidR="00206A14" w:rsidRPr="00206A14">
        <w:rPr>
          <w:color w:val="000000"/>
          <w:spacing w:val="2"/>
          <w:w w:val="61"/>
          <w:shd w:val="solid" w:color="000000" w:fill="000000"/>
          <w:fitText w:val="472" w:id="-961804800"/>
          <w14:textFill>
            <w14:solidFill>
              <w14:srgbClr w14:val="000000">
                <w14:alpha w14:val="100000"/>
              </w14:srgbClr>
            </w14:solidFill>
          </w14:textFill>
        </w:rPr>
        <w:t>|</w:t>
      </w:r>
      <w:r w:rsidR="00217611" w:rsidRPr="00BD19A7">
        <w:t xml:space="preserve"> for the induction doses and maintaining the current AEMP for continuing doses at $</w:t>
      </w:r>
      <w:r w:rsidR="00206A14" w:rsidRPr="007B0FCD">
        <w:rPr>
          <w:color w:val="000000"/>
          <w:w w:val="15"/>
          <w:shd w:val="solid" w:color="000000" w:fill="000000"/>
          <w:fitText w:val="-20" w:id="-961804799"/>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9"/>
          <w14:textFill>
            <w14:solidFill>
              <w14:srgbClr w14:val="000000">
                <w14:alpha w14:val="100000"/>
              </w14:srgbClr>
            </w14:solidFill>
          </w14:textFill>
        </w:rPr>
        <w:t>|</w:t>
      </w:r>
      <w:r w:rsidRPr="00BD19A7">
        <w:t>, the drug cost/patient/</w:t>
      </w:r>
      <w:r w:rsidR="001D03A2" w:rsidRPr="00BD19A7">
        <w:t>2</w:t>
      </w:r>
      <w:r w:rsidR="001D0599" w:rsidRPr="00BD19A7">
        <w:t> </w:t>
      </w:r>
      <w:r w:rsidR="00963826" w:rsidRPr="00BD19A7">
        <w:t>year</w:t>
      </w:r>
      <w:r w:rsidR="001D03A2" w:rsidRPr="00BD19A7">
        <w:t>s</w:t>
      </w:r>
      <w:r w:rsidRPr="00BD19A7">
        <w:t xml:space="preserve"> for patients requiring t</w:t>
      </w:r>
      <w:r w:rsidR="005F1441" w:rsidRPr="00BD19A7">
        <w:t>reatment</w:t>
      </w:r>
      <w:r w:rsidRPr="00BD19A7">
        <w:t xml:space="preserve"> </w:t>
      </w:r>
      <w:r w:rsidR="005F1441" w:rsidRPr="00BD19A7">
        <w:t xml:space="preserve">under the proposed regimen </w:t>
      </w:r>
      <w:r w:rsidRPr="00BD19A7">
        <w:t>was estimated to be $</w:t>
      </w:r>
      <w:r w:rsidR="00206A14" w:rsidRPr="007B0FCD">
        <w:rPr>
          <w:color w:val="000000"/>
          <w:w w:val="15"/>
          <w:shd w:val="solid" w:color="000000" w:fill="000000"/>
          <w:fitText w:val="-20" w:id="-961804798"/>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798"/>
          <w14:textFill>
            <w14:solidFill>
              <w14:srgbClr w14:val="000000">
                <w14:alpha w14:val="100000"/>
              </w14:srgbClr>
            </w14:solidFill>
          </w14:textFill>
        </w:rPr>
        <w:t>|</w:t>
      </w:r>
      <w:r w:rsidRPr="00BD19A7">
        <w:t xml:space="preserve"> based on </w:t>
      </w:r>
      <w:r w:rsidR="003E25DC" w:rsidRPr="00BD19A7">
        <w:t>15.25</w:t>
      </w:r>
      <w:r w:rsidR="00963826" w:rsidRPr="00BD19A7">
        <w:t xml:space="preserve"> </w:t>
      </w:r>
      <w:r w:rsidR="003E25DC" w:rsidRPr="00BD19A7">
        <w:t xml:space="preserve">administrations </w:t>
      </w:r>
      <w:r w:rsidR="00963826" w:rsidRPr="00BD19A7">
        <w:t xml:space="preserve">in </w:t>
      </w:r>
      <w:r w:rsidR="003E25DC" w:rsidRPr="00BD19A7">
        <w:t>10</w:t>
      </w:r>
      <w:r w:rsidR="001D03A2" w:rsidRPr="00BD19A7">
        <w:t>4</w:t>
      </w:r>
      <w:r w:rsidR="003E25DC" w:rsidRPr="00BD19A7">
        <w:t xml:space="preserve"> </w:t>
      </w:r>
      <w:r w:rsidR="00963826" w:rsidRPr="00BD19A7">
        <w:t>weeks of treatment (4 induction doses and 1</w:t>
      </w:r>
      <w:r w:rsidR="00547B4E">
        <w:t> </w:t>
      </w:r>
      <w:r w:rsidR="00963826" w:rsidRPr="00BD19A7">
        <w:t>dose every 8 weeks thereafter)</w:t>
      </w:r>
      <w:r w:rsidRPr="00BD19A7">
        <w:t xml:space="preserve">. This is </w:t>
      </w:r>
      <w:r w:rsidR="0093424F" w:rsidRPr="00BD19A7">
        <w:t xml:space="preserve">based on </w:t>
      </w:r>
      <w:r w:rsidRPr="00BD19A7">
        <w:t>the weighted average DPMQ between public and private hospital administration</w:t>
      </w:r>
      <w:r w:rsidR="0054488C" w:rsidRPr="00BD19A7">
        <w:t xml:space="preserve"> (</w:t>
      </w:r>
      <w:r w:rsidR="008F4349" w:rsidRPr="00BD19A7">
        <w:t xml:space="preserve">64.07% </w:t>
      </w:r>
      <w:r w:rsidR="0054488C" w:rsidRPr="00BD19A7">
        <w:t xml:space="preserve">public and </w:t>
      </w:r>
      <w:r w:rsidR="008F4349" w:rsidRPr="00BD19A7">
        <w:t xml:space="preserve">35.93% private </w:t>
      </w:r>
      <w:r w:rsidR="0054488C" w:rsidRPr="00BD19A7">
        <w:t xml:space="preserve">sourced from </w:t>
      </w:r>
      <w:r w:rsidR="0054488C" w:rsidRPr="00BD19A7">
        <w:fldChar w:fldCharType="begin" w:fldLock="1"/>
      </w:r>
      <w:r w:rsidR="0054488C" w:rsidRPr="00BD19A7">
        <w:instrText xml:space="preserve"> REF _Ref155860466 \h </w:instrText>
      </w:r>
      <w:r w:rsidR="0054488C" w:rsidRPr="00BD19A7">
        <w:fldChar w:fldCharType="separate"/>
      </w:r>
      <w:r w:rsidR="00A008BF" w:rsidRPr="00BD19A7" w:rsidDel="00A56DFE">
        <w:t>Table 8</w:t>
      </w:r>
      <w:r w:rsidR="0054488C" w:rsidRPr="00BD19A7">
        <w:fldChar w:fldCharType="end"/>
      </w:r>
      <w:r w:rsidR="0054488C" w:rsidRPr="00BD19A7">
        <w:t>)</w:t>
      </w:r>
      <w:r w:rsidRPr="00BD19A7">
        <w:t>. The treatment is ongoing.</w:t>
      </w:r>
    </w:p>
    <w:p w14:paraId="268768EF" w14:textId="51C10430" w:rsidR="00B60939" w:rsidRPr="00BD19A7" w:rsidRDefault="00B60939" w:rsidP="002B05A1">
      <w:pPr>
        <w:pStyle w:val="4-SubsectionHeading"/>
      </w:pPr>
      <w:bookmarkStart w:id="41" w:name="_Toc22897647"/>
      <w:bookmarkStart w:id="42" w:name="_Toc156993260"/>
      <w:r w:rsidRPr="00BD19A7">
        <w:t>Estimated PBS usage &amp; financial implications</w:t>
      </w:r>
      <w:bookmarkEnd w:id="41"/>
      <w:bookmarkEnd w:id="42"/>
    </w:p>
    <w:p w14:paraId="65C6F52B" w14:textId="52185724" w:rsidR="008D0B42" w:rsidRPr="00BD19A7" w:rsidRDefault="00BD19A7" w:rsidP="008D0B42">
      <w:pPr>
        <w:pStyle w:val="3-BodyText"/>
        <w:rPr>
          <w:color w:val="0066FF"/>
        </w:rPr>
      </w:pPr>
      <w:r w:rsidRPr="00BD19A7">
        <w:t>The Drug Utilisation Sub-Committee (DUSC) did not consider the submission</w:t>
      </w:r>
      <w:r w:rsidR="004049CA" w:rsidRPr="00BD19A7">
        <w:rPr>
          <w:color w:val="0070C0"/>
        </w:rPr>
        <w:t xml:space="preserve">. </w:t>
      </w:r>
    </w:p>
    <w:p w14:paraId="433C333B" w14:textId="18731328" w:rsidR="00B86E1C" w:rsidRPr="00BD19A7" w:rsidRDefault="00B86E1C" w:rsidP="009003F3">
      <w:pPr>
        <w:pStyle w:val="3-BodyText"/>
      </w:pPr>
      <w:r w:rsidRPr="00BD19A7">
        <w:t>As the initiation and continuing treatment restrictions are combined into a single PBS item code</w:t>
      </w:r>
      <w:r w:rsidR="006F4717" w:rsidRPr="00BD19A7">
        <w:t>, the submission stated it was</w:t>
      </w:r>
      <w:r w:rsidRPr="00BD19A7">
        <w:t xml:space="preserve"> not possible to estimate the number of patients who newly commence PBS subsidised treatment with vedolizumab 300 mg IV and require an additional dose at Week 10 from the number of services processed by Services Australia. The submission therefore estimated the predicted use of the additional dose of vedolizumab 300 mg IV at week 10 using an epidemiological approach.</w:t>
      </w:r>
      <w:r w:rsidR="009A4E10" w:rsidRPr="00BD19A7">
        <w:t xml:space="preserve"> The</w:t>
      </w:r>
      <w:r w:rsidR="001D0599" w:rsidRPr="00BD19A7">
        <w:t xml:space="preserve"> evaluation noted that the</w:t>
      </w:r>
      <w:r w:rsidR="009A4E10" w:rsidRPr="00BD19A7">
        <w:t xml:space="preserve"> approach taken is not a true epidemiological approach, but rather uses PBS data to determine the number of initiating patients and applies the </w:t>
      </w:r>
      <w:r w:rsidR="000535B4" w:rsidRPr="00BD19A7">
        <w:t>proportion requiring a week 10 dose based on the number of patients in the access program</w:t>
      </w:r>
      <w:r w:rsidR="00BD19A7">
        <w:t xml:space="preserve">. </w:t>
      </w:r>
    </w:p>
    <w:p w14:paraId="1C7E403C" w14:textId="3C3B2189" w:rsidR="00B86E1C" w:rsidRPr="00BD19A7" w:rsidRDefault="00B86E1C" w:rsidP="00B86E1C">
      <w:pPr>
        <w:pStyle w:val="3-BodyText"/>
      </w:pPr>
      <w:r w:rsidRPr="00BD19A7">
        <w:t xml:space="preserve">The submission noted that </w:t>
      </w:r>
      <w:r w:rsidR="001F78A3" w:rsidRPr="00BD19A7">
        <w:t xml:space="preserve">while the additional dose at Week 10 is currently provided by the sponsor through the patient access program, </w:t>
      </w:r>
      <w:r w:rsidRPr="00BD19A7">
        <w:t xml:space="preserve">the cost of continuing treatment for this cohort is already captured in the current PBS expenditure. </w:t>
      </w:r>
    </w:p>
    <w:p w14:paraId="50A8234A" w14:textId="48DE4EB4" w:rsidR="00B86E1C" w:rsidRPr="00BD19A7" w:rsidRDefault="00B86E1C" w:rsidP="009003F3">
      <w:pPr>
        <w:pStyle w:val="3-BodyText"/>
      </w:pPr>
      <w:r w:rsidRPr="00BD19A7">
        <w:t xml:space="preserve">The analysis of the predicted use and financial implications is based on the calendar years 2024 to 2029. </w:t>
      </w:r>
      <w:bookmarkStart w:id="43" w:name="_Ref104805262"/>
      <w:r w:rsidRPr="00BD19A7">
        <w:t>The variables and associated data source</w:t>
      </w:r>
      <w:r w:rsidR="00BA6451" w:rsidRPr="00BD19A7">
        <w:t>s</w:t>
      </w:r>
      <w:r w:rsidRPr="00BD19A7">
        <w:t xml:space="preserve"> that were used to determine the predicted use of the additional dose of vedolizumab 300 mg IV at </w:t>
      </w:r>
      <w:r w:rsidR="00F406DA" w:rsidRPr="00BD19A7">
        <w:t>week</w:t>
      </w:r>
      <w:r w:rsidR="00F406DA">
        <w:t> </w:t>
      </w:r>
      <w:r w:rsidRPr="00BD19A7">
        <w:t>10 are summarised in</w:t>
      </w:r>
      <w:r w:rsidR="007741F1" w:rsidRPr="00BD19A7">
        <w:t xml:space="preserve"> </w:t>
      </w:r>
      <w:r w:rsidR="007741F1" w:rsidRPr="00BD19A7">
        <w:fldChar w:fldCharType="begin" w:fldLock="1"/>
      </w:r>
      <w:r w:rsidR="007741F1" w:rsidRPr="00BD19A7">
        <w:instrText xml:space="preserve"> REF _Ref155860466 \h </w:instrText>
      </w:r>
      <w:r w:rsidR="007741F1" w:rsidRPr="00BD19A7">
        <w:fldChar w:fldCharType="separate"/>
      </w:r>
      <w:r w:rsidR="00A008BF" w:rsidRPr="00BD19A7" w:rsidDel="00A56DFE">
        <w:t>Table 8</w:t>
      </w:r>
      <w:r w:rsidR="007741F1" w:rsidRPr="00BD19A7">
        <w:fldChar w:fldCharType="end"/>
      </w:r>
      <w:r w:rsidRPr="00BD19A7">
        <w:t>.</w:t>
      </w:r>
    </w:p>
    <w:p w14:paraId="35DBAC60" w14:textId="43C17814" w:rsidR="00F04CE9" w:rsidRPr="00BD19A7" w:rsidRDefault="00F04CE9" w:rsidP="00F04CE9">
      <w:pPr>
        <w:pStyle w:val="Caption"/>
      </w:pPr>
      <w:bookmarkStart w:id="44" w:name="_Ref155860466"/>
      <w:r w:rsidRPr="00BD19A7">
        <w:lastRenderedPageBreak/>
        <w:t xml:space="preserve">Table </w:t>
      </w:r>
      <w:r w:rsidR="007B0FCD">
        <w:fldChar w:fldCharType="begin" w:fldLock="1"/>
      </w:r>
      <w:r w:rsidR="007B0FCD">
        <w:instrText xml:space="preserve"> SEQ Table \* ARABIC </w:instrText>
      </w:r>
      <w:r w:rsidR="007B0FCD">
        <w:fldChar w:fldCharType="separate"/>
      </w:r>
      <w:r w:rsidR="00A56DFE">
        <w:rPr>
          <w:noProof/>
        </w:rPr>
        <w:t>8</w:t>
      </w:r>
      <w:r w:rsidR="007B0FCD">
        <w:rPr>
          <w:noProof/>
        </w:rPr>
        <w:fldChar w:fldCharType="end"/>
      </w:r>
      <w:bookmarkEnd w:id="44"/>
      <w:r w:rsidRPr="00BD19A7">
        <w:t>: Variables and data sources</w:t>
      </w:r>
    </w:p>
    <w:tbl>
      <w:tblPr>
        <w:tblStyle w:val="HTATableshaded"/>
        <w:tblW w:w="5000" w:type="pct"/>
        <w:tblLook w:val="04A0" w:firstRow="1" w:lastRow="0" w:firstColumn="1" w:lastColumn="0" w:noHBand="0" w:noVBand="1"/>
        <w:tblCaption w:val="Table 8: Variables and data sources"/>
      </w:tblPr>
      <w:tblGrid>
        <w:gridCol w:w="4508"/>
        <w:gridCol w:w="4509"/>
      </w:tblGrid>
      <w:tr w:rsidR="00B86E1C" w:rsidRPr="00BD19A7" w14:paraId="399E7751" w14:textId="77777777" w:rsidTr="00953738">
        <w:trPr>
          <w:cnfStyle w:val="100000000000" w:firstRow="1" w:lastRow="0" w:firstColumn="0" w:lastColumn="0" w:oddVBand="0" w:evenVBand="0" w:oddHBand="0" w:evenHBand="0" w:firstRowFirstColumn="0" w:firstRowLastColumn="0" w:lastRowFirstColumn="0" w:lastRowLastColumn="0"/>
          <w:tblHeader/>
        </w:trPr>
        <w:tc>
          <w:tcPr>
            <w:tcW w:w="2500" w:type="pct"/>
          </w:tcPr>
          <w:p w14:paraId="7834B701" w14:textId="77777777" w:rsidR="00B86E1C" w:rsidRPr="00BD19A7" w:rsidRDefault="00B86E1C" w:rsidP="00054902">
            <w:pPr>
              <w:pStyle w:val="BodyText"/>
              <w:keepNext/>
              <w:spacing w:before="0" w:after="0"/>
              <w:rPr>
                <w:rFonts w:ascii="Arial Narrow" w:hAnsi="Arial Narrow"/>
                <w:b/>
                <w:bCs/>
                <w:sz w:val="20"/>
                <w:szCs w:val="20"/>
              </w:rPr>
            </w:pPr>
            <w:r w:rsidRPr="00BD19A7">
              <w:rPr>
                <w:rFonts w:ascii="Arial Narrow" w:hAnsi="Arial Narrow"/>
                <w:b/>
                <w:bCs/>
                <w:sz w:val="20"/>
                <w:szCs w:val="20"/>
              </w:rPr>
              <w:t>Variable</w:t>
            </w:r>
          </w:p>
        </w:tc>
        <w:tc>
          <w:tcPr>
            <w:tcW w:w="2500" w:type="pct"/>
          </w:tcPr>
          <w:p w14:paraId="195DAC0F" w14:textId="77777777" w:rsidR="00B86E1C" w:rsidRPr="00BD19A7" w:rsidRDefault="00B86E1C" w:rsidP="00054902">
            <w:pPr>
              <w:pStyle w:val="BodyText"/>
              <w:keepNext/>
              <w:spacing w:before="0" w:after="0"/>
              <w:rPr>
                <w:rFonts w:ascii="Arial Narrow" w:hAnsi="Arial Narrow"/>
                <w:b/>
                <w:bCs/>
                <w:sz w:val="20"/>
                <w:szCs w:val="20"/>
              </w:rPr>
            </w:pPr>
            <w:r w:rsidRPr="00BD19A7">
              <w:rPr>
                <w:rFonts w:ascii="Arial Narrow" w:hAnsi="Arial Narrow"/>
                <w:b/>
                <w:bCs/>
                <w:sz w:val="20"/>
                <w:szCs w:val="20"/>
              </w:rPr>
              <w:t>Source</w:t>
            </w:r>
          </w:p>
        </w:tc>
      </w:tr>
      <w:tr w:rsidR="00B86E1C" w:rsidRPr="00BD19A7" w14:paraId="2DBFF1B6" w14:textId="77777777" w:rsidTr="00953738">
        <w:tc>
          <w:tcPr>
            <w:tcW w:w="5000" w:type="pct"/>
            <w:gridSpan w:val="2"/>
            <w:shd w:val="clear" w:color="auto" w:fill="F2F2F2" w:themeFill="background1" w:themeFillShade="F2"/>
          </w:tcPr>
          <w:p w14:paraId="0F543D4A" w14:textId="77777777" w:rsidR="00B86E1C" w:rsidRPr="00BD19A7" w:rsidRDefault="00B86E1C" w:rsidP="00054902">
            <w:pPr>
              <w:pStyle w:val="BodyText"/>
              <w:keepNext/>
              <w:spacing w:before="0" w:after="0"/>
              <w:rPr>
                <w:rFonts w:ascii="Arial Narrow" w:hAnsi="Arial Narrow"/>
                <w:b/>
                <w:bCs/>
                <w:sz w:val="20"/>
                <w:szCs w:val="20"/>
              </w:rPr>
            </w:pPr>
            <w:r w:rsidRPr="00BD19A7">
              <w:rPr>
                <w:rFonts w:ascii="Arial Narrow" w:hAnsi="Arial Narrow"/>
                <w:b/>
                <w:bCs/>
                <w:sz w:val="20"/>
                <w:szCs w:val="20"/>
              </w:rPr>
              <w:t>Epidemiology</w:t>
            </w:r>
          </w:p>
        </w:tc>
      </w:tr>
      <w:tr w:rsidR="00B86E1C" w:rsidRPr="00BD19A7" w14:paraId="4D51F7F0" w14:textId="77777777" w:rsidTr="00953738">
        <w:tc>
          <w:tcPr>
            <w:tcW w:w="2500" w:type="pct"/>
          </w:tcPr>
          <w:p w14:paraId="37A8A4F1"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Patients newly initiating treatment with vedolizumab</w:t>
            </w:r>
          </w:p>
        </w:tc>
        <w:tc>
          <w:tcPr>
            <w:tcW w:w="2500" w:type="pct"/>
          </w:tcPr>
          <w:p w14:paraId="5BCC7283" w14:textId="0BD240B6" w:rsidR="00B86E1C" w:rsidRPr="00BD19A7" w:rsidRDefault="005F1441" w:rsidP="00054902">
            <w:pPr>
              <w:pStyle w:val="BodyText"/>
              <w:keepNext/>
              <w:spacing w:before="0" w:after="0"/>
              <w:rPr>
                <w:rFonts w:ascii="Arial Narrow" w:hAnsi="Arial Narrow"/>
                <w:sz w:val="20"/>
                <w:szCs w:val="20"/>
              </w:rPr>
            </w:pPr>
            <w:r w:rsidRPr="00BD19A7">
              <w:rPr>
                <w:rFonts w:ascii="Arial Narrow" w:hAnsi="Arial Narrow"/>
                <w:sz w:val="20"/>
                <w:szCs w:val="20"/>
              </w:rPr>
              <w:t>10%</w:t>
            </w:r>
            <w:r w:rsidR="00B86E1C" w:rsidRPr="00BD19A7">
              <w:rPr>
                <w:rFonts w:ascii="Arial Narrow" w:hAnsi="Arial Narrow"/>
                <w:sz w:val="20"/>
                <w:szCs w:val="20"/>
              </w:rPr>
              <w:t xml:space="preserve"> PBS sample data</w:t>
            </w:r>
          </w:p>
        </w:tc>
      </w:tr>
      <w:tr w:rsidR="00B86E1C" w:rsidRPr="00BD19A7" w14:paraId="445008D5" w14:textId="77777777" w:rsidTr="00953738">
        <w:tc>
          <w:tcPr>
            <w:tcW w:w="2500" w:type="pct"/>
          </w:tcPr>
          <w:p w14:paraId="5CA17EB0"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Patients requiring an additional dose of vedolizumab 300 mg IV at Week 10</w:t>
            </w:r>
          </w:p>
        </w:tc>
        <w:tc>
          <w:tcPr>
            <w:tcW w:w="2500" w:type="pct"/>
          </w:tcPr>
          <w:p w14:paraId="3A86113C"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Takeda patient access program</w:t>
            </w:r>
          </w:p>
        </w:tc>
      </w:tr>
      <w:tr w:rsidR="00B86E1C" w:rsidRPr="00BD19A7" w14:paraId="5018B1BB" w14:textId="77777777" w:rsidTr="00953738">
        <w:tc>
          <w:tcPr>
            <w:tcW w:w="5000" w:type="pct"/>
            <w:gridSpan w:val="2"/>
            <w:shd w:val="clear" w:color="auto" w:fill="F2F2F2" w:themeFill="background1" w:themeFillShade="F2"/>
          </w:tcPr>
          <w:p w14:paraId="4D6FABA5" w14:textId="77777777" w:rsidR="00B86E1C" w:rsidRPr="00BD19A7" w:rsidRDefault="00B86E1C" w:rsidP="00054902">
            <w:pPr>
              <w:pStyle w:val="BodyText"/>
              <w:keepNext/>
              <w:spacing w:before="0" w:after="0"/>
              <w:rPr>
                <w:rFonts w:ascii="Arial Narrow" w:hAnsi="Arial Narrow"/>
                <w:b/>
                <w:bCs/>
                <w:sz w:val="20"/>
                <w:szCs w:val="20"/>
              </w:rPr>
            </w:pPr>
            <w:r w:rsidRPr="00BD19A7">
              <w:rPr>
                <w:rFonts w:ascii="Arial Narrow" w:hAnsi="Arial Narrow"/>
                <w:b/>
                <w:bCs/>
                <w:sz w:val="20"/>
                <w:szCs w:val="20"/>
              </w:rPr>
              <w:t>Utilisation and cost</w:t>
            </w:r>
          </w:p>
        </w:tc>
      </w:tr>
      <w:tr w:rsidR="00B86E1C" w:rsidRPr="00BD19A7" w14:paraId="7DDCAF78" w14:textId="77777777" w:rsidTr="00953738">
        <w:tc>
          <w:tcPr>
            <w:tcW w:w="2500" w:type="pct"/>
          </w:tcPr>
          <w:p w14:paraId="5E673623"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 xml:space="preserve">Vedolizumab 300 mg IV [proposed] AEMP </w:t>
            </w:r>
          </w:p>
          <w:p w14:paraId="3894C970"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 for those who require an additional dose only ---</w:t>
            </w:r>
          </w:p>
        </w:tc>
        <w:tc>
          <w:tcPr>
            <w:tcW w:w="2500" w:type="pct"/>
          </w:tcPr>
          <w:p w14:paraId="3F0096AB"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Published: $2,949.93</w:t>
            </w:r>
          </w:p>
          <w:p w14:paraId="14A0F4D1" w14:textId="27B98593"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Effective:   $</w:t>
            </w:r>
            <w:r w:rsidR="00206A14" w:rsidRPr="00206A14">
              <w:rPr>
                <w:rFonts w:ascii="Arial Narrow" w:hAnsi="Arial Narrow"/>
                <w:color w:val="000000"/>
                <w:spacing w:val="52"/>
                <w:sz w:val="20"/>
                <w:szCs w:val="20"/>
                <w:shd w:val="solid" w:color="000000" w:fill="000000"/>
                <w:fitText w:val="329" w:id="-961804797"/>
                <w14:textFill>
                  <w14:solidFill>
                    <w14:srgbClr w14:val="000000">
                      <w14:alpha w14:val="100000"/>
                    </w14:srgbClr>
                  </w14:solidFill>
                </w14:textFill>
              </w:rPr>
              <w:t>|||</w:t>
            </w:r>
            <w:r w:rsidR="00206A14" w:rsidRPr="00206A14">
              <w:rPr>
                <w:rFonts w:ascii="Arial Narrow" w:hAnsi="Arial Narrow"/>
                <w:color w:val="000000"/>
                <w:spacing w:val="3"/>
                <w:sz w:val="20"/>
                <w:szCs w:val="20"/>
                <w:shd w:val="solid" w:color="000000" w:fill="000000"/>
                <w:fitText w:val="329" w:id="-961804797"/>
                <w14:textFill>
                  <w14:solidFill>
                    <w14:srgbClr w14:val="000000">
                      <w14:alpha w14:val="100000"/>
                    </w14:srgbClr>
                  </w14:solidFill>
                </w14:textFill>
              </w:rPr>
              <w:t>|</w:t>
            </w:r>
            <w:r w:rsidR="00E75877" w:rsidRPr="0096623F">
              <w:rPr>
                <w:rFonts w:ascii="Arial Narrow" w:hAnsi="Arial Narrow"/>
                <w:sz w:val="20"/>
                <w:szCs w:val="20"/>
                <w:vertAlign w:val="superscript"/>
              </w:rPr>
              <w:t>a</w:t>
            </w:r>
          </w:p>
        </w:tc>
      </w:tr>
      <w:tr w:rsidR="00B86E1C" w:rsidRPr="00BD19A7" w14:paraId="392D9B91" w14:textId="77777777" w:rsidTr="00953738">
        <w:tc>
          <w:tcPr>
            <w:tcW w:w="2500" w:type="pct"/>
          </w:tcPr>
          <w:p w14:paraId="16447B9E"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Vedolizumab 300 mg IV [current] AEMP</w:t>
            </w:r>
          </w:p>
        </w:tc>
        <w:tc>
          <w:tcPr>
            <w:tcW w:w="2500" w:type="pct"/>
          </w:tcPr>
          <w:p w14:paraId="5C471AF6"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Published: $2,949.93</w:t>
            </w:r>
          </w:p>
          <w:p w14:paraId="2EE242E8" w14:textId="554656FD"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Effective:   $</w:t>
            </w:r>
            <w:r w:rsidR="00206A14" w:rsidRPr="00206A14">
              <w:rPr>
                <w:rFonts w:ascii="Arial Narrow" w:hAnsi="Arial Narrow"/>
                <w:color w:val="000000"/>
                <w:spacing w:val="52"/>
                <w:sz w:val="20"/>
                <w:szCs w:val="20"/>
                <w:shd w:val="solid" w:color="000000" w:fill="000000"/>
                <w:fitText w:val="329" w:id="-961804796"/>
                <w14:textFill>
                  <w14:solidFill>
                    <w14:srgbClr w14:val="000000">
                      <w14:alpha w14:val="100000"/>
                    </w14:srgbClr>
                  </w14:solidFill>
                </w14:textFill>
              </w:rPr>
              <w:t>|||</w:t>
            </w:r>
            <w:r w:rsidR="00206A14" w:rsidRPr="00206A14">
              <w:rPr>
                <w:rFonts w:ascii="Arial Narrow" w:hAnsi="Arial Narrow"/>
                <w:color w:val="000000"/>
                <w:spacing w:val="3"/>
                <w:sz w:val="20"/>
                <w:szCs w:val="20"/>
                <w:shd w:val="solid" w:color="000000" w:fill="000000"/>
                <w:fitText w:val="329" w:id="-961804796"/>
                <w14:textFill>
                  <w14:solidFill>
                    <w14:srgbClr w14:val="000000">
                      <w14:alpha w14:val="100000"/>
                    </w14:srgbClr>
                  </w14:solidFill>
                </w14:textFill>
              </w:rPr>
              <w:t>|</w:t>
            </w:r>
          </w:p>
        </w:tc>
      </w:tr>
      <w:tr w:rsidR="00B86E1C" w:rsidRPr="00BD19A7" w14:paraId="0EBA9368" w14:textId="77777777" w:rsidTr="00953738">
        <w:tc>
          <w:tcPr>
            <w:tcW w:w="2500" w:type="pct"/>
          </w:tcPr>
          <w:p w14:paraId="25B5E8FD"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Public versus private hospital (%)</w:t>
            </w:r>
          </w:p>
        </w:tc>
        <w:tc>
          <w:tcPr>
            <w:tcW w:w="2500" w:type="pct"/>
          </w:tcPr>
          <w:p w14:paraId="4EB7E72F"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Services processed for PBS items 10390W and 10415E in the 2022 calendar year.</w:t>
            </w:r>
          </w:p>
          <w:p w14:paraId="002CD589"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Public: 64.07%</w:t>
            </w:r>
          </w:p>
          <w:p w14:paraId="5308ABFB"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Private: 35.93%</w:t>
            </w:r>
          </w:p>
        </w:tc>
      </w:tr>
      <w:tr w:rsidR="00B86E1C" w:rsidRPr="00BD19A7" w14:paraId="1E03E89D" w14:textId="77777777" w:rsidTr="00953738">
        <w:tc>
          <w:tcPr>
            <w:tcW w:w="2500" w:type="pct"/>
          </w:tcPr>
          <w:p w14:paraId="26B5A8C4"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Vedolizumab 300 mg IV administration</w:t>
            </w:r>
          </w:p>
        </w:tc>
        <w:tc>
          <w:tcPr>
            <w:tcW w:w="2500" w:type="pct"/>
          </w:tcPr>
          <w:p w14:paraId="22183295"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MBS item 14245</w:t>
            </w:r>
          </w:p>
          <w:p w14:paraId="15594DA1"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100% Benefit: $107.30</w:t>
            </w:r>
          </w:p>
        </w:tc>
      </w:tr>
      <w:tr w:rsidR="00B86E1C" w:rsidRPr="00BD19A7" w14:paraId="53AE8A26" w14:textId="77777777" w:rsidTr="00953738">
        <w:tc>
          <w:tcPr>
            <w:tcW w:w="2500" w:type="pct"/>
          </w:tcPr>
          <w:p w14:paraId="16FFA1AF"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Average patient copayments</w:t>
            </w:r>
          </w:p>
        </w:tc>
        <w:tc>
          <w:tcPr>
            <w:tcW w:w="2500" w:type="pct"/>
          </w:tcPr>
          <w:p w14:paraId="67EA7776"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Distribution of services processed for PBS items 10390W and 10415E in the 2022 calendar year.</w:t>
            </w:r>
          </w:p>
          <w:p w14:paraId="28F5CF3F"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PBS:   $23.54</w:t>
            </w:r>
          </w:p>
          <w:p w14:paraId="791C7482" w14:textId="77777777" w:rsidR="00B86E1C" w:rsidRPr="00BD19A7" w:rsidRDefault="00B86E1C" w:rsidP="00054902">
            <w:pPr>
              <w:pStyle w:val="BodyText"/>
              <w:keepNext/>
              <w:spacing w:before="0" w:after="0"/>
              <w:rPr>
                <w:rFonts w:ascii="Arial Narrow" w:hAnsi="Arial Narrow"/>
                <w:sz w:val="20"/>
                <w:szCs w:val="20"/>
              </w:rPr>
            </w:pPr>
            <w:r w:rsidRPr="00BD19A7">
              <w:rPr>
                <w:rFonts w:ascii="Arial Narrow" w:hAnsi="Arial Narrow"/>
                <w:sz w:val="20"/>
                <w:szCs w:val="20"/>
              </w:rPr>
              <w:t>RPBS: $7.06</w:t>
            </w:r>
          </w:p>
        </w:tc>
      </w:tr>
    </w:tbl>
    <w:p w14:paraId="7D04B7B8" w14:textId="52CDC26A" w:rsidR="00B86E1C" w:rsidRPr="00BD19A7" w:rsidRDefault="00B86E1C" w:rsidP="00054902">
      <w:pPr>
        <w:pStyle w:val="BodyText"/>
        <w:keepNext/>
        <w:spacing w:after="120"/>
        <w:rPr>
          <w:rFonts w:ascii="Arial Narrow" w:hAnsi="Arial Narrow"/>
          <w:sz w:val="18"/>
          <w:szCs w:val="18"/>
        </w:rPr>
      </w:pPr>
      <w:r w:rsidRPr="00BD19A7">
        <w:rPr>
          <w:rFonts w:ascii="Arial Narrow" w:hAnsi="Arial Narrow"/>
          <w:sz w:val="18"/>
          <w:szCs w:val="18"/>
        </w:rPr>
        <w:t>Source: Submission main body p18</w:t>
      </w:r>
      <w:r w:rsidR="00910732" w:rsidRPr="00BD19A7">
        <w:rPr>
          <w:rFonts w:ascii="Arial Narrow" w:hAnsi="Arial Narrow"/>
          <w:sz w:val="18"/>
          <w:szCs w:val="18"/>
        </w:rPr>
        <w:t>, amended during evaluation to reflect updated proposed AEMP</w:t>
      </w:r>
      <w:r w:rsidRPr="00BD19A7">
        <w:rPr>
          <w:rFonts w:ascii="Arial Narrow" w:hAnsi="Arial Narrow"/>
          <w:sz w:val="18"/>
          <w:szCs w:val="18"/>
        </w:rPr>
        <w:br/>
      </w:r>
      <w:r w:rsidR="00E75877" w:rsidRPr="00BD19A7">
        <w:rPr>
          <w:rFonts w:ascii="Arial Narrow" w:hAnsi="Arial Narrow"/>
          <w:sz w:val="18"/>
          <w:szCs w:val="18"/>
          <w:vertAlign w:val="superscript"/>
        </w:rPr>
        <w:t xml:space="preserve">a </w:t>
      </w:r>
      <w:r w:rsidR="00E75877" w:rsidRPr="00BD19A7">
        <w:rPr>
          <w:rFonts w:ascii="Arial Narrow" w:hAnsi="Arial Narrow"/>
          <w:sz w:val="18"/>
          <w:szCs w:val="18"/>
        </w:rPr>
        <w:t>price amended following PSCR</w:t>
      </w:r>
      <w:r w:rsidR="00E75877" w:rsidRPr="00BD19A7">
        <w:rPr>
          <w:rFonts w:ascii="Arial Narrow" w:hAnsi="Arial Narrow"/>
          <w:sz w:val="18"/>
          <w:szCs w:val="18"/>
        </w:rPr>
        <w:br/>
      </w:r>
      <w:r w:rsidRPr="00BD19A7">
        <w:rPr>
          <w:rFonts w:ascii="Arial Narrow" w:hAnsi="Arial Narrow"/>
          <w:sz w:val="18"/>
          <w:szCs w:val="18"/>
        </w:rPr>
        <w:t xml:space="preserve">Abbreviations: MBS = Medicare Benefits Schedule PBS = Pharmaceutical Benefits Scheme, RPBS = repatriation Pharmaceutical Benefits Schedule, IV = intravenous, AEMP = Approved Ex-Manufacturer Price </w:t>
      </w:r>
    </w:p>
    <w:p w14:paraId="24B467C6" w14:textId="11E424A6" w:rsidR="0036152E" w:rsidRPr="00BD19A7" w:rsidRDefault="0036152E" w:rsidP="00C677B5">
      <w:pPr>
        <w:pStyle w:val="3-BodyText"/>
      </w:pPr>
      <w:r w:rsidRPr="00BD19A7">
        <w:t xml:space="preserve">The number of patients that commence treatment with vedolizumab was sourced from the </w:t>
      </w:r>
      <w:r w:rsidR="005F1441" w:rsidRPr="00BD19A7">
        <w:t>10%</w:t>
      </w:r>
      <w:r w:rsidRPr="00BD19A7">
        <w:t xml:space="preserve"> PBS sample data. Over the period August 2021 to June 2023, approximately 30 patients with severe CD newly commenced treatment with vedolizumab on the PBS each month. </w:t>
      </w:r>
    </w:p>
    <w:p w14:paraId="37FDEF1F" w14:textId="21848161" w:rsidR="0036152E" w:rsidRPr="00BD19A7" w:rsidRDefault="0036152E" w:rsidP="00C677B5">
      <w:pPr>
        <w:pStyle w:val="3-BodyText"/>
      </w:pPr>
      <w:r w:rsidRPr="00BD19A7">
        <w:t>The modelled number of patients that are expected to newly commence treatment with vedolizumab in each year of the analysis was estimated by applying the percent change in the number of initiations from the trendline analysis to the observed initiations in the 2022 calendar year. The predicted number of patients with severe CD that are expected to newly commence treatment with vedolizumab in each year over the period 202</w:t>
      </w:r>
      <w:r w:rsidR="002340AA" w:rsidRPr="00BD19A7">
        <w:t>3</w:t>
      </w:r>
      <w:r w:rsidRPr="00BD19A7">
        <w:t xml:space="preserve"> to 2029 is presented in</w:t>
      </w:r>
      <w:r w:rsidR="007741F1" w:rsidRPr="00BD19A7">
        <w:t xml:space="preserve"> </w:t>
      </w:r>
      <w:r w:rsidR="007741F1" w:rsidRPr="00BD19A7">
        <w:fldChar w:fldCharType="begin" w:fldLock="1"/>
      </w:r>
      <w:r w:rsidR="007741F1" w:rsidRPr="00BD19A7">
        <w:instrText xml:space="preserve"> REF _Ref155860481 \h </w:instrText>
      </w:r>
      <w:r w:rsidR="007741F1" w:rsidRPr="00BD19A7">
        <w:fldChar w:fldCharType="separate"/>
      </w:r>
      <w:r w:rsidR="00A008BF" w:rsidRPr="00BD19A7" w:rsidDel="00A56DFE">
        <w:t>Table 9</w:t>
      </w:r>
      <w:r w:rsidR="007741F1" w:rsidRPr="00BD19A7">
        <w:fldChar w:fldCharType="end"/>
      </w:r>
      <w:r w:rsidRPr="00BD19A7">
        <w:t>.</w:t>
      </w:r>
    </w:p>
    <w:p w14:paraId="1FB3F0D4" w14:textId="44322581" w:rsidR="00F04CE9" w:rsidRPr="00BD19A7" w:rsidRDefault="00F04CE9" w:rsidP="00F04CE9">
      <w:pPr>
        <w:pStyle w:val="Caption"/>
      </w:pPr>
      <w:bookmarkStart w:id="45" w:name="_Ref155860481"/>
      <w:r w:rsidRPr="00BD19A7">
        <w:t xml:space="preserve">Table </w:t>
      </w:r>
      <w:r w:rsidR="007B0FCD">
        <w:fldChar w:fldCharType="begin" w:fldLock="1"/>
      </w:r>
      <w:r w:rsidR="007B0FCD">
        <w:instrText xml:space="preserve"> SEQ Table \* ARABIC </w:instrText>
      </w:r>
      <w:r w:rsidR="007B0FCD">
        <w:fldChar w:fldCharType="separate"/>
      </w:r>
      <w:r w:rsidR="00A56DFE">
        <w:rPr>
          <w:noProof/>
        </w:rPr>
        <w:t>9</w:t>
      </w:r>
      <w:r w:rsidR="007B0FCD">
        <w:rPr>
          <w:noProof/>
        </w:rPr>
        <w:fldChar w:fldCharType="end"/>
      </w:r>
      <w:bookmarkEnd w:id="45"/>
      <w:r w:rsidRPr="00BD19A7">
        <w:t>: Patients with severe CD newly initiating treatment with vedolizumab</w:t>
      </w:r>
    </w:p>
    <w:tbl>
      <w:tblPr>
        <w:tblStyle w:val="HTATableshaded"/>
        <w:tblW w:w="0" w:type="auto"/>
        <w:tblLook w:val="04A0" w:firstRow="1" w:lastRow="0" w:firstColumn="1" w:lastColumn="0" w:noHBand="0" w:noVBand="1"/>
        <w:tblCaption w:val="Table 9: Patients with severe CD newly initiating treatment with vedolizumab"/>
      </w:tblPr>
      <w:tblGrid>
        <w:gridCol w:w="1852"/>
        <w:gridCol w:w="973"/>
        <w:gridCol w:w="882"/>
        <w:gridCol w:w="885"/>
        <w:gridCol w:w="885"/>
        <w:gridCol w:w="885"/>
        <w:gridCol w:w="885"/>
        <w:gridCol w:w="885"/>
        <w:gridCol w:w="885"/>
      </w:tblGrid>
      <w:tr w:rsidR="0036152E" w:rsidRPr="00BD19A7" w14:paraId="03891241" w14:textId="77777777" w:rsidTr="00F04CE9">
        <w:trPr>
          <w:cnfStyle w:val="100000000000" w:firstRow="1" w:lastRow="0" w:firstColumn="0" w:lastColumn="0" w:oddVBand="0" w:evenVBand="0" w:oddHBand="0" w:evenHBand="0" w:firstRowFirstColumn="0" w:firstRowLastColumn="0" w:lastRowFirstColumn="0" w:lastRowLastColumn="0"/>
        </w:trPr>
        <w:tc>
          <w:tcPr>
            <w:tcW w:w="1852" w:type="dxa"/>
            <w:shd w:val="clear" w:color="auto" w:fill="F2F2F2" w:themeFill="background1" w:themeFillShade="F2"/>
          </w:tcPr>
          <w:p w14:paraId="48E5EEF4" w14:textId="77777777" w:rsidR="0036152E" w:rsidRPr="00BD19A7" w:rsidRDefault="0036152E" w:rsidP="00F316D5">
            <w:pPr>
              <w:keepNext/>
              <w:spacing w:before="0" w:after="0"/>
              <w:rPr>
                <w:rFonts w:ascii="Arial Narrow" w:hAnsi="Arial Narrow" w:cstheme="minorHAnsi"/>
                <w:b/>
                <w:bCs/>
                <w:sz w:val="20"/>
                <w:szCs w:val="20"/>
              </w:rPr>
            </w:pPr>
          </w:p>
        </w:tc>
        <w:tc>
          <w:tcPr>
            <w:tcW w:w="973" w:type="dxa"/>
            <w:shd w:val="clear" w:color="auto" w:fill="F2F2F2" w:themeFill="background1" w:themeFillShade="F2"/>
          </w:tcPr>
          <w:p w14:paraId="380CF2FD"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2022</w:t>
            </w:r>
          </w:p>
        </w:tc>
        <w:tc>
          <w:tcPr>
            <w:tcW w:w="882" w:type="dxa"/>
            <w:shd w:val="clear" w:color="auto" w:fill="F2F2F2" w:themeFill="background1" w:themeFillShade="F2"/>
          </w:tcPr>
          <w:p w14:paraId="63D2A069"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2023</w:t>
            </w:r>
          </w:p>
        </w:tc>
        <w:tc>
          <w:tcPr>
            <w:tcW w:w="885" w:type="dxa"/>
            <w:shd w:val="clear" w:color="auto" w:fill="F2F2F2" w:themeFill="background1" w:themeFillShade="F2"/>
          </w:tcPr>
          <w:p w14:paraId="2260C772"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2024</w:t>
            </w:r>
          </w:p>
        </w:tc>
        <w:tc>
          <w:tcPr>
            <w:tcW w:w="885" w:type="dxa"/>
            <w:shd w:val="clear" w:color="auto" w:fill="F2F2F2" w:themeFill="background1" w:themeFillShade="F2"/>
          </w:tcPr>
          <w:p w14:paraId="75D01815"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2025</w:t>
            </w:r>
          </w:p>
        </w:tc>
        <w:tc>
          <w:tcPr>
            <w:tcW w:w="885" w:type="dxa"/>
            <w:shd w:val="clear" w:color="auto" w:fill="F2F2F2" w:themeFill="background1" w:themeFillShade="F2"/>
          </w:tcPr>
          <w:p w14:paraId="4B38DC42"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2026</w:t>
            </w:r>
          </w:p>
        </w:tc>
        <w:tc>
          <w:tcPr>
            <w:tcW w:w="885" w:type="dxa"/>
            <w:shd w:val="clear" w:color="auto" w:fill="F2F2F2" w:themeFill="background1" w:themeFillShade="F2"/>
          </w:tcPr>
          <w:p w14:paraId="5F66A8EA"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2027</w:t>
            </w:r>
          </w:p>
        </w:tc>
        <w:tc>
          <w:tcPr>
            <w:tcW w:w="885" w:type="dxa"/>
            <w:shd w:val="clear" w:color="auto" w:fill="F2F2F2" w:themeFill="background1" w:themeFillShade="F2"/>
          </w:tcPr>
          <w:p w14:paraId="006B0A27"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2028</w:t>
            </w:r>
          </w:p>
        </w:tc>
        <w:tc>
          <w:tcPr>
            <w:tcW w:w="885" w:type="dxa"/>
            <w:shd w:val="clear" w:color="auto" w:fill="F2F2F2" w:themeFill="background1" w:themeFillShade="F2"/>
          </w:tcPr>
          <w:p w14:paraId="25713849" w14:textId="77777777" w:rsidR="0036152E" w:rsidRPr="00BD19A7" w:rsidRDefault="0036152E" w:rsidP="00F316D5">
            <w:pPr>
              <w:keepNext/>
              <w:spacing w:before="0" w:after="0"/>
              <w:jc w:val="center"/>
              <w:rPr>
                <w:rFonts w:ascii="Arial Narrow" w:hAnsi="Arial Narrow" w:cstheme="minorHAnsi"/>
                <w:b/>
                <w:bCs/>
                <w:sz w:val="20"/>
                <w:szCs w:val="20"/>
              </w:rPr>
            </w:pPr>
            <w:r w:rsidRPr="00BD19A7">
              <w:rPr>
                <w:rFonts w:ascii="Arial Narrow" w:hAnsi="Arial Narrow" w:cstheme="minorHAnsi"/>
                <w:b/>
                <w:bCs/>
                <w:sz w:val="20"/>
                <w:szCs w:val="20"/>
              </w:rPr>
              <w:t>2029</w:t>
            </w:r>
          </w:p>
        </w:tc>
      </w:tr>
      <w:tr w:rsidR="0036152E" w:rsidRPr="00BD19A7" w14:paraId="14C33AC4" w14:textId="77777777" w:rsidTr="00F04CE9">
        <w:tc>
          <w:tcPr>
            <w:tcW w:w="1852" w:type="dxa"/>
          </w:tcPr>
          <w:p w14:paraId="3C8DFC67" w14:textId="77777777" w:rsidR="0036152E" w:rsidRPr="00BD19A7" w:rsidRDefault="0036152E" w:rsidP="00F316D5">
            <w:pPr>
              <w:keepNext/>
              <w:spacing w:before="0" w:after="0"/>
              <w:rPr>
                <w:rFonts w:ascii="Arial Narrow" w:hAnsi="Arial Narrow" w:cstheme="minorHAnsi"/>
                <w:sz w:val="20"/>
                <w:szCs w:val="20"/>
              </w:rPr>
            </w:pPr>
            <w:r w:rsidRPr="00BD19A7">
              <w:rPr>
                <w:rFonts w:ascii="Arial Narrow" w:hAnsi="Arial Narrow" w:cstheme="minorHAnsi"/>
                <w:sz w:val="20"/>
                <w:szCs w:val="20"/>
              </w:rPr>
              <w:t>Analysis year</w:t>
            </w:r>
          </w:p>
        </w:tc>
        <w:tc>
          <w:tcPr>
            <w:tcW w:w="973" w:type="dxa"/>
          </w:tcPr>
          <w:p w14:paraId="2E18C0C4"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Reference</w:t>
            </w:r>
          </w:p>
        </w:tc>
        <w:tc>
          <w:tcPr>
            <w:tcW w:w="882" w:type="dxa"/>
          </w:tcPr>
          <w:p w14:paraId="06A7E9FC"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0</w:t>
            </w:r>
          </w:p>
        </w:tc>
        <w:tc>
          <w:tcPr>
            <w:tcW w:w="885" w:type="dxa"/>
          </w:tcPr>
          <w:p w14:paraId="72C826A9"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1</w:t>
            </w:r>
          </w:p>
        </w:tc>
        <w:tc>
          <w:tcPr>
            <w:tcW w:w="885" w:type="dxa"/>
          </w:tcPr>
          <w:p w14:paraId="0380117E"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2</w:t>
            </w:r>
          </w:p>
        </w:tc>
        <w:tc>
          <w:tcPr>
            <w:tcW w:w="885" w:type="dxa"/>
          </w:tcPr>
          <w:p w14:paraId="632BB80F"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3</w:t>
            </w:r>
          </w:p>
        </w:tc>
        <w:tc>
          <w:tcPr>
            <w:tcW w:w="885" w:type="dxa"/>
          </w:tcPr>
          <w:p w14:paraId="1F40F483"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4</w:t>
            </w:r>
          </w:p>
        </w:tc>
        <w:tc>
          <w:tcPr>
            <w:tcW w:w="885" w:type="dxa"/>
          </w:tcPr>
          <w:p w14:paraId="19F10FFF"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5</w:t>
            </w:r>
          </w:p>
        </w:tc>
        <w:tc>
          <w:tcPr>
            <w:tcW w:w="885" w:type="dxa"/>
          </w:tcPr>
          <w:p w14:paraId="4FFF6B46"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Year 6</w:t>
            </w:r>
          </w:p>
        </w:tc>
      </w:tr>
      <w:tr w:rsidR="0036152E" w:rsidRPr="00BD19A7" w14:paraId="7126EB7D" w14:textId="77777777" w:rsidTr="00F04CE9">
        <w:tc>
          <w:tcPr>
            <w:tcW w:w="9017" w:type="dxa"/>
            <w:gridSpan w:val="9"/>
            <w:shd w:val="clear" w:color="auto" w:fill="F2F2F2" w:themeFill="background1" w:themeFillShade="F2"/>
          </w:tcPr>
          <w:p w14:paraId="20B23EFB" w14:textId="77777777" w:rsidR="0036152E" w:rsidRPr="00BD19A7" w:rsidRDefault="0036152E" w:rsidP="00F316D5">
            <w:pPr>
              <w:keepNext/>
              <w:spacing w:before="0" w:after="0"/>
              <w:jc w:val="left"/>
              <w:rPr>
                <w:rFonts w:ascii="Arial Narrow" w:hAnsi="Arial Narrow" w:cstheme="minorHAnsi"/>
                <w:sz w:val="20"/>
                <w:szCs w:val="20"/>
              </w:rPr>
            </w:pPr>
            <w:r w:rsidRPr="00BD19A7">
              <w:rPr>
                <w:rFonts w:ascii="Arial Narrow" w:hAnsi="Arial Narrow" w:cstheme="minorHAnsi"/>
                <w:sz w:val="20"/>
                <w:szCs w:val="20"/>
              </w:rPr>
              <w:t>Predicted patients initiating treatment with vedolizumab</w:t>
            </w:r>
          </w:p>
        </w:tc>
      </w:tr>
      <w:tr w:rsidR="0036152E" w:rsidRPr="00BD19A7" w14:paraId="62B69400" w14:textId="77777777" w:rsidTr="00F04CE9">
        <w:tc>
          <w:tcPr>
            <w:tcW w:w="1852" w:type="dxa"/>
          </w:tcPr>
          <w:p w14:paraId="7D24FF1C" w14:textId="77777777" w:rsidR="0036152E" w:rsidRPr="00BD19A7" w:rsidRDefault="0036152E" w:rsidP="00F316D5">
            <w:pPr>
              <w:keepNext/>
              <w:spacing w:before="0" w:after="0"/>
              <w:rPr>
                <w:rFonts w:ascii="Arial Narrow" w:hAnsi="Arial Narrow" w:cstheme="minorHAnsi"/>
                <w:sz w:val="20"/>
                <w:szCs w:val="20"/>
              </w:rPr>
            </w:pPr>
            <w:r w:rsidRPr="00BD19A7">
              <w:rPr>
                <w:rFonts w:ascii="Arial Narrow" w:hAnsi="Arial Narrow" w:cstheme="minorHAnsi"/>
                <w:sz w:val="20"/>
                <w:szCs w:val="20"/>
              </w:rPr>
              <w:t>Predicted initiations</w:t>
            </w:r>
          </w:p>
        </w:tc>
        <w:tc>
          <w:tcPr>
            <w:tcW w:w="973" w:type="dxa"/>
            <w:vAlign w:val="center"/>
          </w:tcPr>
          <w:p w14:paraId="0F5BDA2C" w14:textId="4AEA9C4C"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95"/>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95"/>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2" w:type="dxa"/>
            <w:vAlign w:val="center"/>
          </w:tcPr>
          <w:p w14:paraId="51CD8D58" w14:textId="72792BC9"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4"/>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4"/>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55B44E1F" w14:textId="2A5CB49D"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3"/>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3"/>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0125DD59" w14:textId="51A34770"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2"/>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2"/>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24A949E5" w14:textId="27FB13BD"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1"/>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1"/>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0D849044" w14:textId="6F2FD991"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0"/>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0"/>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319F36EA" w14:textId="5E69E7DA"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1"/>
                <w:sz w:val="20"/>
                <w:szCs w:val="20"/>
                <w:shd w:val="solid" w:color="000000" w:fill="000000"/>
                <w:fitText w:val="247" w:id="-961804789"/>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7" w:id="-961804789"/>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440A85AA" w14:textId="17B50544"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1"/>
                <w:sz w:val="20"/>
                <w:szCs w:val="20"/>
                <w:shd w:val="solid" w:color="000000" w:fill="000000"/>
                <w:fitText w:val="247" w:id="-961804788"/>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7" w:id="-961804788"/>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r>
      <w:tr w:rsidR="0036152E" w:rsidRPr="00BD19A7" w14:paraId="6A8C8244" w14:textId="77777777" w:rsidTr="00F04CE9">
        <w:tc>
          <w:tcPr>
            <w:tcW w:w="1852" w:type="dxa"/>
          </w:tcPr>
          <w:p w14:paraId="11589FDE" w14:textId="77777777" w:rsidR="0036152E" w:rsidRPr="00BD19A7" w:rsidRDefault="0036152E" w:rsidP="00F316D5">
            <w:pPr>
              <w:keepNext/>
              <w:spacing w:before="0" w:after="0"/>
              <w:rPr>
                <w:rFonts w:ascii="Arial Narrow" w:hAnsi="Arial Narrow" w:cstheme="minorHAnsi"/>
                <w:sz w:val="20"/>
                <w:szCs w:val="20"/>
              </w:rPr>
            </w:pPr>
            <w:r w:rsidRPr="00BD19A7">
              <w:rPr>
                <w:rFonts w:ascii="Arial Narrow" w:hAnsi="Arial Narrow" w:cstheme="minorHAnsi"/>
                <w:sz w:val="20"/>
                <w:szCs w:val="20"/>
              </w:rPr>
              <w:t>Change vs prior year</w:t>
            </w:r>
          </w:p>
        </w:tc>
        <w:tc>
          <w:tcPr>
            <w:tcW w:w="973" w:type="dxa"/>
          </w:tcPr>
          <w:p w14:paraId="0FF9AF4A" w14:textId="77777777" w:rsidR="0036152E" w:rsidRPr="00BD19A7" w:rsidRDefault="0036152E" w:rsidP="00F316D5">
            <w:pPr>
              <w:keepNext/>
              <w:spacing w:before="0" w:after="0"/>
              <w:jc w:val="center"/>
              <w:rPr>
                <w:rFonts w:ascii="Arial Narrow" w:hAnsi="Arial Narrow" w:cstheme="minorHAnsi"/>
                <w:sz w:val="20"/>
                <w:szCs w:val="20"/>
              </w:rPr>
            </w:pPr>
          </w:p>
        </w:tc>
        <w:tc>
          <w:tcPr>
            <w:tcW w:w="882" w:type="dxa"/>
            <w:vAlign w:val="center"/>
          </w:tcPr>
          <w:p w14:paraId="78C660BA" w14:textId="2AC151EF"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6"/>
                <w:sz w:val="20"/>
                <w:szCs w:val="20"/>
                <w:shd w:val="solid" w:color="000000" w:fill="000000"/>
                <w:fitText w:val="282" w:id="-961804787"/>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2" w:id="-961804787"/>
                <w14:textFill>
                  <w14:solidFill>
                    <w14:srgbClr w14:val="000000">
                      <w14:alpha w14:val="100000"/>
                    </w14:srgbClr>
                  </w14:solidFill>
                </w14:textFill>
              </w:rPr>
              <w:t>|</w:t>
            </w:r>
            <w:r w:rsidR="0036152E" w:rsidRPr="004E5C1B">
              <w:rPr>
                <w:rFonts w:ascii="Arial Narrow" w:hAnsi="Arial Narrow" w:cstheme="minorHAnsi"/>
                <w:sz w:val="20"/>
                <w:szCs w:val="20"/>
              </w:rPr>
              <w:t>%</w:t>
            </w:r>
          </w:p>
        </w:tc>
        <w:tc>
          <w:tcPr>
            <w:tcW w:w="885" w:type="dxa"/>
            <w:vAlign w:val="center"/>
          </w:tcPr>
          <w:p w14:paraId="6D79BE46" w14:textId="56E07E92"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6"/>
                <w:sz w:val="20"/>
                <w:szCs w:val="20"/>
                <w:shd w:val="solid" w:color="000000" w:fill="000000"/>
                <w:fitText w:val="282" w:id="-961804786"/>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2" w:id="-961804786"/>
                <w14:textFill>
                  <w14:solidFill>
                    <w14:srgbClr w14:val="000000">
                      <w14:alpha w14:val="100000"/>
                    </w14:srgbClr>
                  </w14:solidFill>
                </w14:textFill>
              </w:rPr>
              <w:t>|</w:t>
            </w:r>
            <w:r w:rsidR="0036152E" w:rsidRPr="004E5C1B">
              <w:rPr>
                <w:rFonts w:ascii="Arial Narrow" w:hAnsi="Arial Narrow" w:cstheme="minorHAnsi"/>
                <w:sz w:val="20"/>
                <w:szCs w:val="20"/>
              </w:rPr>
              <w:t>%</w:t>
            </w:r>
          </w:p>
        </w:tc>
        <w:tc>
          <w:tcPr>
            <w:tcW w:w="885" w:type="dxa"/>
            <w:vAlign w:val="center"/>
          </w:tcPr>
          <w:p w14:paraId="72856343" w14:textId="1DE5190E"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6"/>
                <w:sz w:val="20"/>
                <w:szCs w:val="20"/>
                <w:shd w:val="solid" w:color="000000" w:fill="000000"/>
                <w:fitText w:val="282" w:id="-961804785"/>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2" w:id="-961804785"/>
                <w14:textFill>
                  <w14:solidFill>
                    <w14:srgbClr w14:val="000000">
                      <w14:alpha w14:val="100000"/>
                    </w14:srgbClr>
                  </w14:solidFill>
                </w14:textFill>
              </w:rPr>
              <w:t>|</w:t>
            </w:r>
            <w:r w:rsidR="0036152E" w:rsidRPr="004E5C1B">
              <w:rPr>
                <w:rFonts w:ascii="Arial Narrow" w:hAnsi="Arial Narrow" w:cstheme="minorHAnsi"/>
                <w:sz w:val="20"/>
                <w:szCs w:val="20"/>
              </w:rPr>
              <w:t>%</w:t>
            </w:r>
          </w:p>
        </w:tc>
        <w:tc>
          <w:tcPr>
            <w:tcW w:w="885" w:type="dxa"/>
            <w:vAlign w:val="center"/>
          </w:tcPr>
          <w:p w14:paraId="023DE779" w14:textId="099D4E2A"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6"/>
                <w:sz w:val="20"/>
                <w:szCs w:val="20"/>
                <w:shd w:val="solid" w:color="000000" w:fill="000000"/>
                <w:fitText w:val="282" w:id="-961804784"/>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2" w:id="-961804784"/>
                <w14:textFill>
                  <w14:solidFill>
                    <w14:srgbClr w14:val="000000">
                      <w14:alpha w14:val="100000"/>
                    </w14:srgbClr>
                  </w14:solidFill>
                </w14:textFill>
              </w:rPr>
              <w:t>|</w:t>
            </w:r>
            <w:r w:rsidR="0036152E" w:rsidRPr="004E5C1B">
              <w:rPr>
                <w:rFonts w:ascii="Arial Narrow" w:hAnsi="Arial Narrow" w:cstheme="minorHAnsi"/>
                <w:sz w:val="20"/>
                <w:szCs w:val="20"/>
              </w:rPr>
              <w:t>%</w:t>
            </w:r>
          </w:p>
        </w:tc>
        <w:tc>
          <w:tcPr>
            <w:tcW w:w="885" w:type="dxa"/>
            <w:vAlign w:val="center"/>
          </w:tcPr>
          <w:p w14:paraId="1BE5B040" w14:textId="05CC9478"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6"/>
                <w:sz w:val="20"/>
                <w:szCs w:val="20"/>
                <w:shd w:val="solid" w:color="000000" w:fill="000000"/>
                <w:fitText w:val="282" w:id="-961804800"/>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2" w:id="-961804800"/>
                <w14:textFill>
                  <w14:solidFill>
                    <w14:srgbClr w14:val="000000">
                      <w14:alpha w14:val="100000"/>
                    </w14:srgbClr>
                  </w14:solidFill>
                </w14:textFill>
              </w:rPr>
              <w:t>|</w:t>
            </w:r>
            <w:r w:rsidR="0036152E" w:rsidRPr="004E5C1B">
              <w:rPr>
                <w:rFonts w:ascii="Arial Narrow" w:hAnsi="Arial Narrow" w:cstheme="minorHAnsi"/>
                <w:sz w:val="20"/>
                <w:szCs w:val="20"/>
              </w:rPr>
              <w:t>%</w:t>
            </w:r>
          </w:p>
        </w:tc>
        <w:tc>
          <w:tcPr>
            <w:tcW w:w="885" w:type="dxa"/>
            <w:vAlign w:val="center"/>
          </w:tcPr>
          <w:p w14:paraId="55A74FEF" w14:textId="0D2205D2"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7"/>
                <w:sz w:val="20"/>
                <w:szCs w:val="20"/>
                <w:shd w:val="solid" w:color="000000" w:fill="000000"/>
                <w:fitText w:val="283" w:id="-961804799"/>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3" w:id="-961804799"/>
                <w14:textFill>
                  <w14:solidFill>
                    <w14:srgbClr w14:val="000000">
                      <w14:alpha w14:val="100000"/>
                    </w14:srgbClr>
                  </w14:solidFill>
                </w14:textFill>
              </w:rPr>
              <w:t>|</w:t>
            </w:r>
            <w:r w:rsidR="0036152E" w:rsidRPr="004E5C1B">
              <w:rPr>
                <w:rFonts w:ascii="Arial Narrow" w:hAnsi="Arial Narrow" w:cstheme="minorHAnsi"/>
                <w:sz w:val="20"/>
                <w:szCs w:val="20"/>
              </w:rPr>
              <w:t>%</w:t>
            </w:r>
          </w:p>
        </w:tc>
        <w:tc>
          <w:tcPr>
            <w:tcW w:w="885" w:type="dxa"/>
            <w:vAlign w:val="center"/>
          </w:tcPr>
          <w:p w14:paraId="0EB255A6" w14:textId="064169B8" w:rsidR="0036152E" w:rsidRPr="004E5C1B" w:rsidRDefault="00206A14" w:rsidP="00F316D5">
            <w:pPr>
              <w:keepNext/>
              <w:spacing w:before="0" w:after="0"/>
              <w:jc w:val="center"/>
              <w:rPr>
                <w:rFonts w:ascii="Arial Narrow" w:hAnsi="Arial Narrow" w:cstheme="minorHAnsi"/>
                <w:sz w:val="20"/>
                <w:szCs w:val="20"/>
              </w:rPr>
            </w:pPr>
            <w:r w:rsidRPr="00206A14">
              <w:rPr>
                <w:rFonts w:ascii="Arial Narrow" w:hAnsi="Arial Narrow" w:cstheme="minorHAnsi"/>
                <w:color w:val="000000"/>
                <w:spacing w:val="197"/>
                <w:sz w:val="20"/>
                <w:szCs w:val="20"/>
                <w:shd w:val="solid" w:color="000000" w:fill="000000"/>
                <w:fitText w:val="283" w:id="-961804798"/>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83" w:id="-961804798"/>
                <w14:textFill>
                  <w14:solidFill>
                    <w14:srgbClr w14:val="000000">
                      <w14:alpha w14:val="100000"/>
                    </w14:srgbClr>
                  </w14:solidFill>
                </w14:textFill>
              </w:rPr>
              <w:t>|</w:t>
            </w:r>
            <w:r w:rsidR="0036152E" w:rsidRPr="004E5C1B">
              <w:rPr>
                <w:rFonts w:ascii="Arial Narrow" w:hAnsi="Arial Narrow" w:cstheme="minorHAnsi"/>
                <w:sz w:val="20"/>
                <w:szCs w:val="20"/>
              </w:rPr>
              <w:t>%</w:t>
            </w:r>
          </w:p>
        </w:tc>
      </w:tr>
      <w:tr w:rsidR="0036152E" w:rsidRPr="00BD19A7" w14:paraId="430E5A39" w14:textId="77777777" w:rsidTr="00F04CE9">
        <w:tc>
          <w:tcPr>
            <w:tcW w:w="9017" w:type="dxa"/>
            <w:gridSpan w:val="9"/>
            <w:shd w:val="clear" w:color="auto" w:fill="F2F2F2" w:themeFill="background1" w:themeFillShade="F2"/>
            <w:vAlign w:val="center"/>
          </w:tcPr>
          <w:p w14:paraId="2B6E570D" w14:textId="77777777" w:rsidR="0036152E" w:rsidRPr="00BD19A7" w:rsidRDefault="0036152E" w:rsidP="00F316D5">
            <w:pPr>
              <w:keepNext/>
              <w:spacing w:before="0" w:after="0"/>
              <w:jc w:val="left"/>
              <w:rPr>
                <w:rFonts w:ascii="Arial Narrow" w:hAnsi="Arial Narrow" w:cstheme="minorHAnsi"/>
                <w:sz w:val="20"/>
                <w:szCs w:val="20"/>
              </w:rPr>
            </w:pPr>
            <w:r w:rsidRPr="00BD19A7">
              <w:rPr>
                <w:rFonts w:ascii="Arial Narrow" w:hAnsi="Arial Narrow" w:cstheme="minorHAnsi"/>
                <w:sz w:val="20"/>
                <w:szCs w:val="20"/>
              </w:rPr>
              <w:t>Modelled patients initiating treatment with vedolizumab</w:t>
            </w:r>
          </w:p>
        </w:tc>
      </w:tr>
      <w:tr w:rsidR="0036152E" w:rsidRPr="00BD19A7" w14:paraId="35A871AD" w14:textId="77777777" w:rsidTr="00F04CE9">
        <w:tc>
          <w:tcPr>
            <w:tcW w:w="1852" w:type="dxa"/>
          </w:tcPr>
          <w:p w14:paraId="18A82802" w14:textId="77777777" w:rsidR="0036152E" w:rsidRPr="00BD19A7" w:rsidRDefault="0036152E" w:rsidP="00F316D5">
            <w:pPr>
              <w:keepNext/>
              <w:spacing w:before="0" w:after="0"/>
              <w:rPr>
                <w:rFonts w:ascii="Arial Narrow" w:hAnsi="Arial Narrow" w:cstheme="minorHAnsi"/>
                <w:sz w:val="20"/>
                <w:szCs w:val="20"/>
              </w:rPr>
            </w:pPr>
            <w:r w:rsidRPr="00BD19A7">
              <w:rPr>
                <w:rFonts w:ascii="Arial Narrow" w:hAnsi="Arial Narrow" w:cstheme="minorHAnsi"/>
                <w:sz w:val="20"/>
                <w:szCs w:val="20"/>
              </w:rPr>
              <w:t>Observed initiations</w:t>
            </w:r>
          </w:p>
        </w:tc>
        <w:tc>
          <w:tcPr>
            <w:tcW w:w="973" w:type="dxa"/>
          </w:tcPr>
          <w:p w14:paraId="06138C67" w14:textId="2F2CE041"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97"/>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97"/>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2" w:type="dxa"/>
          </w:tcPr>
          <w:p w14:paraId="36FDFD52"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c>
          <w:tcPr>
            <w:tcW w:w="885" w:type="dxa"/>
          </w:tcPr>
          <w:p w14:paraId="48EC0B94"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c>
          <w:tcPr>
            <w:tcW w:w="885" w:type="dxa"/>
          </w:tcPr>
          <w:p w14:paraId="22850FF9"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c>
          <w:tcPr>
            <w:tcW w:w="885" w:type="dxa"/>
          </w:tcPr>
          <w:p w14:paraId="65C289D0"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c>
          <w:tcPr>
            <w:tcW w:w="885" w:type="dxa"/>
          </w:tcPr>
          <w:p w14:paraId="732DDFE7"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c>
          <w:tcPr>
            <w:tcW w:w="885" w:type="dxa"/>
          </w:tcPr>
          <w:p w14:paraId="41F39DF9"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c>
          <w:tcPr>
            <w:tcW w:w="885" w:type="dxa"/>
          </w:tcPr>
          <w:p w14:paraId="3A003971" w14:textId="77777777" w:rsidR="0036152E" w:rsidRPr="007801C5" w:rsidRDefault="0036152E" w:rsidP="00F316D5">
            <w:pPr>
              <w:keepNext/>
              <w:spacing w:before="0" w:after="0"/>
              <w:jc w:val="center"/>
              <w:rPr>
                <w:rFonts w:ascii="Arial Narrow" w:hAnsi="Arial Narrow" w:cstheme="minorHAnsi"/>
                <w:sz w:val="20"/>
                <w:szCs w:val="20"/>
              </w:rPr>
            </w:pPr>
            <w:r w:rsidRPr="007801C5">
              <w:rPr>
                <w:rFonts w:ascii="Arial Narrow" w:hAnsi="Arial Narrow" w:cstheme="minorHAnsi"/>
                <w:sz w:val="20"/>
                <w:szCs w:val="20"/>
              </w:rPr>
              <w:t>-</w:t>
            </w:r>
          </w:p>
        </w:tc>
      </w:tr>
      <w:tr w:rsidR="0036152E" w:rsidRPr="00BD19A7" w14:paraId="13ECAD5B" w14:textId="77777777" w:rsidTr="00F04CE9">
        <w:tc>
          <w:tcPr>
            <w:tcW w:w="1852" w:type="dxa"/>
          </w:tcPr>
          <w:p w14:paraId="1A1DDA95" w14:textId="77777777" w:rsidR="0036152E" w:rsidRPr="00BD19A7" w:rsidRDefault="0036152E" w:rsidP="00F316D5">
            <w:pPr>
              <w:keepNext/>
              <w:spacing w:before="0" w:after="0"/>
              <w:rPr>
                <w:rFonts w:ascii="Arial Narrow" w:hAnsi="Arial Narrow" w:cstheme="minorHAnsi"/>
                <w:sz w:val="20"/>
                <w:szCs w:val="20"/>
              </w:rPr>
            </w:pPr>
            <w:r w:rsidRPr="00BD19A7">
              <w:rPr>
                <w:rFonts w:ascii="Arial Narrow" w:hAnsi="Arial Narrow" w:cstheme="minorHAnsi"/>
                <w:sz w:val="20"/>
                <w:szCs w:val="20"/>
              </w:rPr>
              <w:t>Modelled initiations</w:t>
            </w:r>
          </w:p>
        </w:tc>
        <w:tc>
          <w:tcPr>
            <w:tcW w:w="973" w:type="dxa"/>
          </w:tcPr>
          <w:p w14:paraId="06574CB7" w14:textId="77777777" w:rsidR="0036152E" w:rsidRPr="00BD19A7" w:rsidRDefault="0036152E" w:rsidP="00F316D5">
            <w:pPr>
              <w:keepNext/>
              <w:spacing w:before="0" w:after="0"/>
              <w:jc w:val="center"/>
              <w:rPr>
                <w:rFonts w:ascii="Arial Narrow" w:hAnsi="Arial Narrow" w:cstheme="minorHAnsi"/>
                <w:sz w:val="20"/>
                <w:szCs w:val="20"/>
              </w:rPr>
            </w:pPr>
            <w:r w:rsidRPr="00BD19A7">
              <w:rPr>
                <w:rFonts w:ascii="Arial Narrow" w:hAnsi="Arial Narrow" w:cstheme="minorHAnsi"/>
                <w:sz w:val="20"/>
                <w:szCs w:val="20"/>
              </w:rPr>
              <w:t>-</w:t>
            </w:r>
          </w:p>
        </w:tc>
        <w:tc>
          <w:tcPr>
            <w:tcW w:w="882" w:type="dxa"/>
            <w:vAlign w:val="center"/>
          </w:tcPr>
          <w:p w14:paraId="5E26C000" w14:textId="70B8A3ED"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6"/>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6"/>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0FA0B0B2" w14:textId="1361B84A"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5"/>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5"/>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22A75756" w14:textId="32D4F198"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4"/>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4"/>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08CE3A57" w14:textId="203D1DF1"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3"/>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3"/>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6AA0C2A4" w14:textId="58B5DEE1"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92"/>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92"/>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3457FFC5" w14:textId="4014B0F3"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1"/>
                <w:sz w:val="20"/>
                <w:szCs w:val="20"/>
                <w:shd w:val="solid" w:color="000000" w:fill="000000"/>
                <w:fitText w:val="247" w:id="-961804791"/>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7" w:id="-961804791"/>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2EFBFB83" w14:textId="721E5DC4"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1"/>
                <w:sz w:val="20"/>
                <w:szCs w:val="20"/>
                <w:shd w:val="solid" w:color="000000" w:fill="000000"/>
                <w:fitText w:val="247" w:id="-961804790"/>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7" w:id="-961804790"/>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r>
      <w:tr w:rsidR="0036152E" w:rsidRPr="00BD19A7" w14:paraId="013F0291" w14:textId="77777777" w:rsidTr="00F04CE9">
        <w:tc>
          <w:tcPr>
            <w:tcW w:w="1852" w:type="dxa"/>
          </w:tcPr>
          <w:p w14:paraId="79C32A96" w14:textId="77777777" w:rsidR="0036152E" w:rsidRPr="00BD19A7" w:rsidRDefault="0036152E" w:rsidP="00F316D5">
            <w:pPr>
              <w:keepNext/>
              <w:spacing w:before="0" w:after="0"/>
              <w:rPr>
                <w:rFonts w:ascii="Arial Narrow" w:hAnsi="Arial Narrow" w:cstheme="minorHAnsi"/>
                <w:sz w:val="20"/>
                <w:szCs w:val="20"/>
              </w:rPr>
            </w:pPr>
            <w:r w:rsidRPr="00BD19A7">
              <w:rPr>
                <w:rFonts w:ascii="Arial Narrow" w:hAnsi="Arial Narrow" w:cstheme="minorHAnsi"/>
                <w:sz w:val="20"/>
                <w:szCs w:val="20"/>
              </w:rPr>
              <w:t>Initiations/month</w:t>
            </w:r>
          </w:p>
        </w:tc>
        <w:tc>
          <w:tcPr>
            <w:tcW w:w="973" w:type="dxa"/>
            <w:vAlign w:val="center"/>
          </w:tcPr>
          <w:p w14:paraId="4F45B4FA" w14:textId="12B34436"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89"/>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89"/>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2" w:type="dxa"/>
            <w:vAlign w:val="center"/>
          </w:tcPr>
          <w:p w14:paraId="403CB7A8" w14:textId="2F0A8343"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88"/>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88"/>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745E83E4" w14:textId="6CCBBBA9"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87"/>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87"/>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68F6B631" w14:textId="4D1B59A3"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86"/>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86"/>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5BB85316" w14:textId="0BEB58BB"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85"/>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85"/>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4958524D" w14:textId="6C53D453"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0"/>
                <w:sz w:val="20"/>
                <w:szCs w:val="20"/>
                <w:shd w:val="solid" w:color="000000" w:fill="000000"/>
                <w:fitText w:val="246" w:id="-961804784"/>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6" w:id="-961804784"/>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5C5A2F9C" w14:textId="0CF7884B"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1"/>
                <w:sz w:val="20"/>
                <w:szCs w:val="20"/>
                <w:shd w:val="solid" w:color="000000" w:fill="000000"/>
                <w:fitText w:val="247" w:id="-961804800"/>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7" w:id="-961804800"/>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c>
          <w:tcPr>
            <w:tcW w:w="885" w:type="dxa"/>
            <w:vAlign w:val="center"/>
          </w:tcPr>
          <w:p w14:paraId="0AE15322" w14:textId="75226022" w:rsidR="0036152E" w:rsidRPr="007801C5" w:rsidRDefault="00206A14" w:rsidP="00F316D5">
            <w:pPr>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61"/>
                <w:sz w:val="20"/>
                <w:szCs w:val="20"/>
                <w:shd w:val="solid" w:color="000000" w:fill="000000"/>
                <w:fitText w:val="247" w:id="-961804799"/>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47" w:id="-961804799"/>
                <w14:textFill>
                  <w14:solidFill>
                    <w14:srgbClr w14:val="000000">
                      <w14:alpha w14:val="100000"/>
                    </w14:srgbClr>
                  </w14:solidFill>
                </w14:textFill>
              </w:rPr>
              <w:t>|</w:t>
            </w:r>
            <w:r w:rsidR="007801C5" w:rsidRPr="007801C5">
              <w:rPr>
                <w:rFonts w:ascii="Arial Narrow" w:hAnsi="Arial Narrow" w:cstheme="minorHAnsi"/>
                <w:sz w:val="20"/>
                <w:szCs w:val="20"/>
                <w:vertAlign w:val="superscript"/>
              </w:rPr>
              <w:t>1</w:t>
            </w:r>
          </w:p>
        </w:tc>
      </w:tr>
    </w:tbl>
    <w:p w14:paraId="69522587" w14:textId="553476EF" w:rsidR="0036152E" w:rsidRDefault="0036152E" w:rsidP="00547B4E">
      <w:pPr>
        <w:keepNext/>
        <w:rPr>
          <w:rFonts w:ascii="Arial Narrow" w:eastAsiaTheme="minorHAnsi" w:hAnsi="Arial Narrow" w:cs="Tahoma"/>
          <w:sz w:val="18"/>
          <w:szCs w:val="18"/>
          <w:lang w:eastAsia="en-US"/>
        </w:rPr>
      </w:pPr>
      <w:r w:rsidRPr="00BD19A7">
        <w:rPr>
          <w:rFonts w:ascii="Arial Narrow" w:eastAsiaTheme="minorHAnsi" w:hAnsi="Arial Narrow" w:cs="Tahoma"/>
          <w:sz w:val="18"/>
          <w:szCs w:val="18"/>
          <w:lang w:eastAsia="en-US"/>
        </w:rPr>
        <w:t xml:space="preserve">Source: Entyvio (vedolizumab) - CD - UCM.xlsx, worksheet Initiations - </w:t>
      </w:r>
      <w:r w:rsidR="005F1441" w:rsidRPr="00BD19A7">
        <w:rPr>
          <w:rFonts w:ascii="Arial Narrow" w:eastAsiaTheme="minorHAnsi" w:hAnsi="Arial Narrow" w:cs="Tahoma"/>
          <w:sz w:val="18"/>
          <w:szCs w:val="18"/>
          <w:lang w:eastAsia="en-US"/>
        </w:rPr>
        <w:t>10%</w:t>
      </w:r>
      <w:r w:rsidRPr="00BD19A7">
        <w:rPr>
          <w:rFonts w:ascii="Arial Narrow" w:eastAsiaTheme="minorHAnsi" w:hAnsi="Arial Narrow" w:cs="Tahoma"/>
          <w:sz w:val="18"/>
          <w:szCs w:val="18"/>
          <w:lang w:eastAsia="en-US"/>
        </w:rPr>
        <w:t xml:space="preserve"> PBS</w:t>
      </w:r>
    </w:p>
    <w:p w14:paraId="41C6ED6E" w14:textId="1A005978" w:rsidR="007801C5" w:rsidRPr="004E5C1B" w:rsidRDefault="007801C5" w:rsidP="00547B4E">
      <w:pPr>
        <w:keepNext/>
        <w:rPr>
          <w:rFonts w:ascii="Arial Narrow" w:eastAsiaTheme="minorHAnsi" w:hAnsi="Arial Narrow" w:cs="Tahoma"/>
          <w:i/>
          <w:iCs/>
          <w:sz w:val="18"/>
          <w:szCs w:val="18"/>
          <w:lang w:eastAsia="en-US"/>
        </w:rPr>
      </w:pPr>
      <w:bookmarkStart w:id="46" w:name="_Hlk165019807"/>
      <w:r w:rsidRPr="004E5C1B">
        <w:rPr>
          <w:rFonts w:ascii="Arial Narrow" w:eastAsiaTheme="minorHAnsi" w:hAnsi="Arial Narrow" w:cs="Tahoma"/>
          <w:i/>
          <w:iCs/>
          <w:sz w:val="18"/>
          <w:szCs w:val="18"/>
          <w:lang w:eastAsia="en-US"/>
        </w:rPr>
        <w:t>The redacted values correspond to the following ranges</w:t>
      </w:r>
      <w:r w:rsidR="004E5C1B">
        <w:rPr>
          <w:rFonts w:ascii="Arial Narrow" w:eastAsiaTheme="minorHAnsi" w:hAnsi="Arial Narrow" w:cs="Tahoma"/>
          <w:i/>
          <w:iCs/>
          <w:sz w:val="18"/>
          <w:szCs w:val="18"/>
          <w:lang w:eastAsia="en-US"/>
        </w:rPr>
        <w:t>:</w:t>
      </w:r>
    </w:p>
    <w:p w14:paraId="4DF19778" w14:textId="7386BE1A" w:rsidR="007801C5" w:rsidRPr="004E5C1B" w:rsidRDefault="007801C5" w:rsidP="00547B4E">
      <w:pPr>
        <w:spacing w:after="120"/>
        <w:rPr>
          <w:rFonts w:ascii="Arial Narrow" w:eastAsiaTheme="minorHAnsi" w:hAnsi="Arial Narrow" w:cs="Tahoma"/>
          <w:i/>
          <w:iCs/>
          <w:sz w:val="18"/>
          <w:szCs w:val="18"/>
          <w:lang w:eastAsia="en-US"/>
        </w:rPr>
      </w:pPr>
      <w:r w:rsidRPr="004E5C1B">
        <w:rPr>
          <w:rFonts w:ascii="Arial Narrow" w:eastAsiaTheme="minorHAnsi" w:hAnsi="Arial Narrow" w:cs="Tahoma"/>
          <w:i/>
          <w:iCs/>
          <w:sz w:val="18"/>
          <w:szCs w:val="18"/>
          <w:vertAlign w:val="superscript"/>
          <w:lang w:eastAsia="en-US"/>
        </w:rPr>
        <w:t>1</w:t>
      </w:r>
      <w:r w:rsidRPr="004E5C1B">
        <w:rPr>
          <w:rFonts w:ascii="Arial Narrow" w:eastAsiaTheme="minorHAnsi" w:hAnsi="Arial Narrow" w:cs="Tahoma"/>
          <w:i/>
          <w:iCs/>
          <w:sz w:val="18"/>
          <w:szCs w:val="18"/>
          <w:lang w:eastAsia="en-US"/>
        </w:rPr>
        <w:t xml:space="preserve"> &lt; 500</w:t>
      </w:r>
    </w:p>
    <w:bookmarkEnd w:id="46"/>
    <w:p w14:paraId="42EA100B" w14:textId="530975D3" w:rsidR="008D0B42" w:rsidRPr="00BD19A7" w:rsidRDefault="008D0B42" w:rsidP="00A008BF">
      <w:pPr>
        <w:pStyle w:val="3-BodyText"/>
      </w:pPr>
      <w:r w:rsidRPr="00BD19A7">
        <w:t>An analysis of the supply of the IV form of vedolizumab was undertaken</w:t>
      </w:r>
      <w:r w:rsidR="00621187" w:rsidRPr="00BD19A7">
        <w:t xml:space="preserve"> during the evaluation</w:t>
      </w:r>
      <w:r w:rsidRPr="00BD19A7">
        <w:t>.</w:t>
      </w:r>
      <w:r w:rsidR="006F4717" w:rsidRPr="00BD19A7">
        <w:t xml:space="preserve"> </w:t>
      </w:r>
      <w:r w:rsidRPr="00BD19A7">
        <w:t xml:space="preserve">Data extracted from the PBS, Authorities and Date of Death databases </w:t>
      </w:r>
      <w:r w:rsidRPr="00BD19A7">
        <w:lastRenderedPageBreak/>
        <w:t xml:space="preserve">maintained by Department of Health and Aged Care, processed by Services Australia </w:t>
      </w:r>
      <w:r w:rsidR="002340AA" w:rsidRPr="00BD19A7">
        <w:t xml:space="preserve">were </w:t>
      </w:r>
      <w:r w:rsidRPr="00BD19A7">
        <w:t>used for analyses.</w:t>
      </w:r>
    </w:p>
    <w:p w14:paraId="5F5A2579" w14:textId="137E349F" w:rsidR="008D0B42" w:rsidRPr="00BD19A7" w:rsidRDefault="008D0B42" w:rsidP="006F4717">
      <w:pPr>
        <w:pStyle w:val="3-BodyText"/>
      </w:pPr>
      <w:r w:rsidRPr="00BD19A7">
        <w:t xml:space="preserve">Data </w:t>
      </w:r>
      <w:r w:rsidR="002340AA" w:rsidRPr="00BD19A7">
        <w:t xml:space="preserve">were </w:t>
      </w:r>
      <w:r w:rsidRPr="00BD19A7">
        <w:t xml:space="preserve">extracted for all supplies of the powder for injection 300 mg for vedolizumab for the treatment of severe </w:t>
      </w:r>
      <w:r w:rsidR="00552AE7" w:rsidRPr="00BD19A7">
        <w:t>CD</w:t>
      </w:r>
      <w:r w:rsidRPr="00BD19A7">
        <w:t xml:space="preserve"> from the date of first listing (1</w:t>
      </w:r>
      <w:r w:rsidR="00552AE7" w:rsidRPr="00BD19A7">
        <w:t> </w:t>
      </w:r>
      <w:r w:rsidR="00F406DA" w:rsidRPr="00BD19A7">
        <w:t>October</w:t>
      </w:r>
      <w:r w:rsidR="00F406DA">
        <w:t> </w:t>
      </w:r>
      <w:r w:rsidRPr="00BD19A7">
        <w:t xml:space="preserve">2017) to 30 November 2023. The data </w:t>
      </w:r>
      <w:r w:rsidR="00552AE7" w:rsidRPr="00BD19A7">
        <w:t xml:space="preserve">were </w:t>
      </w:r>
      <w:r w:rsidRPr="00BD19A7">
        <w:t>extracted based on the date of supply. Supplies for subcutaneous injections of vedolizumab were excluded.</w:t>
      </w:r>
      <w:r w:rsidR="006F4717" w:rsidRPr="00BD19A7">
        <w:t xml:space="preserve"> </w:t>
      </w:r>
      <w:r w:rsidRPr="00BD19A7">
        <w:t xml:space="preserve">The PBS prescriptions data </w:t>
      </w:r>
      <w:r w:rsidR="00552AE7" w:rsidRPr="00BD19A7">
        <w:t xml:space="preserve">were </w:t>
      </w:r>
      <w:r w:rsidRPr="00BD19A7">
        <w:t xml:space="preserve">linked to the Authorities data to identify supplies for new patients (i.e. the Initial 1 authority). </w:t>
      </w:r>
    </w:p>
    <w:p w14:paraId="205C6994" w14:textId="1749D89E" w:rsidR="008D0B42" w:rsidRPr="00BD19A7" w:rsidRDefault="008D0B42" w:rsidP="008D0B42">
      <w:pPr>
        <w:pStyle w:val="3-BodyText"/>
      </w:pPr>
      <w:r w:rsidRPr="00BD19A7">
        <w:t>The number of new patients supplied vedolizumab was counted by listing year (i.e.</w:t>
      </w:r>
      <w:r w:rsidR="002340AA" w:rsidRPr="00BD19A7">
        <w:t> </w:t>
      </w:r>
      <w:r w:rsidRPr="00BD19A7">
        <w:t>Oct-Sep) commencing from 1 October 2017, presented in</w:t>
      </w:r>
      <w:r w:rsidR="007741F1" w:rsidRPr="00BD19A7">
        <w:t xml:space="preserve"> </w:t>
      </w:r>
      <w:r w:rsidR="007741F1" w:rsidRPr="00BD19A7">
        <w:fldChar w:fldCharType="begin" w:fldLock="1"/>
      </w:r>
      <w:r w:rsidR="007741F1" w:rsidRPr="00BD19A7">
        <w:instrText xml:space="preserve"> REF _Ref155860492 \h </w:instrText>
      </w:r>
      <w:r w:rsidR="005F1441" w:rsidRPr="00BD19A7">
        <w:instrText xml:space="preserve"> \* MERGEFORMAT </w:instrText>
      </w:r>
      <w:r w:rsidR="007741F1" w:rsidRPr="00BD19A7">
        <w:fldChar w:fldCharType="separate"/>
      </w:r>
      <w:r w:rsidR="00A008BF" w:rsidRPr="00BD19A7" w:rsidDel="00A56DFE">
        <w:t>Table 10</w:t>
      </w:r>
      <w:r w:rsidR="007741F1" w:rsidRPr="00BD19A7">
        <w:fldChar w:fldCharType="end"/>
      </w:r>
      <w:r w:rsidRPr="00BD19A7">
        <w:t>.</w:t>
      </w:r>
    </w:p>
    <w:p w14:paraId="7ED8CA23" w14:textId="1185934B" w:rsidR="00F04CE9" w:rsidRPr="00BD19A7" w:rsidRDefault="00F04CE9" w:rsidP="00F04CE9">
      <w:pPr>
        <w:pStyle w:val="Caption"/>
      </w:pPr>
      <w:bookmarkStart w:id="47" w:name="_Ref155860492"/>
      <w:r w:rsidRPr="00BD19A7">
        <w:t xml:space="preserve">Table </w:t>
      </w:r>
      <w:r w:rsidR="007B0FCD">
        <w:fldChar w:fldCharType="begin" w:fldLock="1"/>
      </w:r>
      <w:r w:rsidR="007B0FCD">
        <w:instrText xml:space="preserve"> SEQ Table \* ARABIC </w:instrText>
      </w:r>
      <w:r w:rsidR="007B0FCD">
        <w:fldChar w:fldCharType="separate"/>
      </w:r>
      <w:r w:rsidR="00A56DFE">
        <w:rPr>
          <w:noProof/>
        </w:rPr>
        <w:t>10</w:t>
      </w:r>
      <w:r w:rsidR="007B0FCD">
        <w:rPr>
          <w:noProof/>
        </w:rPr>
        <w:fldChar w:fldCharType="end"/>
      </w:r>
      <w:bookmarkEnd w:id="47"/>
      <w:r w:rsidRPr="00BD19A7">
        <w:t>: Number of new patients supplied IV vedolizumab for severe Crohn disease under an Initial 1 treatment authority</w:t>
      </w:r>
    </w:p>
    <w:tbl>
      <w:tblPr>
        <w:tblW w:w="9115" w:type="dxa"/>
        <w:tblLook w:val="04A0" w:firstRow="1" w:lastRow="0" w:firstColumn="1" w:lastColumn="0" w:noHBand="0" w:noVBand="1"/>
        <w:tblCaption w:val="Table 10: Number of new patients supplied IV vedolizumab for severe Crohn disease under an Initial 1 treatment authority"/>
      </w:tblPr>
      <w:tblGrid>
        <w:gridCol w:w="4675"/>
        <w:gridCol w:w="4440"/>
      </w:tblGrid>
      <w:tr w:rsidR="008D0B42" w:rsidRPr="00BD19A7" w14:paraId="3E0B0861" w14:textId="77777777" w:rsidTr="00A25635">
        <w:trPr>
          <w:trHeight w:val="195"/>
        </w:trPr>
        <w:tc>
          <w:tcPr>
            <w:tcW w:w="4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CBC0" w14:textId="77777777" w:rsidR="008D0B42" w:rsidRPr="00BD19A7" w:rsidRDefault="008D0B42" w:rsidP="00830148">
            <w:pPr>
              <w:jc w:val="center"/>
              <w:rPr>
                <w:rFonts w:ascii="Arial Narrow" w:hAnsi="Arial Narrow" w:cs="Calibri"/>
                <w:b/>
                <w:bCs/>
                <w:sz w:val="20"/>
                <w:szCs w:val="20"/>
              </w:rPr>
            </w:pPr>
            <w:r w:rsidRPr="00BD19A7">
              <w:rPr>
                <w:rFonts w:ascii="Arial Narrow" w:hAnsi="Arial Narrow" w:cs="Calibri"/>
                <w:b/>
                <w:bCs/>
                <w:sz w:val="20"/>
                <w:szCs w:val="20"/>
              </w:rPr>
              <w:t>Listing year</w:t>
            </w:r>
          </w:p>
        </w:tc>
        <w:tc>
          <w:tcPr>
            <w:tcW w:w="4440" w:type="dxa"/>
            <w:tcBorders>
              <w:top w:val="single" w:sz="4" w:space="0" w:color="auto"/>
              <w:left w:val="nil"/>
              <w:bottom w:val="single" w:sz="4" w:space="0" w:color="auto"/>
              <w:right w:val="single" w:sz="4" w:space="0" w:color="auto"/>
            </w:tcBorders>
            <w:shd w:val="clear" w:color="auto" w:fill="auto"/>
            <w:noWrap/>
            <w:vAlign w:val="bottom"/>
            <w:hideMark/>
          </w:tcPr>
          <w:p w14:paraId="5B4D42DD" w14:textId="77777777" w:rsidR="008D0B42" w:rsidRPr="00BD19A7" w:rsidRDefault="008D0B42" w:rsidP="00830148">
            <w:pPr>
              <w:jc w:val="center"/>
              <w:rPr>
                <w:rFonts w:ascii="Arial Narrow" w:hAnsi="Arial Narrow" w:cs="Calibri"/>
                <w:b/>
                <w:bCs/>
                <w:sz w:val="20"/>
                <w:szCs w:val="20"/>
              </w:rPr>
            </w:pPr>
            <w:r w:rsidRPr="00BD19A7">
              <w:rPr>
                <w:rFonts w:ascii="Arial Narrow" w:hAnsi="Arial Narrow" w:cs="Calibri"/>
                <w:b/>
                <w:bCs/>
                <w:sz w:val="20"/>
                <w:szCs w:val="20"/>
              </w:rPr>
              <w:t>New patients</w:t>
            </w:r>
          </w:p>
        </w:tc>
      </w:tr>
      <w:tr w:rsidR="008D0B42" w:rsidRPr="00BD19A7" w14:paraId="7D760271" w14:textId="77777777" w:rsidTr="00A25635">
        <w:trPr>
          <w:trHeight w:val="227"/>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484D40E3" w14:textId="77777777" w:rsidR="008D0B42" w:rsidRPr="00BD19A7" w:rsidRDefault="008D0B42" w:rsidP="00830148">
            <w:pPr>
              <w:rPr>
                <w:rFonts w:ascii="Arial Narrow" w:hAnsi="Arial Narrow" w:cs="Calibri"/>
                <w:sz w:val="20"/>
                <w:szCs w:val="20"/>
              </w:rPr>
            </w:pPr>
            <w:r w:rsidRPr="00BD19A7">
              <w:rPr>
                <w:rFonts w:ascii="Arial Narrow" w:hAnsi="Arial Narrow" w:cs="Calibri"/>
                <w:sz w:val="20"/>
                <w:szCs w:val="20"/>
              </w:rPr>
              <w:t>Year 1 (Oct 2017 - Sep 2018)</w:t>
            </w:r>
          </w:p>
        </w:tc>
        <w:tc>
          <w:tcPr>
            <w:tcW w:w="4440" w:type="dxa"/>
            <w:tcBorders>
              <w:top w:val="nil"/>
              <w:left w:val="nil"/>
              <w:bottom w:val="single" w:sz="4" w:space="0" w:color="auto"/>
              <w:right w:val="single" w:sz="4" w:space="0" w:color="auto"/>
            </w:tcBorders>
            <w:shd w:val="clear" w:color="auto" w:fill="auto"/>
            <w:noWrap/>
            <w:vAlign w:val="bottom"/>
            <w:hideMark/>
          </w:tcPr>
          <w:p w14:paraId="56BF2186" w14:textId="340989F0" w:rsidR="008D0B42" w:rsidRPr="005750B2" w:rsidRDefault="00206A14" w:rsidP="00830148">
            <w:pPr>
              <w:jc w:val="center"/>
              <w:rPr>
                <w:rFonts w:ascii="Arial Narrow" w:hAnsi="Arial Narrow" w:cs="Calibri"/>
                <w:sz w:val="20"/>
                <w:szCs w:val="20"/>
                <w:highlight w:val="yellow"/>
                <w:vertAlign w:val="superscript"/>
              </w:rPr>
            </w:pPr>
            <w:r w:rsidRPr="00206A14">
              <w:rPr>
                <w:rFonts w:ascii="Arial Narrow" w:hAnsi="Arial Narrow" w:cs="Calibri"/>
                <w:color w:val="000000"/>
                <w:sz w:val="20"/>
                <w:szCs w:val="20"/>
                <w:shd w:val="solid" w:color="000000" w:fill="000000"/>
                <w14:textFill>
                  <w14:solidFill>
                    <w14:srgbClr w14:val="000000">
                      <w14:alpha w14:val="100000"/>
                    </w14:srgbClr>
                  </w14:solidFill>
                </w14:textFill>
              </w:rPr>
              <w:t>|</w:t>
            </w:r>
            <w:r w:rsidR="005750B2" w:rsidRPr="005750B2">
              <w:rPr>
                <w:rFonts w:ascii="Arial Narrow" w:hAnsi="Arial Narrow" w:cs="Calibri"/>
                <w:sz w:val="20"/>
                <w:szCs w:val="20"/>
                <w:vertAlign w:val="superscript"/>
              </w:rPr>
              <w:t>1</w:t>
            </w:r>
          </w:p>
        </w:tc>
      </w:tr>
      <w:tr w:rsidR="008D0B42" w:rsidRPr="00BD19A7" w14:paraId="35519B3F" w14:textId="77777777" w:rsidTr="00A25635">
        <w:trPr>
          <w:trHeight w:val="64"/>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348B76A" w14:textId="2E48B617" w:rsidR="008D0B42" w:rsidRPr="00BD19A7" w:rsidRDefault="008D0B42" w:rsidP="00830148">
            <w:pPr>
              <w:rPr>
                <w:rFonts w:ascii="Arial Narrow" w:hAnsi="Arial Narrow" w:cs="Calibri"/>
                <w:sz w:val="20"/>
                <w:szCs w:val="20"/>
              </w:rPr>
            </w:pPr>
            <w:r w:rsidRPr="00BD19A7">
              <w:rPr>
                <w:rFonts w:ascii="Arial Narrow" w:hAnsi="Arial Narrow" w:cs="Calibri"/>
                <w:sz w:val="20"/>
                <w:szCs w:val="20"/>
              </w:rPr>
              <w:t>Year 2 (Oct 2018 - Sep 2019)</w:t>
            </w:r>
          </w:p>
        </w:tc>
        <w:tc>
          <w:tcPr>
            <w:tcW w:w="4440" w:type="dxa"/>
            <w:tcBorders>
              <w:top w:val="nil"/>
              <w:left w:val="nil"/>
              <w:bottom w:val="single" w:sz="4" w:space="0" w:color="auto"/>
              <w:right w:val="single" w:sz="4" w:space="0" w:color="auto"/>
            </w:tcBorders>
            <w:shd w:val="clear" w:color="auto" w:fill="auto"/>
            <w:noWrap/>
            <w:vAlign w:val="bottom"/>
            <w:hideMark/>
          </w:tcPr>
          <w:p w14:paraId="07B13BD9" w14:textId="1ABA746C" w:rsidR="008D0B42" w:rsidRPr="007E28B9" w:rsidRDefault="00206A14" w:rsidP="00830148">
            <w:pPr>
              <w:jc w:val="center"/>
              <w:rPr>
                <w:rFonts w:ascii="Arial Narrow" w:hAnsi="Arial Narrow" w:cs="Calibri"/>
                <w:sz w:val="20"/>
                <w:szCs w:val="20"/>
                <w:highlight w:val="yellow"/>
              </w:rPr>
            </w:pPr>
            <w:r w:rsidRPr="00206A14">
              <w:rPr>
                <w:rFonts w:ascii="Arial Narrow" w:hAnsi="Arial Narrow" w:cs="Calibri"/>
                <w:color w:val="000000"/>
                <w:sz w:val="20"/>
                <w:szCs w:val="20"/>
                <w:shd w:val="solid" w:color="000000" w:fill="000000"/>
                <w14:textFill>
                  <w14:solidFill>
                    <w14:srgbClr w14:val="000000">
                      <w14:alpha w14:val="100000"/>
                    </w14:srgbClr>
                  </w14:solidFill>
                </w14:textFill>
              </w:rPr>
              <w:t>|</w:t>
            </w:r>
            <w:r w:rsidR="005750B2" w:rsidRPr="005750B2">
              <w:rPr>
                <w:rFonts w:ascii="Arial Narrow" w:hAnsi="Arial Narrow" w:cs="Calibri"/>
                <w:sz w:val="20"/>
                <w:szCs w:val="20"/>
                <w:vertAlign w:val="superscript"/>
              </w:rPr>
              <w:t>1</w:t>
            </w:r>
          </w:p>
        </w:tc>
      </w:tr>
      <w:tr w:rsidR="008D0B42" w:rsidRPr="00BD19A7" w14:paraId="3299C780" w14:textId="77777777" w:rsidTr="00A25635">
        <w:trPr>
          <w:trHeight w:val="178"/>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16BD8832" w14:textId="77777777" w:rsidR="008D0B42" w:rsidRPr="00BD19A7" w:rsidRDefault="008D0B42" w:rsidP="00830148">
            <w:pPr>
              <w:rPr>
                <w:rFonts w:ascii="Arial Narrow" w:hAnsi="Arial Narrow" w:cs="Calibri"/>
                <w:sz w:val="20"/>
                <w:szCs w:val="20"/>
              </w:rPr>
            </w:pPr>
            <w:r w:rsidRPr="00BD19A7">
              <w:rPr>
                <w:rFonts w:ascii="Arial Narrow" w:hAnsi="Arial Narrow" w:cs="Calibri"/>
                <w:sz w:val="20"/>
                <w:szCs w:val="20"/>
              </w:rPr>
              <w:t>Year 3 (Oct 2019 - Sep 2020)</w:t>
            </w:r>
          </w:p>
        </w:tc>
        <w:tc>
          <w:tcPr>
            <w:tcW w:w="4440" w:type="dxa"/>
            <w:tcBorders>
              <w:top w:val="nil"/>
              <w:left w:val="nil"/>
              <w:bottom w:val="single" w:sz="4" w:space="0" w:color="auto"/>
              <w:right w:val="single" w:sz="4" w:space="0" w:color="auto"/>
            </w:tcBorders>
            <w:shd w:val="clear" w:color="auto" w:fill="auto"/>
            <w:noWrap/>
            <w:vAlign w:val="bottom"/>
            <w:hideMark/>
          </w:tcPr>
          <w:p w14:paraId="001EA482" w14:textId="65E7EC82" w:rsidR="008D0B42" w:rsidRPr="007E28B9" w:rsidRDefault="00206A14" w:rsidP="00830148">
            <w:pPr>
              <w:jc w:val="center"/>
              <w:rPr>
                <w:rFonts w:ascii="Arial Narrow" w:hAnsi="Arial Narrow" w:cs="Calibri"/>
                <w:sz w:val="20"/>
                <w:szCs w:val="20"/>
                <w:highlight w:val="yellow"/>
              </w:rPr>
            </w:pPr>
            <w:r w:rsidRPr="00206A14">
              <w:rPr>
                <w:rFonts w:ascii="Arial Narrow" w:hAnsi="Arial Narrow" w:cs="Calibri"/>
                <w:color w:val="000000"/>
                <w:sz w:val="20"/>
                <w:szCs w:val="20"/>
                <w:shd w:val="solid" w:color="000000" w:fill="000000"/>
                <w14:textFill>
                  <w14:solidFill>
                    <w14:srgbClr w14:val="000000">
                      <w14:alpha w14:val="100000"/>
                    </w14:srgbClr>
                  </w14:solidFill>
                </w14:textFill>
              </w:rPr>
              <w:t>|</w:t>
            </w:r>
            <w:r w:rsidR="005750B2" w:rsidRPr="005750B2">
              <w:rPr>
                <w:rFonts w:ascii="Arial Narrow" w:hAnsi="Arial Narrow" w:cs="Calibri"/>
                <w:sz w:val="20"/>
                <w:szCs w:val="20"/>
                <w:vertAlign w:val="superscript"/>
              </w:rPr>
              <w:t>1</w:t>
            </w:r>
          </w:p>
        </w:tc>
      </w:tr>
      <w:tr w:rsidR="008D0B42" w:rsidRPr="00BD19A7" w14:paraId="32E29D43" w14:textId="77777777" w:rsidTr="00A25635">
        <w:trPr>
          <w:trHeight w:val="64"/>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50873CC9" w14:textId="77777777" w:rsidR="008D0B42" w:rsidRPr="00BD19A7" w:rsidRDefault="008D0B42" w:rsidP="00830148">
            <w:pPr>
              <w:rPr>
                <w:rFonts w:ascii="Arial Narrow" w:hAnsi="Arial Narrow" w:cs="Calibri"/>
                <w:sz w:val="20"/>
                <w:szCs w:val="20"/>
              </w:rPr>
            </w:pPr>
            <w:r w:rsidRPr="00BD19A7">
              <w:rPr>
                <w:rFonts w:ascii="Arial Narrow" w:hAnsi="Arial Narrow" w:cs="Calibri"/>
                <w:sz w:val="20"/>
                <w:szCs w:val="20"/>
              </w:rPr>
              <w:t>Year 4 (Oct 2020 - Sep 2021)</w:t>
            </w:r>
          </w:p>
        </w:tc>
        <w:tc>
          <w:tcPr>
            <w:tcW w:w="4440" w:type="dxa"/>
            <w:tcBorders>
              <w:top w:val="nil"/>
              <w:left w:val="nil"/>
              <w:bottom w:val="single" w:sz="4" w:space="0" w:color="auto"/>
              <w:right w:val="single" w:sz="4" w:space="0" w:color="auto"/>
            </w:tcBorders>
            <w:shd w:val="clear" w:color="auto" w:fill="auto"/>
            <w:noWrap/>
            <w:vAlign w:val="bottom"/>
            <w:hideMark/>
          </w:tcPr>
          <w:p w14:paraId="6F33D797" w14:textId="7A0E8800" w:rsidR="008D0B42" w:rsidRPr="007E28B9" w:rsidRDefault="00206A14" w:rsidP="00830148">
            <w:pPr>
              <w:jc w:val="center"/>
              <w:rPr>
                <w:rFonts w:ascii="Arial Narrow" w:hAnsi="Arial Narrow" w:cs="Calibri"/>
                <w:sz w:val="20"/>
                <w:szCs w:val="20"/>
                <w:highlight w:val="yellow"/>
              </w:rPr>
            </w:pPr>
            <w:r w:rsidRPr="00206A14">
              <w:rPr>
                <w:rFonts w:ascii="Arial Narrow" w:hAnsi="Arial Narrow" w:cs="Calibri"/>
                <w:color w:val="000000"/>
                <w:sz w:val="20"/>
                <w:szCs w:val="20"/>
                <w:shd w:val="solid" w:color="000000" w:fill="000000"/>
                <w14:textFill>
                  <w14:solidFill>
                    <w14:srgbClr w14:val="000000">
                      <w14:alpha w14:val="100000"/>
                    </w14:srgbClr>
                  </w14:solidFill>
                </w14:textFill>
              </w:rPr>
              <w:t>|</w:t>
            </w:r>
            <w:r w:rsidR="005750B2" w:rsidRPr="005750B2">
              <w:rPr>
                <w:rFonts w:ascii="Arial Narrow" w:hAnsi="Arial Narrow" w:cs="Calibri"/>
                <w:sz w:val="20"/>
                <w:szCs w:val="20"/>
                <w:vertAlign w:val="superscript"/>
              </w:rPr>
              <w:t>1</w:t>
            </w:r>
          </w:p>
        </w:tc>
      </w:tr>
      <w:tr w:rsidR="008D0B42" w:rsidRPr="00BD19A7" w14:paraId="605EDC8E" w14:textId="77777777" w:rsidTr="00A25635">
        <w:trPr>
          <w:trHeight w:val="64"/>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AB7F246" w14:textId="77777777" w:rsidR="008D0B42" w:rsidRPr="00BD19A7" w:rsidRDefault="008D0B42" w:rsidP="00830148">
            <w:pPr>
              <w:rPr>
                <w:rFonts w:ascii="Arial Narrow" w:hAnsi="Arial Narrow" w:cs="Calibri"/>
                <w:sz w:val="20"/>
                <w:szCs w:val="20"/>
              </w:rPr>
            </w:pPr>
            <w:r w:rsidRPr="00BD19A7">
              <w:rPr>
                <w:rFonts w:ascii="Arial Narrow" w:hAnsi="Arial Narrow" w:cs="Calibri"/>
                <w:sz w:val="20"/>
                <w:szCs w:val="20"/>
              </w:rPr>
              <w:t>Year 5 (Oct 2021 - Sep 2022)</w:t>
            </w:r>
          </w:p>
        </w:tc>
        <w:tc>
          <w:tcPr>
            <w:tcW w:w="4440" w:type="dxa"/>
            <w:tcBorders>
              <w:top w:val="nil"/>
              <w:left w:val="nil"/>
              <w:bottom w:val="single" w:sz="4" w:space="0" w:color="auto"/>
              <w:right w:val="single" w:sz="4" w:space="0" w:color="auto"/>
            </w:tcBorders>
            <w:shd w:val="clear" w:color="auto" w:fill="auto"/>
            <w:noWrap/>
            <w:vAlign w:val="bottom"/>
            <w:hideMark/>
          </w:tcPr>
          <w:p w14:paraId="3DD64697" w14:textId="25F7DAF1" w:rsidR="008D0B42" w:rsidRPr="007E28B9" w:rsidRDefault="00206A14" w:rsidP="00830148">
            <w:pPr>
              <w:jc w:val="center"/>
              <w:rPr>
                <w:rFonts w:ascii="Arial Narrow" w:hAnsi="Arial Narrow" w:cs="Calibri"/>
                <w:sz w:val="20"/>
                <w:szCs w:val="20"/>
                <w:highlight w:val="yellow"/>
              </w:rPr>
            </w:pPr>
            <w:r w:rsidRPr="00206A14">
              <w:rPr>
                <w:rFonts w:ascii="Arial Narrow" w:hAnsi="Arial Narrow" w:cs="Calibri"/>
                <w:color w:val="000000"/>
                <w:sz w:val="20"/>
                <w:szCs w:val="20"/>
                <w:shd w:val="solid" w:color="000000" w:fill="000000"/>
                <w14:textFill>
                  <w14:solidFill>
                    <w14:srgbClr w14:val="000000">
                      <w14:alpha w14:val="100000"/>
                    </w14:srgbClr>
                  </w14:solidFill>
                </w14:textFill>
              </w:rPr>
              <w:t>|</w:t>
            </w:r>
            <w:r w:rsidR="005750B2" w:rsidRPr="005750B2">
              <w:rPr>
                <w:rFonts w:ascii="Arial Narrow" w:hAnsi="Arial Narrow" w:cs="Calibri"/>
                <w:sz w:val="20"/>
                <w:szCs w:val="20"/>
                <w:vertAlign w:val="superscript"/>
              </w:rPr>
              <w:t>1</w:t>
            </w:r>
          </w:p>
        </w:tc>
      </w:tr>
      <w:tr w:rsidR="008D0B42" w:rsidRPr="00BD19A7" w14:paraId="6A3E163A" w14:textId="77777777" w:rsidTr="00A25635">
        <w:trPr>
          <w:trHeight w:val="64"/>
        </w:trPr>
        <w:tc>
          <w:tcPr>
            <w:tcW w:w="4675" w:type="dxa"/>
            <w:tcBorders>
              <w:top w:val="nil"/>
              <w:left w:val="single" w:sz="4" w:space="0" w:color="auto"/>
              <w:bottom w:val="single" w:sz="4" w:space="0" w:color="auto"/>
              <w:right w:val="single" w:sz="4" w:space="0" w:color="auto"/>
            </w:tcBorders>
            <w:shd w:val="clear" w:color="auto" w:fill="auto"/>
            <w:noWrap/>
            <w:vAlign w:val="bottom"/>
            <w:hideMark/>
          </w:tcPr>
          <w:p w14:paraId="32401B4A" w14:textId="77777777" w:rsidR="008D0B42" w:rsidRPr="00BD19A7" w:rsidRDefault="008D0B42" w:rsidP="00830148">
            <w:pPr>
              <w:rPr>
                <w:rFonts w:ascii="Arial Narrow" w:hAnsi="Arial Narrow" w:cs="Calibri"/>
                <w:sz w:val="20"/>
                <w:szCs w:val="20"/>
              </w:rPr>
            </w:pPr>
            <w:r w:rsidRPr="00BD19A7">
              <w:rPr>
                <w:rFonts w:ascii="Arial Narrow" w:hAnsi="Arial Narrow" w:cs="Calibri"/>
                <w:sz w:val="20"/>
                <w:szCs w:val="20"/>
              </w:rPr>
              <w:t>Year 6  (Oct 2022 - Sep 2023)</w:t>
            </w:r>
          </w:p>
        </w:tc>
        <w:tc>
          <w:tcPr>
            <w:tcW w:w="4440" w:type="dxa"/>
            <w:tcBorders>
              <w:top w:val="nil"/>
              <w:left w:val="nil"/>
              <w:bottom w:val="single" w:sz="4" w:space="0" w:color="auto"/>
              <w:right w:val="single" w:sz="4" w:space="0" w:color="auto"/>
            </w:tcBorders>
            <w:shd w:val="clear" w:color="auto" w:fill="auto"/>
            <w:noWrap/>
            <w:vAlign w:val="bottom"/>
            <w:hideMark/>
          </w:tcPr>
          <w:p w14:paraId="6063A858" w14:textId="595AA2A5" w:rsidR="008D0B42" w:rsidRPr="007E28B9" w:rsidRDefault="00206A14" w:rsidP="00830148">
            <w:pPr>
              <w:jc w:val="center"/>
              <w:rPr>
                <w:rFonts w:ascii="Arial Narrow" w:hAnsi="Arial Narrow" w:cs="Calibri"/>
                <w:sz w:val="20"/>
                <w:szCs w:val="20"/>
                <w:highlight w:val="yellow"/>
              </w:rPr>
            </w:pPr>
            <w:r w:rsidRPr="00206A14">
              <w:rPr>
                <w:rFonts w:ascii="Arial Narrow" w:hAnsi="Arial Narrow" w:cs="Calibri"/>
                <w:color w:val="000000"/>
                <w:sz w:val="20"/>
                <w:szCs w:val="20"/>
                <w:shd w:val="solid" w:color="000000" w:fill="000000"/>
                <w14:textFill>
                  <w14:solidFill>
                    <w14:srgbClr w14:val="000000">
                      <w14:alpha w14:val="100000"/>
                    </w14:srgbClr>
                  </w14:solidFill>
                </w14:textFill>
              </w:rPr>
              <w:t>|</w:t>
            </w:r>
            <w:r w:rsidR="005750B2" w:rsidRPr="005750B2">
              <w:rPr>
                <w:rFonts w:ascii="Arial Narrow" w:hAnsi="Arial Narrow" w:cs="Calibri"/>
                <w:sz w:val="20"/>
                <w:szCs w:val="20"/>
                <w:vertAlign w:val="superscript"/>
              </w:rPr>
              <w:t>1</w:t>
            </w:r>
          </w:p>
        </w:tc>
      </w:tr>
    </w:tbl>
    <w:p w14:paraId="585C3ED9" w14:textId="49FD5739" w:rsidR="005750B2" w:rsidRPr="005750B2" w:rsidRDefault="005750B2" w:rsidP="005750B2">
      <w:pPr>
        <w:pStyle w:val="3-BodyText"/>
        <w:numPr>
          <w:ilvl w:val="0"/>
          <w:numId w:val="0"/>
        </w:numPr>
        <w:spacing w:after="0"/>
        <w:ind w:left="720" w:hanging="720"/>
        <w:rPr>
          <w:rFonts w:ascii="Arial Narrow" w:hAnsi="Arial Narrow" w:cs="Calibri"/>
          <w:i/>
          <w:iCs/>
          <w:sz w:val="18"/>
          <w:szCs w:val="18"/>
        </w:rPr>
      </w:pPr>
      <w:r w:rsidRPr="005750B2">
        <w:rPr>
          <w:rFonts w:ascii="Arial Narrow" w:hAnsi="Arial Narrow" w:cs="Calibri"/>
          <w:i/>
          <w:iCs/>
          <w:sz w:val="18"/>
          <w:szCs w:val="18"/>
        </w:rPr>
        <w:t>The redacted values correspond to the following ranges:</w:t>
      </w:r>
    </w:p>
    <w:p w14:paraId="1C40E8C5" w14:textId="537C6F90" w:rsidR="005750B2" w:rsidRPr="005750B2" w:rsidRDefault="005750B2" w:rsidP="005750B2">
      <w:pPr>
        <w:pStyle w:val="3-BodyText"/>
        <w:numPr>
          <w:ilvl w:val="0"/>
          <w:numId w:val="0"/>
        </w:numPr>
        <w:spacing w:after="0"/>
        <w:ind w:left="720" w:hanging="720"/>
        <w:rPr>
          <w:rFonts w:ascii="Arial Narrow" w:hAnsi="Arial Narrow" w:cs="Calibri"/>
          <w:i/>
          <w:iCs/>
          <w:sz w:val="18"/>
          <w:szCs w:val="18"/>
        </w:rPr>
      </w:pPr>
      <w:r w:rsidRPr="005750B2">
        <w:rPr>
          <w:rFonts w:ascii="Arial Narrow" w:hAnsi="Arial Narrow" w:cs="Calibri"/>
          <w:i/>
          <w:iCs/>
          <w:sz w:val="18"/>
          <w:szCs w:val="18"/>
          <w:vertAlign w:val="superscript"/>
        </w:rPr>
        <w:t>1</w:t>
      </w:r>
      <w:r w:rsidRPr="005750B2">
        <w:rPr>
          <w:rFonts w:ascii="Arial Narrow" w:hAnsi="Arial Narrow" w:cs="Calibri"/>
          <w:i/>
          <w:iCs/>
          <w:sz w:val="18"/>
          <w:szCs w:val="18"/>
        </w:rPr>
        <w:t xml:space="preserve"> &lt; 500</w:t>
      </w:r>
    </w:p>
    <w:p w14:paraId="5261C2F3" w14:textId="7EF6AD1D" w:rsidR="008D0B42" w:rsidRPr="00BD19A7" w:rsidRDefault="008D0B42" w:rsidP="00830148">
      <w:pPr>
        <w:pStyle w:val="3-BodyText"/>
        <w:spacing w:before="120"/>
      </w:pPr>
      <w:r w:rsidRPr="00BD19A7">
        <w:t xml:space="preserve">Consistent with the approach used </w:t>
      </w:r>
      <w:r w:rsidR="00552A78" w:rsidRPr="00BD19A7">
        <w:t xml:space="preserve">in </w:t>
      </w:r>
      <w:r w:rsidRPr="00BD19A7">
        <w:t>the submission, a logarithmic trendline was applied to forecast the number of new IV patients based on the actual utilisation over the first 6 years of listing as shown in</w:t>
      </w:r>
      <w:r w:rsidR="007741F1" w:rsidRPr="00BD19A7">
        <w:t xml:space="preserve"> </w:t>
      </w:r>
      <w:r w:rsidR="007741F1" w:rsidRPr="00BD19A7">
        <w:fldChar w:fldCharType="begin" w:fldLock="1"/>
      </w:r>
      <w:r w:rsidR="007741F1" w:rsidRPr="00BD19A7">
        <w:instrText xml:space="preserve"> REF _Ref155860505 \h </w:instrText>
      </w:r>
      <w:r w:rsidR="005F1441" w:rsidRPr="00BD19A7">
        <w:instrText xml:space="preserve"> \* MERGEFORMAT </w:instrText>
      </w:r>
      <w:r w:rsidR="007741F1" w:rsidRPr="00BD19A7">
        <w:fldChar w:fldCharType="separate"/>
      </w:r>
      <w:r w:rsidR="00A008BF" w:rsidRPr="00BD19A7" w:rsidDel="00A56DFE">
        <w:t>Figure 2</w:t>
      </w:r>
      <w:r w:rsidR="007741F1" w:rsidRPr="00BD19A7">
        <w:fldChar w:fldCharType="end"/>
      </w:r>
      <w:r w:rsidRPr="00BD19A7">
        <w:t>.</w:t>
      </w:r>
    </w:p>
    <w:p w14:paraId="669CC476" w14:textId="0C82A47C" w:rsidR="008D0B42" w:rsidRPr="00547B4E" w:rsidRDefault="00F04CE9" w:rsidP="00547B4E">
      <w:pPr>
        <w:pStyle w:val="Caption"/>
        <w:rPr>
          <w:b w:val="0"/>
          <w:bCs w:val="0"/>
          <w:szCs w:val="20"/>
        </w:rPr>
      </w:pPr>
      <w:bookmarkStart w:id="48" w:name="_Ref155860505"/>
      <w:bookmarkStart w:id="49" w:name="_Ref155860501"/>
      <w:r w:rsidRPr="00BD19A7">
        <w:lastRenderedPageBreak/>
        <w:t xml:space="preserve">Figure </w:t>
      </w:r>
      <w:r w:rsidR="007B0FCD">
        <w:fldChar w:fldCharType="begin" w:fldLock="1"/>
      </w:r>
      <w:r w:rsidR="007B0FCD">
        <w:instrText xml:space="preserve"> SEQ Figure \* ARABIC </w:instrText>
      </w:r>
      <w:r w:rsidR="007B0FCD">
        <w:fldChar w:fldCharType="separate"/>
      </w:r>
      <w:r w:rsidR="00A56DFE">
        <w:rPr>
          <w:noProof/>
        </w:rPr>
        <w:t>2</w:t>
      </w:r>
      <w:r w:rsidR="007B0FCD">
        <w:rPr>
          <w:noProof/>
        </w:rPr>
        <w:fldChar w:fldCharType="end"/>
      </w:r>
      <w:bookmarkEnd w:id="48"/>
      <w:r w:rsidRPr="00BD19A7">
        <w:t>: Logarithmic forecast of the number of new (Initial 1) patients with severe Crohn disease supplied IV vedolizumab</w:t>
      </w:r>
      <w:bookmarkEnd w:id="49"/>
    </w:p>
    <w:p w14:paraId="03A2053F" w14:textId="2C5B108D" w:rsidR="00572162" w:rsidRPr="00BD19A7" w:rsidRDefault="00572162" w:rsidP="006F4717">
      <w:pPr>
        <w:keepNext/>
      </w:pPr>
      <w:r>
        <w:rPr>
          <w:noProof/>
        </w:rPr>
        <w:drawing>
          <wp:inline distT="0" distB="0" distL="0" distR="0" wp14:anchorId="3C96C73E" wp14:editId="1C0CF881">
            <wp:extent cx="5732145" cy="3406140"/>
            <wp:effectExtent l="0" t="0" r="1905" b="3810"/>
            <wp:docPr id="2" name="Picture 2" descr="Figure 2: Logarithmic forecast of the number of new (Initial 1) patients with severe Crohn disease supplied IV vedoliz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Logarithmic forecast of the number of new (Initial 1) patients with severe Crohn disease supplied IV vedolizumab"/>
                    <pic:cNvPicPr/>
                  </pic:nvPicPr>
                  <pic:blipFill>
                    <a:blip r:embed="rId9"/>
                    <a:stretch>
                      <a:fillRect/>
                    </a:stretch>
                  </pic:blipFill>
                  <pic:spPr>
                    <a:xfrm>
                      <a:off x="0" y="0"/>
                      <a:ext cx="5732145" cy="3406140"/>
                    </a:xfrm>
                    <a:prstGeom prst="rect">
                      <a:avLst/>
                    </a:prstGeom>
                  </pic:spPr>
                </pic:pic>
              </a:graphicData>
            </a:graphic>
          </wp:inline>
        </w:drawing>
      </w:r>
    </w:p>
    <w:p w14:paraId="0CAE3E94" w14:textId="4B2B4EBB" w:rsidR="008D0B42" w:rsidRPr="00BD19A7" w:rsidRDefault="008D0B42" w:rsidP="006F4717">
      <w:pPr>
        <w:pStyle w:val="3-BodyText"/>
        <w:spacing w:before="120"/>
      </w:pPr>
      <w:r w:rsidRPr="00BD19A7">
        <w:t>The number of forecasted new patients supplied 3 IV doses is presented in</w:t>
      </w:r>
      <w:r w:rsidR="007741F1" w:rsidRPr="00BD19A7">
        <w:t xml:space="preserve"> </w:t>
      </w:r>
      <w:r w:rsidR="007741F1" w:rsidRPr="00BD19A7">
        <w:fldChar w:fldCharType="begin" w:fldLock="1"/>
      </w:r>
      <w:r w:rsidR="007741F1" w:rsidRPr="00BD19A7">
        <w:instrText xml:space="preserve"> REF _Ref155860531 \h </w:instrText>
      </w:r>
      <w:r w:rsidR="005F1441" w:rsidRPr="00BD19A7">
        <w:instrText xml:space="preserve"> \* MERGEFORMAT </w:instrText>
      </w:r>
      <w:r w:rsidR="007741F1" w:rsidRPr="00BD19A7">
        <w:fldChar w:fldCharType="separate"/>
      </w:r>
      <w:r w:rsidR="00A008BF" w:rsidRPr="00BD19A7" w:rsidDel="00A56DFE">
        <w:t>Table 11</w:t>
      </w:r>
      <w:r w:rsidR="007741F1" w:rsidRPr="00BD19A7">
        <w:fldChar w:fldCharType="end"/>
      </w:r>
      <w:r w:rsidRPr="00BD19A7">
        <w:t>.</w:t>
      </w:r>
    </w:p>
    <w:p w14:paraId="38E64357" w14:textId="72EAC7BA" w:rsidR="00F04CE9" w:rsidRPr="00BD19A7" w:rsidRDefault="00F04CE9" w:rsidP="00F04CE9">
      <w:pPr>
        <w:pStyle w:val="Caption"/>
      </w:pPr>
      <w:bookmarkStart w:id="50" w:name="_Ref155860531"/>
      <w:r w:rsidRPr="00BD19A7">
        <w:t xml:space="preserve">Table </w:t>
      </w:r>
      <w:r w:rsidR="007B0FCD">
        <w:fldChar w:fldCharType="begin" w:fldLock="1"/>
      </w:r>
      <w:r w:rsidR="007B0FCD">
        <w:instrText xml:space="preserve"> SEQ Table \* ARABIC </w:instrText>
      </w:r>
      <w:r w:rsidR="007B0FCD">
        <w:fldChar w:fldCharType="separate"/>
      </w:r>
      <w:r w:rsidR="00A56DFE">
        <w:rPr>
          <w:noProof/>
        </w:rPr>
        <w:t>11</w:t>
      </w:r>
      <w:r w:rsidR="007B0FCD">
        <w:rPr>
          <w:noProof/>
        </w:rPr>
        <w:fldChar w:fldCharType="end"/>
      </w:r>
      <w:bookmarkEnd w:id="50"/>
      <w:r w:rsidRPr="00BD19A7">
        <w:t>: Number of projected new patients supplied 3 doses of IV vedolizumab for severe Crohn disease</w:t>
      </w:r>
    </w:p>
    <w:tbl>
      <w:tblPr>
        <w:tblStyle w:val="HTATableshaded"/>
        <w:tblW w:w="5000" w:type="pct"/>
        <w:tblLook w:val="04A0" w:firstRow="1" w:lastRow="0" w:firstColumn="1" w:lastColumn="0" w:noHBand="0" w:noVBand="1"/>
        <w:tblCaption w:val="Table 11: Number of projected new patients supplied 3 doses of IV vedolizumab for severe Crohn disease"/>
      </w:tblPr>
      <w:tblGrid>
        <w:gridCol w:w="2996"/>
        <w:gridCol w:w="1081"/>
        <w:gridCol w:w="1082"/>
        <w:gridCol w:w="961"/>
        <w:gridCol w:w="959"/>
        <w:gridCol w:w="961"/>
        <w:gridCol w:w="977"/>
      </w:tblGrid>
      <w:tr w:rsidR="008D0B42" w:rsidRPr="00BD19A7" w14:paraId="2D3ABBF8" w14:textId="77777777" w:rsidTr="00A25635">
        <w:trPr>
          <w:cnfStyle w:val="100000000000" w:firstRow="1" w:lastRow="0" w:firstColumn="0" w:lastColumn="0" w:oddVBand="0" w:evenVBand="0" w:oddHBand="0" w:evenHBand="0" w:firstRowFirstColumn="0" w:firstRowLastColumn="0" w:lastRowFirstColumn="0" w:lastRowLastColumn="0"/>
        </w:trPr>
        <w:tc>
          <w:tcPr>
            <w:tcW w:w="1661" w:type="pct"/>
            <w:shd w:val="clear" w:color="auto" w:fill="auto"/>
          </w:tcPr>
          <w:p w14:paraId="7D7A95AD" w14:textId="77777777" w:rsidR="008D0B42" w:rsidRPr="00BD19A7" w:rsidRDefault="008D0B42" w:rsidP="006F4717">
            <w:pPr>
              <w:pStyle w:val="BodyText"/>
              <w:keepNext/>
              <w:spacing w:before="0" w:after="0"/>
              <w:rPr>
                <w:rFonts w:ascii="Arial Narrow" w:hAnsi="Arial Narrow" w:cstheme="minorHAnsi"/>
                <w:b/>
                <w:bCs/>
                <w:sz w:val="20"/>
                <w:szCs w:val="20"/>
              </w:rPr>
            </w:pPr>
          </w:p>
        </w:tc>
        <w:tc>
          <w:tcPr>
            <w:tcW w:w="599" w:type="pct"/>
            <w:shd w:val="clear" w:color="auto" w:fill="auto"/>
          </w:tcPr>
          <w:p w14:paraId="62CD0ECC" w14:textId="77777777" w:rsidR="008D0B42" w:rsidRPr="00BD19A7" w:rsidRDefault="008D0B42" w:rsidP="006F4717">
            <w:pPr>
              <w:pStyle w:val="BodyText"/>
              <w:keepNext/>
              <w:spacing w:before="0" w:after="0"/>
              <w:jc w:val="center"/>
              <w:rPr>
                <w:rFonts w:ascii="Arial Narrow" w:hAnsi="Arial Narrow" w:cstheme="minorHAnsi"/>
                <w:b/>
                <w:bCs/>
                <w:sz w:val="20"/>
                <w:szCs w:val="20"/>
              </w:rPr>
            </w:pPr>
            <w:r w:rsidRPr="00BD19A7">
              <w:rPr>
                <w:rFonts w:ascii="Arial Narrow" w:hAnsi="Arial Narrow"/>
                <w:b/>
                <w:bCs/>
                <w:sz w:val="20"/>
                <w:szCs w:val="20"/>
              </w:rPr>
              <w:t>Year 1</w:t>
            </w:r>
          </w:p>
        </w:tc>
        <w:tc>
          <w:tcPr>
            <w:tcW w:w="600" w:type="pct"/>
            <w:shd w:val="clear" w:color="auto" w:fill="auto"/>
          </w:tcPr>
          <w:p w14:paraId="6FBD992C" w14:textId="77777777" w:rsidR="008D0B42" w:rsidRPr="00BD19A7" w:rsidRDefault="008D0B42" w:rsidP="006F4717">
            <w:pPr>
              <w:pStyle w:val="BodyText"/>
              <w:keepNext/>
              <w:spacing w:before="0" w:after="0"/>
              <w:jc w:val="center"/>
              <w:rPr>
                <w:rFonts w:ascii="Arial Narrow" w:hAnsi="Arial Narrow" w:cstheme="minorHAnsi"/>
                <w:b/>
                <w:bCs/>
                <w:sz w:val="20"/>
                <w:szCs w:val="20"/>
              </w:rPr>
            </w:pPr>
            <w:r w:rsidRPr="00BD19A7">
              <w:rPr>
                <w:rFonts w:ascii="Arial Narrow" w:hAnsi="Arial Narrow"/>
                <w:b/>
                <w:bCs/>
                <w:sz w:val="20"/>
                <w:szCs w:val="20"/>
              </w:rPr>
              <w:t>Year 2</w:t>
            </w:r>
          </w:p>
        </w:tc>
        <w:tc>
          <w:tcPr>
            <w:tcW w:w="533" w:type="pct"/>
            <w:shd w:val="clear" w:color="auto" w:fill="auto"/>
          </w:tcPr>
          <w:p w14:paraId="57AA30DB" w14:textId="77777777" w:rsidR="008D0B42" w:rsidRPr="00BD19A7" w:rsidRDefault="008D0B42" w:rsidP="006F4717">
            <w:pPr>
              <w:pStyle w:val="BodyText"/>
              <w:keepNext/>
              <w:spacing w:before="0" w:after="0"/>
              <w:jc w:val="center"/>
              <w:rPr>
                <w:rFonts w:ascii="Arial Narrow" w:hAnsi="Arial Narrow" w:cstheme="minorHAnsi"/>
                <w:b/>
                <w:bCs/>
                <w:sz w:val="20"/>
                <w:szCs w:val="20"/>
              </w:rPr>
            </w:pPr>
            <w:r w:rsidRPr="00BD19A7">
              <w:rPr>
                <w:rFonts w:ascii="Arial Narrow" w:hAnsi="Arial Narrow"/>
                <w:b/>
                <w:bCs/>
                <w:sz w:val="20"/>
                <w:szCs w:val="20"/>
              </w:rPr>
              <w:t>Year 3</w:t>
            </w:r>
          </w:p>
        </w:tc>
        <w:tc>
          <w:tcPr>
            <w:tcW w:w="532" w:type="pct"/>
            <w:shd w:val="clear" w:color="auto" w:fill="auto"/>
          </w:tcPr>
          <w:p w14:paraId="372135C6" w14:textId="77777777" w:rsidR="008D0B42" w:rsidRPr="00BD19A7" w:rsidRDefault="008D0B42" w:rsidP="006F4717">
            <w:pPr>
              <w:pStyle w:val="BodyText"/>
              <w:keepNext/>
              <w:spacing w:before="0" w:after="0"/>
              <w:jc w:val="center"/>
              <w:rPr>
                <w:rFonts w:ascii="Arial Narrow" w:hAnsi="Arial Narrow" w:cstheme="minorHAnsi"/>
                <w:b/>
                <w:bCs/>
                <w:sz w:val="20"/>
                <w:szCs w:val="20"/>
              </w:rPr>
            </w:pPr>
            <w:r w:rsidRPr="00BD19A7">
              <w:rPr>
                <w:rFonts w:ascii="Arial Narrow" w:hAnsi="Arial Narrow"/>
                <w:b/>
                <w:bCs/>
                <w:sz w:val="20"/>
                <w:szCs w:val="20"/>
              </w:rPr>
              <w:t>Year 4</w:t>
            </w:r>
          </w:p>
        </w:tc>
        <w:tc>
          <w:tcPr>
            <w:tcW w:w="533" w:type="pct"/>
            <w:shd w:val="clear" w:color="auto" w:fill="auto"/>
          </w:tcPr>
          <w:p w14:paraId="1018BC35" w14:textId="77777777" w:rsidR="008D0B42" w:rsidRPr="00BD19A7" w:rsidRDefault="008D0B42" w:rsidP="006F4717">
            <w:pPr>
              <w:pStyle w:val="BodyText"/>
              <w:keepNext/>
              <w:spacing w:before="0" w:after="0"/>
              <w:jc w:val="center"/>
              <w:rPr>
                <w:rFonts w:ascii="Arial Narrow" w:hAnsi="Arial Narrow" w:cstheme="minorHAnsi"/>
                <w:b/>
                <w:bCs/>
                <w:sz w:val="20"/>
                <w:szCs w:val="20"/>
              </w:rPr>
            </w:pPr>
            <w:r w:rsidRPr="00BD19A7">
              <w:rPr>
                <w:rFonts w:ascii="Arial Narrow" w:hAnsi="Arial Narrow"/>
                <w:b/>
                <w:bCs/>
                <w:sz w:val="20"/>
                <w:szCs w:val="20"/>
              </w:rPr>
              <w:t>Year 5</w:t>
            </w:r>
          </w:p>
        </w:tc>
        <w:tc>
          <w:tcPr>
            <w:tcW w:w="543" w:type="pct"/>
            <w:shd w:val="clear" w:color="auto" w:fill="auto"/>
          </w:tcPr>
          <w:p w14:paraId="1FF8F77A" w14:textId="77777777" w:rsidR="008D0B42" w:rsidRPr="00BD19A7" w:rsidRDefault="008D0B42" w:rsidP="006F4717">
            <w:pPr>
              <w:pStyle w:val="BodyText"/>
              <w:keepNext/>
              <w:spacing w:before="0" w:after="0"/>
              <w:jc w:val="center"/>
              <w:rPr>
                <w:rFonts w:ascii="Arial Narrow" w:hAnsi="Arial Narrow" w:cstheme="minorHAnsi"/>
                <w:b/>
                <w:bCs/>
                <w:sz w:val="20"/>
                <w:szCs w:val="20"/>
              </w:rPr>
            </w:pPr>
            <w:r w:rsidRPr="00BD19A7">
              <w:rPr>
                <w:rFonts w:ascii="Arial Narrow" w:hAnsi="Arial Narrow"/>
                <w:b/>
                <w:bCs/>
                <w:sz w:val="20"/>
                <w:szCs w:val="20"/>
              </w:rPr>
              <w:t>Year 6</w:t>
            </w:r>
          </w:p>
        </w:tc>
      </w:tr>
      <w:tr w:rsidR="008D0B42" w:rsidRPr="00BD19A7" w14:paraId="49113980" w14:textId="77777777" w:rsidTr="00EB1F75">
        <w:tc>
          <w:tcPr>
            <w:tcW w:w="5000" w:type="pct"/>
            <w:gridSpan w:val="7"/>
          </w:tcPr>
          <w:p w14:paraId="4149D8DC" w14:textId="77777777" w:rsidR="008D0B42" w:rsidRPr="00BD19A7" w:rsidRDefault="008D0B42" w:rsidP="006F4717">
            <w:pPr>
              <w:pStyle w:val="BodyText"/>
              <w:keepNext/>
              <w:spacing w:before="0" w:after="0"/>
              <w:rPr>
                <w:rFonts w:ascii="Arial Narrow" w:hAnsi="Arial Narrow" w:cstheme="minorHAnsi"/>
                <w:b/>
                <w:bCs/>
                <w:sz w:val="20"/>
                <w:szCs w:val="20"/>
              </w:rPr>
            </w:pPr>
            <w:r w:rsidRPr="00BD19A7">
              <w:rPr>
                <w:rFonts w:ascii="Arial Narrow" w:hAnsi="Arial Narrow" w:cstheme="minorHAnsi"/>
                <w:b/>
                <w:bCs/>
                <w:sz w:val="20"/>
                <w:szCs w:val="20"/>
              </w:rPr>
              <w:t>Number of patients newly initiating treatment</w:t>
            </w:r>
          </w:p>
        </w:tc>
      </w:tr>
      <w:tr w:rsidR="008D0B42" w:rsidRPr="00BD19A7" w14:paraId="017C2FB3" w14:textId="77777777" w:rsidTr="00A25635">
        <w:tc>
          <w:tcPr>
            <w:tcW w:w="1661" w:type="pct"/>
          </w:tcPr>
          <w:p w14:paraId="34D7CB94" w14:textId="77777777" w:rsidR="008D0B42" w:rsidRPr="00BD19A7" w:rsidRDefault="008D0B42" w:rsidP="006F4717">
            <w:pPr>
              <w:pStyle w:val="BodyText"/>
              <w:keepNext/>
              <w:spacing w:before="0" w:after="0"/>
              <w:rPr>
                <w:rFonts w:ascii="Arial Narrow" w:hAnsi="Arial Narrow" w:cstheme="minorHAnsi"/>
                <w:sz w:val="20"/>
                <w:szCs w:val="20"/>
                <w:vertAlign w:val="superscript"/>
              </w:rPr>
            </w:pPr>
            <w:r w:rsidRPr="00BD19A7">
              <w:rPr>
                <w:rFonts w:ascii="Arial Narrow" w:hAnsi="Arial Narrow" w:cstheme="minorHAnsi"/>
                <w:sz w:val="20"/>
                <w:szCs w:val="20"/>
              </w:rPr>
              <w:t>March 2024 submission based on 10% PBS sample</w:t>
            </w:r>
            <w:r w:rsidRPr="00BD19A7">
              <w:rPr>
                <w:rFonts w:ascii="Arial Narrow" w:hAnsi="Arial Narrow" w:cstheme="minorHAnsi"/>
                <w:sz w:val="20"/>
                <w:szCs w:val="20"/>
                <w:vertAlign w:val="superscript"/>
              </w:rPr>
              <w:t>1</w:t>
            </w:r>
          </w:p>
        </w:tc>
        <w:tc>
          <w:tcPr>
            <w:tcW w:w="599" w:type="pct"/>
            <w:vAlign w:val="center"/>
          </w:tcPr>
          <w:p w14:paraId="55A9ABB4" w14:textId="03AC09DE"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2"/>
                <w:sz w:val="20"/>
                <w:szCs w:val="20"/>
                <w:shd w:val="solid" w:color="000000" w:fill="000000"/>
                <w:fitText w:val="146" w:id="-961804798"/>
                <w14:textFill>
                  <w14:solidFill>
                    <w14:srgbClr w14:val="000000">
                      <w14:alpha w14:val="100000"/>
                    </w14:srgbClr>
                  </w14:solidFill>
                </w14:textFill>
              </w:rPr>
              <w:t xml:space="preserve">　</w:t>
            </w:r>
            <w:r w:rsidRPr="00206A14">
              <w:rPr>
                <w:rFonts w:ascii="Arial Narrow" w:hAnsi="Arial Narrow" w:cstheme="minorHAnsi"/>
                <w:color w:val="000000"/>
                <w:w w:val="32"/>
                <w:sz w:val="20"/>
                <w:szCs w:val="20"/>
                <w:shd w:val="solid" w:color="000000" w:fill="000000"/>
                <w:fitText w:val="146" w:id="-961804798"/>
                <w14:textFill>
                  <w14:solidFill>
                    <w14:srgbClr w14:val="000000">
                      <w14:alpha w14:val="100000"/>
                    </w14:srgbClr>
                  </w14:solidFill>
                </w14:textFill>
              </w:rPr>
              <w:t>|</w:t>
            </w:r>
            <w:r w:rsidRPr="00206A14">
              <w:rPr>
                <w:rFonts w:ascii="Arial Narrow" w:hAnsi="Arial Narrow" w:cstheme="minorHAnsi" w:hint="eastAsia"/>
                <w:color w:val="000000"/>
                <w:spacing w:val="7"/>
                <w:w w:val="32"/>
                <w:sz w:val="20"/>
                <w:szCs w:val="20"/>
                <w:shd w:val="solid" w:color="000000" w:fill="000000"/>
                <w:fitText w:val="146" w:id="-961804798"/>
                <w14:textFill>
                  <w14:solidFill>
                    <w14:srgbClr w14:val="000000">
                      <w14:alpha w14:val="100000"/>
                    </w14:srgbClr>
                  </w14:solidFill>
                </w14:textFill>
              </w:rPr>
              <w:t xml:space="preserve">　</w:t>
            </w:r>
            <w:r w:rsidR="006947B6" w:rsidRPr="006947B6">
              <w:rPr>
                <w:rFonts w:ascii="Arial Narrow" w:hAnsi="Arial Narrow" w:cstheme="minorHAnsi"/>
                <w:sz w:val="20"/>
                <w:szCs w:val="20"/>
                <w:vertAlign w:val="superscript"/>
              </w:rPr>
              <w:t>1</w:t>
            </w:r>
          </w:p>
        </w:tc>
        <w:tc>
          <w:tcPr>
            <w:tcW w:w="600" w:type="pct"/>
            <w:vAlign w:val="center"/>
          </w:tcPr>
          <w:p w14:paraId="692D0868" w14:textId="7818FAB3"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2"/>
                <w:sz w:val="20"/>
                <w:szCs w:val="20"/>
                <w:shd w:val="solid" w:color="000000" w:fill="000000"/>
                <w:fitText w:val="146" w:id="-961804797"/>
                <w14:textFill>
                  <w14:solidFill>
                    <w14:srgbClr w14:val="000000">
                      <w14:alpha w14:val="100000"/>
                    </w14:srgbClr>
                  </w14:solidFill>
                </w14:textFill>
              </w:rPr>
              <w:t xml:space="preserve">　</w:t>
            </w:r>
            <w:r w:rsidRPr="00206A14">
              <w:rPr>
                <w:rFonts w:ascii="Arial Narrow" w:hAnsi="Arial Narrow" w:cstheme="minorHAnsi"/>
                <w:color w:val="000000"/>
                <w:w w:val="32"/>
                <w:sz w:val="20"/>
                <w:szCs w:val="20"/>
                <w:shd w:val="solid" w:color="000000" w:fill="000000"/>
                <w:fitText w:val="146" w:id="-961804797"/>
                <w14:textFill>
                  <w14:solidFill>
                    <w14:srgbClr w14:val="000000">
                      <w14:alpha w14:val="100000"/>
                    </w14:srgbClr>
                  </w14:solidFill>
                </w14:textFill>
              </w:rPr>
              <w:t>|</w:t>
            </w:r>
            <w:r w:rsidRPr="00206A14">
              <w:rPr>
                <w:rFonts w:ascii="Arial Narrow" w:hAnsi="Arial Narrow" w:cstheme="minorHAnsi" w:hint="eastAsia"/>
                <w:color w:val="000000"/>
                <w:spacing w:val="7"/>
                <w:w w:val="32"/>
                <w:sz w:val="20"/>
                <w:szCs w:val="20"/>
                <w:shd w:val="solid" w:color="000000" w:fill="000000"/>
                <w:fitText w:val="146" w:id="-961804797"/>
                <w14:textFill>
                  <w14:solidFill>
                    <w14:srgbClr w14:val="000000">
                      <w14:alpha w14:val="100000"/>
                    </w14:srgbClr>
                  </w14:solidFill>
                </w14:textFill>
              </w:rPr>
              <w:t xml:space="preserve">　</w:t>
            </w:r>
            <w:r w:rsidR="006947B6" w:rsidRPr="006947B6">
              <w:rPr>
                <w:rFonts w:ascii="Arial Narrow" w:hAnsi="Arial Narrow" w:cstheme="minorHAnsi"/>
                <w:sz w:val="20"/>
                <w:szCs w:val="20"/>
                <w:vertAlign w:val="superscript"/>
              </w:rPr>
              <w:t>1</w:t>
            </w:r>
          </w:p>
        </w:tc>
        <w:tc>
          <w:tcPr>
            <w:tcW w:w="533" w:type="pct"/>
            <w:vAlign w:val="center"/>
          </w:tcPr>
          <w:p w14:paraId="7FA86CD2" w14:textId="5BCA6881"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96"/>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96"/>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c>
          <w:tcPr>
            <w:tcW w:w="532" w:type="pct"/>
            <w:vAlign w:val="center"/>
          </w:tcPr>
          <w:p w14:paraId="7B63BBD5" w14:textId="6C569A80"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95"/>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95"/>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c>
          <w:tcPr>
            <w:tcW w:w="533" w:type="pct"/>
            <w:vAlign w:val="center"/>
          </w:tcPr>
          <w:p w14:paraId="3C29CAD9" w14:textId="6938B870"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94"/>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94"/>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c>
          <w:tcPr>
            <w:tcW w:w="543" w:type="pct"/>
            <w:vAlign w:val="center"/>
          </w:tcPr>
          <w:p w14:paraId="2A57B309" w14:textId="106639C0"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stheme="minorHAnsi"/>
                <w:color w:val="000000"/>
                <w:spacing w:val="114"/>
                <w:sz w:val="20"/>
                <w:szCs w:val="20"/>
                <w:shd w:val="solid" w:color="000000" w:fill="000000"/>
                <w:fitText w:val="200" w:id="-961804793"/>
                <w14:textFill>
                  <w14:solidFill>
                    <w14:srgbClr w14:val="000000">
                      <w14:alpha w14:val="100000"/>
                    </w14:srgbClr>
                  </w14:solidFill>
                </w14:textFill>
              </w:rPr>
              <w:t>|</w:t>
            </w:r>
            <w:r w:rsidRPr="00206A14">
              <w:rPr>
                <w:rFonts w:ascii="Arial Narrow" w:hAnsi="Arial Narrow" w:cstheme="minorHAnsi"/>
                <w:color w:val="000000"/>
                <w:spacing w:val="1"/>
                <w:sz w:val="20"/>
                <w:szCs w:val="20"/>
                <w:shd w:val="solid" w:color="000000" w:fill="000000"/>
                <w:fitText w:val="200" w:id="-961804793"/>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r>
      <w:tr w:rsidR="008D0B42" w:rsidRPr="00BD19A7" w14:paraId="781FB3F5" w14:textId="77777777" w:rsidTr="00A25635">
        <w:tc>
          <w:tcPr>
            <w:tcW w:w="1661" w:type="pct"/>
          </w:tcPr>
          <w:p w14:paraId="143E87D3" w14:textId="4DBBC16A" w:rsidR="008D0B42" w:rsidRPr="00BD19A7" w:rsidRDefault="00FE2482" w:rsidP="006F4717">
            <w:pPr>
              <w:pStyle w:val="BodyText"/>
              <w:keepNext/>
              <w:spacing w:before="0" w:after="0"/>
              <w:rPr>
                <w:rFonts w:ascii="Arial Narrow" w:hAnsi="Arial Narrow" w:cstheme="minorHAnsi"/>
                <w:sz w:val="20"/>
                <w:szCs w:val="20"/>
              </w:rPr>
            </w:pPr>
            <w:bookmarkStart w:id="51" w:name="_Hlk156988526"/>
            <w:r w:rsidRPr="00BD19A7">
              <w:rPr>
                <w:rFonts w:ascii="Arial Narrow" w:hAnsi="Arial Narrow" w:cstheme="minorHAnsi"/>
                <w:sz w:val="20"/>
                <w:szCs w:val="20"/>
              </w:rPr>
              <w:t>Evaluation</w:t>
            </w:r>
            <w:bookmarkEnd w:id="51"/>
            <w:r w:rsidR="008D0B42" w:rsidRPr="00BD19A7">
              <w:rPr>
                <w:rFonts w:ascii="Arial Narrow" w:hAnsi="Arial Narrow" w:cstheme="minorHAnsi"/>
                <w:sz w:val="20"/>
                <w:szCs w:val="20"/>
              </w:rPr>
              <w:t xml:space="preserve"> forecast based on 100% PBS sample matched to Initial 1 authorities</w:t>
            </w:r>
          </w:p>
        </w:tc>
        <w:tc>
          <w:tcPr>
            <w:tcW w:w="599" w:type="pct"/>
            <w:vAlign w:val="center"/>
          </w:tcPr>
          <w:p w14:paraId="3DED5A0F" w14:textId="726D8E9F"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2"/>
                <w:sz w:val="20"/>
                <w:szCs w:val="20"/>
                <w:shd w:val="solid" w:color="000000" w:fill="000000"/>
                <w:fitText w:val="146" w:id="-961804792"/>
                <w14:textFill>
                  <w14:solidFill>
                    <w14:srgbClr w14:val="000000">
                      <w14:alpha w14:val="100000"/>
                    </w14:srgbClr>
                  </w14:solidFill>
                </w14:textFill>
              </w:rPr>
              <w:t xml:space="preserve">　</w:t>
            </w:r>
            <w:r w:rsidRPr="00206A14">
              <w:rPr>
                <w:rFonts w:ascii="Arial Narrow" w:hAnsi="Arial Narrow"/>
                <w:color w:val="000000"/>
                <w:w w:val="32"/>
                <w:sz w:val="20"/>
                <w:szCs w:val="20"/>
                <w:shd w:val="solid" w:color="000000" w:fill="000000"/>
                <w:fitText w:val="146" w:id="-961804792"/>
                <w14:textFill>
                  <w14:solidFill>
                    <w14:srgbClr w14:val="000000">
                      <w14:alpha w14:val="100000"/>
                    </w14:srgbClr>
                  </w14:solidFill>
                </w14:textFill>
              </w:rPr>
              <w:t>|</w:t>
            </w:r>
            <w:r w:rsidRPr="00206A14">
              <w:rPr>
                <w:rFonts w:ascii="Arial Narrow" w:hAnsi="Arial Narrow" w:hint="eastAsia"/>
                <w:color w:val="000000"/>
                <w:spacing w:val="7"/>
                <w:w w:val="32"/>
                <w:sz w:val="20"/>
                <w:szCs w:val="20"/>
                <w:shd w:val="solid" w:color="000000" w:fill="000000"/>
                <w:fitText w:val="146" w:id="-961804792"/>
                <w14:textFill>
                  <w14:solidFill>
                    <w14:srgbClr w14:val="000000">
                      <w14:alpha w14:val="100000"/>
                    </w14:srgbClr>
                  </w14:solidFill>
                </w14:textFill>
              </w:rPr>
              <w:t xml:space="preserve">　</w:t>
            </w:r>
            <w:r w:rsidR="006947B6" w:rsidRPr="006947B6">
              <w:rPr>
                <w:rFonts w:ascii="Arial Narrow" w:hAnsi="Arial Narrow" w:cstheme="minorHAnsi"/>
                <w:sz w:val="20"/>
                <w:szCs w:val="20"/>
                <w:vertAlign w:val="superscript"/>
              </w:rPr>
              <w:t>1</w:t>
            </w:r>
          </w:p>
        </w:tc>
        <w:tc>
          <w:tcPr>
            <w:tcW w:w="600" w:type="pct"/>
            <w:vAlign w:val="center"/>
          </w:tcPr>
          <w:p w14:paraId="55A4BD77" w14:textId="50154314"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2"/>
                <w:sz w:val="20"/>
                <w:szCs w:val="20"/>
                <w:shd w:val="solid" w:color="000000" w:fill="000000"/>
                <w:fitText w:val="146" w:id="-961804791"/>
                <w14:textFill>
                  <w14:solidFill>
                    <w14:srgbClr w14:val="000000">
                      <w14:alpha w14:val="100000"/>
                    </w14:srgbClr>
                  </w14:solidFill>
                </w14:textFill>
              </w:rPr>
              <w:t xml:space="preserve">　</w:t>
            </w:r>
            <w:r w:rsidRPr="00206A14">
              <w:rPr>
                <w:rFonts w:ascii="Arial Narrow" w:hAnsi="Arial Narrow"/>
                <w:color w:val="000000"/>
                <w:w w:val="32"/>
                <w:sz w:val="20"/>
                <w:szCs w:val="20"/>
                <w:shd w:val="solid" w:color="000000" w:fill="000000"/>
                <w:fitText w:val="146" w:id="-961804791"/>
                <w14:textFill>
                  <w14:solidFill>
                    <w14:srgbClr w14:val="000000">
                      <w14:alpha w14:val="100000"/>
                    </w14:srgbClr>
                  </w14:solidFill>
                </w14:textFill>
              </w:rPr>
              <w:t>|</w:t>
            </w:r>
            <w:r w:rsidRPr="00206A14">
              <w:rPr>
                <w:rFonts w:ascii="Arial Narrow" w:hAnsi="Arial Narrow" w:hint="eastAsia"/>
                <w:color w:val="000000"/>
                <w:spacing w:val="7"/>
                <w:w w:val="32"/>
                <w:sz w:val="20"/>
                <w:szCs w:val="20"/>
                <w:shd w:val="solid" w:color="000000" w:fill="000000"/>
                <w:fitText w:val="146" w:id="-961804791"/>
                <w14:textFill>
                  <w14:solidFill>
                    <w14:srgbClr w14:val="000000">
                      <w14:alpha w14:val="100000"/>
                    </w14:srgbClr>
                  </w14:solidFill>
                </w14:textFill>
              </w:rPr>
              <w:t xml:space="preserve">　</w:t>
            </w:r>
            <w:r w:rsidR="006947B6" w:rsidRPr="006947B6">
              <w:rPr>
                <w:rFonts w:ascii="Arial Narrow" w:hAnsi="Arial Narrow" w:cstheme="minorHAnsi"/>
                <w:sz w:val="20"/>
                <w:szCs w:val="20"/>
                <w:vertAlign w:val="superscript"/>
              </w:rPr>
              <w:t>1</w:t>
            </w:r>
          </w:p>
        </w:tc>
        <w:tc>
          <w:tcPr>
            <w:tcW w:w="533" w:type="pct"/>
            <w:vAlign w:val="center"/>
          </w:tcPr>
          <w:p w14:paraId="2C054F74" w14:textId="4BC8C0CB"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olor w:val="000000"/>
                <w:spacing w:val="114"/>
                <w:sz w:val="20"/>
                <w:szCs w:val="20"/>
                <w:shd w:val="solid" w:color="000000" w:fill="000000"/>
                <w:fitText w:val="200" w:id="-961804790"/>
                <w14:textFill>
                  <w14:solidFill>
                    <w14:srgbClr w14:val="000000">
                      <w14:alpha w14:val="100000"/>
                    </w14:srgbClr>
                  </w14:solidFill>
                </w14:textFill>
              </w:rPr>
              <w:t>|</w:t>
            </w:r>
            <w:r w:rsidRPr="00206A14">
              <w:rPr>
                <w:rFonts w:ascii="Arial Narrow" w:hAnsi="Arial Narrow"/>
                <w:color w:val="000000"/>
                <w:spacing w:val="1"/>
                <w:sz w:val="20"/>
                <w:szCs w:val="20"/>
                <w:shd w:val="solid" w:color="000000" w:fill="000000"/>
                <w:fitText w:val="200" w:id="-961804790"/>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c>
          <w:tcPr>
            <w:tcW w:w="532" w:type="pct"/>
            <w:vAlign w:val="center"/>
          </w:tcPr>
          <w:p w14:paraId="62C5EB15" w14:textId="70221C93"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olor w:val="000000"/>
                <w:spacing w:val="114"/>
                <w:sz w:val="20"/>
                <w:szCs w:val="20"/>
                <w:shd w:val="solid" w:color="000000" w:fill="000000"/>
                <w:fitText w:val="200" w:id="-961804789"/>
                <w14:textFill>
                  <w14:solidFill>
                    <w14:srgbClr w14:val="000000">
                      <w14:alpha w14:val="100000"/>
                    </w14:srgbClr>
                  </w14:solidFill>
                </w14:textFill>
              </w:rPr>
              <w:t>|</w:t>
            </w:r>
            <w:r w:rsidRPr="00206A14">
              <w:rPr>
                <w:rFonts w:ascii="Arial Narrow" w:hAnsi="Arial Narrow"/>
                <w:color w:val="000000"/>
                <w:spacing w:val="1"/>
                <w:sz w:val="20"/>
                <w:szCs w:val="20"/>
                <w:shd w:val="solid" w:color="000000" w:fill="000000"/>
                <w:fitText w:val="200" w:id="-961804789"/>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c>
          <w:tcPr>
            <w:tcW w:w="533" w:type="pct"/>
            <w:vAlign w:val="center"/>
          </w:tcPr>
          <w:p w14:paraId="5DD86B94" w14:textId="3D89BEA5"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olor w:val="000000"/>
                <w:spacing w:val="114"/>
                <w:sz w:val="20"/>
                <w:szCs w:val="20"/>
                <w:shd w:val="solid" w:color="000000" w:fill="000000"/>
                <w:fitText w:val="200" w:id="-961804788"/>
                <w14:textFill>
                  <w14:solidFill>
                    <w14:srgbClr w14:val="000000">
                      <w14:alpha w14:val="100000"/>
                    </w14:srgbClr>
                  </w14:solidFill>
                </w14:textFill>
              </w:rPr>
              <w:t>|</w:t>
            </w:r>
            <w:r w:rsidRPr="00206A14">
              <w:rPr>
                <w:rFonts w:ascii="Arial Narrow" w:hAnsi="Arial Narrow"/>
                <w:color w:val="000000"/>
                <w:spacing w:val="1"/>
                <w:sz w:val="20"/>
                <w:szCs w:val="20"/>
                <w:shd w:val="solid" w:color="000000" w:fill="000000"/>
                <w:fitText w:val="200" w:id="-961804788"/>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c>
          <w:tcPr>
            <w:tcW w:w="543" w:type="pct"/>
            <w:vAlign w:val="center"/>
          </w:tcPr>
          <w:p w14:paraId="52A3FCA2" w14:textId="67EF987A" w:rsidR="008D0B42" w:rsidRPr="007801C5" w:rsidRDefault="00206A14" w:rsidP="006F4717">
            <w:pPr>
              <w:pStyle w:val="BodyText"/>
              <w:keepNext/>
              <w:spacing w:before="0" w:after="0"/>
              <w:jc w:val="center"/>
              <w:rPr>
                <w:rFonts w:ascii="Arial Narrow" w:hAnsi="Arial Narrow" w:cstheme="minorHAnsi"/>
                <w:sz w:val="20"/>
                <w:szCs w:val="20"/>
                <w:highlight w:val="lightGray"/>
              </w:rPr>
            </w:pPr>
            <w:r w:rsidRPr="00206A14">
              <w:rPr>
                <w:rFonts w:ascii="Arial Narrow" w:hAnsi="Arial Narrow"/>
                <w:color w:val="000000"/>
                <w:spacing w:val="114"/>
                <w:sz w:val="20"/>
                <w:szCs w:val="20"/>
                <w:shd w:val="solid" w:color="000000" w:fill="000000"/>
                <w:fitText w:val="200" w:id="-961804787"/>
                <w14:textFill>
                  <w14:solidFill>
                    <w14:srgbClr w14:val="000000">
                      <w14:alpha w14:val="100000"/>
                    </w14:srgbClr>
                  </w14:solidFill>
                </w14:textFill>
              </w:rPr>
              <w:t>|</w:t>
            </w:r>
            <w:r w:rsidRPr="00206A14">
              <w:rPr>
                <w:rFonts w:ascii="Arial Narrow" w:hAnsi="Arial Narrow"/>
                <w:color w:val="000000"/>
                <w:spacing w:val="1"/>
                <w:sz w:val="20"/>
                <w:szCs w:val="20"/>
                <w:shd w:val="solid" w:color="000000" w:fill="000000"/>
                <w:fitText w:val="200" w:id="-961804787"/>
                <w14:textFill>
                  <w14:solidFill>
                    <w14:srgbClr w14:val="000000">
                      <w14:alpha w14:val="100000"/>
                    </w14:srgbClr>
                  </w14:solidFill>
                </w14:textFill>
              </w:rPr>
              <w:t>|</w:t>
            </w:r>
            <w:r w:rsidR="006947B6" w:rsidRPr="006947B6">
              <w:rPr>
                <w:rFonts w:ascii="Arial Narrow" w:hAnsi="Arial Narrow" w:cstheme="minorHAnsi"/>
                <w:sz w:val="20"/>
                <w:szCs w:val="20"/>
                <w:vertAlign w:val="superscript"/>
              </w:rPr>
              <w:t>1</w:t>
            </w:r>
          </w:p>
        </w:tc>
      </w:tr>
    </w:tbl>
    <w:p w14:paraId="4F8626AC" w14:textId="22F891EA" w:rsidR="008D0B42" w:rsidRDefault="008D0B42" w:rsidP="006F4717">
      <w:pPr>
        <w:keepNext/>
        <w:spacing w:after="120"/>
        <w:contextualSpacing/>
        <w:rPr>
          <w:rFonts w:ascii="Arial Narrow" w:hAnsi="Arial Narrow"/>
          <w:sz w:val="18"/>
          <w:szCs w:val="18"/>
        </w:rPr>
      </w:pPr>
      <w:r w:rsidRPr="00BD19A7">
        <w:rPr>
          <w:rFonts w:ascii="Arial Narrow" w:hAnsi="Arial Narrow"/>
          <w:sz w:val="18"/>
          <w:szCs w:val="18"/>
          <w:vertAlign w:val="superscript"/>
        </w:rPr>
        <w:t>1</w:t>
      </w:r>
      <w:r w:rsidRPr="00BD19A7">
        <w:rPr>
          <w:rFonts w:ascii="Arial Narrow" w:hAnsi="Arial Narrow"/>
          <w:sz w:val="18"/>
          <w:szCs w:val="18"/>
        </w:rPr>
        <w:t xml:space="preserve"> Figures sourced from the main March 2024 submission, Table 4.3-3 page 21.</w:t>
      </w:r>
    </w:p>
    <w:p w14:paraId="222FFA8F" w14:textId="77777777" w:rsidR="006947B6" w:rsidRPr="002272DC" w:rsidRDefault="006947B6" w:rsidP="006947B6">
      <w:pPr>
        <w:keepNext/>
        <w:spacing w:after="120"/>
        <w:contextualSpacing/>
        <w:rPr>
          <w:rFonts w:ascii="Arial Narrow" w:hAnsi="Arial Narrow"/>
          <w:i/>
          <w:iCs/>
          <w:sz w:val="18"/>
          <w:szCs w:val="18"/>
        </w:rPr>
      </w:pPr>
      <w:bookmarkStart w:id="52" w:name="_Hlk165020520"/>
      <w:r w:rsidRPr="002272DC">
        <w:rPr>
          <w:rFonts w:ascii="Arial Narrow" w:hAnsi="Arial Narrow"/>
          <w:i/>
          <w:iCs/>
          <w:sz w:val="18"/>
          <w:szCs w:val="18"/>
        </w:rPr>
        <w:t>The redacted values correspond to the following ranges</w:t>
      </w:r>
    </w:p>
    <w:p w14:paraId="23F01316" w14:textId="25ABFAFF" w:rsidR="006947B6" w:rsidRPr="002272DC" w:rsidRDefault="006947B6" w:rsidP="00F406DA">
      <w:pPr>
        <w:spacing w:after="120"/>
        <w:contextualSpacing/>
        <w:rPr>
          <w:rFonts w:ascii="Arial Narrow" w:hAnsi="Arial Narrow"/>
          <w:i/>
          <w:iCs/>
          <w:sz w:val="18"/>
          <w:szCs w:val="18"/>
        </w:rPr>
      </w:pPr>
      <w:r w:rsidRPr="002272DC">
        <w:rPr>
          <w:rFonts w:ascii="Arial Narrow" w:hAnsi="Arial Narrow"/>
          <w:i/>
          <w:iCs/>
          <w:sz w:val="18"/>
          <w:szCs w:val="18"/>
          <w:vertAlign w:val="superscript"/>
        </w:rPr>
        <w:t>1</w:t>
      </w:r>
      <w:r w:rsidRPr="002272DC">
        <w:rPr>
          <w:rFonts w:ascii="Arial Narrow" w:hAnsi="Arial Narrow"/>
          <w:i/>
          <w:iCs/>
          <w:sz w:val="18"/>
          <w:szCs w:val="18"/>
        </w:rPr>
        <w:t xml:space="preserve"> &lt; 500</w:t>
      </w:r>
    </w:p>
    <w:bookmarkEnd w:id="52"/>
    <w:p w14:paraId="5801A0AE" w14:textId="1999CA7E" w:rsidR="004820BB" w:rsidRPr="00BD19A7" w:rsidRDefault="00EE356A" w:rsidP="004820BB">
      <w:pPr>
        <w:pStyle w:val="3-BodyText"/>
      </w:pPr>
      <w:r w:rsidRPr="00BD19A7">
        <w:t>The evaluation noted t</w:t>
      </w:r>
      <w:r w:rsidR="008D0B42" w:rsidRPr="00BD19A7">
        <w:t xml:space="preserve">here </w:t>
      </w:r>
      <w:r w:rsidRPr="00BD19A7">
        <w:t xml:space="preserve">was </w:t>
      </w:r>
      <w:r w:rsidR="008D0B42" w:rsidRPr="00BD19A7">
        <w:t xml:space="preserve">limited detail provided in the submission about the </w:t>
      </w:r>
      <w:r w:rsidR="005F1441" w:rsidRPr="00BD19A7">
        <w:t>10%</w:t>
      </w:r>
      <w:r w:rsidR="008D0B42" w:rsidRPr="00BD19A7">
        <w:t xml:space="preserve"> PBS sample, including whether the data </w:t>
      </w:r>
      <w:r w:rsidR="00552A78" w:rsidRPr="00BD19A7">
        <w:t xml:space="preserve">are </w:t>
      </w:r>
      <w:r w:rsidR="008D0B42" w:rsidRPr="00BD19A7">
        <w:t xml:space="preserve">based on the date of </w:t>
      </w:r>
      <w:r w:rsidR="00FB2167" w:rsidRPr="00BD19A7">
        <w:t>processing,</w:t>
      </w:r>
      <w:r w:rsidR="008D0B42" w:rsidRPr="00BD19A7">
        <w:t xml:space="preserve"> or the date of supply and </w:t>
      </w:r>
      <w:r w:rsidR="00552A78" w:rsidRPr="00BD19A7">
        <w:t xml:space="preserve">which </w:t>
      </w:r>
      <w:r w:rsidR="008D0B42" w:rsidRPr="00BD19A7">
        <w:t xml:space="preserve">PBS item codes were used for the data extraction. </w:t>
      </w:r>
      <w:r w:rsidR="005F1441" w:rsidRPr="00BD19A7">
        <w:t xml:space="preserve">It is unclear how patients who newly commenced vedolizumab were identified as the PBS </w:t>
      </w:r>
      <w:r w:rsidR="008310A5" w:rsidRPr="00BD19A7">
        <w:t xml:space="preserve">10% </w:t>
      </w:r>
      <w:r w:rsidR="005F1441" w:rsidRPr="00BD19A7">
        <w:t>sample does not contain the written authority approval data which is required to distinguish between treatment phase within individual item codes</w:t>
      </w:r>
      <w:r w:rsidR="008D0B42" w:rsidRPr="00BD19A7">
        <w:t>.</w:t>
      </w:r>
    </w:p>
    <w:p w14:paraId="49105B20" w14:textId="3EFBE75F" w:rsidR="006F4717" w:rsidRPr="00BD19A7" w:rsidRDefault="00E16A3A" w:rsidP="006F4717">
      <w:pPr>
        <w:pStyle w:val="3-BodyText"/>
        <w:rPr>
          <w:rFonts w:ascii="Arial Narrow" w:hAnsi="Arial Narrow" w:cs="Times New Roman"/>
          <w:b/>
          <w:bCs/>
          <w:sz w:val="20"/>
          <w:szCs w:val="20"/>
          <w:lang w:eastAsia="en-US"/>
        </w:rPr>
      </w:pPr>
      <w:r w:rsidRPr="00BD19A7">
        <w:t>The submission presented t</w:t>
      </w:r>
      <w:r w:rsidR="006F4717" w:rsidRPr="00BD19A7">
        <w:t xml:space="preserve">he number of patients for whom the prescriber requested an additional dose via the sponsor’s patient access program at week 10 over the period August 2021 to September 2023 </w:t>
      </w:r>
      <w:r w:rsidRPr="00BD19A7">
        <w:t>(</w:t>
      </w:r>
      <w:r w:rsidR="007741F1" w:rsidRPr="00BD19A7">
        <w:fldChar w:fldCharType="begin" w:fldLock="1"/>
      </w:r>
      <w:r w:rsidR="007741F1" w:rsidRPr="00BD19A7">
        <w:instrText xml:space="preserve"> REF _Ref155860540 \h </w:instrText>
      </w:r>
      <w:r w:rsidR="00EE356A" w:rsidRPr="00BD19A7">
        <w:instrText xml:space="preserve"> \* MERGEFORMAT </w:instrText>
      </w:r>
      <w:r w:rsidR="007741F1" w:rsidRPr="00BD19A7">
        <w:fldChar w:fldCharType="separate"/>
      </w:r>
      <w:r w:rsidR="00A008BF" w:rsidRPr="00BD19A7" w:rsidDel="00A56DFE">
        <w:t>Table 12</w:t>
      </w:r>
      <w:r w:rsidR="007741F1" w:rsidRPr="00BD19A7">
        <w:fldChar w:fldCharType="end"/>
      </w:r>
      <w:r w:rsidRPr="00BD19A7">
        <w:t>)</w:t>
      </w:r>
      <w:r w:rsidR="006F4717" w:rsidRPr="00BD19A7">
        <w:t>.</w:t>
      </w:r>
      <w:bookmarkStart w:id="53" w:name="_Ref149224398"/>
      <w:bookmarkStart w:id="54" w:name="_Toc149234281"/>
      <w:r w:rsidR="00154C12" w:rsidRPr="00BD19A7">
        <w:t xml:space="preserve"> The submission assume</w:t>
      </w:r>
      <w:r w:rsidR="004C297A" w:rsidRPr="00BD19A7">
        <w:t>d</w:t>
      </w:r>
      <w:r w:rsidR="00154C12" w:rsidRPr="00BD19A7">
        <w:t xml:space="preserve"> that all eligible patients are</w:t>
      </w:r>
      <w:r w:rsidR="004C297A" w:rsidRPr="00BD19A7">
        <w:t xml:space="preserve"> </w:t>
      </w:r>
      <w:r w:rsidR="00154C12" w:rsidRPr="00BD19A7">
        <w:t>utilising the sponsor’s patient access program</w:t>
      </w:r>
      <w:r w:rsidR="00BD19A7">
        <w:t xml:space="preserve">. </w:t>
      </w:r>
    </w:p>
    <w:p w14:paraId="06F80E56" w14:textId="02B4F053" w:rsidR="00F04CE9" w:rsidRPr="00BD19A7" w:rsidRDefault="00F04CE9" w:rsidP="00F04CE9">
      <w:pPr>
        <w:pStyle w:val="Caption"/>
      </w:pPr>
      <w:bookmarkStart w:id="55" w:name="_Ref155860540"/>
      <w:bookmarkEnd w:id="53"/>
      <w:bookmarkEnd w:id="54"/>
      <w:r w:rsidRPr="00BD19A7">
        <w:lastRenderedPageBreak/>
        <w:t xml:space="preserve">Table </w:t>
      </w:r>
      <w:r w:rsidR="007B0FCD">
        <w:fldChar w:fldCharType="begin" w:fldLock="1"/>
      </w:r>
      <w:r w:rsidR="007B0FCD">
        <w:instrText xml:space="preserve"> SEQ Table \* ARABIC </w:instrText>
      </w:r>
      <w:r w:rsidR="007B0FCD">
        <w:fldChar w:fldCharType="separate"/>
      </w:r>
      <w:r w:rsidR="00A56DFE">
        <w:rPr>
          <w:noProof/>
        </w:rPr>
        <w:t>12</w:t>
      </w:r>
      <w:r w:rsidR="007B0FCD">
        <w:rPr>
          <w:noProof/>
        </w:rPr>
        <w:fldChar w:fldCharType="end"/>
      </w:r>
      <w:bookmarkEnd w:id="55"/>
      <w:r w:rsidRPr="00BD19A7">
        <w:t>: Patients with severe CD requiring an additional dose of vedolizumab IV at Week 10</w:t>
      </w:r>
    </w:p>
    <w:tbl>
      <w:tblPr>
        <w:tblStyle w:val="TableGridbeth1"/>
        <w:tblW w:w="5000" w:type="pct"/>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Caption w:val="Table 12: Patients with severe CD requiring an additional dose of vedolizumab IV at Week 10"/>
      </w:tblPr>
      <w:tblGrid>
        <w:gridCol w:w="2268"/>
        <w:gridCol w:w="10"/>
        <w:gridCol w:w="2155"/>
        <w:gridCol w:w="2292"/>
        <w:gridCol w:w="2292"/>
      </w:tblGrid>
      <w:tr w:rsidR="00737558" w:rsidRPr="00BD19A7" w14:paraId="4A142363" w14:textId="47477EF1"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left w:val="single" w:sz="4" w:space="0" w:color="auto"/>
              <w:bottom w:val="single" w:sz="4" w:space="0" w:color="auto"/>
              <w:right w:val="single" w:sz="4" w:space="0" w:color="auto"/>
            </w:tcBorders>
            <w:shd w:val="clear" w:color="auto" w:fill="F2F2F2" w:themeFill="background1" w:themeFillShade="F2"/>
          </w:tcPr>
          <w:p w14:paraId="653728F6"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Month</w:t>
            </w:r>
          </w:p>
        </w:tc>
        <w:tc>
          <w:tcPr>
            <w:tcW w:w="2132" w:type="dxa"/>
            <w:tcBorders>
              <w:left w:val="single" w:sz="4" w:space="0" w:color="auto"/>
              <w:bottom w:val="single" w:sz="4" w:space="0" w:color="auto"/>
              <w:right w:val="single" w:sz="4" w:space="0" w:color="auto"/>
            </w:tcBorders>
            <w:shd w:val="clear" w:color="auto" w:fill="F2F2F2" w:themeFill="background1" w:themeFillShade="F2"/>
          </w:tcPr>
          <w:p w14:paraId="102B4DAC"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Patients requiring an additional dose at Week 10</w:t>
            </w:r>
          </w:p>
        </w:tc>
        <w:tc>
          <w:tcPr>
            <w:tcW w:w="2268" w:type="dxa"/>
            <w:tcBorders>
              <w:left w:val="single" w:sz="4" w:space="0" w:color="auto"/>
              <w:bottom w:val="single" w:sz="4" w:space="0" w:color="auto"/>
              <w:right w:val="single" w:sz="4" w:space="0" w:color="auto"/>
            </w:tcBorders>
            <w:shd w:val="clear" w:color="auto" w:fill="F2F2F2" w:themeFill="background1" w:themeFillShade="F2"/>
          </w:tcPr>
          <w:p w14:paraId="684F6CF7" w14:textId="7F7C609D"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Patients newly commencing treatment with vedolizumab (from submission)</w:t>
            </w:r>
          </w:p>
        </w:tc>
        <w:tc>
          <w:tcPr>
            <w:tcW w:w="2268" w:type="dxa"/>
            <w:tcBorders>
              <w:left w:val="single" w:sz="4" w:space="0" w:color="auto"/>
              <w:bottom w:val="single" w:sz="4" w:space="0" w:color="auto"/>
              <w:right w:val="single" w:sz="4" w:space="0" w:color="auto"/>
            </w:tcBorders>
            <w:shd w:val="clear" w:color="auto" w:fill="F2F2F2" w:themeFill="background1" w:themeFillShade="F2"/>
          </w:tcPr>
          <w:p w14:paraId="1CDDB659" w14:textId="1B505D13" w:rsidR="00737558" w:rsidRPr="00BD19A7" w:rsidRDefault="00737558" w:rsidP="00737558">
            <w:pPr>
              <w:jc w:val="center"/>
              <w:rPr>
                <w:rFonts w:ascii="Arial Narrow" w:hAnsi="Arial Narrow" w:cs="Tahoma"/>
                <w:sz w:val="20"/>
                <w:szCs w:val="20"/>
              </w:rPr>
            </w:pPr>
            <w:r w:rsidRPr="00BD19A7">
              <w:rPr>
                <w:rFonts w:ascii="Arial Narrow" w:hAnsi="Arial Narrow" w:cs="Tahoma"/>
                <w:sz w:val="20"/>
                <w:szCs w:val="20"/>
              </w:rPr>
              <w:t>Patients newly commencing treatment with vedolizumab (from Department)</w:t>
            </w:r>
          </w:p>
        </w:tc>
      </w:tr>
      <w:tr w:rsidR="00737558" w:rsidRPr="00BD19A7" w14:paraId="40952DBC" w14:textId="00A94329"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019E56C6"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Aug-21</w:t>
            </w:r>
          </w:p>
        </w:tc>
        <w:tc>
          <w:tcPr>
            <w:tcW w:w="2132" w:type="dxa"/>
            <w:tcBorders>
              <w:top w:val="single" w:sz="4" w:space="0" w:color="auto"/>
              <w:left w:val="single" w:sz="4" w:space="0" w:color="auto"/>
              <w:bottom w:val="single" w:sz="4" w:space="0" w:color="auto"/>
              <w:right w:val="single" w:sz="4" w:space="0" w:color="auto"/>
            </w:tcBorders>
          </w:tcPr>
          <w:p w14:paraId="32739A2F" w14:textId="5EE46850"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17EED605" w14:textId="57F91EB2"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788232AA" w14:textId="22DACCE4"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3421F8EC" w14:textId="35DE9B7F"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36085210"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Sep-21</w:t>
            </w:r>
          </w:p>
        </w:tc>
        <w:tc>
          <w:tcPr>
            <w:tcW w:w="2132" w:type="dxa"/>
            <w:tcBorders>
              <w:top w:val="single" w:sz="4" w:space="0" w:color="auto"/>
              <w:left w:val="single" w:sz="4" w:space="0" w:color="auto"/>
              <w:bottom w:val="single" w:sz="4" w:space="0" w:color="auto"/>
              <w:right w:val="single" w:sz="4" w:space="0" w:color="auto"/>
            </w:tcBorders>
          </w:tcPr>
          <w:p w14:paraId="7840F9FD" w14:textId="44B0EB6E"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6FC3585E" w14:textId="038C64E6"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8002031" w14:textId="5852DE70"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67C3F0D8" w14:textId="77DFD575"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1657496F"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Oct-21</w:t>
            </w:r>
          </w:p>
        </w:tc>
        <w:tc>
          <w:tcPr>
            <w:tcW w:w="2132" w:type="dxa"/>
            <w:tcBorders>
              <w:top w:val="single" w:sz="4" w:space="0" w:color="auto"/>
              <w:left w:val="single" w:sz="4" w:space="0" w:color="auto"/>
              <w:bottom w:val="single" w:sz="4" w:space="0" w:color="auto"/>
              <w:right w:val="single" w:sz="4" w:space="0" w:color="auto"/>
            </w:tcBorders>
          </w:tcPr>
          <w:p w14:paraId="2DA8D6AE" w14:textId="47B0983F"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4140A342" w14:textId="5EF38531"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610CEBA7" w14:textId="77BEEDBB"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6A22ADC5" w14:textId="47B95323"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62FB6E73"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Nov-21</w:t>
            </w:r>
          </w:p>
        </w:tc>
        <w:tc>
          <w:tcPr>
            <w:tcW w:w="2132" w:type="dxa"/>
            <w:tcBorders>
              <w:top w:val="single" w:sz="4" w:space="0" w:color="auto"/>
              <w:left w:val="single" w:sz="4" w:space="0" w:color="auto"/>
              <w:bottom w:val="single" w:sz="4" w:space="0" w:color="auto"/>
              <w:right w:val="single" w:sz="4" w:space="0" w:color="auto"/>
            </w:tcBorders>
          </w:tcPr>
          <w:p w14:paraId="62C925C4" w14:textId="02C3410C"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59BAB0EF" w14:textId="254F9D2F"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2BB74E04" w14:textId="7179809D"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67458094" w14:textId="3238C34D"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F713C73"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Dec-21</w:t>
            </w:r>
          </w:p>
        </w:tc>
        <w:tc>
          <w:tcPr>
            <w:tcW w:w="2132" w:type="dxa"/>
            <w:tcBorders>
              <w:top w:val="single" w:sz="4" w:space="0" w:color="auto"/>
              <w:left w:val="single" w:sz="4" w:space="0" w:color="auto"/>
              <w:bottom w:val="single" w:sz="4" w:space="0" w:color="auto"/>
              <w:right w:val="single" w:sz="4" w:space="0" w:color="auto"/>
            </w:tcBorders>
          </w:tcPr>
          <w:p w14:paraId="4628F878" w14:textId="342F3833"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2CD0F4A1" w14:textId="4BAE51C4"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46A91E44" w14:textId="3F8B6B8D"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7FF05FC8" w14:textId="60FAE081"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7062A187"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Jan-22</w:t>
            </w:r>
          </w:p>
        </w:tc>
        <w:tc>
          <w:tcPr>
            <w:tcW w:w="2132" w:type="dxa"/>
            <w:tcBorders>
              <w:top w:val="single" w:sz="4" w:space="0" w:color="auto"/>
              <w:left w:val="single" w:sz="4" w:space="0" w:color="auto"/>
              <w:bottom w:val="single" w:sz="4" w:space="0" w:color="auto"/>
              <w:right w:val="single" w:sz="4" w:space="0" w:color="auto"/>
            </w:tcBorders>
          </w:tcPr>
          <w:p w14:paraId="12DBAA3D" w14:textId="57BFDC45"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101E92BF" w14:textId="2EFD4B85"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1383B1D9" w14:textId="539CD264"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7BD44367" w14:textId="3E4A8469"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39776EA"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Feb-22</w:t>
            </w:r>
          </w:p>
        </w:tc>
        <w:tc>
          <w:tcPr>
            <w:tcW w:w="2132" w:type="dxa"/>
            <w:tcBorders>
              <w:top w:val="single" w:sz="4" w:space="0" w:color="auto"/>
              <w:left w:val="single" w:sz="4" w:space="0" w:color="auto"/>
              <w:bottom w:val="single" w:sz="4" w:space="0" w:color="auto"/>
              <w:right w:val="single" w:sz="4" w:space="0" w:color="auto"/>
            </w:tcBorders>
          </w:tcPr>
          <w:p w14:paraId="24B9C135" w14:textId="20179068"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0535CBB3" w14:textId="304F656D"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4BC67AEC" w14:textId="466C1A2E"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4C2D3977" w14:textId="18669437"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192ABB29"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Mar-22</w:t>
            </w:r>
          </w:p>
        </w:tc>
        <w:tc>
          <w:tcPr>
            <w:tcW w:w="2132" w:type="dxa"/>
            <w:tcBorders>
              <w:top w:val="single" w:sz="4" w:space="0" w:color="auto"/>
              <w:left w:val="single" w:sz="4" w:space="0" w:color="auto"/>
              <w:bottom w:val="single" w:sz="4" w:space="0" w:color="auto"/>
              <w:right w:val="single" w:sz="4" w:space="0" w:color="auto"/>
            </w:tcBorders>
          </w:tcPr>
          <w:p w14:paraId="175AC760" w14:textId="129412FD"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109F5930" w14:textId="13AA220B"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250CBB6" w14:textId="37D156F5"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7E0B9064" w14:textId="60A3D4C4"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7E025874"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Apr-22</w:t>
            </w:r>
          </w:p>
        </w:tc>
        <w:tc>
          <w:tcPr>
            <w:tcW w:w="2132" w:type="dxa"/>
            <w:tcBorders>
              <w:top w:val="single" w:sz="4" w:space="0" w:color="auto"/>
              <w:left w:val="single" w:sz="4" w:space="0" w:color="auto"/>
              <w:bottom w:val="single" w:sz="4" w:space="0" w:color="auto"/>
              <w:right w:val="single" w:sz="4" w:space="0" w:color="auto"/>
            </w:tcBorders>
          </w:tcPr>
          <w:p w14:paraId="3B084C42" w14:textId="0663C8CE"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48624C07" w14:textId="5B1B6539"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08264045" w14:textId="008C1CB4"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1C32EA9A" w14:textId="3E7C3B1B"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1CAF4318"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May-22</w:t>
            </w:r>
          </w:p>
        </w:tc>
        <w:tc>
          <w:tcPr>
            <w:tcW w:w="2132" w:type="dxa"/>
            <w:tcBorders>
              <w:top w:val="single" w:sz="4" w:space="0" w:color="auto"/>
              <w:left w:val="single" w:sz="4" w:space="0" w:color="auto"/>
              <w:bottom w:val="single" w:sz="4" w:space="0" w:color="auto"/>
              <w:right w:val="single" w:sz="4" w:space="0" w:color="auto"/>
            </w:tcBorders>
          </w:tcPr>
          <w:p w14:paraId="0AAD9F74" w14:textId="0819E899"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41CACD4D" w14:textId="00B54D8B"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EF462CF" w14:textId="5FDA8405"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624D1067" w14:textId="407F7D89"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685ED170"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Jun-22</w:t>
            </w:r>
          </w:p>
        </w:tc>
        <w:tc>
          <w:tcPr>
            <w:tcW w:w="2132" w:type="dxa"/>
            <w:tcBorders>
              <w:top w:val="single" w:sz="4" w:space="0" w:color="auto"/>
              <w:left w:val="single" w:sz="4" w:space="0" w:color="auto"/>
              <w:bottom w:val="single" w:sz="4" w:space="0" w:color="auto"/>
              <w:right w:val="single" w:sz="4" w:space="0" w:color="auto"/>
            </w:tcBorders>
          </w:tcPr>
          <w:p w14:paraId="18959812" w14:textId="0789D965"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3DF7B0F9" w14:textId="6AA57D14"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75FFBE8B" w14:textId="5D17094F"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0B6C4E0A" w14:textId="6F3DC92A"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17B385A"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Jul-22</w:t>
            </w:r>
          </w:p>
        </w:tc>
        <w:tc>
          <w:tcPr>
            <w:tcW w:w="2132" w:type="dxa"/>
            <w:tcBorders>
              <w:top w:val="single" w:sz="4" w:space="0" w:color="auto"/>
              <w:left w:val="single" w:sz="4" w:space="0" w:color="auto"/>
              <w:bottom w:val="single" w:sz="4" w:space="0" w:color="auto"/>
              <w:right w:val="single" w:sz="4" w:space="0" w:color="auto"/>
            </w:tcBorders>
          </w:tcPr>
          <w:p w14:paraId="2F2DB4FB" w14:textId="79FC7D24"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0784C453" w14:textId="08C54807"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05B350A" w14:textId="0171AA9D"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173DF0E9" w14:textId="360E7FF3"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54FA9DB6"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Aug-22</w:t>
            </w:r>
          </w:p>
        </w:tc>
        <w:tc>
          <w:tcPr>
            <w:tcW w:w="2132" w:type="dxa"/>
            <w:tcBorders>
              <w:top w:val="single" w:sz="4" w:space="0" w:color="auto"/>
              <w:left w:val="single" w:sz="4" w:space="0" w:color="auto"/>
              <w:bottom w:val="single" w:sz="4" w:space="0" w:color="auto"/>
              <w:right w:val="single" w:sz="4" w:space="0" w:color="auto"/>
            </w:tcBorders>
          </w:tcPr>
          <w:p w14:paraId="2D814548" w14:textId="26023A5B"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534B9FCA" w14:textId="6F16D68D"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654F5369" w14:textId="77C61F13"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4EA3D28E" w14:textId="2F3FBD96"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3E4FDD08"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Sep-22</w:t>
            </w:r>
          </w:p>
        </w:tc>
        <w:tc>
          <w:tcPr>
            <w:tcW w:w="2132" w:type="dxa"/>
            <w:tcBorders>
              <w:top w:val="single" w:sz="4" w:space="0" w:color="auto"/>
              <w:left w:val="single" w:sz="4" w:space="0" w:color="auto"/>
              <w:bottom w:val="single" w:sz="4" w:space="0" w:color="auto"/>
              <w:right w:val="single" w:sz="4" w:space="0" w:color="auto"/>
            </w:tcBorders>
          </w:tcPr>
          <w:p w14:paraId="18DF5333" w14:textId="73F34228"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4A879675" w14:textId="01F22EC0"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B58E02F" w14:textId="55C1EB4A"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76C9F284" w14:textId="5B9D49DB"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7DD1796F"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Oct-22</w:t>
            </w:r>
          </w:p>
        </w:tc>
        <w:tc>
          <w:tcPr>
            <w:tcW w:w="2132" w:type="dxa"/>
            <w:tcBorders>
              <w:top w:val="single" w:sz="4" w:space="0" w:color="auto"/>
              <w:left w:val="single" w:sz="4" w:space="0" w:color="auto"/>
              <w:bottom w:val="single" w:sz="4" w:space="0" w:color="auto"/>
              <w:right w:val="single" w:sz="4" w:space="0" w:color="auto"/>
            </w:tcBorders>
          </w:tcPr>
          <w:p w14:paraId="682C8E15" w14:textId="772E59C0"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1053B817" w14:textId="7567A7CB"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C274E25" w14:textId="09CC9199"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02E49DC5" w14:textId="4AEDB762"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3C699994"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Nov-22</w:t>
            </w:r>
          </w:p>
        </w:tc>
        <w:tc>
          <w:tcPr>
            <w:tcW w:w="2132" w:type="dxa"/>
            <w:tcBorders>
              <w:top w:val="single" w:sz="4" w:space="0" w:color="auto"/>
              <w:left w:val="single" w:sz="4" w:space="0" w:color="auto"/>
              <w:bottom w:val="single" w:sz="4" w:space="0" w:color="auto"/>
              <w:right w:val="single" w:sz="4" w:space="0" w:color="auto"/>
            </w:tcBorders>
          </w:tcPr>
          <w:p w14:paraId="3A35A4B3" w14:textId="023EC89D"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36FC2A04" w14:textId="1084F0AB"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1CA1118E" w14:textId="6827484B"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3B07CC70" w14:textId="6A2B3E17"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17853887"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Dec-22</w:t>
            </w:r>
          </w:p>
        </w:tc>
        <w:tc>
          <w:tcPr>
            <w:tcW w:w="2132" w:type="dxa"/>
            <w:tcBorders>
              <w:top w:val="single" w:sz="4" w:space="0" w:color="auto"/>
              <w:left w:val="single" w:sz="4" w:space="0" w:color="auto"/>
              <w:bottom w:val="single" w:sz="4" w:space="0" w:color="auto"/>
              <w:right w:val="single" w:sz="4" w:space="0" w:color="auto"/>
            </w:tcBorders>
          </w:tcPr>
          <w:p w14:paraId="6CD66218" w14:textId="1748ED02"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777E1565" w14:textId="7796A2F3"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17F9D977" w14:textId="7758E3B7"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4F8897EC" w14:textId="67186D4A"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353AAB32"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Jan-23</w:t>
            </w:r>
          </w:p>
        </w:tc>
        <w:tc>
          <w:tcPr>
            <w:tcW w:w="2132" w:type="dxa"/>
            <w:tcBorders>
              <w:top w:val="single" w:sz="4" w:space="0" w:color="auto"/>
              <w:left w:val="single" w:sz="4" w:space="0" w:color="auto"/>
              <w:bottom w:val="single" w:sz="4" w:space="0" w:color="auto"/>
              <w:right w:val="single" w:sz="4" w:space="0" w:color="auto"/>
            </w:tcBorders>
          </w:tcPr>
          <w:p w14:paraId="26C67415" w14:textId="25397430"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26601815" w14:textId="1D118707"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2F259F87" w14:textId="04156CC6"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15413153" w14:textId="5165CA3F"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6391EB6"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Feb-23</w:t>
            </w:r>
          </w:p>
        </w:tc>
        <w:tc>
          <w:tcPr>
            <w:tcW w:w="2132" w:type="dxa"/>
            <w:tcBorders>
              <w:top w:val="single" w:sz="4" w:space="0" w:color="auto"/>
              <w:left w:val="single" w:sz="4" w:space="0" w:color="auto"/>
              <w:bottom w:val="single" w:sz="4" w:space="0" w:color="auto"/>
              <w:right w:val="single" w:sz="4" w:space="0" w:color="auto"/>
            </w:tcBorders>
          </w:tcPr>
          <w:p w14:paraId="185C0E20" w14:textId="27052044"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1E96AB95" w14:textId="60D37166"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490CA24F" w14:textId="245DAB83"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0DC58983" w14:textId="04BB9F39"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010DE77E"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Mar-23</w:t>
            </w:r>
          </w:p>
        </w:tc>
        <w:tc>
          <w:tcPr>
            <w:tcW w:w="2132" w:type="dxa"/>
            <w:tcBorders>
              <w:top w:val="single" w:sz="4" w:space="0" w:color="auto"/>
              <w:left w:val="single" w:sz="4" w:space="0" w:color="auto"/>
              <w:bottom w:val="single" w:sz="4" w:space="0" w:color="auto"/>
              <w:right w:val="single" w:sz="4" w:space="0" w:color="auto"/>
            </w:tcBorders>
          </w:tcPr>
          <w:p w14:paraId="0D7671F1" w14:textId="0F2C7BF5"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13FDE1A1" w14:textId="199D1176"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2CD7FE1D" w14:textId="75742294"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0AD0C413" w14:textId="753C5F0C"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6E392245"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Apr-23</w:t>
            </w:r>
          </w:p>
        </w:tc>
        <w:tc>
          <w:tcPr>
            <w:tcW w:w="2132" w:type="dxa"/>
            <w:tcBorders>
              <w:top w:val="single" w:sz="4" w:space="0" w:color="auto"/>
              <w:left w:val="single" w:sz="4" w:space="0" w:color="auto"/>
              <w:bottom w:val="single" w:sz="4" w:space="0" w:color="auto"/>
              <w:right w:val="single" w:sz="4" w:space="0" w:color="auto"/>
            </w:tcBorders>
          </w:tcPr>
          <w:p w14:paraId="20E491B0" w14:textId="27879F9A"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7BB5DC49" w14:textId="295D47AE"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28173843" w14:textId="186C19F1"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4B2AC8BD" w14:textId="1DD62135"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05FEC195"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May-23</w:t>
            </w:r>
          </w:p>
        </w:tc>
        <w:tc>
          <w:tcPr>
            <w:tcW w:w="2132" w:type="dxa"/>
            <w:tcBorders>
              <w:top w:val="single" w:sz="4" w:space="0" w:color="auto"/>
              <w:left w:val="single" w:sz="4" w:space="0" w:color="auto"/>
              <w:bottom w:val="single" w:sz="4" w:space="0" w:color="auto"/>
              <w:right w:val="single" w:sz="4" w:space="0" w:color="auto"/>
            </w:tcBorders>
          </w:tcPr>
          <w:p w14:paraId="195518D8" w14:textId="5231EA24"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70A6D448" w14:textId="3120C535"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3AC4B0F1" w14:textId="39E9BA1E"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5FAEB322" w14:textId="26C4DA5B"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363DACB"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Jun-23</w:t>
            </w:r>
          </w:p>
        </w:tc>
        <w:tc>
          <w:tcPr>
            <w:tcW w:w="2132" w:type="dxa"/>
            <w:tcBorders>
              <w:top w:val="single" w:sz="4" w:space="0" w:color="auto"/>
              <w:left w:val="single" w:sz="4" w:space="0" w:color="auto"/>
              <w:bottom w:val="single" w:sz="4" w:space="0" w:color="auto"/>
              <w:right w:val="single" w:sz="4" w:space="0" w:color="auto"/>
            </w:tcBorders>
          </w:tcPr>
          <w:p w14:paraId="68CD794E" w14:textId="553357A1"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2DB3A431" w14:textId="4CA005B7"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vAlign w:val="bottom"/>
          </w:tcPr>
          <w:p w14:paraId="68F98F80" w14:textId="01326DDF"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10D8D973" w14:textId="4903156A"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C1AF631"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Jul-23</w:t>
            </w:r>
          </w:p>
        </w:tc>
        <w:tc>
          <w:tcPr>
            <w:tcW w:w="2132" w:type="dxa"/>
            <w:tcBorders>
              <w:top w:val="single" w:sz="4" w:space="0" w:color="auto"/>
              <w:left w:val="single" w:sz="4" w:space="0" w:color="auto"/>
              <w:bottom w:val="single" w:sz="4" w:space="0" w:color="auto"/>
              <w:right w:val="single" w:sz="4" w:space="0" w:color="auto"/>
            </w:tcBorders>
          </w:tcPr>
          <w:p w14:paraId="4163A3A5" w14:textId="0D0E2000"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2689D5B9" w14:textId="77777777" w:rsidR="00737558" w:rsidRPr="00DE1BA0" w:rsidRDefault="00737558" w:rsidP="00737558">
            <w:pPr>
              <w:spacing w:before="0" w:after="0"/>
              <w:jc w:val="center"/>
              <w:rPr>
                <w:rFonts w:ascii="Arial Narrow" w:hAnsi="Arial Narrow" w:cs="Tahoma"/>
                <w:sz w:val="20"/>
                <w:szCs w:val="20"/>
              </w:rPr>
            </w:pPr>
            <w:r w:rsidRPr="00DE1BA0">
              <w:rPr>
                <w:rFonts w:ascii="Arial Narrow" w:hAnsi="Arial Narrow" w:cs="Tahoma"/>
                <w:sz w:val="20"/>
                <w:szCs w:val="20"/>
              </w:rPr>
              <w:t>No data</w:t>
            </w:r>
          </w:p>
        </w:tc>
        <w:tc>
          <w:tcPr>
            <w:tcW w:w="2268" w:type="dxa"/>
            <w:tcBorders>
              <w:top w:val="single" w:sz="4" w:space="0" w:color="auto"/>
              <w:left w:val="single" w:sz="4" w:space="0" w:color="auto"/>
              <w:bottom w:val="single" w:sz="4" w:space="0" w:color="auto"/>
              <w:right w:val="single" w:sz="4" w:space="0" w:color="auto"/>
            </w:tcBorders>
            <w:vAlign w:val="bottom"/>
          </w:tcPr>
          <w:p w14:paraId="16595D46" w14:textId="3367EF1C"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2219B881" w14:textId="7D5C1121"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6A1ACFF1"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Aug-23</w:t>
            </w:r>
          </w:p>
        </w:tc>
        <w:tc>
          <w:tcPr>
            <w:tcW w:w="2132" w:type="dxa"/>
            <w:tcBorders>
              <w:top w:val="single" w:sz="4" w:space="0" w:color="auto"/>
              <w:left w:val="single" w:sz="4" w:space="0" w:color="auto"/>
              <w:bottom w:val="single" w:sz="4" w:space="0" w:color="auto"/>
              <w:right w:val="single" w:sz="4" w:space="0" w:color="auto"/>
            </w:tcBorders>
          </w:tcPr>
          <w:p w14:paraId="21A82F1D" w14:textId="7DF69915"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4C2427DA" w14:textId="77777777" w:rsidR="00737558" w:rsidRPr="00DE1BA0" w:rsidRDefault="00737558" w:rsidP="00737558">
            <w:pPr>
              <w:spacing w:before="0" w:after="0"/>
              <w:jc w:val="center"/>
              <w:rPr>
                <w:rFonts w:ascii="Arial Narrow" w:hAnsi="Arial Narrow" w:cs="Tahoma"/>
                <w:sz w:val="20"/>
                <w:szCs w:val="20"/>
              </w:rPr>
            </w:pPr>
            <w:r w:rsidRPr="00DE1BA0">
              <w:rPr>
                <w:rFonts w:ascii="Arial Narrow" w:hAnsi="Arial Narrow" w:cs="Tahoma"/>
                <w:sz w:val="20"/>
                <w:szCs w:val="20"/>
              </w:rPr>
              <w:t>No data</w:t>
            </w:r>
          </w:p>
        </w:tc>
        <w:tc>
          <w:tcPr>
            <w:tcW w:w="2268" w:type="dxa"/>
            <w:tcBorders>
              <w:top w:val="single" w:sz="4" w:space="0" w:color="auto"/>
              <w:left w:val="single" w:sz="4" w:space="0" w:color="auto"/>
              <w:bottom w:val="single" w:sz="4" w:space="0" w:color="auto"/>
              <w:right w:val="single" w:sz="4" w:space="0" w:color="auto"/>
            </w:tcBorders>
            <w:vAlign w:val="bottom"/>
          </w:tcPr>
          <w:p w14:paraId="500A22DD" w14:textId="24AD8CA8"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17BFB5BF" w14:textId="2FE84623"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4FC7EC54"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Sep-23</w:t>
            </w:r>
          </w:p>
        </w:tc>
        <w:tc>
          <w:tcPr>
            <w:tcW w:w="2132" w:type="dxa"/>
            <w:tcBorders>
              <w:top w:val="single" w:sz="4" w:space="0" w:color="auto"/>
              <w:left w:val="single" w:sz="4" w:space="0" w:color="auto"/>
              <w:bottom w:val="single" w:sz="4" w:space="0" w:color="auto"/>
              <w:right w:val="single" w:sz="4" w:space="0" w:color="auto"/>
            </w:tcBorders>
          </w:tcPr>
          <w:p w14:paraId="43C22696" w14:textId="624E080B"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0A4F1AB1" w14:textId="77777777" w:rsidR="00737558" w:rsidRPr="00DE1BA0" w:rsidRDefault="00737558" w:rsidP="00737558">
            <w:pPr>
              <w:spacing w:before="0" w:after="0"/>
              <w:jc w:val="center"/>
              <w:rPr>
                <w:rFonts w:ascii="Arial Narrow" w:hAnsi="Arial Narrow" w:cs="Tahoma"/>
                <w:sz w:val="20"/>
                <w:szCs w:val="20"/>
              </w:rPr>
            </w:pPr>
            <w:r w:rsidRPr="00DE1BA0">
              <w:rPr>
                <w:rFonts w:ascii="Arial Narrow" w:hAnsi="Arial Narrow" w:cs="Tahoma"/>
                <w:sz w:val="20"/>
                <w:szCs w:val="20"/>
              </w:rPr>
              <w:t>No data</w:t>
            </w:r>
          </w:p>
        </w:tc>
        <w:tc>
          <w:tcPr>
            <w:tcW w:w="2268" w:type="dxa"/>
            <w:tcBorders>
              <w:top w:val="single" w:sz="4" w:space="0" w:color="auto"/>
              <w:left w:val="single" w:sz="4" w:space="0" w:color="auto"/>
              <w:bottom w:val="single" w:sz="4" w:space="0" w:color="auto"/>
              <w:right w:val="single" w:sz="4" w:space="0" w:color="auto"/>
            </w:tcBorders>
            <w:vAlign w:val="bottom"/>
          </w:tcPr>
          <w:p w14:paraId="7CD77BFC" w14:textId="6CC3F50D" w:rsidR="00737558" w:rsidRPr="00DE1BA0" w:rsidRDefault="00206A14" w:rsidP="00737558">
            <w:pPr>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1F7B09">
              <w:rPr>
                <w:rFonts w:ascii="Arial Narrow" w:eastAsiaTheme="minorHAnsi" w:hAnsi="Arial Narrow" w:cs="Tahoma"/>
                <w:sz w:val="18"/>
                <w:szCs w:val="18"/>
                <w:vertAlign w:val="superscript"/>
                <w:lang w:eastAsia="en-US"/>
              </w:rPr>
              <w:t>1</w:t>
            </w:r>
          </w:p>
        </w:tc>
      </w:tr>
      <w:tr w:rsidR="00737558" w:rsidRPr="00BD19A7" w14:paraId="17DC813E" w14:textId="71BC797D" w:rsidTr="002F1136">
        <w:trPr>
          <w:cnfStyle w:val="100000000000" w:firstRow="1" w:lastRow="0" w:firstColumn="0" w:lastColumn="0" w:oddVBand="0" w:evenVBand="0" w:oddHBand="0" w:evenHBand="0" w:firstRowFirstColumn="0" w:firstRowLastColumn="0" w:lastRowFirstColumn="0" w:lastRowLastColumn="0"/>
        </w:trPr>
        <w:tc>
          <w:tcPr>
            <w:tcW w:w="2253" w:type="dxa"/>
            <w:gridSpan w:val="2"/>
            <w:tcBorders>
              <w:top w:val="single" w:sz="4" w:space="0" w:color="auto"/>
              <w:left w:val="single" w:sz="4" w:space="0" w:color="auto"/>
              <w:bottom w:val="single" w:sz="4" w:space="0" w:color="auto"/>
              <w:right w:val="single" w:sz="4" w:space="0" w:color="auto"/>
            </w:tcBorders>
          </w:tcPr>
          <w:p w14:paraId="30AC11C4"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Total</w:t>
            </w:r>
          </w:p>
        </w:tc>
        <w:tc>
          <w:tcPr>
            <w:tcW w:w="2132" w:type="dxa"/>
            <w:tcBorders>
              <w:top w:val="single" w:sz="4" w:space="0" w:color="auto"/>
              <w:left w:val="single" w:sz="4" w:space="0" w:color="auto"/>
              <w:bottom w:val="single" w:sz="4" w:space="0" w:color="auto"/>
              <w:right w:val="single" w:sz="4" w:space="0" w:color="auto"/>
            </w:tcBorders>
          </w:tcPr>
          <w:p w14:paraId="54325A94" w14:textId="6B05CBE6" w:rsidR="00737558" w:rsidRPr="00DE1BA0" w:rsidRDefault="00206A14" w:rsidP="00737558">
            <w:pPr>
              <w:spacing w:before="0" w:after="0"/>
              <w:jc w:val="center"/>
              <w:rPr>
                <w:rFonts w:ascii="Arial Narrow" w:hAnsi="Arial Narrow" w:cs="Tahoma"/>
                <w:sz w:val="20"/>
                <w:szCs w:val="20"/>
                <w:highlight w:val="darkGray"/>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p>
        </w:tc>
        <w:tc>
          <w:tcPr>
            <w:tcW w:w="2268" w:type="dxa"/>
            <w:tcBorders>
              <w:top w:val="single" w:sz="4" w:space="0" w:color="auto"/>
              <w:left w:val="single" w:sz="4" w:space="0" w:color="auto"/>
              <w:bottom w:val="single" w:sz="4" w:space="0" w:color="auto"/>
              <w:right w:val="single" w:sz="4" w:space="0" w:color="auto"/>
            </w:tcBorders>
          </w:tcPr>
          <w:p w14:paraId="2AC9B975" w14:textId="1FF9AAFE" w:rsidR="00737558" w:rsidRPr="003062B2" w:rsidRDefault="00206A14" w:rsidP="00737558">
            <w:pPr>
              <w:spacing w:before="0" w:after="0"/>
              <w:jc w:val="center"/>
              <w:rPr>
                <w:rFonts w:ascii="Arial Narrow" w:hAnsi="Arial Narrow" w:cs="Tahoma"/>
                <w:sz w:val="20"/>
                <w:szCs w:val="20"/>
                <w:highlight w:val="yellow"/>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2</w:t>
            </w:r>
          </w:p>
        </w:tc>
        <w:tc>
          <w:tcPr>
            <w:tcW w:w="2268" w:type="dxa"/>
            <w:tcBorders>
              <w:top w:val="single" w:sz="4" w:space="0" w:color="auto"/>
              <w:left w:val="single" w:sz="4" w:space="0" w:color="auto"/>
              <w:bottom w:val="single" w:sz="4" w:space="0" w:color="auto"/>
              <w:right w:val="single" w:sz="4" w:space="0" w:color="auto"/>
            </w:tcBorders>
            <w:vAlign w:val="bottom"/>
          </w:tcPr>
          <w:p w14:paraId="668DB5DB" w14:textId="54F0B859" w:rsidR="00737558" w:rsidRPr="003062B2" w:rsidRDefault="00206A14" w:rsidP="00737558">
            <w:pPr>
              <w:jc w:val="center"/>
              <w:rPr>
                <w:rFonts w:ascii="Arial Narrow" w:hAnsi="Arial Narrow" w:cs="Tahoma"/>
                <w:sz w:val="20"/>
                <w:szCs w:val="20"/>
                <w:highlight w:val="yellow"/>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2</w:t>
            </w:r>
          </w:p>
        </w:tc>
      </w:tr>
      <w:tr w:rsidR="00737558" w:rsidRPr="00BD19A7" w14:paraId="34508481" w14:textId="65867FBA" w:rsidTr="002F1136">
        <w:trPr>
          <w:cnfStyle w:val="100000000000" w:firstRow="1" w:lastRow="0" w:firstColumn="0" w:lastColumn="0" w:oddVBand="0" w:evenVBand="0" w:oddHBand="0" w:evenHBand="0" w:firstRowFirstColumn="0" w:firstRowLastColumn="0" w:lastRowFirstColumn="0" w:lastRowLastColumn="0"/>
        </w:trPr>
        <w:tc>
          <w:tcPr>
            <w:tcW w:w="2243" w:type="dxa"/>
            <w:tcBorders>
              <w:top w:val="single" w:sz="4" w:space="0" w:color="auto"/>
              <w:left w:val="single" w:sz="4" w:space="0" w:color="auto"/>
              <w:bottom w:val="single" w:sz="4" w:space="0" w:color="auto"/>
              <w:right w:val="single" w:sz="4" w:space="0" w:color="auto"/>
            </w:tcBorders>
          </w:tcPr>
          <w:p w14:paraId="0156E2CC"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August 2021 to June 2023</w:t>
            </w:r>
          </w:p>
        </w:tc>
        <w:tc>
          <w:tcPr>
            <w:tcW w:w="4410" w:type="dxa"/>
            <w:gridSpan w:val="3"/>
            <w:tcBorders>
              <w:top w:val="single" w:sz="4" w:space="0" w:color="auto"/>
              <w:left w:val="single" w:sz="4" w:space="0" w:color="auto"/>
              <w:bottom w:val="single" w:sz="4" w:space="0" w:color="auto"/>
              <w:right w:val="single" w:sz="4" w:space="0" w:color="auto"/>
            </w:tcBorders>
          </w:tcPr>
          <w:p w14:paraId="7D475338" w14:textId="4EE47B50" w:rsidR="00737558" w:rsidRPr="00DE1BA0" w:rsidRDefault="00206A14" w:rsidP="00737558">
            <w:pPr>
              <w:spacing w:before="0" w:after="0"/>
              <w:jc w:val="center"/>
              <w:rPr>
                <w:rFonts w:ascii="Arial Narrow" w:hAnsi="Arial Narrow" w:cs="Tahoma"/>
                <w:sz w:val="20"/>
                <w:szCs w:val="20"/>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737558" w:rsidRPr="00DE1BA0">
              <w:rPr>
                <w:rFonts w:ascii="Arial Narrow" w:hAnsi="Arial Narrow" w:cs="Tahoma"/>
                <w:sz w:val="20"/>
                <w:szCs w:val="20"/>
              </w:rPr>
              <w:t>% [</w:t>
            </w: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r w:rsidR="00737558" w:rsidRPr="00DE1BA0">
              <w:rPr>
                <w:rFonts w:ascii="Arial Narrow" w:hAnsi="Arial Narrow" w:cs="Tahoma"/>
                <w:sz w:val="20"/>
                <w:szCs w:val="20"/>
              </w:rPr>
              <w:t>/</w:t>
            </w: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2</w:t>
            </w:r>
            <w:r w:rsidR="00737558" w:rsidRPr="00DE1BA0">
              <w:rPr>
                <w:rFonts w:ascii="Arial Narrow" w:hAnsi="Arial Narrow" w:cs="Tahoma"/>
                <w:sz w:val="20"/>
                <w:szCs w:val="20"/>
              </w:rPr>
              <w:t>]</w:t>
            </w:r>
          </w:p>
        </w:tc>
        <w:tc>
          <w:tcPr>
            <w:tcW w:w="2268" w:type="dxa"/>
            <w:tcBorders>
              <w:top w:val="single" w:sz="4" w:space="0" w:color="auto"/>
              <w:left w:val="single" w:sz="4" w:space="0" w:color="auto"/>
              <w:bottom w:val="single" w:sz="4" w:space="0" w:color="auto"/>
              <w:right w:val="single" w:sz="4" w:space="0" w:color="auto"/>
            </w:tcBorders>
            <w:vAlign w:val="top"/>
          </w:tcPr>
          <w:p w14:paraId="4B77AEC0" w14:textId="4824D295" w:rsidR="00737558" w:rsidRPr="00DE1BA0" w:rsidRDefault="00206A14" w:rsidP="00737558">
            <w:pPr>
              <w:jc w:val="center"/>
              <w:rPr>
                <w:rFonts w:ascii="Arial Narrow" w:hAnsi="Arial Narrow" w:cs="Tahoma"/>
                <w:sz w:val="20"/>
                <w:szCs w:val="20"/>
              </w:rPr>
            </w:pPr>
            <w:r w:rsidRPr="00206A14">
              <w:rPr>
                <w:rFonts w:ascii="Arial Narrow" w:hAnsi="Arial Narrow" w:cs="Tahoma"/>
                <w:color w:val="000000"/>
                <w:spacing w:val="87"/>
                <w:sz w:val="20"/>
                <w:szCs w:val="20"/>
                <w:shd w:val="solid" w:color="000000" w:fill="000000"/>
                <w:fitText w:val="173" w:id="-961804544"/>
                <w14:textFill>
                  <w14:solidFill>
                    <w14:srgbClr w14:val="000000">
                      <w14:alpha w14:val="100000"/>
                    </w14:srgbClr>
                  </w14:solidFill>
                </w14:textFill>
              </w:rPr>
              <w:t>|</w:t>
            </w:r>
            <w:r w:rsidRPr="00206A14">
              <w:rPr>
                <w:rFonts w:ascii="Arial Narrow" w:hAnsi="Arial Narrow" w:cs="Tahoma"/>
                <w:color w:val="000000"/>
                <w:spacing w:val="1"/>
                <w:sz w:val="20"/>
                <w:szCs w:val="20"/>
                <w:shd w:val="solid" w:color="000000" w:fill="000000"/>
                <w:fitText w:val="173" w:id="-961804544"/>
                <w14:textFill>
                  <w14:solidFill>
                    <w14:srgbClr w14:val="000000">
                      <w14:alpha w14:val="100000"/>
                    </w14:srgbClr>
                  </w14:solidFill>
                </w14:textFill>
              </w:rPr>
              <w:t>|</w:t>
            </w:r>
            <w:r w:rsidR="00737558" w:rsidRPr="00DE1BA0">
              <w:rPr>
                <w:rFonts w:ascii="Arial Narrow" w:hAnsi="Arial Narrow" w:cs="Tahoma"/>
                <w:sz w:val="20"/>
                <w:szCs w:val="20"/>
              </w:rPr>
              <w:t>% (</w:t>
            </w:r>
            <w:r w:rsidRPr="00206A14">
              <w:rPr>
                <w:rFonts w:ascii="Arial Narrow" w:hAnsi="Arial Narrow" w:cs="Tahoma" w:hint="eastAsia"/>
                <w:color w:val="000000"/>
                <w:w w:val="15"/>
                <w:sz w:val="20"/>
                <w:szCs w:val="20"/>
                <w:shd w:val="solid" w:color="000000" w:fill="000000"/>
                <w:fitText w:val="45" w:id="-961804543"/>
                <w14:textFill>
                  <w14:solidFill>
                    <w14:srgbClr w14:val="000000">
                      <w14:alpha w14:val="100000"/>
                    </w14:srgbClr>
                  </w14:solidFill>
                </w14:textFill>
              </w:rPr>
              <w:t xml:space="preserve">　</w:t>
            </w:r>
            <w:r w:rsidRPr="00206A14">
              <w:rPr>
                <w:rFonts w:ascii="Arial Narrow" w:hAnsi="Arial Narrow" w:cs="Tahoma"/>
                <w:color w:val="000000"/>
                <w:w w:val="15"/>
                <w:sz w:val="20"/>
                <w:szCs w:val="20"/>
                <w:shd w:val="solid" w:color="000000" w:fill="000000"/>
                <w:fitText w:val="45" w:id="-961804543"/>
                <w14:textFill>
                  <w14:solidFill>
                    <w14:srgbClr w14:val="000000">
                      <w14:alpha w14:val="100000"/>
                    </w14:srgbClr>
                  </w14:solidFill>
                </w14:textFill>
              </w:rPr>
              <w:t>|</w:t>
            </w:r>
            <w:r w:rsidRPr="00206A14">
              <w:rPr>
                <w:rFonts w:ascii="Arial Narrow" w:hAnsi="Arial Narrow" w:cs="Tahoma" w:hint="eastAsia"/>
                <w:color w:val="000000"/>
                <w:spacing w:val="-20"/>
                <w:w w:val="15"/>
                <w:sz w:val="20"/>
                <w:szCs w:val="20"/>
                <w:shd w:val="solid" w:color="000000" w:fill="000000"/>
                <w:fitText w:val="45" w:id="-961804543"/>
                <w14:textFill>
                  <w14:solidFill>
                    <w14:srgbClr w14:val="000000">
                      <w14:alpha w14:val="100000"/>
                    </w14:srgbClr>
                  </w14:solidFill>
                </w14:textFill>
              </w:rPr>
              <w:t xml:space="preserve">　</w:t>
            </w:r>
            <w:r w:rsidR="00DE1BA0">
              <w:rPr>
                <w:rFonts w:ascii="Arial Narrow" w:eastAsiaTheme="minorHAnsi" w:hAnsi="Arial Narrow" w:cs="Tahoma"/>
                <w:sz w:val="18"/>
                <w:szCs w:val="18"/>
                <w:vertAlign w:val="superscript"/>
                <w:lang w:eastAsia="en-US"/>
              </w:rPr>
              <w:t>1</w:t>
            </w:r>
            <w:r w:rsidR="00737558" w:rsidRPr="00DE1BA0">
              <w:rPr>
                <w:rFonts w:ascii="Arial Narrow" w:hAnsi="Arial Narrow" w:cs="Tahoma"/>
                <w:sz w:val="20"/>
                <w:szCs w:val="20"/>
              </w:rPr>
              <w:t>/</w:t>
            </w: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2</w:t>
            </w:r>
            <w:r w:rsidR="00737558" w:rsidRPr="00DE1BA0">
              <w:rPr>
                <w:rFonts w:ascii="Arial Narrow" w:hAnsi="Arial Narrow" w:cs="Tahoma"/>
                <w:sz w:val="20"/>
                <w:szCs w:val="20"/>
              </w:rPr>
              <w:t>)</w:t>
            </w:r>
          </w:p>
        </w:tc>
      </w:tr>
      <w:tr w:rsidR="00737558" w:rsidRPr="00BD19A7" w14:paraId="6BC5FF53" w14:textId="4977DDFB" w:rsidTr="002F1136">
        <w:trPr>
          <w:cnfStyle w:val="100000000000" w:firstRow="1" w:lastRow="0" w:firstColumn="0" w:lastColumn="0" w:oddVBand="0" w:evenVBand="0" w:oddHBand="0" w:evenHBand="0" w:firstRowFirstColumn="0" w:firstRowLastColumn="0" w:lastRowFirstColumn="0" w:lastRowLastColumn="0"/>
        </w:trPr>
        <w:tc>
          <w:tcPr>
            <w:tcW w:w="2243" w:type="dxa"/>
            <w:tcBorders>
              <w:top w:val="single" w:sz="4" w:space="0" w:color="auto"/>
              <w:left w:val="single" w:sz="4" w:space="0" w:color="auto"/>
              <w:bottom w:val="single" w:sz="4" w:space="0" w:color="auto"/>
              <w:right w:val="single" w:sz="4" w:space="0" w:color="auto"/>
            </w:tcBorders>
          </w:tcPr>
          <w:p w14:paraId="0FF8234E" w14:textId="77777777" w:rsidR="00737558" w:rsidRPr="00BD19A7" w:rsidRDefault="00737558" w:rsidP="00737558">
            <w:pPr>
              <w:spacing w:before="0" w:after="0"/>
              <w:jc w:val="center"/>
              <w:rPr>
                <w:rFonts w:ascii="Arial Narrow" w:hAnsi="Arial Narrow" w:cs="Tahoma"/>
                <w:sz w:val="20"/>
                <w:szCs w:val="20"/>
              </w:rPr>
            </w:pPr>
            <w:r w:rsidRPr="00BD19A7">
              <w:rPr>
                <w:rFonts w:ascii="Arial Narrow" w:hAnsi="Arial Narrow" w:cs="Tahoma"/>
                <w:sz w:val="20"/>
                <w:szCs w:val="20"/>
              </w:rPr>
              <w:t>July 2022 to June 2023</w:t>
            </w:r>
          </w:p>
        </w:tc>
        <w:tc>
          <w:tcPr>
            <w:tcW w:w="4410" w:type="dxa"/>
            <w:gridSpan w:val="3"/>
            <w:tcBorders>
              <w:top w:val="single" w:sz="4" w:space="0" w:color="auto"/>
              <w:left w:val="single" w:sz="4" w:space="0" w:color="auto"/>
              <w:bottom w:val="single" w:sz="4" w:space="0" w:color="auto"/>
              <w:right w:val="single" w:sz="4" w:space="0" w:color="auto"/>
            </w:tcBorders>
          </w:tcPr>
          <w:p w14:paraId="3D6F2407" w14:textId="78127AA3" w:rsidR="00737558" w:rsidRPr="00DE1BA0" w:rsidRDefault="00206A14" w:rsidP="00737558">
            <w:pPr>
              <w:spacing w:before="0" w:after="0"/>
              <w:jc w:val="center"/>
              <w:rPr>
                <w:rFonts w:ascii="Arial Narrow" w:hAnsi="Arial Narrow" w:cs="Tahoma"/>
                <w:sz w:val="20"/>
                <w:szCs w:val="20"/>
              </w:rPr>
            </w:pP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737558" w:rsidRPr="00DE1BA0">
              <w:rPr>
                <w:rFonts w:ascii="Arial Narrow" w:hAnsi="Arial Narrow" w:cs="Tahoma"/>
                <w:sz w:val="20"/>
                <w:szCs w:val="20"/>
              </w:rPr>
              <w:t>% [</w:t>
            </w: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r w:rsidR="00737558" w:rsidRPr="00DE1BA0">
              <w:rPr>
                <w:rFonts w:ascii="Arial Narrow" w:hAnsi="Arial Narrow" w:cs="Tahoma"/>
                <w:sz w:val="20"/>
                <w:szCs w:val="20"/>
              </w:rPr>
              <w:t>/</w:t>
            </w: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r w:rsidR="00737558" w:rsidRPr="00DE1BA0">
              <w:rPr>
                <w:rFonts w:ascii="Arial Narrow" w:hAnsi="Arial Narrow" w:cs="Tahoma"/>
                <w:sz w:val="20"/>
                <w:szCs w:val="20"/>
              </w:rPr>
              <w:t>]</w:t>
            </w:r>
          </w:p>
        </w:tc>
        <w:tc>
          <w:tcPr>
            <w:tcW w:w="2268" w:type="dxa"/>
            <w:tcBorders>
              <w:top w:val="single" w:sz="4" w:space="0" w:color="auto"/>
              <w:left w:val="single" w:sz="4" w:space="0" w:color="auto"/>
              <w:bottom w:val="single" w:sz="4" w:space="0" w:color="auto"/>
              <w:right w:val="single" w:sz="4" w:space="0" w:color="auto"/>
            </w:tcBorders>
            <w:vAlign w:val="top"/>
          </w:tcPr>
          <w:p w14:paraId="0B130F31" w14:textId="20D67CD9" w:rsidR="00737558" w:rsidRPr="00DE1BA0" w:rsidRDefault="00206A14" w:rsidP="00737558">
            <w:pPr>
              <w:jc w:val="center"/>
              <w:rPr>
                <w:rFonts w:ascii="Arial Narrow" w:hAnsi="Arial Narrow" w:cs="Tahoma"/>
                <w:sz w:val="20"/>
                <w:szCs w:val="20"/>
              </w:rPr>
            </w:pPr>
            <w:r w:rsidRPr="00206A14">
              <w:rPr>
                <w:rFonts w:ascii="Arial Narrow" w:hAnsi="Arial Narrow" w:cs="Tahoma"/>
                <w:color w:val="000000"/>
                <w:spacing w:val="87"/>
                <w:sz w:val="20"/>
                <w:szCs w:val="20"/>
                <w:shd w:val="solid" w:color="000000" w:fill="000000"/>
                <w:fitText w:val="173" w:id="-961804542"/>
                <w14:textFill>
                  <w14:solidFill>
                    <w14:srgbClr w14:val="000000">
                      <w14:alpha w14:val="100000"/>
                    </w14:srgbClr>
                  </w14:solidFill>
                </w14:textFill>
              </w:rPr>
              <w:t>|</w:t>
            </w:r>
            <w:r w:rsidRPr="00206A14">
              <w:rPr>
                <w:rFonts w:ascii="Arial Narrow" w:hAnsi="Arial Narrow" w:cs="Tahoma"/>
                <w:color w:val="000000"/>
                <w:spacing w:val="1"/>
                <w:sz w:val="20"/>
                <w:szCs w:val="20"/>
                <w:shd w:val="solid" w:color="000000" w:fill="000000"/>
                <w:fitText w:val="173" w:id="-961804542"/>
                <w14:textFill>
                  <w14:solidFill>
                    <w14:srgbClr w14:val="000000">
                      <w14:alpha w14:val="100000"/>
                    </w14:srgbClr>
                  </w14:solidFill>
                </w14:textFill>
              </w:rPr>
              <w:t>|</w:t>
            </w:r>
            <w:r w:rsidR="00737558" w:rsidRPr="00DE1BA0">
              <w:rPr>
                <w:rFonts w:ascii="Arial Narrow" w:hAnsi="Arial Narrow" w:cs="Tahoma"/>
                <w:sz w:val="20"/>
                <w:szCs w:val="20"/>
              </w:rPr>
              <w:t>% (</w:t>
            </w:r>
            <w:r w:rsidRPr="00206A14">
              <w:rPr>
                <w:rFonts w:ascii="Arial Narrow" w:hAnsi="Arial Narrow" w:cs="Tahoma" w:hint="eastAsia"/>
                <w:color w:val="000000"/>
                <w:w w:val="15"/>
                <w:sz w:val="20"/>
                <w:szCs w:val="20"/>
                <w:shd w:val="solid" w:color="000000" w:fill="000000"/>
                <w:fitText w:val="45" w:id="-961804541"/>
                <w14:textFill>
                  <w14:solidFill>
                    <w14:srgbClr w14:val="000000">
                      <w14:alpha w14:val="100000"/>
                    </w14:srgbClr>
                  </w14:solidFill>
                </w14:textFill>
              </w:rPr>
              <w:t xml:space="preserve">　</w:t>
            </w:r>
            <w:r w:rsidRPr="00206A14">
              <w:rPr>
                <w:rFonts w:ascii="Arial Narrow" w:hAnsi="Arial Narrow" w:cs="Tahoma"/>
                <w:color w:val="000000"/>
                <w:w w:val="15"/>
                <w:sz w:val="20"/>
                <w:szCs w:val="20"/>
                <w:shd w:val="solid" w:color="000000" w:fill="000000"/>
                <w:fitText w:val="45" w:id="-961804541"/>
                <w14:textFill>
                  <w14:solidFill>
                    <w14:srgbClr w14:val="000000">
                      <w14:alpha w14:val="100000"/>
                    </w14:srgbClr>
                  </w14:solidFill>
                </w14:textFill>
              </w:rPr>
              <w:t>|</w:t>
            </w:r>
            <w:r w:rsidRPr="00206A14">
              <w:rPr>
                <w:rFonts w:ascii="Arial Narrow" w:hAnsi="Arial Narrow" w:cs="Tahoma" w:hint="eastAsia"/>
                <w:color w:val="000000"/>
                <w:spacing w:val="-20"/>
                <w:w w:val="15"/>
                <w:sz w:val="20"/>
                <w:szCs w:val="20"/>
                <w:shd w:val="solid" w:color="000000" w:fill="000000"/>
                <w:fitText w:val="45" w:id="-961804541"/>
                <w14:textFill>
                  <w14:solidFill>
                    <w14:srgbClr w14:val="000000">
                      <w14:alpha w14:val="100000"/>
                    </w14:srgbClr>
                  </w14:solidFill>
                </w14:textFill>
              </w:rPr>
              <w:t xml:space="preserve">　</w:t>
            </w:r>
            <w:r w:rsidR="00DE1BA0">
              <w:rPr>
                <w:rFonts w:ascii="Arial Narrow" w:eastAsiaTheme="minorHAnsi" w:hAnsi="Arial Narrow" w:cs="Tahoma"/>
                <w:sz w:val="18"/>
                <w:szCs w:val="18"/>
                <w:vertAlign w:val="superscript"/>
                <w:lang w:eastAsia="en-US"/>
              </w:rPr>
              <w:t>1</w:t>
            </w:r>
            <w:r w:rsidR="00737558" w:rsidRPr="00DE1BA0">
              <w:rPr>
                <w:rFonts w:ascii="Arial Narrow" w:hAnsi="Arial Narrow" w:cs="Tahoma"/>
                <w:sz w:val="20"/>
                <w:szCs w:val="20"/>
              </w:rPr>
              <w:t>/</w:t>
            </w:r>
            <w:r w:rsidRPr="00206A14">
              <w:rPr>
                <w:rFonts w:ascii="Arial Narrow" w:hAnsi="Arial Narrow" w:cs="Tahoma"/>
                <w:color w:val="000000"/>
                <w:sz w:val="20"/>
                <w:szCs w:val="20"/>
                <w:shd w:val="solid" w:color="000000" w:fill="000000"/>
                <w14:textFill>
                  <w14:solidFill>
                    <w14:srgbClr w14:val="000000">
                      <w14:alpha w14:val="100000"/>
                    </w14:srgbClr>
                  </w14:solidFill>
                </w14:textFill>
              </w:rPr>
              <w:t>|</w:t>
            </w:r>
            <w:r w:rsidR="00DE1BA0">
              <w:rPr>
                <w:rFonts w:ascii="Arial Narrow" w:eastAsiaTheme="minorHAnsi" w:hAnsi="Arial Narrow" w:cs="Tahoma"/>
                <w:sz w:val="18"/>
                <w:szCs w:val="18"/>
                <w:vertAlign w:val="superscript"/>
                <w:lang w:eastAsia="en-US"/>
              </w:rPr>
              <w:t>1</w:t>
            </w:r>
            <w:r w:rsidR="00737558" w:rsidRPr="00DE1BA0">
              <w:rPr>
                <w:rFonts w:ascii="Arial Narrow" w:hAnsi="Arial Narrow" w:cs="Tahoma"/>
                <w:sz w:val="20"/>
                <w:szCs w:val="20"/>
              </w:rPr>
              <w:t>)</w:t>
            </w:r>
          </w:p>
        </w:tc>
      </w:tr>
    </w:tbl>
    <w:p w14:paraId="25E10ABD" w14:textId="71188659" w:rsidR="006F4717" w:rsidRDefault="006F4717" w:rsidP="00547B4E">
      <w:pPr>
        <w:rPr>
          <w:rFonts w:ascii="Arial Narrow" w:eastAsiaTheme="minorHAnsi" w:hAnsi="Arial Narrow" w:cs="Tahoma"/>
          <w:sz w:val="18"/>
          <w:szCs w:val="18"/>
          <w:lang w:eastAsia="en-US"/>
        </w:rPr>
      </w:pPr>
      <w:r w:rsidRPr="00BD19A7">
        <w:rPr>
          <w:rFonts w:ascii="Arial Narrow" w:eastAsiaTheme="minorHAnsi" w:hAnsi="Arial Narrow" w:cs="Tahoma"/>
          <w:sz w:val="18"/>
          <w:szCs w:val="18"/>
          <w:lang w:eastAsia="en-US"/>
        </w:rPr>
        <w:t>Source: Entyvio (vedolizumab) - CD - CMA.xlsx</w:t>
      </w:r>
      <w:r w:rsidR="003E25DC" w:rsidRPr="00BD19A7">
        <w:rPr>
          <w:rFonts w:ascii="Arial Narrow" w:eastAsiaTheme="minorHAnsi" w:hAnsi="Arial Narrow" w:cs="Tahoma"/>
          <w:sz w:val="18"/>
          <w:szCs w:val="18"/>
          <w:lang w:eastAsia="en-US"/>
        </w:rPr>
        <w:t xml:space="preserve">; </w:t>
      </w:r>
      <w:r w:rsidR="00FE2482" w:rsidRPr="00BD19A7">
        <w:rPr>
          <w:rFonts w:ascii="Arial Narrow" w:eastAsiaTheme="minorHAnsi" w:hAnsi="Arial Narrow" w:cs="Tahoma"/>
          <w:sz w:val="18"/>
          <w:szCs w:val="18"/>
          <w:lang w:eastAsia="en-US"/>
        </w:rPr>
        <w:t xml:space="preserve">Evaluation </w:t>
      </w:r>
      <w:r w:rsidR="003E25DC" w:rsidRPr="00BD19A7">
        <w:rPr>
          <w:rFonts w:ascii="Arial Narrow" w:eastAsiaTheme="minorHAnsi" w:hAnsi="Arial Narrow" w:cs="Tahoma"/>
          <w:sz w:val="18"/>
          <w:szCs w:val="18"/>
          <w:lang w:eastAsia="en-US"/>
        </w:rPr>
        <w:t>sourced patient data</w:t>
      </w:r>
    </w:p>
    <w:p w14:paraId="28FB909B" w14:textId="4A89BBF4" w:rsidR="00DE1BA0" w:rsidRPr="00DE1BA0" w:rsidRDefault="00DE1BA0" w:rsidP="00547B4E">
      <w:pPr>
        <w:rPr>
          <w:rFonts w:ascii="Arial Narrow" w:eastAsiaTheme="minorHAnsi" w:hAnsi="Arial Narrow" w:cs="Tahoma"/>
          <w:i/>
          <w:iCs/>
          <w:sz w:val="18"/>
          <w:szCs w:val="18"/>
          <w:lang w:eastAsia="en-US"/>
        </w:rPr>
      </w:pPr>
      <w:r w:rsidRPr="00DE1BA0">
        <w:rPr>
          <w:rFonts w:ascii="Arial Narrow" w:eastAsiaTheme="minorHAnsi" w:hAnsi="Arial Narrow" w:cs="Tahoma"/>
          <w:i/>
          <w:iCs/>
          <w:sz w:val="18"/>
          <w:szCs w:val="18"/>
          <w:lang w:eastAsia="en-US"/>
        </w:rPr>
        <w:t>The redacted values correspond to the following ranges:</w:t>
      </w:r>
    </w:p>
    <w:p w14:paraId="580063A0" w14:textId="60D54112" w:rsidR="00DE1BA0" w:rsidRPr="00DE1BA0" w:rsidRDefault="00DE1BA0" w:rsidP="00547B4E">
      <w:pPr>
        <w:rPr>
          <w:rFonts w:ascii="Arial Narrow" w:eastAsiaTheme="minorHAnsi" w:hAnsi="Arial Narrow" w:cs="Tahoma"/>
          <w:i/>
          <w:iCs/>
          <w:sz w:val="18"/>
          <w:szCs w:val="18"/>
          <w:lang w:eastAsia="en-US"/>
        </w:rPr>
      </w:pPr>
      <w:r w:rsidRPr="00DE1BA0">
        <w:rPr>
          <w:rFonts w:ascii="Arial Narrow" w:eastAsiaTheme="minorHAnsi" w:hAnsi="Arial Narrow" w:cs="Tahoma"/>
          <w:i/>
          <w:iCs/>
          <w:sz w:val="18"/>
          <w:szCs w:val="18"/>
          <w:vertAlign w:val="superscript"/>
          <w:lang w:eastAsia="en-US"/>
        </w:rPr>
        <w:t>1</w:t>
      </w:r>
      <w:r w:rsidRPr="00DE1BA0">
        <w:rPr>
          <w:rFonts w:ascii="Arial Narrow" w:eastAsiaTheme="minorHAnsi" w:hAnsi="Arial Narrow" w:cs="Tahoma"/>
          <w:i/>
          <w:iCs/>
          <w:sz w:val="18"/>
          <w:szCs w:val="18"/>
          <w:lang w:eastAsia="en-US"/>
        </w:rPr>
        <w:t xml:space="preserve"> &lt; 500</w:t>
      </w:r>
    </w:p>
    <w:p w14:paraId="1CE70A07" w14:textId="653E43C1" w:rsidR="00DE1BA0" w:rsidRPr="00DE1BA0" w:rsidRDefault="00DE1BA0" w:rsidP="00547B4E">
      <w:pPr>
        <w:spacing w:after="120"/>
        <w:rPr>
          <w:rFonts w:ascii="Arial Narrow" w:eastAsiaTheme="minorHAnsi" w:hAnsi="Arial Narrow" w:cs="Tahoma"/>
          <w:i/>
          <w:iCs/>
          <w:sz w:val="18"/>
          <w:szCs w:val="18"/>
          <w:lang w:eastAsia="en-US"/>
        </w:rPr>
      </w:pPr>
      <w:r w:rsidRPr="00DE1BA0">
        <w:rPr>
          <w:rFonts w:ascii="Arial Narrow" w:eastAsiaTheme="minorHAnsi" w:hAnsi="Arial Narrow" w:cs="Tahoma"/>
          <w:i/>
          <w:iCs/>
          <w:sz w:val="18"/>
          <w:szCs w:val="18"/>
          <w:vertAlign w:val="superscript"/>
          <w:lang w:eastAsia="en-US"/>
        </w:rPr>
        <w:t>2</w:t>
      </w:r>
      <w:r w:rsidRPr="00DE1BA0">
        <w:rPr>
          <w:rFonts w:ascii="Arial Narrow" w:eastAsiaTheme="minorHAnsi" w:hAnsi="Arial Narrow" w:cs="Tahoma"/>
          <w:i/>
          <w:iCs/>
          <w:sz w:val="18"/>
          <w:szCs w:val="18"/>
          <w:lang w:eastAsia="en-US"/>
        </w:rPr>
        <w:t xml:space="preserve"> 500 to &lt; 1,000</w:t>
      </w:r>
    </w:p>
    <w:p w14:paraId="4565CA9A" w14:textId="1B232A2F" w:rsidR="006F4717" w:rsidRPr="00BD19A7" w:rsidRDefault="006F4717" w:rsidP="006F4717">
      <w:pPr>
        <w:pStyle w:val="3-BodyText"/>
      </w:pPr>
      <w:bookmarkStart w:id="56" w:name="_Ref156816904"/>
      <w:r w:rsidRPr="00BD19A7">
        <w:t xml:space="preserve">The submission concluded that </w:t>
      </w:r>
      <w:r w:rsidR="0059070B" w:rsidRPr="00BD19A7">
        <w:t xml:space="preserve">these </w:t>
      </w:r>
      <w:r w:rsidRPr="00BD19A7">
        <w:t xml:space="preserve">data together with the total number of patients who newly commence treatment with vedolizumab from the </w:t>
      </w:r>
      <w:r w:rsidR="005F1441" w:rsidRPr="00BD19A7">
        <w:t>10%</w:t>
      </w:r>
      <w:r w:rsidRPr="00BD19A7">
        <w:t xml:space="preserve"> sample data show that </w:t>
      </w:r>
      <w:r w:rsidR="00206A14" w:rsidRPr="007B0FCD">
        <w:rPr>
          <w:color w:val="000000"/>
          <w:w w:val="15"/>
          <w:shd w:val="solid" w:color="000000" w:fill="000000"/>
          <w:fitText w:val="-20" w:id="-961804540"/>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540"/>
          <w14:textFill>
            <w14:solidFill>
              <w14:srgbClr w14:val="000000">
                <w14:alpha w14:val="100000"/>
              </w14:srgbClr>
            </w14:solidFill>
          </w14:textFill>
        </w:rPr>
        <w:t>|</w:t>
      </w:r>
      <w:r w:rsidRPr="00BD19A7">
        <w:t>% of patients required an additional dose of vedolizumab at Week</w:t>
      </w:r>
      <w:r w:rsidR="00FA6A63" w:rsidRPr="00BD19A7">
        <w:t> </w:t>
      </w:r>
      <w:r w:rsidRPr="00BD19A7">
        <w:t xml:space="preserve">10 in the most recent 12-month period (July 2022 to June 2023). </w:t>
      </w:r>
      <w:r w:rsidR="00AF2FB6" w:rsidRPr="00BD19A7">
        <w:t>The evaluation noted t</w:t>
      </w:r>
      <w:r w:rsidR="003B6CCA" w:rsidRPr="00BD19A7">
        <w:t>he percentage was calculated based on the number of patients</w:t>
      </w:r>
      <w:r w:rsidR="00FA6A63" w:rsidRPr="00BD19A7">
        <w:t xml:space="preserve"> to whom</w:t>
      </w:r>
      <w:r w:rsidR="003B6CCA" w:rsidRPr="00BD19A7">
        <w:t xml:space="preserve"> the sponsor claimed it has supplied an additional week 10 dose under its patient access program. No evidence was supplied to enable validation of this </w:t>
      </w:r>
      <w:r w:rsidR="00D74127" w:rsidRPr="00BD19A7">
        <w:t xml:space="preserve">patient </w:t>
      </w:r>
      <w:r w:rsidR="003B6CCA" w:rsidRPr="00BD19A7">
        <w:t xml:space="preserve">number. No information was supplied as to the criteria used by the sponsor in assessing applications for the patient access program or whether the patients receiving the week 10 dose went on </w:t>
      </w:r>
      <w:r w:rsidR="003B6CCA" w:rsidRPr="00BD19A7">
        <w:lastRenderedPageBreak/>
        <w:t xml:space="preserve">to achieve a clinical response sufficient to enable them to access vedolizumab under the continuing PBS restriction. </w:t>
      </w:r>
      <w:r w:rsidR="00070F4F" w:rsidRPr="00BD19A7">
        <w:t xml:space="preserve">No information was provided as to whether any applications to the patient access program for the week 10 dose were rejected by the sponsor based on any eligibility criteria. It is therefore unclear if there </w:t>
      </w:r>
      <w:r w:rsidR="00FC568E" w:rsidRPr="00BD19A7">
        <w:t>are any</w:t>
      </w:r>
      <w:r w:rsidR="00070F4F" w:rsidRPr="00BD19A7">
        <w:t xml:space="preserve"> patients who did not achieve response by week 10 </w:t>
      </w:r>
      <w:r w:rsidR="00FC568E" w:rsidRPr="00BD19A7">
        <w:t xml:space="preserve">and </w:t>
      </w:r>
      <w:r w:rsidR="00070F4F" w:rsidRPr="00BD19A7">
        <w:t xml:space="preserve">were ineligible under the sponsor program who may be eligible under the proposed listing or vice versa (eligible under sponsor program but ineligible under </w:t>
      </w:r>
      <w:r w:rsidR="006807E2" w:rsidRPr="00BD19A7">
        <w:t xml:space="preserve">the </w:t>
      </w:r>
      <w:r w:rsidR="00070F4F" w:rsidRPr="00BD19A7">
        <w:t>proposed PBS listing).</w:t>
      </w:r>
      <w:bookmarkEnd w:id="56"/>
    </w:p>
    <w:p w14:paraId="5B53B812" w14:textId="7B87984B" w:rsidR="00B9002F" w:rsidRPr="00BD19A7" w:rsidRDefault="00B9002F" w:rsidP="00B9002F">
      <w:pPr>
        <w:pStyle w:val="3-BodyText"/>
        <w:rPr>
          <w:rFonts w:eastAsia="Calibri"/>
          <w:bCs/>
        </w:rPr>
      </w:pPr>
      <w:r w:rsidRPr="00BD19A7">
        <w:rPr>
          <w:rFonts w:eastAsia="Calibri"/>
          <w:bCs/>
        </w:rPr>
        <w:t xml:space="preserve">The PSCR provided an extract of the patient access program reports to assist in validating the number of patients who have been supplied with an additional dose at Week 10. The PSCR stated that </w:t>
      </w:r>
      <w:r w:rsidR="004F670E" w:rsidRPr="00BD19A7">
        <w:rPr>
          <w:rFonts w:eastAsia="Calibri"/>
          <w:bCs/>
        </w:rPr>
        <w:t xml:space="preserve">the only eligibility criteria applied when assessing requests from prescribers for an additional dose at Week 10 through the patient access program was </w:t>
      </w:r>
      <w:r w:rsidRPr="00BD19A7">
        <w:rPr>
          <w:rFonts w:eastAsia="Calibri"/>
          <w:bCs/>
        </w:rPr>
        <w:t>that patients must be receiving PBS-subsidised treatment with vedolizumab for severe CD</w:t>
      </w:r>
      <w:r w:rsidR="004F670E" w:rsidRPr="00BD19A7">
        <w:rPr>
          <w:rFonts w:eastAsia="Calibri"/>
          <w:bCs/>
        </w:rPr>
        <w:t xml:space="preserve"> </w:t>
      </w:r>
      <w:r w:rsidRPr="00BD19A7">
        <w:rPr>
          <w:rFonts w:eastAsia="Calibri"/>
          <w:bCs/>
        </w:rPr>
        <w:t xml:space="preserve"> As such, no request for an additional dose at Week 10 has been rejected</w:t>
      </w:r>
      <w:r w:rsidR="004F670E" w:rsidRPr="00BD19A7">
        <w:rPr>
          <w:rFonts w:eastAsia="Calibri"/>
          <w:bCs/>
        </w:rPr>
        <w:t xml:space="preserve"> to date</w:t>
      </w:r>
      <w:r w:rsidRPr="00BD19A7">
        <w:rPr>
          <w:rFonts w:eastAsia="Calibri"/>
          <w:bCs/>
        </w:rPr>
        <w:t xml:space="preserve">. The PSCR stated that in terms of the number of patients who received the additional dose at Week 10 and subsequently went on to achieve a response and met the criteria for continuing treatment with vedolizumab, this information is not collected via the patient access program; however, </w:t>
      </w:r>
      <w:r w:rsidR="004F670E" w:rsidRPr="00BD19A7">
        <w:rPr>
          <w:rFonts w:eastAsia="Calibri"/>
          <w:bCs/>
        </w:rPr>
        <w:t xml:space="preserve">it reiterated the claim the </w:t>
      </w:r>
      <w:r w:rsidRPr="00BD19A7">
        <w:rPr>
          <w:rFonts w:eastAsia="Calibri"/>
          <w:bCs/>
        </w:rPr>
        <w:t>evidence from GEMINI 2 showed that the additional dose at Week 10 increased the proportion of patients who achieved clinical remission by 3.7%</w:t>
      </w:r>
      <w:r w:rsidR="00BD19A7">
        <w:rPr>
          <w:rFonts w:eastAsia="Calibri"/>
          <w:bCs/>
        </w:rPr>
        <w:t xml:space="preserve">. </w:t>
      </w:r>
    </w:p>
    <w:p w14:paraId="36B54E9A" w14:textId="76B2B9EA" w:rsidR="00167AE1" w:rsidRPr="00BD19A7" w:rsidRDefault="00A953B2" w:rsidP="00167AE1">
      <w:pPr>
        <w:pStyle w:val="3-BodyText"/>
      </w:pPr>
      <w:r w:rsidRPr="00BD19A7">
        <w:t>The evaluation p</w:t>
      </w:r>
      <w:r w:rsidR="00FE2482" w:rsidRPr="00BD19A7">
        <w:t>resented</w:t>
      </w:r>
      <w:r w:rsidR="003E25DC" w:rsidRPr="00BD19A7">
        <w:t xml:space="preserve"> alternate patient numbers based on data extracted from the PBS, Authorities and Date of Death databases maintained by Department of Health and Aged Care, processed by Services Australia. The PBS prescriptions data was linked to the Authorities data to identify supplies for new patients (</w:t>
      </w:r>
      <w:r w:rsidR="00834E0A" w:rsidRPr="00BD19A7">
        <w:t>i.e.,</w:t>
      </w:r>
      <w:r w:rsidR="003E25DC" w:rsidRPr="00BD19A7">
        <w:t xml:space="preserve"> the Initial 1 authority). The sponsor’s patient access program data together with the total number of patients who newly commence treatment with vedolizumab from the analysis shows that </w:t>
      </w:r>
      <w:r w:rsidR="00206A14" w:rsidRPr="007B0FCD">
        <w:rPr>
          <w:color w:val="000000"/>
          <w:w w:val="15"/>
          <w:shd w:val="solid" w:color="000000" w:fill="000000"/>
          <w:fitText w:val="-20" w:id="-961804539"/>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539"/>
          <w14:textFill>
            <w14:solidFill>
              <w14:srgbClr w14:val="000000">
                <w14:alpha w14:val="100000"/>
              </w14:srgbClr>
            </w14:solidFill>
          </w14:textFill>
        </w:rPr>
        <w:t>|</w:t>
      </w:r>
      <w:r w:rsidR="003E25DC" w:rsidRPr="00BD19A7">
        <w:t xml:space="preserve">% of patients required an </w:t>
      </w:r>
      <w:r w:rsidR="003E25DC" w:rsidRPr="007D7079">
        <w:t>a</w:t>
      </w:r>
      <w:r w:rsidR="003E25DC" w:rsidRPr="00BD19A7">
        <w:t xml:space="preserve">dditional dose of vedolizumab at Week 10 in the 12-month period July 2022 to June 2023. </w:t>
      </w:r>
      <w:r w:rsidR="00831329" w:rsidRPr="00BD19A7">
        <w:t xml:space="preserve">This is higher than the submission calculated </w:t>
      </w:r>
      <w:r w:rsidR="00206A14" w:rsidRPr="007B0FCD">
        <w:rPr>
          <w:color w:val="000000"/>
          <w:w w:val="15"/>
          <w:shd w:val="solid" w:color="000000" w:fill="000000"/>
          <w:fitText w:val="-20" w:id="-961804538"/>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538"/>
          <w14:textFill>
            <w14:solidFill>
              <w14:srgbClr w14:val="000000">
                <w14:alpha w14:val="100000"/>
              </w14:srgbClr>
            </w14:solidFill>
          </w14:textFill>
        </w:rPr>
        <w:t>|</w:t>
      </w:r>
      <w:r w:rsidR="00831329" w:rsidRPr="00BD19A7">
        <w:t xml:space="preserve">%. </w:t>
      </w:r>
      <w:r w:rsidR="00DE0586" w:rsidRPr="00BD19A7">
        <w:t xml:space="preserve">Alternate proposed weighted AEMPs were calculated using the various estimated utilisation of the fourth dose and presented in </w:t>
      </w:r>
      <w:r w:rsidR="00DE0586" w:rsidRPr="00BD19A7">
        <w:fldChar w:fldCharType="begin" w:fldLock="1"/>
      </w:r>
      <w:r w:rsidR="00DE0586" w:rsidRPr="00BD19A7">
        <w:instrText xml:space="preserve"> REF _Ref156389461 \h </w:instrText>
      </w:r>
      <w:r w:rsidR="00737558" w:rsidRPr="00BD19A7">
        <w:instrText xml:space="preserve"> \* MERGEFORMAT </w:instrText>
      </w:r>
      <w:r w:rsidR="00DE0586" w:rsidRPr="00BD19A7">
        <w:fldChar w:fldCharType="separate"/>
      </w:r>
      <w:r w:rsidR="00A008BF" w:rsidRPr="00BD19A7" w:rsidDel="00A56DFE">
        <w:t>Table 13</w:t>
      </w:r>
      <w:r w:rsidR="00DE0586" w:rsidRPr="00BD19A7">
        <w:fldChar w:fldCharType="end"/>
      </w:r>
      <w:r w:rsidR="00DE0586" w:rsidRPr="00BD19A7">
        <w:t>.</w:t>
      </w:r>
    </w:p>
    <w:p w14:paraId="159E901F" w14:textId="694A74D4" w:rsidR="002755C3" w:rsidRPr="00BD19A7" w:rsidRDefault="002755C3" w:rsidP="002755C3">
      <w:pPr>
        <w:pStyle w:val="3-BodyText"/>
        <w:rPr>
          <w:rFonts w:eastAsia="Calibri"/>
          <w:bCs/>
        </w:rPr>
      </w:pPr>
      <w:r w:rsidRPr="00BD19A7">
        <w:rPr>
          <w:rFonts w:eastAsia="Calibri"/>
          <w:bCs/>
        </w:rPr>
        <w:t xml:space="preserve">The PSCR stated that the estimates from the 100% PBS sample are more reliable and therefore appropriate to inform the estimation of the proportion of patients who require an additional dose at Week 10. Based on the total number of patients who had been supplied an additional dose at Week 10 through the patient access program, the recalculated proportion of patients who are expected to require an additional dose at Week 10 is </w:t>
      </w:r>
      <w:r w:rsidR="00206A14" w:rsidRPr="007B0FCD">
        <w:rPr>
          <w:rFonts w:eastAsia="Calibri"/>
          <w:bCs/>
          <w:color w:val="000000"/>
          <w:w w:val="15"/>
          <w:shd w:val="solid" w:color="000000" w:fill="000000"/>
          <w:fitText w:val="-20" w:id="-961804537"/>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537"/>
          <w14:textFill>
            <w14:solidFill>
              <w14:srgbClr w14:val="000000">
                <w14:alpha w14:val="100000"/>
              </w14:srgbClr>
            </w14:solidFill>
          </w14:textFill>
        </w:rPr>
        <w:t>|</w:t>
      </w:r>
      <w:r w:rsidRPr="00BD19A7">
        <w:rPr>
          <w:rFonts w:eastAsia="Calibri"/>
          <w:bCs/>
        </w:rPr>
        <w:t>%</w:t>
      </w:r>
      <w:r w:rsidR="00BD19A7">
        <w:rPr>
          <w:rFonts w:eastAsia="Calibri"/>
          <w:bCs/>
        </w:rPr>
        <w:t xml:space="preserve">. </w:t>
      </w:r>
    </w:p>
    <w:p w14:paraId="31B0386A" w14:textId="2713F111" w:rsidR="006C3E70" w:rsidRPr="00BD19A7" w:rsidRDefault="006C3E70" w:rsidP="00B9002F">
      <w:pPr>
        <w:pStyle w:val="Caption"/>
      </w:pPr>
      <w:bookmarkStart w:id="57" w:name="_Ref156389461"/>
      <w:r w:rsidRPr="00BD19A7">
        <w:lastRenderedPageBreak/>
        <w:t xml:space="preserve">Table </w:t>
      </w:r>
      <w:r w:rsidR="007B0FCD">
        <w:fldChar w:fldCharType="begin" w:fldLock="1"/>
      </w:r>
      <w:r w:rsidR="007B0FCD">
        <w:instrText xml:space="preserve"> SEQ Table \* ARABIC </w:instrText>
      </w:r>
      <w:r w:rsidR="007B0FCD">
        <w:fldChar w:fldCharType="separate"/>
      </w:r>
      <w:r w:rsidR="00A56DFE">
        <w:rPr>
          <w:noProof/>
        </w:rPr>
        <w:t>13</w:t>
      </w:r>
      <w:r w:rsidR="007B0FCD">
        <w:rPr>
          <w:noProof/>
        </w:rPr>
        <w:fldChar w:fldCharType="end"/>
      </w:r>
      <w:bookmarkEnd w:id="57"/>
      <w:r w:rsidRPr="00BD19A7">
        <w:t>: Estimated utilisation of fourth vedolizumab dose based on varying time periods of patient data</w:t>
      </w:r>
    </w:p>
    <w:tbl>
      <w:tblPr>
        <w:tblStyle w:val="TableGrid"/>
        <w:tblW w:w="0" w:type="auto"/>
        <w:tblInd w:w="-5" w:type="dxa"/>
        <w:tblLook w:val="04A0" w:firstRow="1" w:lastRow="0" w:firstColumn="1" w:lastColumn="0" w:noHBand="0" w:noVBand="1"/>
        <w:tblCaption w:val="Table 13: Estimated utilisation of fourth vedolizumab dose based on varying time periods of patient data"/>
      </w:tblPr>
      <w:tblGrid>
        <w:gridCol w:w="3120"/>
        <w:gridCol w:w="1560"/>
        <w:gridCol w:w="1440"/>
        <w:gridCol w:w="1440"/>
        <w:gridCol w:w="1457"/>
      </w:tblGrid>
      <w:tr w:rsidR="006C3E70" w:rsidRPr="00BD19A7" w14:paraId="6DE64B02" w14:textId="77777777" w:rsidTr="00A25635">
        <w:tc>
          <w:tcPr>
            <w:tcW w:w="3120" w:type="dxa"/>
            <w:vMerge w:val="restart"/>
          </w:tcPr>
          <w:p w14:paraId="76787F54" w14:textId="77777777" w:rsidR="006C3E70" w:rsidRPr="00BD19A7" w:rsidRDefault="006C3E70" w:rsidP="00B9002F">
            <w:pPr>
              <w:keepNext/>
              <w:rPr>
                <w:rFonts w:ascii="Arial Narrow" w:hAnsi="Arial Narrow" w:cstheme="minorHAnsi"/>
                <w:b/>
                <w:bCs/>
                <w:sz w:val="20"/>
                <w:szCs w:val="20"/>
              </w:rPr>
            </w:pPr>
            <w:r w:rsidRPr="00BD19A7">
              <w:rPr>
                <w:rFonts w:ascii="Arial Narrow" w:hAnsi="Arial Narrow" w:cstheme="minorHAnsi"/>
                <w:b/>
                <w:bCs/>
                <w:sz w:val="20"/>
                <w:szCs w:val="20"/>
              </w:rPr>
              <w:t>Period</w:t>
            </w:r>
          </w:p>
        </w:tc>
        <w:tc>
          <w:tcPr>
            <w:tcW w:w="3000" w:type="dxa"/>
            <w:gridSpan w:val="2"/>
          </w:tcPr>
          <w:p w14:paraId="07B9BFF1" w14:textId="77777777" w:rsidR="006C3E70" w:rsidRPr="00BD19A7" w:rsidRDefault="006C3E70" w:rsidP="00B9002F">
            <w:pPr>
              <w:keepNext/>
              <w:jc w:val="left"/>
              <w:rPr>
                <w:rFonts w:ascii="Arial Narrow" w:hAnsi="Arial Narrow" w:cstheme="minorHAnsi"/>
                <w:b/>
                <w:bCs/>
                <w:sz w:val="20"/>
                <w:szCs w:val="20"/>
              </w:rPr>
            </w:pPr>
            <w:r w:rsidRPr="00BD19A7">
              <w:rPr>
                <w:rFonts w:ascii="Arial Narrow" w:hAnsi="Arial Narrow" w:cstheme="minorHAnsi"/>
                <w:b/>
                <w:bCs/>
                <w:sz w:val="20"/>
                <w:szCs w:val="20"/>
              </w:rPr>
              <w:t>Submission</w:t>
            </w:r>
          </w:p>
        </w:tc>
        <w:tc>
          <w:tcPr>
            <w:tcW w:w="2897" w:type="dxa"/>
            <w:gridSpan w:val="2"/>
          </w:tcPr>
          <w:p w14:paraId="7C052EEE" w14:textId="7888ED08" w:rsidR="006C3E70" w:rsidRPr="00BD19A7" w:rsidRDefault="00FE2482" w:rsidP="00B9002F">
            <w:pPr>
              <w:keepNext/>
              <w:jc w:val="left"/>
              <w:rPr>
                <w:rFonts w:ascii="Arial Narrow" w:hAnsi="Arial Narrow" w:cstheme="minorHAnsi"/>
                <w:b/>
                <w:bCs/>
                <w:i/>
                <w:iCs/>
                <w:sz w:val="20"/>
                <w:szCs w:val="20"/>
              </w:rPr>
            </w:pPr>
            <w:r w:rsidRPr="00BD19A7">
              <w:rPr>
                <w:rFonts w:ascii="Arial Narrow" w:hAnsi="Arial Narrow" w:cstheme="minorHAnsi"/>
                <w:b/>
                <w:bCs/>
                <w:i/>
                <w:iCs/>
                <w:sz w:val="20"/>
                <w:szCs w:val="20"/>
              </w:rPr>
              <w:t>Evaluation</w:t>
            </w:r>
          </w:p>
        </w:tc>
      </w:tr>
      <w:tr w:rsidR="006C3E70" w:rsidRPr="00BD19A7" w14:paraId="6B2F0963" w14:textId="77777777" w:rsidTr="00A25635">
        <w:tc>
          <w:tcPr>
            <w:tcW w:w="3120" w:type="dxa"/>
            <w:vMerge/>
          </w:tcPr>
          <w:p w14:paraId="36D870F5" w14:textId="77777777" w:rsidR="006C3E70" w:rsidRPr="00BD19A7" w:rsidRDefault="006C3E70" w:rsidP="00B9002F">
            <w:pPr>
              <w:keepNext/>
              <w:rPr>
                <w:rFonts w:ascii="Arial Narrow" w:hAnsi="Arial Narrow" w:cstheme="minorHAnsi"/>
                <w:b/>
                <w:bCs/>
                <w:sz w:val="20"/>
                <w:szCs w:val="20"/>
              </w:rPr>
            </w:pPr>
          </w:p>
        </w:tc>
        <w:tc>
          <w:tcPr>
            <w:tcW w:w="1560" w:type="dxa"/>
          </w:tcPr>
          <w:p w14:paraId="287229C4" w14:textId="77777777" w:rsidR="006C3E70" w:rsidRPr="00BD19A7" w:rsidRDefault="006C3E70" w:rsidP="00B9002F">
            <w:pPr>
              <w:keepNext/>
              <w:jc w:val="left"/>
              <w:rPr>
                <w:rFonts w:ascii="Arial Narrow" w:hAnsi="Arial Narrow" w:cstheme="minorHAnsi"/>
                <w:b/>
                <w:bCs/>
                <w:sz w:val="20"/>
                <w:szCs w:val="20"/>
              </w:rPr>
            </w:pPr>
            <w:r w:rsidRPr="00BD19A7">
              <w:rPr>
                <w:rFonts w:ascii="Arial Narrow" w:hAnsi="Arial Narrow" w:cstheme="minorHAnsi"/>
                <w:b/>
                <w:bCs/>
                <w:sz w:val="20"/>
                <w:szCs w:val="20"/>
              </w:rPr>
              <w:t>Estimated utilisation of fourth dose</w:t>
            </w:r>
          </w:p>
        </w:tc>
        <w:tc>
          <w:tcPr>
            <w:tcW w:w="1440" w:type="dxa"/>
          </w:tcPr>
          <w:p w14:paraId="3EB917F9" w14:textId="77777777" w:rsidR="006C3E70" w:rsidRPr="00BD19A7" w:rsidRDefault="006C3E70" w:rsidP="00B9002F">
            <w:pPr>
              <w:keepNext/>
              <w:jc w:val="left"/>
              <w:rPr>
                <w:rFonts w:ascii="Arial Narrow" w:hAnsi="Arial Narrow" w:cstheme="minorHAnsi"/>
                <w:b/>
                <w:bCs/>
                <w:sz w:val="20"/>
                <w:szCs w:val="20"/>
              </w:rPr>
            </w:pPr>
            <w:r w:rsidRPr="00BD19A7">
              <w:rPr>
                <w:rFonts w:ascii="Arial Narrow" w:hAnsi="Arial Narrow" w:cstheme="minorHAnsi"/>
                <w:b/>
                <w:bCs/>
                <w:sz w:val="20"/>
                <w:szCs w:val="20"/>
              </w:rPr>
              <w:t>Weighted average AEMP</w:t>
            </w:r>
          </w:p>
        </w:tc>
        <w:tc>
          <w:tcPr>
            <w:tcW w:w="1440" w:type="dxa"/>
          </w:tcPr>
          <w:p w14:paraId="5DD98824" w14:textId="77777777" w:rsidR="006C3E70" w:rsidRPr="00BD19A7" w:rsidRDefault="006C3E70" w:rsidP="00B9002F">
            <w:pPr>
              <w:keepNext/>
              <w:jc w:val="left"/>
              <w:rPr>
                <w:rFonts w:ascii="Arial Narrow" w:hAnsi="Arial Narrow" w:cstheme="minorHAnsi"/>
                <w:b/>
                <w:bCs/>
                <w:i/>
                <w:iCs/>
                <w:sz w:val="20"/>
                <w:szCs w:val="20"/>
              </w:rPr>
            </w:pPr>
            <w:r w:rsidRPr="00BD19A7">
              <w:rPr>
                <w:rFonts w:ascii="Arial Narrow" w:hAnsi="Arial Narrow" w:cstheme="minorHAnsi"/>
                <w:b/>
                <w:bCs/>
                <w:i/>
                <w:iCs/>
                <w:sz w:val="20"/>
                <w:szCs w:val="20"/>
              </w:rPr>
              <w:t xml:space="preserve">Estimated utilisation of fourth dose </w:t>
            </w:r>
          </w:p>
        </w:tc>
        <w:tc>
          <w:tcPr>
            <w:tcW w:w="1457" w:type="dxa"/>
          </w:tcPr>
          <w:p w14:paraId="7D48C15D" w14:textId="77777777" w:rsidR="006C3E70" w:rsidRPr="00BD19A7" w:rsidRDefault="006C3E70" w:rsidP="00B9002F">
            <w:pPr>
              <w:keepNext/>
              <w:jc w:val="left"/>
              <w:rPr>
                <w:rFonts w:ascii="Arial Narrow" w:hAnsi="Arial Narrow" w:cstheme="minorHAnsi"/>
                <w:b/>
                <w:bCs/>
                <w:i/>
                <w:iCs/>
                <w:sz w:val="20"/>
                <w:szCs w:val="20"/>
              </w:rPr>
            </w:pPr>
            <w:r w:rsidRPr="00BD19A7">
              <w:rPr>
                <w:rFonts w:ascii="Arial Narrow" w:hAnsi="Arial Narrow" w:cstheme="minorHAnsi"/>
                <w:b/>
                <w:bCs/>
                <w:i/>
                <w:iCs/>
                <w:sz w:val="20"/>
                <w:szCs w:val="20"/>
              </w:rPr>
              <w:t>Weighted average AEMP</w:t>
            </w:r>
          </w:p>
        </w:tc>
      </w:tr>
      <w:tr w:rsidR="006C3E70" w:rsidRPr="00BD19A7" w14:paraId="748CEFD0" w14:textId="77777777" w:rsidTr="00A25635">
        <w:tc>
          <w:tcPr>
            <w:tcW w:w="3120" w:type="dxa"/>
            <w:vAlign w:val="bottom"/>
          </w:tcPr>
          <w:p w14:paraId="06881DDE" w14:textId="77777777" w:rsidR="006C3E70" w:rsidRPr="00BD19A7" w:rsidRDefault="006C3E70" w:rsidP="00B9002F">
            <w:pPr>
              <w:keepNext/>
              <w:rPr>
                <w:rFonts w:ascii="Arial Narrow" w:hAnsi="Arial Narrow" w:cstheme="minorHAnsi"/>
                <w:sz w:val="20"/>
                <w:szCs w:val="20"/>
              </w:rPr>
            </w:pPr>
            <w:r w:rsidRPr="00BD19A7">
              <w:rPr>
                <w:rFonts w:ascii="Arial Narrow" w:hAnsi="Arial Narrow" w:cstheme="minorHAnsi"/>
                <w:sz w:val="20"/>
                <w:szCs w:val="20"/>
              </w:rPr>
              <w:t>Jul-22 to Jun-23</w:t>
            </w:r>
          </w:p>
        </w:tc>
        <w:tc>
          <w:tcPr>
            <w:tcW w:w="1560" w:type="dxa"/>
            <w:vAlign w:val="bottom"/>
          </w:tcPr>
          <w:p w14:paraId="2EEE8DB7" w14:textId="5804EC31" w:rsidR="006C3E70" w:rsidRPr="00AC08DE" w:rsidRDefault="00206A14" w:rsidP="00B9002F">
            <w:pPr>
              <w:keepNext/>
              <w:jc w:val="left"/>
              <w:rPr>
                <w:rFonts w:ascii="Arial Narrow" w:hAnsi="Arial Narrow" w:cstheme="minorHAnsi"/>
                <w:sz w:val="20"/>
                <w:szCs w:val="20"/>
                <w:highlight w:val="yellow"/>
              </w:rPr>
            </w:pPr>
            <w:r w:rsidRPr="00206A14">
              <w:rPr>
                <w:rFonts w:ascii="Arial Narrow" w:hAnsi="Arial Narrow" w:cstheme="minorHAnsi"/>
                <w:color w:val="000000"/>
                <w:spacing w:val="52"/>
                <w:sz w:val="20"/>
                <w:szCs w:val="20"/>
                <w:shd w:val="solid" w:color="000000" w:fill="000000"/>
                <w:fitText w:val="328" w:id="-961804536"/>
                <w14:textFill>
                  <w14:solidFill>
                    <w14:srgbClr w14:val="000000">
                      <w14:alpha w14:val="100000"/>
                    </w14:srgbClr>
                  </w14:solidFill>
                </w14:textFill>
              </w:rPr>
              <w:t>|||</w:t>
            </w:r>
            <w:r w:rsidRPr="00206A14">
              <w:rPr>
                <w:rFonts w:ascii="Arial Narrow" w:hAnsi="Arial Narrow" w:cstheme="minorHAnsi"/>
                <w:color w:val="000000"/>
                <w:spacing w:val="2"/>
                <w:sz w:val="20"/>
                <w:szCs w:val="20"/>
                <w:shd w:val="solid" w:color="000000" w:fill="000000"/>
                <w:fitText w:val="328" w:id="-961804536"/>
                <w14:textFill>
                  <w14:solidFill>
                    <w14:srgbClr w14:val="000000">
                      <w14:alpha w14:val="100000"/>
                    </w14:srgbClr>
                  </w14:solidFill>
                </w14:textFill>
              </w:rPr>
              <w:t>|</w:t>
            </w:r>
            <w:r w:rsidR="006C3E70" w:rsidRPr="00BC3FF1">
              <w:rPr>
                <w:rFonts w:ascii="Arial Narrow" w:hAnsi="Arial Narrow" w:cstheme="minorHAnsi"/>
                <w:sz w:val="20"/>
                <w:szCs w:val="20"/>
              </w:rPr>
              <w:t>%</w:t>
            </w:r>
          </w:p>
        </w:tc>
        <w:tc>
          <w:tcPr>
            <w:tcW w:w="1440" w:type="dxa"/>
          </w:tcPr>
          <w:p w14:paraId="10BF6493" w14:textId="79E630EE"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w:t>
            </w:r>
            <w:r w:rsidR="00206A14" w:rsidRPr="00206A14">
              <w:rPr>
                <w:rFonts w:ascii="Arial Narrow" w:hAnsi="Arial Narrow" w:cstheme="minorHAnsi"/>
                <w:color w:val="000000"/>
                <w:spacing w:val="52"/>
                <w:sz w:val="20"/>
                <w:szCs w:val="20"/>
                <w:shd w:val="solid" w:color="000000" w:fill="000000"/>
                <w:fitText w:val="328" w:id="-961804535"/>
                <w14:textFill>
                  <w14:solidFill>
                    <w14:srgbClr w14:val="000000">
                      <w14:alpha w14:val="100000"/>
                    </w14:srgbClr>
                  </w14:solidFill>
                </w14:textFill>
              </w:rPr>
              <w:t>|||</w:t>
            </w:r>
            <w:r w:rsidR="00206A14" w:rsidRPr="00206A14">
              <w:rPr>
                <w:rFonts w:ascii="Arial Narrow" w:hAnsi="Arial Narrow" w:cstheme="minorHAnsi"/>
                <w:color w:val="000000"/>
                <w:spacing w:val="2"/>
                <w:sz w:val="20"/>
                <w:szCs w:val="20"/>
                <w:shd w:val="solid" w:color="000000" w:fill="000000"/>
                <w:fitText w:val="328" w:id="-961804535"/>
                <w14:textFill>
                  <w14:solidFill>
                    <w14:srgbClr w14:val="000000">
                      <w14:alpha w14:val="100000"/>
                    </w14:srgbClr>
                  </w14:solidFill>
                </w14:textFill>
              </w:rPr>
              <w:t>|</w:t>
            </w:r>
          </w:p>
        </w:tc>
        <w:tc>
          <w:tcPr>
            <w:tcW w:w="1440" w:type="dxa"/>
            <w:vAlign w:val="bottom"/>
          </w:tcPr>
          <w:p w14:paraId="19820CA2" w14:textId="1EFC9983" w:rsidR="006C3E70" w:rsidRPr="00AC08DE" w:rsidRDefault="00206A14" w:rsidP="00B9002F">
            <w:pPr>
              <w:keepNext/>
              <w:jc w:val="left"/>
              <w:rPr>
                <w:rFonts w:ascii="Arial Narrow" w:hAnsi="Arial Narrow" w:cstheme="minorHAnsi"/>
                <w:i/>
                <w:iCs/>
                <w:sz w:val="20"/>
                <w:szCs w:val="20"/>
                <w:highlight w:val="yellow"/>
              </w:rPr>
            </w:pPr>
            <w:r w:rsidRPr="00206A14">
              <w:rPr>
                <w:rFonts w:ascii="Arial Narrow" w:hAnsi="Arial Narrow" w:cstheme="minorHAnsi"/>
                <w:i/>
                <w:iCs/>
                <w:color w:val="000000"/>
                <w:spacing w:val="52"/>
                <w:sz w:val="20"/>
                <w:szCs w:val="20"/>
                <w:shd w:val="solid" w:color="000000" w:fill="000000"/>
                <w:fitText w:val="328" w:id="-961804534"/>
                <w14:textFill>
                  <w14:solidFill>
                    <w14:srgbClr w14:val="000000">
                      <w14:alpha w14:val="100000"/>
                    </w14:srgbClr>
                  </w14:solidFill>
                </w14:textFill>
              </w:rPr>
              <w:t>|||</w:t>
            </w:r>
            <w:r w:rsidRPr="00206A14">
              <w:rPr>
                <w:rFonts w:ascii="Arial Narrow" w:hAnsi="Arial Narrow" w:cstheme="minorHAnsi"/>
                <w:i/>
                <w:iCs/>
                <w:color w:val="000000"/>
                <w:spacing w:val="2"/>
                <w:sz w:val="20"/>
                <w:szCs w:val="20"/>
                <w:shd w:val="solid" w:color="000000" w:fill="000000"/>
                <w:fitText w:val="328" w:id="-961804534"/>
                <w14:textFill>
                  <w14:solidFill>
                    <w14:srgbClr w14:val="000000">
                      <w14:alpha w14:val="100000"/>
                    </w14:srgbClr>
                  </w14:solidFill>
                </w14:textFill>
              </w:rPr>
              <w:t>|</w:t>
            </w:r>
            <w:r w:rsidR="006C3E70" w:rsidRPr="00BC3FF1">
              <w:rPr>
                <w:rFonts w:ascii="Arial Narrow" w:hAnsi="Arial Narrow" w:cstheme="minorHAnsi"/>
                <w:i/>
                <w:iCs/>
                <w:sz w:val="20"/>
                <w:szCs w:val="20"/>
              </w:rPr>
              <w:t>%</w:t>
            </w:r>
          </w:p>
        </w:tc>
        <w:tc>
          <w:tcPr>
            <w:tcW w:w="1457" w:type="dxa"/>
          </w:tcPr>
          <w:p w14:paraId="2D2B634B" w14:textId="1AABA4B2" w:rsidR="006C3E70" w:rsidRPr="00BD19A7" w:rsidRDefault="006C3E70" w:rsidP="00B9002F">
            <w:pPr>
              <w:keepNext/>
              <w:jc w:val="left"/>
              <w:rPr>
                <w:rFonts w:ascii="Arial Narrow" w:hAnsi="Arial Narrow" w:cstheme="minorHAnsi"/>
                <w:i/>
                <w:iCs/>
                <w:sz w:val="20"/>
                <w:szCs w:val="20"/>
              </w:rPr>
            </w:pPr>
            <w:r w:rsidRPr="00BD19A7">
              <w:rPr>
                <w:rFonts w:ascii="Arial Narrow" w:hAnsi="Arial Narrow" w:cstheme="minorHAnsi"/>
                <w:i/>
                <w:iCs/>
                <w:sz w:val="20"/>
                <w:szCs w:val="20"/>
              </w:rPr>
              <w:t>$</w:t>
            </w:r>
            <w:r w:rsidR="00206A14" w:rsidRPr="00206A14">
              <w:rPr>
                <w:rFonts w:ascii="Arial Narrow" w:hAnsi="Arial Narrow" w:cstheme="minorHAnsi"/>
                <w:i/>
                <w:iCs/>
                <w:color w:val="000000"/>
                <w:spacing w:val="52"/>
                <w:sz w:val="20"/>
                <w:szCs w:val="20"/>
                <w:shd w:val="solid" w:color="000000" w:fill="000000"/>
                <w:fitText w:val="328" w:id="-961804533"/>
                <w14:textFill>
                  <w14:solidFill>
                    <w14:srgbClr w14:val="000000">
                      <w14:alpha w14:val="100000"/>
                    </w14:srgbClr>
                  </w14:solidFill>
                </w14:textFill>
              </w:rPr>
              <w:t>|||</w:t>
            </w:r>
            <w:r w:rsidR="00206A14" w:rsidRPr="00206A14">
              <w:rPr>
                <w:rFonts w:ascii="Arial Narrow" w:hAnsi="Arial Narrow" w:cstheme="minorHAnsi"/>
                <w:i/>
                <w:iCs/>
                <w:color w:val="000000"/>
                <w:spacing w:val="2"/>
                <w:sz w:val="20"/>
                <w:szCs w:val="20"/>
                <w:shd w:val="solid" w:color="000000" w:fill="000000"/>
                <w:fitText w:val="328" w:id="-961804533"/>
                <w14:textFill>
                  <w14:solidFill>
                    <w14:srgbClr w14:val="000000">
                      <w14:alpha w14:val="100000"/>
                    </w14:srgbClr>
                  </w14:solidFill>
                </w14:textFill>
              </w:rPr>
              <w:t>|</w:t>
            </w:r>
          </w:p>
        </w:tc>
      </w:tr>
      <w:tr w:rsidR="006C3E70" w:rsidRPr="00BD19A7" w14:paraId="52FBB8BB" w14:textId="77777777" w:rsidTr="00A25635">
        <w:tc>
          <w:tcPr>
            <w:tcW w:w="3120" w:type="dxa"/>
            <w:vAlign w:val="bottom"/>
          </w:tcPr>
          <w:p w14:paraId="5DD8E7E9" w14:textId="77777777" w:rsidR="006C3E70" w:rsidRPr="00BD19A7" w:rsidRDefault="006C3E70" w:rsidP="00B9002F">
            <w:pPr>
              <w:keepNext/>
              <w:rPr>
                <w:rFonts w:ascii="Arial Narrow" w:hAnsi="Arial Narrow" w:cstheme="minorHAnsi"/>
                <w:sz w:val="20"/>
                <w:szCs w:val="20"/>
              </w:rPr>
            </w:pPr>
            <w:r w:rsidRPr="00BD19A7">
              <w:rPr>
                <w:rFonts w:ascii="Arial Narrow" w:hAnsi="Arial Narrow" w:cstheme="minorHAnsi"/>
                <w:sz w:val="20"/>
                <w:szCs w:val="20"/>
              </w:rPr>
              <w:t>Aug-21 to June-23</w:t>
            </w:r>
          </w:p>
        </w:tc>
        <w:tc>
          <w:tcPr>
            <w:tcW w:w="1560" w:type="dxa"/>
            <w:vAlign w:val="bottom"/>
          </w:tcPr>
          <w:p w14:paraId="6545BE78" w14:textId="05183335" w:rsidR="006C3E70" w:rsidRPr="00AC08DE" w:rsidRDefault="00206A14" w:rsidP="00B9002F">
            <w:pPr>
              <w:keepNext/>
              <w:jc w:val="left"/>
              <w:rPr>
                <w:rFonts w:ascii="Arial Narrow" w:hAnsi="Arial Narrow" w:cstheme="minorHAnsi"/>
                <w:sz w:val="20"/>
                <w:szCs w:val="20"/>
                <w:highlight w:val="yellow"/>
              </w:rPr>
            </w:pPr>
            <w:r w:rsidRPr="00206A14">
              <w:rPr>
                <w:rFonts w:ascii="Arial Narrow" w:hAnsi="Arial Narrow" w:cstheme="minorHAnsi"/>
                <w:color w:val="000000"/>
                <w:spacing w:val="52"/>
                <w:sz w:val="20"/>
                <w:szCs w:val="20"/>
                <w:shd w:val="solid" w:color="000000" w:fill="000000"/>
                <w:fitText w:val="328" w:id="-961804532"/>
                <w14:textFill>
                  <w14:solidFill>
                    <w14:srgbClr w14:val="000000">
                      <w14:alpha w14:val="100000"/>
                    </w14:srgbClr>
                  </w14:solidFill>
                </w14:textFill>
              </w:rPr>
              <w:t>|||</w:t>
            </w:r>
            <w:r w:rsidRPr="00206A14">
              <w:rPr>
                <w:rFonts w:ascii="Arial Narrow" w:hAnsi="Arial Narrow" w:cstheme="minorHAnsi"/>
                <w:color w:val="000000"/>
                <w:spacing w:val="2"/>
                <w:sz w:val="20"/>
                <w:szCs w:val="20"/>
                <w:shd w:val="solid" w:color="000000" w:fill="000000"/>
                <w:fitText w:val="328" w:id="-961804532"/>
                <w14:textFill>
                  <w14:solidFill>
                    <w14:srgbClr w14:val="000000">
                      <w14:alpha w14:val="100000"/>
                    </w14:srgbClr>
                  </w14:solidFill>
                </w14:textFill>
              </w:rPr>
              <w:t>|</w:t>
            </w:r>
            <w:r w:rsidR="006C3E70" w:rsidRPr="00BC3FF1">
              <w:rPr>
                <w:rFonts w:ascii="Arial Narrow" w:hAnsi="Arial Narrow" w:cstheme="minorHAnsi"/>
                <w:sz w:val="20"/>
                <w:szCs w:val="20"/>
              </w:rPr>
              <w:t>%</w:t>
            </w:r>
          </w:p>
        </w:tc>
        <w:tc>
          <w:tcPr>
            <w:tcW w:w="1440" w:type="dxa"/>
          </w:tcPr>
          <w:p w14:paraId="3FA8DFDB" w14:textId="4BA1BCD0"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w:t>
            </w:r>
            <w:r w:rsidR="00206A14" w:rsidRPr="00206A14">
              <w:rPr>
                <w:rFonts w:ascii="Arial Narrow" w:hAnsi="Arial Narrow" w:cstheme="minorHAnsi"/>
                <w:color w:val="000000"/>
                <w:spacing w:val="52"/>
                <w:sz w:val="20"/>
                <w:szCs w:val="20"/>
                <w:shd w:val="solid" w:color="000000" w:fill="000000"/>
                <w:fitText w:val="328" w:id="-961804531"/>
                <w14:textFill>
                  <w14:solidFill>
                    <w14:srgbClr w14:val="000000">
                      <w14:alpha w14:val="100000"/>
                    </w14:srgbClr>
                  </w14:solidFill>
                </w14:textFill>
              </w:rPr>
              <w:t>|||</w:t>
            </w:r>
            <w:r w:rsidR="00206A14" w:rsidRPr="00206A14">
              <w:rPr>
                <w:rFonts w:ascii="Arial Narrow" w:hAnsi="Arial Narrow" w:cstheme="minorHAnsi"/>
                <w:color w:val="000000"/>
                <w:spacing w:val="2"/>
                <w:sz w:val="20"/>
                <w:szCs w:val="20"/>
                <w:shd w:val="solid" w:color="000000" w:fill="000000"/>
                <w:fitText w:val="328" w:id="-961804531"/>
                <w14:textFill>
                  <w14:solidFill>
                    <w14:srgbClr w14:val="000000">
                      <w14:alpha w14:val="100000"/>
                    </w14:srgbClr>
                  </w14:solidFill>
                </w14:textFill>
              </w:rPr>
              <w:t>|</w:t>
            </w:r>
          </w:p>
        </w:tc>
        <w:tc>
          <w:tcPr>
            <w:tcW w:w="1440" w:type="dxa"/>
            <w:vAlign w:val="bottom"/>
          </w:tcPr>
          <w:p w14:paraId="4CA09B5E" w14:textId="157D3792" w:rsidR="006C3E70" w:rsidRPr="00AC08DE" w:rsidRDefault="00206A14" w:rsidP="00B9002F">
            <w:pPr>
              <w:keepNext/>
              <w:jc w:val="left"/>
              <w:rPr>
                <w:rFonts w:ascii="Arial Narrow" w:hAnsi="Arial Narrow" w:cstheme="minorHAnsi"/>
                <w:i/>
                <w:iCs/>
                <w:sz w:val="20"/>
                <w:szCs w:val="20"/>
                <w:highlight w:val="yellow"/>
              </w:rPr>
            </w:pPr>
            <w:r w:rsidRPr="00206A14">
              <w:rPr>
                <w:rFonts w:ascii="Arial Narrow" w:hAnsi="Arial Narrow" w:cstheme="minorHAnsi"/>
                <w:i/>
                <w:iCs/>
                <w:color w:val="000000"/>
                <w:spacing w:val="52"/>
                <w:sz w:val="20"/>
                <w:szCs w:val="20"/>
                <w:shd w:val="solid" w:color="000000" w:fill="000000"/>
                <w:fitText w:val="328" w:id="-961804530"/>
                <w14:textFill>
                  <w14:solidFill>
                    <w14:srgbClr w14:val="000000">
                      <w14:alpha w14:val="100000"/>
                    </w14:srgbClr>
                  </w14:solidFill>
                </w14:textFill>
              </w:rPr>
              <w:t>|||</w:t>
            </w:r>
            <w:r w:rsidRPr="00206A14">
              <w:rPr>
                <w:rFonts w:ascii="Arial Narrow" w:hAnsi="Arial Narrow" w:cstheme="minorHAnsi"/>
                <w:i/>
                <w:iCs/>
                <w:color w:val="000000"/>
                <w:spacing w:val="2"/>
                <w:sz w:val="20"/>
                <w:szCs w:val="20"/>
                <w:shd w:val="solid" w:color="000000" w:fill="000000"/>
                <w:fitText w:val="328" w:id="-961804530"/>
                <w14:textFill>
                  <w14:solidFill>
                    <w14:srgbClr w14:val="000000">
                      <w14:alpha w14:val="100000"/>
                    </w14:srgbClr>
                  </w14:solidFill>
                </w14:textFill>
              </w:rPr>
              <w:t>|</w:t>
            </w:r>
            <w:r w:rsidR="006C3E70" w:rsidRPr="00BC3FF1">
              <w:rPr>
                <w:rFonts w:ascii="Arial Narrow" w:hAnsi="Arial Narrow" w:cstheme="minorHAnsi"/>
                <w:i/>
                <w:iCs/>
                <w:sz w:val="20"/>
                <w:szCs w:val="20"/>
              </w:rPr>
              <w:t>%</w:t>
            </w:r>
          </w:p>
        </w:tc>
        <w:tc>
          <w:tcPr>
            <w:tcW w:w="1457" w:type="dxa"/>
          </w:tcPr>
          <w:p w14:paraId="48753193" w14:textId="4E828684" w:rsidR="006C3E70" w:rsidRPr="00BD19A7" w:rsidRDefault="006C3E70" w:rsidP="00B9002F">
            <w:pPr>
              <w:keepNext/>
              <w:jc w:val="left"/>
              <w:rPr>
                <w:rFonts w:ascii="Arial Narrow" w:hAnsi="Arial Narrow" w:cstheme="minorHAnsi"/>
                <w:i/>
                <w:iCs/>
                <w:sz w:val="20"/>
                <w:szCs w:val="20"/>
              </w:rPr>
            </w:pPr>
            <w:r w:rsidRPr="00BD19A7">
              <w:rPr>
                <w:rFonts w:ascii="Arial Narrow" w:hAnsi="Arial Narrow" w:cstheme="minorHAnsi"/>
                <w:i/>
                <w:iCs/>
                <w:sz w:val="20"/>
                <w:szCs w:val="20"/>
              </w:rPr>
              <w:t>$</w:t>
            </w:r>
            <w:r w:rsidR="00206A14" w:rsidRPr="00206A14">
              <w:rPr>
                <w:rFonts w:ascii="Arial Narrow" w:hAnsi="Arial Narrow" w:cstheme="minorHAnsi"/>
                <w:i/>
                <w:iCs/>
                <w:color w:val="000000"/>
                <w:spacing w:val="52"/>
                <w:sz w:val="20"/>
                <w:szCs w:val="20"/>
                <w:shd w:val="solid" w:color="000000" w:fill="000000"/>
                <w:fitText w:val="328" w:id="-961804529"/>
                <w14:textFill>
                  <w14:solidFill>
                    <w14:srgbClr w14:val="000000">
                      <w14:alpha w14:val="100000"/>
                    </w14:srgbClr>
                  </w14:solidFill>
                </w14:textFill>
              </w:rPr>
              <w:t>|||</w:t>
            </w:r>
            <w:r w:rsidR="00206A14" w:rsidRPr="00206A14">
              <w:rPr>
                <w:rFonts w:ascii="Arial Narrow" w:hAnsi="Arial Narrow" w:cstheme="minorHAnsi"/>
                <w:i/>
                <w:iCs/>
                <w:color w:val="000000"/>
                <w:spacing w:val="2"/>
                <w:sz w:val="20"/>
                <w:szCs w:val="20"/>
                <w:shd w:val="solid" w:color="000000" w:fill="000000"/>
                <w:fitText w:val="328" w:id="-961804529"/>
                <w14:textFill>
                  <w14:solidFill>
                    <w14:srgbClr w14:val="000000">
                      <w14:alpha w14:val="100000"/>
                    </w14:srgbClr>
                  </w14:solidFill>
                </w14:textFill>
              </w:rPr>
              <w:t>|</w:t>
            </w:r>
          </w:p>
        </w:tc>
      </w:tr>
      <w:tr w:rsidR="006C3E70" w:rsidRPr="00BD19A7" w14:paraId="01888214" w14:textId="77777777" w:rsidTr="00A25635">
        <w:tc>
          <w:tcPr>
            <w:tcW w:w="3120" w:type="dxa"/>
            <w:vAlign w:val="bottom"/>
          </w:tcPr>
          <w:p w14:paraId="1DEAC018" w14:textId="77777777" w:rsidR="006C3E70" w:rsidRPr="00BD19A7" w:rsidRDefault="006C3E70" w:rsidP="00B9002F">
            <w:pPr>
              <w:keepNext/>
              <w:rPr>
                <w:rFonts w:ascii="Arial Narrow" w:hAnsi="Arial Narrow" w:cstheme="minorHAnsi"/>
                <w:sz w:val="20"/>
                <w:szCs w:val="20"/>
              </w:rPr>
            </w:pPr>
            <w:r w:rsidRPr="00BD19A7">
              <w:rPr>
                <w:rFonts w:ascii="Arial Narrow" w:hAnsi="Arial Narrow" w:cstheme="minorHAnsi"/>
                <w:sz w:val="20"/>
                <w:szCs w:val="20"/>
              </w:rPr>
              <w:t>Recent 12-months (Oct22-Sep23)</w:t>
            </w:r>
          </w:p>
        </w:tc>
        <w:tc>
          <w:tcPr>
            <w:tcW w:w="1560" w:type="dxa"/>
            <w:vAlign w:val="bottom"/>
          </w:tcPr>
          <w:p w14:paraId="51D80A3F" w14:textId="77777777"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Not provided</w:t>
            </w:r>
          </w:p>
        </w:tc>
        <w:tc>
          <w:tcPr>
            <w:tcW w:w="1440" w:type="dxa"/>
          </w:tcPr>
          <w:p w14:paraId="680DEF32" w14:textId="77777777"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w:t>
            </w:r>
          </w:p>
        </w:tc>
        <w:tc>
          <w:tcPr>
            <w:tcW w:w="1440" w:type="dxa"/>
            <w:vAlign w:val="bottom"/>
          </w:tcPr>
          <w:p w14:paraId="799E48F9" w14:textId="35A139D4" w:rsidR="006C3E70" w:rsidRPr="00AC08DE" w:rsidRDefault="00206A14" w:rsidP="00B9002F">
            <w:pPr>
              <w:keepNext/>
              <w:jc w:val="left"/>
              <w:rPr>
                <w:rFonts w:ascii="Arial Narrow" w:hAnsi="Arial Narrow" w:cstheme="minorHAnsi"/>
                <w:i/>
                <w:iCs/>
                <w:sz w:val="20"/>
                <w:szCs w:val="20"/>
                <w:highlight w:val="yellow"/>
              </w:rPr>
            </w:pPr>
            <w:r w:rsidRPr="00206A14">
              <w:rPr>
                <w:rFonts w:ascii="Arial Narrow" w:hAnsi="Arial Narrow" w:cstheme="minorHAnsi"/>
                <w:i/>
                <w:iCs/>
                <w:color w:val="000000"/>
                <w:spacing w:val="52"/>
                <w:sz w:val="20"/>
                <w:szCs w:val="20"/>
                <w:shd w:val="solid" w:color="000000" w:fill="000000"/>
                <w:fitText w:val="328" w:id="-961804528"/>
                <w14:textFill>
                  <w14:solidFill>
                    <w14:srgbClr w14:val="000000">
                      <w14:alpha w14:val="100000"/>
                    </w14:srgbClr>
                  </w14:solidFill>
                </w14:textFill>
              </w:rPr>
              <w:t>|||</w:t>
            </w:r>
            <w:r w:rsidRPr="00206A14">
              <w:rPr>
                <w:rFonts w:ascii="Arial Narrow" w:hAnsi="Arial Narrow" w:cstheme="minorHAnsi"/>
                <w:i/>
                <w:iCs/>
                <w:color w:val="000000"/>
                <w:spacing w:val="2"/>
                <w:sz w:val="20"/>
                <w:szCs w:val="20"/>
                <w:shd w:val="solid" w:color="000000" w:fill="000000"/>
                <w:fitText w:val="328" w:id="-961804528"/>
                <w14:textFill>
                  <w14:solidFill>
                    <w14:srgbClr w14:val="000000">
                      <w14:alpha w14:val="100000"/>
                    </w14:srgbClr>
                  </w14:solidFill>
                </w14:textFill>
              </w:rPr>
              <w:t>|</w:t>
            </w:r>
            <w:r w:rsidR="006C3E70" w:rsidRPr="00BC3FF1">
              <w:rPr>
                <w:rFonts w:ascii="Arial Narrow" w:hAnsi="Arial Narrow" w:cstheme="minorHAnsi"/>
                <w:i/>
                <w:iCs/>
                <w:sz w:val="20"/>
                <w:szCs w:val="20"/>
              </w:rPr>
              <w:t>%</w:t>
            </w:r>
          </w:p>
        </w:tc>
        <w:tc>
          <w:tcPr>
            <w:tcW w:w="1457" w:type="dxa"/>
          </w:tcPr>
          <w:p w14:paraId="4862634E" w14:textId="155F41B7" w:rsidR="006C3E70" w:rsidRPr="00BD19A7" w:rsidRDefault="006C3E70" w:rsidP="00B9002F">
            <w:pPr>
              <w:keepNext/>
              <w:jc w:val="left"/>
              <w:rPr>
                <w:rFonts w:ascii="Arial Narrow" w:hAnsi="Arial Narrow" w:cstheme="minorHAnsi"/>
                <w:i/>
                <w:iCs/>
                <w:sz w:val="20"/>
                <w:szCs w:val="20"/>
              </w:rPr>
            </w:pPr>
            <w:r w:rsidRPr="00BD19A7">
              <w:rPr>
                <w:rFonts w:ascii="Arial Narrow" w:hAnsi="Arial Narrow" w:cstheme="minorHAnsi"/>
                <w:i/>
                <w:iCs/>
                <w:sz w:val="20"/>
                <w:szCs w:val="20"/>
              </w:rPr>
              <w:t>$</w:t>
            </w:r>
            <w:r w:rsidR="00206A14" w:rsidRPr="00206A14">
              <w:rPr>
                <w:rFonts w:ascii="Arial Narrow" w:hAnsi="Arial Narrow" w:cstheme="minorHAnsi"/>
                <w:i/>
                <w:iCs/>
                <w:color w:val="000000"/>
                <w:spacing w:val="52"/>
                <w:sz w:val="20"/>
                <w:szCs w:val="20"/>
                <w:shd w:val="solid" w:color="000000" w:fill="000000"/>
                <w:fitText w:val="328" w:id="-961804544"/>
                <w14:textFill>
                  <w14:solidFill>
                    <w14:srgbClr w14:val="000000">
                      <w14:alpha w14:val="100000"/>
                    </w14:srgbClr>
                  </w14:solidFill>
                </w14:textFill>
              </w:rPr>
              <w:t>|||</w:t>
            </w:r>
            <w:r w:rsidR="00206A14" w:rsidRPr="00206A14">
              <w:rPr>
                <w:rFonts w:ascii="Arial Narrow" w:hAnsi="Arial Narrow" w:cstheme="minorHAnsi"/>
                <w:i/>
                <w:iCs/>
                <w:color w:val="000000"/>
                <w:spacing w:val="2"/>
                <w:sz w:val="20"/>
                <w:szCs w:val="20"/>
                <w:shd w:val="solid" w:color="000000" w:fill="000000"/>
                <w:fitText w:val="328" w:id="-961804544"/>
                <w14:textFill>
                  <w14:solidFill>
                    <w14:srgbClr w14:val="000000">
                      <w14:alpha w14:val="100000"/>
                    </w14:srgbClr>
                  </w14:solidFill>
                </w14:textFill>
              </w:rPr>
              <w:t>|</w:t>
            </w:r>
          </w:p>
        </w:tc>
      </w:tr>
      <w:tr w:rsidR="006C3E70" w:rsidRPr="00BD19A7" w14:paraId="77AAC6EB" w14:textId="77777777" w:rsidTr="00A25635">
        <w:tc>
          <w:tcPr>
            <w:tcW w:w="3120" w:type="dxa"/>
            <w:vAlign w:val="bottom"/>
          </w:tcPr>
          <w:p w14:paraId="6CF2EB77" w14:textId="77777777" w:rsidR="006C3E70" w:rsidRPr="00BD19A7" w:rsidRDefault="006C3E70" w:rsidP="00B9002F">
            <w:pPr>
              <w:keepNext/>
              <w:rPr>
                <w:rFonts w:ascii="Arial Narrow" w:hAnsi="Arial Narrow" w:cstheme="minorHAnsi"/>
                <w:sz w:val="20"/>
                <w:szCs w:val="20"/>
              </w:rPr>
            </w:pPr>
            <w:r w:rsidRPr="00BD19A7">
              <w:rPr>
                <w:rFonts w:ascii="Arial Narrow" w:hAnsi="Arial Narrow" w:cstheme="minorHAnsi"/>
                <w:sz w:val="20"/>
                <w:szCs w:val="20"/>
              </w:rPr>
              <w:t>Recent 24-months (Oct21-Sep23)</w:t>
            </w:r>
          </w:p>
        </w:tc>
        <w:tc>
          <w:tcPr>
            <w:tcW w:w="1560" w:type="dxa"/>
            <w:vAlign w:val="bottom"/>
          </w:tcPr>
          <w:p w14:paraId="3E4028E5" w14:textId="77777777"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Not provided</w:t>
            </w:r>
          </w:p>
        </w:tc>
        <w:tc>
          <w:tcPr>
            <w:tcW w:w="1440" w:type="dxa"/>
          </w:tcPr>
          <w:p w14:paraId="3E6DB787" w14:textId="77777777"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w:t>
            </w:r>
          </w:p>
        </w:tc>
        <w:tc>
          <w:tcPr>
            <w:tcW w:w="1440" w:type="dxa"/>
            <w:vAlign w:val="bottom"/>
          </w:tcPr>
          <w:p w14:paraId="122683D2" w14:textId="6C1499AF" w:rsidR="006C3E70" w:rsidRPr="00AC08DE" w:rsidRDefault="00206A14" w:rsidP="00B9002F">
            <w:pPr>
              <w:keepNext/>
              <w:jc w:val="left"/>
              <w:rPr>
                <w:rFonts w:ascii="Arial Narrow" w:hAnsi="Arial Narrow" w:cstheme="minorHAnsi"/>
                <w:i/>
                <w:iCs/>
                <w:sz w:val="20"/>
                <w:szCs w:val="20"/>
                <w:highlight w:val="yellow"/>
              </w:rPr>
            </w:pPr>
            <w:r w:rsidRPr="00206A14">
              <w:rPr>
                <w:rFonts w:ascii="Arial Narrow" w:hAnsi="Arial Narrow" w:cstheme="minorHAnsi"/>
                <w:i/>
                <w:iCs/>
                <w:color w:val="000000"/>
                <w:spacing w:val="52"/>
                <w:sz w:val="20"/>
                <w:szCs w:val="20"/>
                <w:shd w:val="solid" w:color="000000" w:fill="000000"/>
                <w:fitText w:val="328" w:id="-961804543"/>
                <w14:textFill>
                  <w14:solidFill>
                    <w14:srgbClr w14:val="000000">
                      <w14:alpha w14:val="100000"/>
                    </w14:srgbClr>
                  </w14:solidFill>
                </w14:textFill>
              </w:rPr>
              <w:t>|||</w:t>
            </w:r>
            <w:r w:rsidRPr="00206A14">
              <w:rPr>
                <w:rFonts w:ascii="Arial Narrow" w:hAnsi="Arial Narrow" w:cstheme="minorHAnsi"/>
                <w:i/>
                <w:iCs/>
                <w:color w:val="000000"/>
                <w:spacing w:val="2"/>
                <w:sz w:val="20"/>
                <w:szCs w:val="20"/>
                <w:shd w:val="solid" w:color="000000" w:fill="000000"/>
                <w:fitText w:val="328" w:id="-961804543"/>
                <w14:textFill>
                  <w14:solidFill>
                    <w14:srgbClr w14:val="000000">
                      <w14:alpha w14:val="100000"/>
                    </w14:srgbClr>
                  </w14:solidFill>
                </w14:textFill>
              </w:rPr>
              <w:t>|</w:t>
            </w:r>
            <w:r w:rsidR="006C3E70" w:rsidRPr="00BC3FF1">
              <w:rPr>
                <w:rFonts w:ascii="Arial Narrow" w:hAnsi="Arial Narrow" w:cstheme="minorHAnsi"/>
                <w:i/>
                <w:iCs/>
                <w:sz w:val="20"/>
                <w:szCs w:val="20"/>
              </w:rPr>
              <w:t>%</w:t>
            </w:r>
          </w:p>
        </w:tc>
        <w:tc>
          <w:tcPr>
            <w:tcW w:w="1457" w:type="dxa"/>
          </w:tcPr>
          <w:p w14:paraId="6A9BD798" w14:textId="182EBFA2" w:rsidR="006C3E70" w:rsidRPr="00BD19A7" w:rsidRDefault="006C3E70" w:rsidP="00B9002F">
            <w:pPr>
              <w:keepNext/>
              <w:jc w:val="left"/>
              <w:rPr>
                <w:rFonts w:ascii="Arial Narrow" w:hAnsi="Arial Narrow" w:cstheme="minorHAnsi"/>
                <w:i/>
                <w:iCs/>
                <w:sz w:val="20"/>
                <w:szCs w:val="20"/>
              </w:rPr>
            </w:pPr>
            <w:r w:rsidRPr="00BD19A7">
              <w:rPr>
                <w:rFonts w:ascii="Arial Narrow" w:hAnsi="Arial Narrow" w:cstheme="minorHAnsi"/>
                <w:i/>
                <w:iCs/>
                <w:sz w:val="20"/>
                <w:szCs w:val="20"/>
              </w:rPr>
              <w:t>$</w:t>
            </w:r>
            <w:r w:rsidR="00206A14" w:rsidRPr="00206A14">
              <w:rPr>
                <w:rFonts w:ascii="Arial Narrow" w:hAnsi="Arial Narrow" w:cstheme="minorHAnsi"/>
                <w:i/>
                <w:iCs/>
                <w:color w:val="000000"/>
                <w:spacing w:val="52"/>
                <w:sz w:val="20"/>
                <w:szCs w:val="20"/>
                <w:shd w:val="solid" w:color="000000" w:fill="000000"/>
                <w:fitText w:val="328" w:id="-961804542"/>
                <w14:textFill>
                  <w14:solidFill>
                    <w14:srgbClr w14:val="000000">
                      <w14:alpha w14:val="100000"/>
                    </w14:srgbClr>
                  </w14:solidFill>
                </w14:textFill>
              </w:rPr>
              <w:t>|||</w:t>
            </w:r>
            <w:r w:rsidR="00206A14" w:rsidRPr="00206A14">
              <w:rPr>
                <w:rFonts w:ascii="Arial Narrow" w:hAnsi="Arial Narrow" w:cstheme="minorHAnsi"/>
                <w:i/>
                <w:iCs/>
                <w:color w:val="000000"/>
                <w:spacing w:val="2"/>
                <w:sz w:val="20"/>
                <w:szCs w:val="20"/>
                <w:shd w:val="solid" w:color="000000" w:fill="000000"/>
                <w:fitText w:val="328" w:id="-961804542"/>
                <w14:textFill>
                  <w14:solidFill>
                    <w14:srgbClr w14:val="000000">
                      <w14:alpha w14:val="100000"/>
                    </w14:srgbClr>
                  </w14:solidFill>
                </w14:textFill>
              </w:rPr>
              <w:t>|</w:t>
            </w:r>
          </w:p>
        </w:tc>
      </w:tr>
      <w:tr w:rsidR="006C3E70" w:rsidRPr="00BD19A7" w14:paraId="7CC493AD" w14:textId="77777777" w:rsidTr="00A25635">
        <w:tc>
          <w:tcPr>
            <w:tcW w:w="3120" w:type="dxa"/>
            <w:vAlign w:val="bottom"/>
          </w:tcPr>
          <w:p w14:paraId="6D9E2A5E" w14:textId="77777777" w:rsidR="006C3E70" w:rsidRPr="00BD19A7" w:rsidRDefault="006C3E70" w:rsidP="00B9002F">
            <w:pPr>
              <w:keepNext/>
              <w:rPr>
                <w:rFonts w:ascii="Arial Narrow" w:hAnsi="Arial Narrow" w:cstheme="minorHAnsi"/>
                <w:sz w:val="20"/>
                <w:szCs w:val="20"/>
              </w:rPr>
            </w:pPr>
            <w:r w:rsidRPr="00BD19A7">
              <w:rPr>
                <w:rFonts w:ascii="Arial Narrow" w:hAnsi="Arial Narrow" w:cstheme="minorHAnsi"/>
                <w:sz w:val="20"/>
                <w:szCs w:val="20"/>
              </w:rPr>
              <w:t>All available data (Aug21-Sep23)</w:t>
            </w:r>
          </w:p>
        </w:tc>
        <w:tc>
          <w:tcPr>
            <w:tcW w:w="1560" w:type="dxa"/>
            <w:vAlign w:val="bottom"/>
          </w:tcPr>
          <w:p w14:paraId="67CC41DF" w14:textId="77777777"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Not provided</w:t>
            </w:r>
          </w:p>
        </w:tc>
        <w:tc>
          <w:tcPr>
            <w:tcW w:w="1440" w:type="dxa"/>
          </w:tcPr>
          <w:p w14:paraId="2207ED3E" w14:textId="77777777" w:rsidR="006C3E70" w:rsidRPr="00BD19A7" w:rsidRDefault="006C3E70" w:rsidP="00B9002F">
            <w:pPr>
              <w:keepNext/>
              <w:jc w:val="left"/>
              <w:rPr>
                <w:rFonts w:ascii="Arial Narrow" w:hAnsi="Arial Narrow" w:cstheme="minorHAnsi"/>
                <w:sz w:val="20"/>
                <w:szCs w:val="20"/>
              </w:rPr>
            </w:pPr>
            <w:r w:rsidRPr="00BD19A7">
              <w:rPr>
                <w:rFonts w:ascii="Arial Narrow" w:hAnsi="Arial Narrow" w:cstheme="minorHAnsi"/>
                <w:sz w:val="20"/>
                <w:szCs w:val="20"/>
              </w:rPr>
              <w:t>-</w:t>
            </w:r>
          </w:p>
        </w:tc>
        <w:tc>
          <w:tcPr>
            <w:tcW w:w="1440" w:type="dxa"/>
            <w:vAlign w:val="bottom"/>
          </w:tcPr>
          <w:p w14:paraId="25252636" w14:textId="0D5FEA28" w:rsidR="006C3E70" w:rsidRPr="00AC08DE" w:rsidRDefault="00206A14" w:rsidP="00B9002F">
            <w:pPr>
              <w:keepNext/>
              <w:jc w:val="left"/>
              <w:rPr>
                <w:rFonts w:ascii="Arial Narrow" w:hAnsi="Arial Narrow" w:cstheme="minorHAnsi"/>
                <w:i/>
                <w:iCs/>
                <w:sz w:val="20"/>
                <w:szCs w:val="20"/>
                <w:highlight w:val="yellow"/>
              </w:rPr>
            </w:pPr>
            <w:r w:rsidRPr="00206A14">
              <w:rPr>
                <w:rFonts w:ascii="Arial Narrow" w:hAnsi="Arial Narrow" w:cstheme="minorHAnsi"/>
                <w:i/>
                <w:iCs/>
                <w:color w:val="000000"/>
                <w:spacing w:val="52"/>
                <w:sz w:val="20"/>
                <w:szCs w:val="20"/>
                <w:shd w:val="solid" w:color="000000" w:fill="000000"/>
                <w:fitText w:val="328" w:id="-961804541"/>
                <w14:textFill>
                  <w14:solidFill>
                    <w14:srgbClr w14:val="000000">
                      <w14:alpha w14:val="100000"/>
                    </w14:srgbClr>
                  </w14:solidFill>
                </w14:textFill>
              </w:rPr>
              <w:t>|||</w:t>
            </w:r>
            <w:r w:rsidRPr="00206A14">
              <w:rPr>
                <w:rFonts w:ascii="Arial Narrow" w:hAnsi="Arial Narrow" w:cstheme="minorHAnsi"/>
                <w:i/>
                <w:iCs/>
                <w:color w:val="000000"/>
                <w:spacing w:val="2"/>
                <w:sz w:val="20"/>
                <w:szCs w:val="20"/>
                <w:shd w:val="solid" w:color="000000" w:fill="000000"/>
                <w:fitText w:val="328" w:id="-961804541"/>
                <w14:textFill>
                  <w14:solidFill>
                    <w14:srgbClr w14:val="000000">
                      <w14:alpha w14:val="100000"/>
                    </w14:srgbClr>
                  </w14:solidFill>
                </w14:textFill>
              </w:rPr>
              <w:t>|</w:t>
            </w:r>
            <w:r w:rsidR="006C3E70" w:rsidRPr="00BC3FF1">
              <w:rPr>
                <w:rFonts w:ascii="Arial Narrow" w:hAnsi="Arial Narrow" w:cstheme="minorHAnsi"/>
                <w:i/>
                <w:iCs/>
                <w:sz w:val="20"/>
                <w:szCs w:val="20"/>
              </w:rPr>
              <w:t>%</w:t>
            </w:r>
            <w:r w:rsidR="006C3E70" w:rsidRPr="00206A14">
              <w:rPr>
                <w:rFonts w:ascii="Arial Narrow" w:hAnsi="Arial Narrow" w:cstheme="minorHAnsi"/>
                <w:i/>
                <w:iCs/>
                <w:sz w:val="20"/>
                <w:szCs w:val="20"/>
              </w:rPr>
              <w:t xml:space="preserve"> </w:t>
            </w:r>
          </w:p>
        </w:tc>
        <w:tc>
          <w:tcPr>
            <w:tcW w:w="1457" w:type="dxa"/>
          </w:tcPr>
          <w:p w14:paraId="1D37B26C" w14:textId="2F7BF310" w:rsidR="006C3E70" w:rsidRPr="00BD19A7" w:rsidRDefault="006C3E70" w:rsidP="00B9002F">
            <w:pPr>
              <w:keepNext/>
              <w:jc w:val="left"/>
              <w:rPr>
                <w:rFonts w:ascii="Arial Narrow" w:hAnsi="Arial Narrow" w:cstheme="minorHAnsi"/>
                <w:i/>
                <w:iCs/>
                <w:sz w:val="20"/>
                <w:szCs w:val="20"/>
              </w:rPr>
            </w:pPr>
            <w:r w:rsidRPr="00BD19A7">
              <w:rPr>
                <w:rFonts w:ascii="Arial Narrow" w:hAnsi="Arial Narrow" w:cstheme="minorHAnsi"/>
                <w:i/>
                <w:iCs/>
                <w:sz w:val="20"/>
                <w:szCs w:val="20"/>
              </w:rPr>
              <w:t>$</w:t>
            </w:r>
            <w:r w:rsidR="00206A14" w:rsidRPr="00206A14">
              <w:rPr>
                <w:rFonts w:ascii="Arial Narrow" w:hAnsi="Arial Narrow" w:cstheme="minorHAnsi"/>
                <w:i/>
                <w:iCs/>
                <w:color w:val="000000"/>
                <w:spacing w:val="52"/>
                <w:sz w:val="20"/>
                <w:szCs w:val="20"/>
                <w:shd w:val="solid" w:color="000000" w:fill="000000"/>
                <w:fitText w:val="328" w:id="-961804540"/>
                <w14:textFill>
                  <w14:solidFill>
                    <w14:srgbClr w14:val="000000">
                      <w14:alpha w14:val="100000"/>
                    </w14:srgbClr>
                  </w14:solidFill>
                </w14:textFill>
              </w:rPr>
              <w:t>|||</w:t>
            </w:r>
            <w:r w:rsidR="00206A14" w:rsidRPr="00206A14">
              <w:rPr>
                <w:rFonts w:ascii="Arial Narrow" w:hAnsi="Arial Narrow" w:cstheme="minorHAnsi"/>
                <w:i/>
                <w:iCs/>
                <w:color w:val="000000"/>
                <w:spacing w:val="2"/>
                <w:sz w:val="20"/>
                <w:szCs w:val="20"/>
                <w:shd w:val="solid" w:color="000000" w:fill="000000"/>
                <w:fitText w:val="328" w:id="-961804540"/>
                <w14:textFill>
                  <w14:solidFill>
                    <w14:srgbClr w14:val="000000">
                      <w14:alpha w14:val="100000"/>
                    </w14:srgbClr>
                  </w14:solidFill>
                </w14:textFill>
              </w:rPr>
              <w:t>|</w:t>
            </w:r>
          </w:p>
        </w:tc>
      </w:tr>
    </w:tbl>
    <w:p w14:paraId="12281ED1" w14:textId="76B0957A" w:rsidR="00831329" w:rsidRPr="00BD19A7" w:rsidRDefault="00831329" w:rsidP="00F406DA">
      <w:pPr>
        <w:spacing w:after="120" w:line="288" w:lineRule="auto"/>
        <w:rPr>
          <w:rFonts w:ascii="Arial Narrow" w:eastAsiaTheme="minorHAnsi" w:hAnsi="Arial Narrow" w:cs="Tahoma"/>
          <w:sz w:val="18"/>
          <w:szCs w:val="18"/>
          <w:lang w:eastAsia="en-US"/>
        </w:rPr>
      </w:pPr>
      <w:r w:rsidRPr="00BD19A7">
        <w:rPr>
          <w:rFonts w:ascii="Arial Narrow" w:eastAsiaTheme="minorHAnsi" w:hAnsi="Arial Narrow" w:cs="Tahoma"/>
          <w:sz w:val="18"/>
          <w:szCs w:val="18"/>
          <w:lang w:eastAsia="en-US"/>
        </w:rPr>
        <w:t xml:space="preserve">Source: Entyvio (vedolizumab) - CD - CMA.xlsx; </w:t>
      </w:r>
      <w:r w:rsidR="00FE2482" w:rsidRPr="00BD19A7">
        <w:rPr>
          <w:rFonts w:ascii="Arial Narrow" w:eastAsiaTheme="minorHAnsi" w:hAnsi="Arial Narrow" w:cs="Tahoma"/>
          <w:sz w:val="18"/>
          <w:szCs w:val="18"/>
          <w:lang w:eastAsia="en-US"/>
        </w:rPr>
        <w:t xml:space="preserve">Evaluation </w:t>
      </w:r>
      <w:r w:rsidRPr="00BD19A7">
        <w:rPr>
          <w:rFonts w:ascii="Arial Narrow" w:eastAsiaTheme="minorHAnsi" w:hAnsi="Arial Narrow" w:cs="Tahoma"/>
          <w:sz w:val="18"/>
          <w:szCs w:val="18"/>
          <w:lang w:eastAsia="en-US"/>
        </w:rPr>
        <w:t>sourced patient data</w:t>
      </w:r>
    </w:p>
    <w:p w14:paraId="11552A3F" w14:textId="716E2835" w:rsidR="00167AE1" w:rsidRPr="00BD19A7" w:rsidRDefault="00831329" w:rsidP="00167AE1">
      <w:pPr>
        <w:pStyle w:val="3-BodyText"/>
        <w:rPr>
          <w:i/>
          <w:iCs/>
        </w:rPr>
      </w:pPr>
      <w:r w:rsidRPr="00BD19A7">
        <w:t>The ESC advise</w:t>
      </w:r>
      <w:r w:rsidR="001002A3" w:rsidRPr="00BD19A7">
        <w:t>d</w:t>
      </w:r>
      <w:r w:rsidRPr="00BD19A7">
        <w:t xml:space="preserve"> </w:t>
      </w:r>
      <w:r w:rsidR="001002A3" w:rsidRPr="00BD19A7">
        <w:t xml:space="preserve">that all available data (Aug21-Sep23) </w:t>
      </w:r>
      <w:r w:rsidRPr="00BD19A7">
        <w:t>should be used to estimate percentage of newly initiating patients requiring a fourth dose at week 10</w:t>
      </w:r>
      <w:r w:rsidR="001002A3" w:rsidRPr="00BD19A7">
        <w:t xml:space="preserve">, providing as estimated utilisation of a fourth dose at </w:t>
      </w:r>
      <w:r w:rsidR="00206A14" w:rsidRPr="007B0FCD">
        <w:rPr>
          <w:color w:val="000000"/>
          <w:w w:val="15"/>
          <w:shd w:val="solid" w:color="000000" w:fill="000000"/>
          <w:fitText w:val="-20" w:id="-961804539"/>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539"/>
          <w14:textFill>
            <w14:solidFill>
              <w14:srgbClr w14:val="000000">
                <w14:alpha w14:val="100000"/>
              </w14:srgbClr>
            </w14:solidFill>
          </w14:textFill>
        </w:rPr>
        <w:t>|</w:t>
      </w:r>
      <w:r w:rsidR="001002A3" w:rsidRPr="00BD19A7">
        <w:t>% of initiating patients</w:t>
      </w:r>
      <w:r w:rsidRPr="00BD19A7">
        <w:t xml:space="preserve">. </w:t>
      </w:r>
      <w:r w:rsidR="00167AE1" w:rsidRPr="00BD19A7">
        <w:rPr>
          <w:rFonts w:eastAsia="Calibri"/>
          <w:bCs/>
        </w:rPr>
        <w:t>The PSCR supported this request for advice from the ESC</w:t>
      </w:r>
      <w:r w:rsidR="00BD19A7">
        <w:rPr>
          <w:rFonts w:eastAsia="Calibri"/>
          <w:bCs/>
        </w:rPr>
        <w:t>.</w:t>
      </w:r>
    </w:p>
    <w:p w14:paraId="6D1A5CE5" w14:textId="121F7AB0" w:rsidR="006F4717" w:rsidRPr="00BD19A7" w:rsidRDefault="006F4717" w:rsidP="006F4717">
      <w:pPr>
        <w:pStyle w:val="3-BodyText"/>
      </w:pPr>
      <w:r w:rsidRPr="00BD19A7">
        <w:t>The resulting number of patients with severe CD who are expected to require an additional dose of vedolizumab 300 mg IV at Week 10</w:t>
      </w:r>
      <w:r w:rsidR="00D575B7" w:rsidRPr="00BD19A7">
        <w:t>, based on the estim</w:t>
      </w:r>
      <w:r w:rsidR="00AE5329" w:rsidRPr="00BD19A7">
        <w:t>a</w:t>
      </w:r>
      <w:r w:rsidR="00D575B7" w:rsidRPr="00BD19A7">
        <w:t>tes provided in the submission,</w:t>
      </w:r>
      <w:r w:rsidRPr="00BD19A7">
        <w:t xml:space="preserve"> is therefore </w:t>
      </w:r>
      <w:r w:rsidR="00EF126B" w:rsidRPr="00EF126B">
        <w:t>&lt; 500</w:t>
      </w:r>
      <w:r w:rsidR="00EF126B">
        <w:t xml:space="preserve"> </w:t>
      </w:r>
      <w:r w:rsidRPr="00BD19A7">
        <w:t>in Year 1 increas</w:t>
      </w:r>
      <w:r w:rsidR="0043452F" w:rsidRPr="00BD19A7">
        <w:t>ing</w:t>
      </w:r>
      <w:r w:rsidRPr="00BD19A7">
        <w:t xml:space="preserve"> to </w:t>
      </w:r>
      <w:r w:rsidR="00EF126B" w:rsidRPr="00EF126B">
        <w:t>&lt; 500</w:t>
      </w:r>
      <w:r w:rsidRPr="00BD19A7">
        <w:t xml:space="preserve"> patients in Year 6 (</w:t>
      </w:r>
      <w:r w:rsidR="007741F1" w:rsidRPr="00BD19A7">
        <w:fldChar w:fldCharType="begin" w:fldLock="1"/>
      </w:r>
      <w:r w:rsidR="007741F1" w:rsidRPr="00BD19A7">
        <w:instrText xml:space="preserve"> REF _Ref155860550 \h </w:instrText>
      </w:r>
      <w:r w:rsidR="007741F1" w:rsidRPr="00BD19A7">
        <w:fldChar w:fldCharType="separate"/>
      </w:r>
      <w:r w:rsidR="00A008BF" w:rsidRPr="00BD19A7" w:rsidDel="00A56DFE">
        <w:t>Table 14</w:t>
      </w:r>
      <w:r w:rsidR="007741F1" w:rsidRPr="00BD19A7">
        <w:fldChar w:fldCharType="end"/>
      </w:r>
      <w:r w:rsidRPr="00BD19A7">
        <w:t>).</w:t>
      </w:r>
    </w:p>
    <w:p w14:paraId="761CB57A" w14:textId="7DACB474" w:rsidR="00F04CE9" w:rsidRPr="00BD19A7" w:rsidRDefault="00F04CE9" w:rsidP="006E3B3A">
      <w:pPr>
        <w:pStyle w:val="Caption"/>
      </w:pPr>
      <w:bookmarkStart w:id="58" w:name="_Ref155860550"/>
      <w:r w:rsidRPr="00BD19A7">
        <w:t xml:space="preserve">Table </w:t>
      </w:r>
      <w:r w:rsidR="007B0FCD">
        <w:fldChar w:fldCharType="begin" w:fldLock="1"/>
      </w:r>
      <w:r w:rsidR="007B0FCD">
        <w:instrText xml:space="preserve"> SEQ Table \* ARABIC </w:instrText>
      </w:r>
      <w:r w:rsidR="007B0FCD">
        <w:fldChar w:fldCharType="separate"/>
      </w:r>
      <w:r w:rsidR="00A56DFE">
        <w:rPr>
          <w:noProof/>
        </w:rPr>
        <w:t>14</w:t>
      </w:r>
      <w:r w:rsidR="007B0FCD">
        <w:rPr>
          <w:noProof/>
        </w:rPr>
        <w:fldChar w:fldCharType="end"/>
      </w:r>
      <w:bookmarkEnd w:id="58"/>
      <w:r w:rsidRPr="00BD19A7">
        <w:t>: Patients with severe CD requiring an additional dose at Week 10</w:t>
      </w:r>
    </w:p>
    <w:tbl>
      <w:tblPr>
        <w:tblStyle w:val="HTATableshaded"/>
        <w:tblW w:w="5000" w:type="pct"/>
        <w:tblLook w:val="04A0" w:firstRow="1" w:lastRow="0" w:firstColumn="1" w:lastColumn="0" w:noHBand="0" w:noVBand="1"/>
        <w:tblCaption w:val="Table 14: Patients with severe CD requiring an additional dose at Week 10"/>
      </w:tblPr>
      <w:tblGrid>
        <w:gridCol w:w="2333"/>
        <w:gridCol w:w="1114"/>
        <w:gridCol w:w="1114"/>
        <w:gridCol w:w="1115"/>
        <w:gridCol w:w="1115"/>
        <w:gridCol w:w="1115"/>
        <w:gridCol w:w="1111"/>
      </w:tblGrid>
      <w:tr w:rsidR="006F4717" w:rsidRPr="00BD19A7" w14:paraId="5F408746" w14:textId="77777777" w:rsidTr="00EB1F75">
        <w:trPr>
          <w:cnfStyle w:val="100000000000" w:firstRow="1" w:lastRow="0" w:firstColumn="0" w:lastColumn="0" w:oddVBand="0" w:evenVBand="0" w:oddHBand="0" w:evenHBand="0" w:firstRowFirstColumn="0" w:firstRowLastColumn="0" w:lastRowFirstColumn="0" w:lastRowLastColumn="0"/>
        </w:trPr>
        <w:tc>
          <w:tcPr>
            <w:tcW w:w="1294" w:type="pct"/>
            <w:shd w:val="clear" w:color="auto" w:fill="F2F2F2" w:themeFill="background1" w:themeFillShade="F2"/>
          </w:tcPr>
          <w:p w14:paraId="427DF9A2" w14:textId="77777777" w:rsidR="006F4717" w:rsidRPr="00BD19A7" w:rsidRDefault="006F4717" w:rsidP="006E3B3A">
            <w:pPr>
              <w:keepNext/>
              <w:spacing w:before="0" w:after="0"/>
              <w:rPr>
                <w:rFonts w:ascii="Arial Narrow" w:hAnsi="Arial Narrow" w:cstheme="minorHAnsi"/>
                <w:b/>
                <w:bCs/>
                <w:sz w:val="20"/>
                <w:szCs w:val="20"/>
              </w:rPr>
            </w:pPr>
          </w:p>
        </w:tc>
        <w:tc>
          <w:tcPr>
            <w:tcW w:w="618" w:type="pct"/>
            <w:shd w:val="clear" w:color="auto" w:fill="F2F2F2" w:themeFill="background1" w:themeFillShade="F2"/>
          </w:tcPr>
          <w:p w14:paraId="75DE85E1" w14:textId="77777777" w:rsidR="006F4717" w:rsidRPr="00BD19A7" w:rsidRDefault="006F4717" w:rsidP="006E3B3A">
            <w:pPr>
              <w:keepNext/>
              <w:spacing w:before="0" w:after="0"/>
              <w:jc w:val="center"/>
              <w:rPr>
                <w:rFonts w:ascii="Arial Narrow" w:hAnsi="Arial Narrow" w:cstheme="minorHAnsi"/>
                <w:b/>
                <w:bCs/>
                <w:sz w:val="20"/>
                <w:szCs w:val="20"/>
              </w:rPr>
            </w:pPr>
            <w:r w:rsidRPr="00BD19A7">
              <w:rPr>
                <w:rFonts w:ascii="Arial Narrow" w:hAnsi="Arial Narrow" w:cs="Tahoma"/>
                <w:b/>
                <w:bCs/>
                <w:sz w:val="20"/>
                <w:szCs w:val="20"/>
              </w:rPr>
              <w:t>Year 1</w:t>
            </w:r>
          </w:p>
        </w:tc>
        <w:tc>
          <w:tcPr>
            <w:tcW w:w="618" w:type="pct"/>
            <w:shd w:val="clear" w:color="auto" w:fill="F2F2F2" w:themeFill="background1" w:themeFillShade="F2"/>
          </w:tcPr>
          <w:p w14:paraId="74C2F442" w14:textId="77777777" w:rsidR="006F4717" w:rsidRPr="00BD19A7" w:rsidRDefault="006F4717" w:rsidP="006E3B3A">
            <w:pPr>
              <w:keepNext/>
              <w:spacing w:before="0" w:after="0"/>
              <w:jc w:val="center"/>
              <w:rPr>
                <w:rFonts w:ascii="Arial Narrow" w:hAnsi="Arial Narrow" w:cstheme="minorHAnsi"/>
                <w:b/>
                <w:bCs/>
                <w:sz w:val="20"/>
                <w:szCs w:val="20"/>
              </w:rPr>
            </w:pPr>
            <w:r w:rsidRPr="00BD19A7">
              <w:rPr>
                <w:rFonts w:ascii="Arial Narrow" w:hAnsi="Arial Narrow" w:cs="Tahoma"/>
                <w:b/>
                <w:bCs/>
                <w:sz w:val="20"/>
                <w:szCs w:val="20"/>
              </w:rPr>
              <w:t>Year 2</w:t>
            </w:r>
          </w:p>
        </w:tc>
        <w:tc>
          <w:tcPr>
            <w:tcW w:w="618" w:type="pct"/>
            <w:shd w:val="clear" w:color="auto" w:fill="F2F2F2" w:themeFill="background1" w:themeFillShade="F2"/>
          </w:tcPr>
          <w:p w14:paraId="76217AFD" w14:textId="77777777" w:rsidR="006F4717" w:rsidRPr="00BD19A7" w:rsidRDefault="006F4717" w:rsidP="006E3B3A">
            <w:pPr>
              <w:keepNext/>
              <w:spacing w:before="0" w:after="0"/>
              <w:jc w:val="center"/>
              <w:rPr>
                <w:rFonts w:ascii="Arial Narrow" w:hAnsi="Arial Narrow" w:cstheme="minorHAnsi"/>
                <w:b/>
                <w:bCs/>
                <w:sz w:val="20"/>
                <w:szCs w:val="20"/>
              </w:rPr>
            </w:pPr>
            <w:r w:rsidRPr="00BD19A7">
              <w:rPr>
                <w:rFonts w:ascii="Arial Narrow" w:hAnsi="Arial Narrow" w:cs="Tahoma"/>
                <w:b/>
                <w:bCs/>
                <w:sz w:val="20"/>
                <w:szCs w:val="20"/>
              </w:rPr>
              <w:t>Year 3</w:t>
            </w:r>
          </w:p>
        </w:tc>
        <w:tc>
          <w:tcPr>
            <w:tcW w:w="618" w:type="pct"/>
            <w:shd w:val="clear" w:color="auto" w:fill="F2F2F2" w:themeFill="background1" w:themeFillShade="F2"/>
          </w:tcPr>
          <w:p w14:paraId="7D783537" w14:textId="77777777" w:rsidR="006F4717" w:rsidRPr="00BD19A7" w:rsidRDefault="006F4717" w:rsidP="006E3B3A">
            <w:pPr>
              <w:keepNext/>
              <w:spacing w:before="0" w:after="0"/>
              <w:jc w:val="center"/>
              <w:rPr>
                <w:rFonts w:ascii="Arial Narrow" w:hAnsi="Arial Narrow" w:cstheme="minorHAnsi"/>
                <w:b/>
                <w:bCs/>
                <w:sz w:val="20"/>
                <w:szCs w:val="20"/>
              </w:rPr>
            </w:pPr>
            <w:r w:rsidRPr="00BD19A7">
              <w:rPr>
                <w:rFonts w:ascii="Arial Narrow" w:hAnsi="Arial Narrow" w:cs="Tahoma"/>
                <w:b/>
                <w:bCs/>
                <w:sz w:val="20"/>
                <w:szCs w:val="20"/>
              </w:rPr>
              <w:t>Year 4</w:t>
            </w:r>
          </w:p>
        </w:tc>
        <w:tc>
          <w:tcPr>
            <w:tcW w:w="618" w:type="pct"/>
            <w:shd w:val="clear" w:color="auto" w:fill="F2F2F2" w:themeFill="background1" w:themeFillShade="F2"/>
          </w:tcPr>
          <w:p w14:paraId="079E822F" w14:textId="77777777" w:rsidR="006F4717" w:rsidRPr="00BD19A7" w:rsidRDefault="006F4717" w:rsidP="006E3B3A">
            <w:pPr>
              <w:keepNext/>
              <w:spacing w:before="0" w:after="0"/>
              <w:jc w:val="center"/>
              <w:rPr>
                <w:rFonts w:ascii="Arial Narrow" w:hAnsi="Arial Narrow" w:cstheme="minorHAnsi"/>
                <w:b/>
                <w:bCs/>
                <w:sz w:val="20"/>
                <w:szCs w:val="20"/>
              </w:rPr>
            </w:pPr>
            <w:r w:rsidRPr="00BD19A7">
              <w:rPr>
                <w:rFonts w:ascii="Arial Narrow" w:hAnsi="Arial Narrow" w:cs="Tahoma"/>
                <w:b/>
                <w:bCs/>
                <w:sz w:val="20"/>
                <w:szCs w:val="20"/>
              </w:rPr>
              <w:t>Year 5</w:t>
            </w:r>
          </w:p>
        </w:tc>
        <w:tc>
          <w:tcPr>
            <w:tcW w:w="616" w:type="pct"/>
            <w:shd w:val="clear" w:color="auto" w:fill="F2F2F2" w:themeFill="background1" w:themeFillShade="F2"/>
          </w:tcPr>
          <w:p w14:paraId="66F4FAA5" w14:textId="77777777" w:rsidR="006F4717" w:rsidRPr="00BD19A7" w:rsidRDefault="006F4717" w:rsidP="006E3B3A">
            <w:pPr>
              <w:keepNext/>
              <w:spacing w:before="0" w:after="0"/>
              <w:jc w:val="center"/>
              <w:rPr>
                <w:rFonts w:ascii="Arial Narrow" w:hAnsi="Arial Narrow" w:cstheme="minorHAnsi"/>
                <w:b/>
                <w:bCs/>
                <w:sz w:val="20"/>
                <w:szCs w:val="20"/>
              </w:rPr>
            </w:pPr>
            <w:r w:rsidRPr="00BD19A7">
              <w:rPr>
                <w:rFonts w:ascii="Arial Narrow" w:hAnsi="Arial Narrow" w:cs="Tahoma"/>
                <w:b/>
                <w:bCs/>
                <w:sz w:val="20"/>
                <w:szCs w:val="20"/>
              </w:rPr>
              <w:t>Year 6</w:t>
            </w:r>
          </w:p>
        </w:tc>
      </w:tr>
      <w:tr w:rsidR="006F4717" w:rsidRPr="00BD19A7" w14:paraId="5028C6E9" w14:textId="77777777" w:rsidTr="00206A14">
        <w:tc>
          <w:tcPr>
            <w:tcW w:w="1294" w:type="pct"/>
          </w:tcPr>
          <w:p w14:paraId="49926185" w14:textId="77777777" w:rsidR="006F4717" w:rsidRPr="00BD19A7" w:rsidRDefault="006F4717" w:rsidP="006E3B3A">
            <w:pPr>
              <w:keepNext/>
              <w:spacing w:before="0" w:after="0"/>
              <w:rPr>
                <w:rFonts w:ascii="Arial Narrow" w:hAnsi="Arial Narrow" w:cstheme="minorHAnsi"/>
                <w:sz w:val="20"/>
                <w:szCs w:val="20"/>
              </w:rPr>
            </w:pPr>
            <w:r w:rsidRPr="00BD19A7">
              <w:rPr>
                <w:rFonts w:ascii="Arial Narrow" w:hAnsi="Arial Narrow" w:cstheme="minorHAnsi"/>
                <w:sz w:val="20"/>
                <w:szCs w:val="20"/>
              </w:rPr>
              <w:t>Newly initiating treatment</w:t>
            </w:r>
          </w:p>
        </w:tc>
        <w:tc>
          <w:tcPr>
            <w:tcW w:w="618" w:type="pct"/>
            <w:tcBorders>
              <w:bottom w:val="single" w:sz="4" w:space="0" w:color="auto"/>
            </w:tcBorders>
            <w:vAlign w:val="center"/>
          </w:tcPr>
          <w:p w14:paraId="0FB40409" w14:textId="04F06B01" w:rsidR="006F4717" w:rsidRPr="00170817" w:rsidRDefault="00206A14" w:rsidP="006E3B3A">
            <w:pPr>
              <w:keepNext/>
              <w:spacing w:before="0" w:after="0"/>
              <w:jc w:val="center"/>
              <w:rPr>
                <w:rFonts w:ascii="Arial Narrow" w:hAnsi="Arial Narrow" w:cstheme="minorHAnsi"/>
                <w:sz w:val="20"/>
                <w:szCs w:val="20"/>
                <w:highlight w:val="lightGray"/>
              </w:rPr>
            </w:pPr>
            <w:r w:rsidRPr="00547B4E">
              <w:rPr>
                <w:rFonts w:ascii="Arial Narrow" w:hAnsi="Arial Narrow" w:cstheme="minorHAnsi" w:hint="eastAsia"/>
                <w:color w:val="000000"/>
                <w:w w:val="28"/>
                <w:sz w:val="20"/>
                <w:szCs w:val="20"/>
                <w:shd w:val="solid" w:color="000000" w:fill="000000"/>
                <w:fitText w:val="128" w:id="-961804538"/>
                <w14:textFill>
                  <w14:solidFill>
                    <w14:srgbClr w14:val="000000">
                      <w14:alpha w14:val="100000"/>
                    </w14:srgbClr>
                  </w14:solidFill>
                </w14:textFill>
              </w:rPr>
              <w:t xml:space="preserve">　</w:t>
            </w:r>
            <w:r w:rsidRPr="00547B4E">
              <w:rPr>
                <w:rFonts w:ascii="Arial Narrow" w:hAnsi="Arial Narrow" w:cstheme="minorHAnsi"/>
                <w:color w:val="000000"/>
                <w:w w:val="28"/>
                <w:sz w:val="20"/>
                <w:szCs w:val="20"/>
                <w:shd w:val="solid" w:color="000000" w:fill="000000"/>
                <w:fitText w:val="128" w:id="-961804538"/>
                <w14:textFill>
                  <w14:solidFill>
                    <w14:srgbClr w14:val="000000">
                      <w14:alpha w14:val="100000"/>
                    </w14:srgbClr>
                  </w14:solidFill>
                </w14:textFill>
              </w:rPr>
              <w:t>|</w:t>
            </w:r>
            <w:r w:rsidRPr="00547B4E">
              <w:rPr>
                <w:rFonts w:ascii="Arial Narrow" w:hAnsi="Arial Narrow" w:cstheme="minorHAnsi" w:hint="eastAsia"/>
                <w:color w:val="000000"/>
                <w:w w:val="28"/>
                <w:sz w:val="20"/>
                <w:szCs w:val="20"/>
                <w:shd w:val="solid" w:color="000000" w:fill="000000"/>
                <w:fitText w:val="128" w:id="-961804538"/>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8" w:type="pct"/>
            <w:tcBorders>
              <w:bottom w:val="single" w:sz="4" w:space="0" w:color="auto"/>
            </w:tcBorders>
            <w:vAlign w:val="center"/>
          </w:tcPr>
          <w:p w14:paraId="080B8326" w14:textId="04F9ABBF"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28"/>
                <w:sz w:val="20"/>
                <w:szCs w:val="20"/>
                <w:shd w:val="solid" w:color="000000" w:fill="000000"/>
                <w:fitText w:val="128" w:id="-961804537"/>
                <w14:textFill>
                  <w14:solidFill>
                    <w14:srgbClr w14:val="000000">
                      <w14:alpha w14:val="100000"/>
                    </w14:srgbClr>
                  </w14:solidFill>
                </w14:textFill>
              </w:rPr>
              <w:t xml:space="preserve">　</w:t>
            </w:r>
            <w:r w:rsidRPr="00206A14">
              <w:rPr>
                <w:rFonts w:ascii="Arial Narrow" w:hAnsi="Arial Narrow" w:cstheme="minorHAnsi"/>
                <w:color w:val="000000"/>
                <w:w w:val="28"/>
                <w:sz w:val="20"/>
                <w:szCs w:val="20"/>
                <w:shd w:val="solid" w:color="000000" w:fill="000000"/>
                <w:fitText w:val="128" w:id="-961804537"/>
                <w14:textFill>
                  <w14:solidFill>
                    <w14:srgbClr w14:val="000000">
                      <w14:alpha w14:val="100000"/>
                    </w14:srgbClr>
                  </w14:solidFill>
                </w14:textFill>
              </w:rPr>
              <w:t>|</w:t>
            </w:r>
            <w:r w:rsidRPr="00206A14">
              <w:rPr>
                <w:rFonts w:ascii="Arial Narrow" w:hAnsi="Arial Narrow" w:cstheme="minorHAnsi" w:hint="eastAsia"/>
                <w:color w:val="000000"/>
                <w:spacing w:val="6"/>
                <w:w w:val="28"/>
                <w:sz w:val="20"/>
                <w:szCs w:val="20"/>
                <w:shd w:val="solid" w:color="000000" w:fill="000000"/>
                <w:fitText w:val="128" w:id="-961804537"/>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8" w:type="pct"/>
            <w:tcBorders>
              <w:bottom w:val="single" w:sz="4" w:space="0" w:color="auto"/>
            </w:tcBorders>
            <w:vAlign w:val="center"/>
          </w:tcPr>
          <w:p w14:paraId="3CB2ECEC" w14:textId="04E45D84"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28"/>
                <w:sz w:val="20"/>
                <w:szCs w:val="20"/>
                <w:shd w:val="solid" w:color="000000" w:fill="000000"/>
                <w:fitText w:val="128" w:id="-961804536"/>
                <w14:textFill>
                  <w14:solidFill>
                    <w14:srgbClr w14:val="000000">
                      <w14:alpha w14:val="100000"/>
                    </w14:srgbClr>
                  </w14:solidFill>
                </w14:textFill>
              </w:rPr>
              <w:t xml:space="preserve">　</w:t>
            </w:r>
            <w:r w:rsidRPr="00206A14">
              <w:rPr>
                <w:rFonts w:ascii="Arial Narrow" w:hAnsi="Arial Narrow" w:cstheme="minorHAnsi"/>
                <w:color w:val="000000"/>
                <w:w w:val="28"/>
                <w:sz w:val="20"/>
                <w:szCs w:val="20"/>
                <w:shd w:val="solid" w:color="000000" w:fill="000000"/>
                <w:fitText w:val="128" w:id="-961804536"/>
                <w14:textFill>
                  <w14:solidFill>
                    <w14:srgbClr w14:val="000000">
                      <w14:alpha w14:val="100000"/>
                    </w14:srgbClr>
                  </w14:solidFill>
                </w14:textFill>
              </w:rPr>
              <w:t>|</w:t>
            </w:r>
            <w:r w:rsidRPr="00206A14">
              <w:rPr>
                <w:rFonts w:ascii="Arial Narrow" w:hAnsi="Arial Narrow" w:cstheme="minorHAnsi" w:hint="eastAsia"/>
                <w:color w:val="000000"/>
                <w:spacing w:val="6"/>
                <w:w w:val="28"/>
                <w:sz w:val="20"/>
                <w:szCs w:val="20"/>
                <w:shd w:val="solid" w:color="000000" w:fill="000000"/>
                <w:fitText w:val="128" w:id="-961804536"/>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8" w:type="pct"/>
            <w:tcBorders>
              <w:bottom w:val="single" w:sz="4" w:space="0" w:color="auto"/>
            </w:tcBorders>
            <w:vAlign w:val="center"/>
          </w:tcPr>
          <w:p w14:paraId="3737E257" w14:textId="40262EE5"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28"/>
                <w:sz w:val="20"/>
                <w:szCs w:val="20"/>
                <w:shd w:val="solid" w:color="000000" w:fill="000000"/>
                <w:fitText w:val="128" w:id="-961804535"/>
                <w14:textFill>
                  <w14:solidFill>
                    <w14:srgbClr w14:val="000000">
                      <w14:alpha w14:val="100000"/>
                    </w14:srgbClr>
                  </w14:solidFill>
                </w14:textFill>
              </w:rPr>
              <w:t xml:space="preserve">　</w:t>
            </w:r>
            <w:r w:rsidRPr="00206A14">
              <w:rPr>
                <w:rFonts w:ascii="Arial Narrow" w:hAnsi="Arial Narrow" w:cstheme="minorHAnsi"/>
                <w:color w:val="000000"/>
                <w:w w:val="28"/>
                <w:sz w:val="20"/>
                <w:szCs w:val="20"/>
                <w:shd w:val="solid" w:color="000000" w:fill="000000"/>
                <w:fitText w:val="128" w:id="-961804535"/>
                <w14:textFill>
                  <w14:solidFill>
                    <w14:srgbClr w14:val="000000">
                      <w14:alpha w14:val="100000"/>
                    </w14:srgbClr>
                  </w14:solidFill>
                </w14:textFill>
              </w:rPr>
              <w:t>|</w:t>
            </w:r>
            <w:r w:rsidRPr="00206A14">
              <w:rPr>
                <w:rFonts w:ascii="Arial Narrow" w:hAnsi="Arial Narrow" w:cstheme="minorHAnsi" w:hint="eastAsia"/>
                <w:color w:val="000000"/>
                <w:spacing w:val="6"/>
                <w:w w:val="28"/>
                <w:sz w:val="20"/>
                <w:szCs w:val="20"/>
                <w:shd w:val="solid" w:color="000000" w:fill="000000"/>
                <w:fitText w:val="128" w:id="-961804535"/>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8" w:type="pct"/>
            <w:tcBorders>
              <w:bottom w:val="single" w:sz="4" w:space="0" w:color="auto"/>
            </w:tcBorders>
            <w:vAlign w:val="center"/>
          </w:tcPr>
          <w:p w14:paraId="75F2FDD1" w14:textId="24E44EC3"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28"/>
                <w:sz w:val="20"/>
                <w:szCs w:val="20"/>
                <w:shd w:val="solid" w:color="000000" w:fill="000000"/>
                <w:fitText w:val="128" w:id="-961804534"/>
                <w14:textFill>
                  <w14:solidFill>
                    <w14:srgbClr w14:val="000000">
                      <w14:alpha w14:val="100000"/>
                    </w14:srgbClr>
                  </w14:solidFill>
                </w14:textFill>
              </w:rPr>
              <w:t xml:space="preserve">　</w:t>
            </w:r>
            <w:r w:rsidRPr="00206A14">
              <w:rPr>
                <w:rFonts w:ascii="Arial Narrow" w:hAnsi="Arial Narrow" w:cstheme="minorHAnsi"/>
                <w:color w:val="000000"/>
                <w:w w:val="28"/>
                <w:sz w:val="20"/>
                <w:szCs w:val="20"/>
                <w:shd w:val="solid" w:color="000000" w:fill="000000"/>
                <w:fitText w:val="128" w:id="-961804534"/>
                <w14:textFill>
                  <w14:solidFill>
                    <w14:srgbClr w14:val="000000">
                      <w14:alpha w14:val="100000"/>
                    </w14:srgbClr>
                  </w14:solidFill>
                </w14:textFill>
              </w:rPr>
              <w:t>|</w:t>
            </w:r>
            <w:r w:rsidRPr="00206A14">
              <w:rPr>
                <w:rFonts w:ascii="Arial Narrow" w:hAnsi="Arial Narrow" w:cstheme="minorHAnsi" w:hint="eastAsia"/>
                <w:color w:val="000000"/>
                <w:spacing w:val="6"/>
                <w:w w:val="28"/>
                <w:sz w:val="20"/>
                <w:szCs w:val="20"/>
                <w:shd w:val="solid" w:color="000000" w:fill="000000"/>
                <w:fitText w:val="128" w:id="-961804534"/>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6" w:type="pct"/>
            <w:tcBorders>
              <w:bottom w:val="single" w:sz="4" w:space="0" w:color="auto"/>
            </w:tcBorders>
            <w:vAlign w:val="center"/>
          </w:tcPr>
          <w:p w14:paraId="06002F71" w14:textId="65374A94"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28"/>
                <w:sz w:val="20"/>
                <w:szCs w:val="20"/>
                <w:shd w:val="solid" w:color="000000" w:fill="000000"/>
                <w:fitText w:val="128" w:id="-961804533"/>
                <w14:textFill>
                  <w14:solidFill>
                    <w14:srgbClr w14:val="000000">
                      <w14:alpha w14:val="100000"/>
                    </w14:srgbClr>
                  </w14:solidFill>
                </w14:textFill>
              </w:rPr>
              <w:t xml:space="preserve">　</w:t>
            </w:r>
            <w:r w:rsidRPr="00206A14">
              <w:rPr>
                <w:rFonts w:ascii="Arial Narrow" w:hAnsi="Arial Narrow" w:cstheme="minorHAnsi"/>
                <w:color w:val="000000"/>
                <w:w w:val="28"/>
                <w:sz w:val="20"/>
                <w:szCs w:val="20"/>
                <w:shd w:val="solid" w:color="000000" w:fill="000000"/>
                <w:fitText w:val="128" w:id="-961804533"/>
                <w14:textFill>
                  <w14:solidFill>
                    <w14:srgbClr w14:val="000000">
                      <w14:alpha w14:val="100000"/>
                    </w14:srgbClr>
                  </w14:solidFill>
                </w14:textFill>
              </w:rPr>
              <w:t>|</w:t>
            </w:r>
            <w:r w:rsidRPr="00206A14">
              <w:rPr>
                <w:rFonts w:ascii="Arial Narrow" w:hAnsi="Arial Narrow" w:cstheme="minorHAnsi" w:hint="eastAsia"/>
                <w:color w:val="000000"/>
                <w:spacing w:val="6"/>
                <w:w w:val="28"/>
                <w:sz w:val="20"/>
                <w:szCs w:val="20"/>
                <w:shd w:val="solid" w:color="000000" w:fill="000000"/>
                <w:fitText w:val="128" w:id="-961804533"/>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r>
      <w:tr w:rsidR="00547B4E" w:rsidRPr="00BD19A7" w14:paraId="39EE176D" w14:textId="77777777" w:rsidTr="007D011A">
        <w:tc>
          <w:tcPr>
            <w:tcW w:w="1294" w:type="pct"/>
          </w:tcPr>
          <w:p w14:paraId="4763AFB6" w14:textId="77777777" w:rsidR="00547B4E" w:rsidRPr="00BD19A7" w:rsidRDefault="00547B4E" w:rsidP="00547B4E">
            <w:pPr>
              <w:keepNext/>
              <w:spacing w:before="0" w:after="0"/>
              <w:rPr>
                <w:rFonts w:ascii="Arial Narrow" w:hAnsi="Arial Narrow" w:cstheme="minorHAnsi"/>
                <w:sz w:val="20"/>
                <w:szCs w:val="20"/>
              </w:rPr>
            </w:pPr>
            <w:r w:rsidRPr="00BD19A7">
              <w:rPr>
                <w:rFonts w:ascii="Arial Narrow" w:hAnsi="Arial Narrow" w:cstheme="minorHAnsi"/>
                <w:sz w:val="20"/>
                <w:szCs w:val="20"/>
              </w:rPr>
              <w:t>Additional Week 10 dose (%)</w:t>
            </w:r>
          </w:p>
        </w:tc>
        <w:tc>
          <w:tcPr>
            <w:tcW w:w="618" w:type="pct"/>
            <w:shd w:val="clear" w:color="auto" w:fill="auto"/>
          </w:tcPr>
          <w:p w14:paraId="5658B581" w14:textId="7696678F" w:rsidR="00547B4E" w:rsidRPr="00BC3FF1" w:rsidRDefault="00547B4E" w:rsidP="00547B4E">
            <w:pPr>
              <w:keepNext/>
              <w:spacing w:before="0" w:after="0"/>
              <w:jc w:val="center"/>
              <w:rPr>
                <w:rFonts w:ascii="Arial Narrow" w:hAnsi="Arial Narrow" w:cstheme="minorHAnsi"/>
                <w:sz w:val="20"/>
                <w:szCs w:val="20"/>
                <w:highlight w:val="lightGray"/>
              </w:rPr>
            </w:pP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4606E9">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8" w:type="pct"/>
            <w:shd w:val="clear" w:color="auto" w:fill="auto"/>
          </w:tcPr>
          <w:p w14:paraId="2437EE48" w14:textId="133B3136" w:rsidR="00547B4E" w:rsidRPr="00BC3FF1" w:rsidRDefault="00547B4E" w:rsidP="00547B4E">
            <w:pPr>
              <w:keepNext/>
              <w:spacing w:before="0" w:after="0"/>
              <w:jc w:val="center"/>
              <w:rPr>
                <w:rFonts w:ascii="Arial Narrow" w:hAnsi="Arial Narrow" w:cstheme="minorHAnsi"/>
                <w:sz w:val="20"/>
                <w:szCs w:val="20"/>
                <w:highlight w:val="lightGray"/>
              </w:rPr>
            </w:pP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4606E9">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8" w:type="pct"/>
            <w:shd w:val="clear" w:color="auto" w:fill="auto"/>
          </w:tcPr>
          <w:p w14:paraId="10BD0086" w14:textId="6227A7BF" w:rsidR="00547B4E" w:rsidRPr="00BC3FF1" w:rsidRDefault="00547B4E" w:rsidP="00547B4E">
            <w:pPr>
              <w:keepNext/>
              <w:spacing w:before="0" w:after="0"/>
              <w:jc w:val="center"/>
              <w:rPr>
                <w:rFonts w:ascii="Arial Narrow" w:hAnsi="Arial Narrow" w:cstheme="minorHAnsi"/>
                <w:sz w:val="20"/>
                <w:szCs w:val="20"/>
                <w:highlight w:val="lightGray"/>
              </w:rPr>
            </w:pP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4606E9">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8" w:type="pct"/>
            <w:shd w:val="clear" w:color="auto" w:fill="auto"/>
          </w:tcPr>
          <w:p w14:paraId="3DC9C948" w14:textId="156C2A00" w:rsidR="00547B4E" w:rsidRPr="00BC3FF1" w:rsidRDefault="00547B4E" w:rsidP="00547B4E">
            <w:pPr>
              <w:keepNext/>
              <w:spacing w:before="0" w:after="0"/>
              <w:jc w:val="center"/>
              <w:rPr>
                <w:rFonts w:ascii="Arial Narrow" w:hAnsi="Arial Narrow" w:cstheme="minorHAnsi"/>
                <w:sz w:val="20"/>
                <w:szCs w:val="20"/>
                <w:highlight w:val="lightGray"/>
              </w:rPr>
            </w:pP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4606E9">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8" w:type="pct"/>
            <w:shd w:val="clear" w:color="auto" w:fill="auto"/>
          </w:tcPr>
          <w:p w14:paraId="013B9644" w14:textId="5334A6E4" w:rsidR="00547B4E" w:rsidRPr="00BC3FF1" w:rsidRDefault="00547B4E" w:rsidP="00547B4E">
            <w:pPr>
              <w:keepNext/>
              <w:spacing w:before="0" w:after="0"/>
              <w:jc w:val="center"/>
              <w:rPr>
                <w:rFonts w:ascii="Arial Narrow" w:hAnsi="Arial Narrow" w:cstheme="minorHAnsi"/>
                <w:sz w:val="20"/>
                <w:szCs w:val="20"/>
                <w:highlight w:val="lightGray"/>
              </w:rPr>
            </w:pP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4606E9">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6" w:type="pct"/>
            <w:shd w:val="clear" w:color="auto" w:fill="auto"/>
          </w:tcPr>
          <w:p w14:paraId="660070A3" w14:textId="01FF4413" w:rsidR="00547B4E" w:rsidRPr="00BC3FF1" w:rsidRDefault="00547B4E" w:rsidP="00547B4E">
            <w:pPr>
              <w:keepNext/>
              <w:spacing w:before="0" w:after="0"/>
              <w:jc w:val="center"/>
              <w:rPr>
                <w:rFonts w:ascii="Arial Narrow" w:hAnsi="Arial Narrow" w:cstheme="minorHAnsi"/>
                <w:sz w:val="20"/>
                <w:szCs w:val="20"/>
                <w:highlight w:val="lightGray"/>
              </w:rPr>
            </w:pP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4606E9">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4606E9">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r>
      <w:tr w:rsidR="006F4717" w:rsidRPr="00BD19A7" w14:paraId="44F39BF0" w14:textId="77777777" w:rsidTr="00EB1F75">
        <w:tc>
          <w:tcPr>
            <w:tcW w:w="1294" w:type="pct"/>
          </w:tcPr>
          <w:p w14:paraId="7E057959" w14:textId="77777777" w:rsidR="006F4717" w:rsidRPr="00BD19A7" w:rsidRDefault="006F4717" w:rsidP="006E3B3A">
            <w:pPr>
              <w:keepNext/>
              <w:spacing w:before="0" w:after="0"/>
              <w:rPr>
                <w:rFonts w:ascii="Arial Narrow" w:hAnsi="Arial Narrow" w:cstheme="minorHAnsi"/>
                <w:sz w:val="20"/>
                <w:szCs w:val="20"/>
              </w:rPr>
            </w:pPr>
            <w:r w:rsidRPr="00BD19A7">
              <w:rPr>
                <w:rFonts w:ascii="Arial Narrow" w:hAnsi="Arial Narrow" w:cstheme="minorHAnsi"/>
                <w:sz w:val="20"/>
                <w:szCs w:val="20"/>
              </w:rPr>
              <w:t>Additional Week 10 dose (n)</w:t>
            </w:r>
          </w:p>
        </w:tc>
        <w:tc>
          <w:tcPr>
            <w:tcW w:w="618" w:type="pct"/>
          </w:tcPr>
          <w:p w14:paraId="330D59D9" w14:textId="194D6942"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ahoma" w:hint="eastAsia"/>
                <w:color w:val="000000"/>
                <w:w w:val="32"/>
                <w:sz w:val="20"/>
                <w:szCs w:val="20"/>
                <w:shd w:val="solid" w:color="000000" w:fill="000000"/>
                <w:fitText w:val="146" w:id="-961804543"/>
                <w14:textFill>
                  <w14:solidFill>
                    <w14:srgbClr w14:val="000000">
                      <w14:alpha w14:val="100000"/>
                    </w14:srgbClr>
                  </w14:solidFill>
                </w14:textFill>
              </w:rPr>
              <w:t xml:space="preserve">　</w:t>
            </w:r>
            <w:r w:rsidRPr="00206A14">
              <w:rPr>
                <w:rFonts w:ascii="Arial Narrow" w:hAnsi="Arial Narrow" w:cs="Tahoma"/>
                <w:color w:val="000000"/>
                <w:w w:val="32"/>
                <w:sz w:val="20"/>
                <w:szCs w:val="20"/>
                <w:shd w:val="solid" w:color="000000" w:fill="000000"/>
                <w:fitText w:val="146" w:id="-961804543"/>
                <w14:textFill>
                  <w14:solidFill>
                    <w14:srgbClr w14:val="000000">
                      <w14:alpha w14:val="100000"/>
                    </w14:srgbClr>
                  </w14:solidFill>
                </w14:textFill>
              </w:rPr>
              <w:t>|</w:t>
            </w:r>
            <w:r w:rsidRPr="00206A14">
              <w:rPr>
                <w:rFonts w:ascii="Arial Narrow" w:hAnsi="Arial Narrow" w:cs="Tahoma" w:hint="eastAsia"/>
                <w:color w:val="000000"/>
                <w:spacing w:val="7"/>
                <w:w w:val="32"/>
                <w:sz w:val="20"/>
                <w:szCs w:val="20"/>
                <w:shd w:val="solid" w:color="000000" w:fill="000000"/>
                <w:fitText w:val="146" w:id="-961804543"/>
                <w14:textFill>
                  <w14:solidFill>
                    <w14:srgbClr w14:val="000000">
                      <w14:alpha w14:val="100000"/>
                    </w14:srgbClr>
                  </w14:solidFill>
                </w14:textFill>
              </w:rPr>
              <w:t xml:space="preserve">　</w:t>
            </w:r>
            <w:r w:rsidR="006F4717" w:rsidRPr="00206A14">
              <w:rPr>
                <w:rFonts w:ascii="Arial Narrow" w:hAnsi="Arial Narrow" w:cs="Tahoma"/>
                <w:sz w:val="20"/>
                <w:szCs w:val="20"/>
              </w:rPr>
              <w:t xml:space="preserve"> </w:t>
            </w:r>
            <w:r w:rsidR="00170817" w:rsidRPr="00170817">
              <w:rPr>
                <w:rFonts w:ascii="Arial Narrow" w:hAnsi="Arial Narrow" w:cstheme="minorHAnsi"/>
                <w:sz w:val="20"/>
                <w:szCs w:val="20"/>
                <w:vertAlign w:val="superscript"/>
              </w:rPr>
              <w:t>1</w:t>
            </w:r>
          </w:p>
        </w:tc>
        <w:tc>
          <w:tcPr>
            <w:tcW w:w="618" w:type="pct"/>
          </w:tcPr>
          <w:p w14:paraId="223C9FE4" w14:textId="5B56DF95"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ahoma" w:hint="eastAsia"/>
                <w:color w:val="000000"/>
                <w:w w:val="32"/>
                <w:sz w:val="20"/>
                <w:szCs w:val="20"/>
                <w:shd w:val="solid" w:color="000000" w:fill="000000"/>
                <w:fitText w:val="146" w:id="-961804542"/>
                <w14:textFill>
                  <w14:solidFill>
                    <w14:srgbClr w14:val="000000">
                      <w14:alpha w14:val="100000"/>
                    </w14:srgbClr>
                  </w14:solidFill>
                </w14:textFill>
              </w:rPr>
              <w:t xml:space="preserve">　</w:t>
            </w:r>
            <w:r w:rsidRPr="00206A14">
              <w:rPr>
                <w:rFonts w:ascii="Arial Narrow" w:hAnsi="Arial Narrow" w:cs="Tahoma"/>
                <w:color w:val="000000"/>
                <w:w w:val="32"/>
                <w:sz w:val="20"/>
                <w:szCs w:val="20"/>
                <w:shd w:val="solid" w:color="000000" w:fill="000000"/>
                <w:fitText w:val="146" w:id="-961804542"/>
                <w14:textFill>
                  <w14:solidFill>
                    <w14:srgbClr w14:val="000000">
                      <w14:alpha w14:val="100000"/>
                    </w14:srgbClr>
                  </w14:solidFill>
                </w14:textFill>
              </w:rPr>
              <w:t>|</w:t>
            </w:r>
            <w:r w:rsidRPr="00206A14">
              <w:rPr>
                <w:rFonts w:ascii="Arial Narrow" w:hAnsi="Arial Narrow" w:cs="Tahoma" w:hint="eastAsia"/>
                <w:color w:val="000000"/>
                <w:spacing w:val="7"/>
                <w:w w:val="32"/>
                <w:sz w:val="20"/>
                <w:szCs w:val="20"/>
                <w:shd w:val="solid" w:color="000000" w:fill="000000"/>
                <w:fitText w:val="146" w:id="-961804542"/>
                <w14:textFill>
                  <w14:solidFill>
                    <w14:srgbClr w14:val="000000">
                      <w14:alpha w14:val="100000"/>
                    </w14:srgbClr>
                  </w14:solidFill>
                </w14:textFill>
              </w:rPr>
              <w:t xml:space="preserve">　</w:t>
            </w:r>
            <w:r w:rsidR="006F4717" w:rsidRPr="00206A14">
              <w:rPr>
                <w:rFonts w:ascii="Arial Narrow" w:hAnsi="Arial Narrow" w:cs="Tahoma"/>
                <w:sz w:val="20"/>
                <w:szCs w:val="20"/>
              </w:rPr>
              <w:t xml:space="preserve"> </w:t>
            </w:r>
            <w:r w:rsidR="00170817" w:rsidRPr="00170817">
              <w:rPr>
                <w:rFonts w:ascii="Arial Narrow" w:hAnsi="Arial Narrow" w:cstheme="minorHAnsi"/>
                <w:sz w:val="20"/>
                <w:szCs w:val="20"/>
                <w:vertAlign w:val="superscript"/>
              </w:rPr>
              <w:t>1</w:t>
            </w:r>
          </w:p>
        </w:tc>
        <w:tc>
          <w:tcPr>
            <w:tcW w:w="618" w:type="pct"/>
          </w:tcPr>
          <w:p w14:paraId="0ACEC14D" w14:textId="44BCA83A"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ahoma" w:hint="eastAsia"/>
                <w:color w:val="000000"/>
                <w:w w:val="32"/>
                <w:sz w:val="20"/>
                <w:szCs w:val="20"/>
                <w:shd w:val="solid" w:color="000000" w:fill="000000"/>
                <w:fitText w:val="146" w:id="-961804541"/>
                <w14:textFill>
                  <w14:solidFill>
                    <w14:srgbClr w14:val="000000">
                      <w14:alpha w14:val="100000"/>
                    </w14:srgbClr>
                  </w14:solidFill>
                </w14:textFill>
              </w:rPr>
              <w:t xml:space="preserve">　</w:t>
            </w:r>
            <w:r w:rsidRPr="00206A14">
              <w:rPr>
                <w:rFonts w:ascii="Arial Narrow" w:hAnsi="Arial Narrow" w:cs="Tahoma"/>
                <w:color w:val="000000"/>
                <w:w w:val="32"/>
                <w:sz w:val="20"/>
                <w:szCs w:val="20"/>
                <w:shd w:val="solid" w:color="000000" w:fill="000000"/>
                <w:fitText w:val="146" w:id="-961804541"/>
                <w14:textFill>
                  <w14:solidFill>
                    <w14:srgbClr w14:val="000000">
                      <w14:alpha w14:val="100000"/>
                    </w14:srgbClr>
                  </w14:solidFill>
                </w14:textFill>
              </w:rPr>
              <w:t>|</w:t>
            </w:r>
            <w:r w:rsidRPr="00206A14">
              <w:rPr>
                <w:rFonts w:ascii="Arial Narrow" w:hAnsi="Arial Narrow" w:cs="Tahoma" w:hint="eastAsia"/>
                <w:color w:val="000000"/>
                <w:spacing w:val="7"/>
                <w:w w:val="32"/>
                <w:sz w:val="20"/>
                <w:szCs w:val="20"/>
                <w:shd w:val="solid" w:color="000000" w:fill="000000"/>
                <w:fitText w:val="146" w:id="-961804541"/>
                <w14:textFill>
                  <w14:solidFill>
                    <w14:srgbClr w14:val="000000">
                      <w14:alpha w14:val="100000"/>
                    </w14:srgbClr>
                  </w14:solidFill>
                </w14:textFill>
              </w:rPr>
              <w:t xml:space="preserve">　</w:t>
            </w:r>
            <w:r w:rsidR="006F4717" w:rsidRPr="00206A14">
              <w:rPr>
                <w:rFonts w:ascii="Arial Narrow" w:hAnsi="Arial Narrow" w:cs="Tahoma"/>
                <w:sz w:val="20"/>
                <w:szCs w:val="20"/>
              </w:rPr>
              <w:t xml:space="preserve"> </w:t>
            </w:r>
            <w:r w:rsidR="00170817" w:rsidRPr="00170817">
              <w:rPr>
                <w:rFonts w:ascii="Arial Narrow" w:hAnsi="Arial Narrow" w:cstheme="minorHAnsi"/>
                <w:sz w:val="20"/>
                <w:szCs w:val="20"/>
                <w:vertAlign w:val="superscript"/>
              </w:rPr>
              <w:t>1</w:t>
            </w:r>
          </w:p>
        </w:tc>
        <w:tc>
          <w:tcPr>
            <w:tcW w:w="618" w:type="pct"/>
          </w:tcPr>
          <w:p w14:paraId="38DA67C9" w14:textId="199C60E7"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ahoma" w:hint="eastAsia"/>
                <w:color w:val="000000"/>
                <w:w w:val="32"/>
                <w:sz w:val="20"/>
                <w:szCs w:val="20"/>
                <w:shd w:val="solid" w:color="000000" w:fill="000000"/>
                <w:fitText w:val="146" w:id="-961804540"/>
                <w14:textFill>
                  <w14:solidFill>
                    <w14:srgbClr w14:val="000000">
                      <w14:alpha w14:val="100000"/>
                    </w14:srgbClr>
                  </w14:solidFill>
                </w14:textFill>
              </w:rPr>
              <w:t xml:space="preserve">　</w:t>
            </w:r>
            <w:r w:rsidRPr="00206A14">
              <w:rPr>
                <w:rFonts w:ascii="Arial Narrow" w:hAnsi="Arial Narrow" w:cs="Tahoma"/>
                <w:color w:val="000000"/>
                <w:w w:val="32"/>
                <w:sz w:val="20"/>
                <w:szCs w:val="20"/>
                <w:shd w:val="solid" w:color="000000" w:fill="000000"/>
                <w:fitText w:val="146" w:id="-961804540"/>
                <w14:textFill>
                  <w14:solidFill>
                    <w14:srgbClr w14:val="000000">
                      <w14:alpha w14:val="100000"/>
                    </w14:srgbClr>
                  </w14:solidFill>
                </w14:textFill>
              </w:rPr>
              <w:t>|</w:t>
            </w:r>
            <w:r w:rsidRPr="00206A14">
              <w:rPr>
                <w:rFonts w:ascii="Arial Narrow" w:hAnsi="Arial Narrow" w:cs="Tahoma" w:hint="eastAsia"/>
                <w:color w:val="000000"/>
                <w:spacing w:val="7"/>
                <w:w w:val="32"/>
                <w:sz w:val="20"/>
                <w:szCs w:val="20"/>
                <w:shd w:val="solid" w:color="000000" w:fill="000000"/>
                <w:fitText w:val="146" w:id="-961804540"/>
                <w14:textFill>
                  <w14:solidFill>
                    <w14:srgbClr w14:val="000000">
                      <w14:alpha w14:val="100000"/>
                    </w14:srgbClr>
                  </w14:solidFill>
                </w14:textFill>
              </w:rPr>
              <w:t xml:space="preserve">　</w:t>
            </w:r>
            <w:r w:rsidR="006F4717" w:rsidRPr="00206A14">
              <w:rPr>
                <w:rFonts w:ascii="Arial Narrow" w:hAnsi="Arial Narrow" w:cs="Tahoma"/>
                <w:sz w:val="20"/>
                <w:szCs w:val="20"/>
              </w:rPr>
              <w:t xml:space="preserve"> </w:t>
            </w:r>
            <w:r w:rsidR="00170817" w:rsidRPr="00170817">
              <w:rPr>
                <w:rFonts w:ascii="Arial Narrow" w:hAnsi="Arial Narrow" w:cstheme="minorHAnsi"/>
                <w:sz w:val="20"/>
                <w:szCs w:val="20"/>
                <w:vertAlign w:val="superscript"/>
              </w:rPr>
              <w:t>1</w:t>
            </w:r>
          </w:p>
        </w:tc>
        <w:tc>
          <w:tcPr>
            <w:tcW w:w="618" w:type="pct"/>
          </w:tcPr>
          <w:p w14:paraId="2DCC686E" w14:textId="100F762F"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ahoma" w:hint="eastAsia"/>
                <w:color w:val="000000"/>
                <w:w w:val="32"/>
                <w:sz w:val="20"/>
                <w:szCs w:val="20"/>
                <w:shd w:val="solid" w:color="000000" w:fill="000000"/>
                <w:fitText w:val="146" w:id="-961804539"/>
                <w14:textFill>
                  <w14:solidFill>
                    <w14:srgbClr w14:val="000000">
                      <w14:alpha w14:val="100000"/>
                    </w14:srgbClr>
                  </w14:solidFill>
                </w14:textFill>
              </w:rPr>
              <w:t xml:space="preserve">　</w:t>
            </w:r>
            <w:r w:rsidRPr="00206A14">
              <w:rPr>
                <w:rFonts w:ascii="Arial Narrow" w:hAnsi="Arial Narrow" w:cs="Tahoma"/>
                <w:color w:val="000000"/>
                <w:w w:val="32"/>
                <w:sz w:val="20"/>
                <w:szCs w:val="20"/>
                <w:shd w:val="solid" w:color="000000" w:fill="000000"/>
                <w:fitText w:val="146" w:id="-961804539"/>
                <w14:textFill>
                  <w14:solidFill>
                    <w14:srgbClr w14:val="000000">
                      <w14:alpha w14:val="100000"/>
                    </w14:srgbClr>
                  </w14:solidFill>
                </w14:textFill>
              </w:rPr>
              <w:t>|</w:t>
            </w:r>
            <w:r w:rsidRPr="00206A14">
              <w:rPr>
                <w:rFonts w:ascii="Arial Narrow" w:hAnsi="Arial Narrow" w:cs="Tahoma" w:hint="eastAsia"/>
                <w:color w:val="000000"/>
                <w:spacing w:val="7"/>
                <w:w w:val="32"/>
                <w:sz w:val="20"/>
                <w:szCs w:val="20"/>
                <w:shd w:val="solid" w:color="000000" w:fill="000000"/>
                <w:fitText w:val="146" w:id="-961804539"/>
                <w14:textFill>
                  <w14:solidFill>
                    <w14:srgbClr w14:val="000000">
                      <w14:alpha w14:val="100000"/>
                    </w14:srgbClr>
                  </w14:solidFill>
                </w14:textFill>
              </w:rPr>
              <w:t xml:space="preserve">　</w:t>
            </w:r>
            <w:r w:rsidR="006F4717" w:rsidRPr="00206A14">
              <w:rPr>
                <w:rFonts w:ascii="Arial Narrow" w:hAnsi="Arial Narrow" w:cs="Tahoma"/>
                <w:sz w:val="20"/>
                <w:szCs w:val="20"/>
              </w:rPr>
              <w:t xml:space="preserve"> </w:t>
            </w:r>
            <w:r w:rsidR="00170817" w:rsidRPr="00170817">
              <w:rPr>
                <w:rFonts w:ascii="Arial Narrow" w:hAnsi="Arial Narrow" w:cstheme="minorHAnsi"/>
                <w:sz w:val="20"/>
                <w:szCs w:val="20"/>
                <w:vertAlign w:val="superscript"/>
              </w:rPr>
              <w:t>1</w:t>
            </w:r>
          </w:p>
        </w:tc>
        <w:tc>
          <w:tcPr>
            <w:tcW w:w="616" w:type="pct"/>
          </w:tcPr>
          <w:p w14:paraId="15CF18B5" w14:textId="0D041614" w:rsidR="006F4717" w:rsidRPr="00170817" w:rsidRDefault="00206A14" w:rsidP="006E3B3A">
            <w:pPr>
              <w:keepNext/>
              <w:spacing w:before="0" w:after="0"/>
              <w:jc w:val="center"/>
              <w:rPr>
                <w:rFonts w:ascii="Arial Narrow" w:hAnsi="Arial Narrow" w:cstheme="minorHAnsi"/>
                <w:sz w:val="20"/>
                <w:szCs w:val="20"/>
                <w:highlight w:val="lightGray"/>
              </w:rPr>
            </w:pPr>
            <w:r w:rsidRPr="00206A14">
              <w:rPr>
                <w:rFonts w:ascii="Arial Narrow" w:hAnsi="Arial Narrow" w:cs="Tahoma"/>
                <w:color w:val="000000"/>
                <w:spacing w:val="69"/>
                <w:sz w:val="20"/>
                <w:szCs w:val="20"/>
                <w:shd w:val="solid" w:color="000000" w:fill="000000"/>
                <w:fitText w:val="155" w:id="-961804538"/>
                <w14:textFill>
                  <w14:solidFill>
                    <w14:srgbClr w14:val="000000">
                      <w14:alpha w14:val="100000"/>
                    </w14:srgbClr>
                  </w14:solidFill>
                </w14:textFill>
              </w:rPr>
              <w:t>|</w:t>
            </w:r>
            <w:r w:rsidRPr="00206A14">
              <w:rPr>
                <w:rFonts w:ascii="Arial Narrow" w:hAnsi="Arial Narrow" w:cs="Tahoma"/>
                <w:color w:val="000000"/>
                <w:spacing w:val="1"/>
                <w:sz w:val="20"/>
                <w:szCs w:val="20"/>
                <w:shd w:val="solid" w:color="000000" w:fill="000000"/>
                <w:fitText w:val="155" w:id="-961804538"/>
                <w14:textFill>
                  <w14:solidFill>
                    <w14:srgbClr w14:val="000000">
                      <w14:alpha w14:val="100000"/>
                    </w14:srgbClr>
                  </w14:solidFill>
                </w14:textFill>
              </w:rPr>
              <w:t>|</w:t>
            </w:r>
            <w:r w:rsidR="006F4717" w:rsidRPr="00206A14">
              <w:rPr>
                <w:rFonts w:ascii="Arial Narrow" w:hAnsi="Arial Narrow" w:cs="Tahoma"/>
                <w:sz w:val="20"/>
                <w:szCs w:val="20"/>
              </w:rPr>
              <w:t xml:space="preserve"> </w:t>
            </w:r>
            <w:r w:rsidR="00170817" w:rsidRPr="00170817">
              <w:rPr>
                <w:rFonts w:ascii="Arial Narrow" w:hAnsi="Arial Narrow" w:cstheme="minorHAnsi"/>
                <w:sz w:val="20"/>
                <w:szCs w:val="20"/>
                <w:vertAlign w:val="superscript"/>
              </w:rPr>
              <w:t>1</w:t>
            </w:r>
          </w:p>
        </w:tc>
      </w:tr>
    </w:tbl>
    <w:p w14:paraId="50B22B44" w14:textId="5CB25B4C" w:rsidR="006F4717" w:rsidRDefault="006F4717" w:rsidP="0096623F">
      <w:pPr>
        <w:keepNext/>
        <w:rPr>
          <w:rFonts w:ascii="Arial Narrow" w:eastAsiaTheme="minorHAnsi" w:hAnsi="Arial Narrow" w:cs="Tahoma"/>
          <w:sz w:val="18"/>
          <w:szCs w:val="18"/>
          <w:lang w:eastAsia="en-US"/>
        </w:rPr>
      </w:pPr>
      <w:r w:rsidRPr="00BD19A7">
        <w:rPr>
          <w:rFonts w:ascii="Arial Narrow" w:eastAsiaTheme="minorHAnsi" w:hAnsi="Arial Narrow" w:cs="Tahoma"/>
          <w:sz w:val="18"/>
          <w:szCs w:val="18"/>
          <w:lang w:eastAsia="en-US"/>
        </w:rPr>
        <w:t xml:space="preserve">Source: Entyvio (vedolizumab) - CD - UCM.xlsx, worksheet 2a. Patients </w:t>
      </w:r>
      <w:r w:rsidR="00170817">
        <w:rPr>
          <w:rFonts w:ascii="Arial Narrow" w:eastAsiaTheme="minorHAnsi" w:hAnsi="Arial Narrow" w:cs="Tahoma"/>
          <w:sz w:val="18"/>
          <w:szCs w:val="18"/>
          <w:lang w:eastAsia="en-US"/>
        </w:rPr>
        <w:t>–</w:t>
      </w:r>
      <w:r w:rsidRPr="00BD19A7">
        <w:rPr>
          <w:rFonts w:ascii="Arial Narrow" w:eastAsiaTheme="minorHAnsi" w:hAnsi="Arial Narrow" w:cs="Tahoma"/>
          <w:sz w:val="18"/>
          <w:szCs w:val="18"/>
          <w:lang w:eastAsia="en-US"/>
        </w:rPr>
        <w:t xml:space="preserve"> incident</w:t>
      </w:r>
    </w:p>
    <w:p w14:paraId="61A44E56" w14:textId="77777777" w:rsidR="00170817" w:rsidRPr="00547B4E" w:rsidRDefault="00170817" w:rsidP="0096623F">
      <w:pPr>
        <w:keepNext/>
        <w:rPr>
          <w:rFonts w:ascii="Arial Narrow" w:eastAsiaTheme="minorHAnsi" w:hAnsi="Arial Narrow" w:cs="Tahoma"/>
          <w:i/>
          <w:iCs/>
          <w:sz w:val="18"/>
          <w:szCs w:val="18"/>
          <w:lang w:eastAsia="en-US"/>
        </w:rPr>
      </w:pPr>
      <w:r w:rsidRPr="00547B4E">
        <w:rPr>
          <w:rFonts w:ascii="Arial Narrow" w:eastAsiaTheme="minorHAnsi" w:hAnsi="Arial Narrow" w:cs="Tahoma"/>
          <w:i/>
          <w:iCs/>
          <w:sz w:val="18"/>
          <w:szCs w:val="18"/>
          <w:lang w:eastAsia="en-US"/>
        </w:rPr>
        <w:t>The redacted values correspond to the following ranges</w:t>
      </w:r>
    </w:p>
    <w:p w14:paraId="3EC18326" w14:textId="4F42BD0C" w:rsidR="0096623F" w:rsidRPr="00547B4E" w:rsidRDefault="00170817" w:rsidP="00547B4E">
      <w:pPr>
        <w:spacing w:after="120"/>
        <w:rPr>
          <w:rFonts w:ascii="Arial Narrow" w:eastAsiaTheme="minorHAnsi" w:hAnsi="Arial Narrow" w:cs="Tahoma"/>
          <w:i/>
          <w:iCs/>
          <w:sz w:val="18"/>
          <w:szCs w:val="18"/>
          <w:lang w:eastAsia="en-US"/>
        </w:rPr>
      </w:pPr>
      <w:r w:rsidRPr="00547B4E">
        <w:rPr>
          <w:rFonts w:ascii="Arial Narrow" w:eastAsiaTheme="minorHAnsi" w:hAnsi="Arial Narrow" w:cs="Tahoma"/>
          <w:i/>
          <w:iCs/>
          <w:sz w:val="18"/>
          <w:szCs w:val="18"/>
          <w:vertAlign w:val="superscript"/>
          <w:lang w:eastAsia="en-US"/>
        </w:rPr>
        <w:t>1</w:t>
      </w:r>
      <w:r w:rsidRPr="00547B4E">
        <w:rPr>
          <w:rFonts w:ascii="Arial Narrow" w:eastAsiaTheme="minorHAnsi" w:hAnsi="Arial Narrow" w:cs="Tahoma"/>
          <w:i/>
          <w:iCs/>
          <w:sz w:val="18"/>
          <w:szCs w:val="18"/>
          <w:lang w:eastAsia="en-US"/>
        </w:rPr>
        <w:t xml:space="preserve"> &lt; 500</w:t>
      </w:r>
    </w:p>
    <w:p w14:paraId="7D1EAB19" w14:textId="4DFB6BEE" w:rsidR="004820BB" w:rsidRPr="00BD19A7" w:rsidRDefault="004820BB" w:rsidP="00F24E28">
      <w:pPr>
        <w:pStyle w:val="3-BodyText"/>
      </w:pPr>
      <w:r w:rsidRPr="00BD19A7">
        <w:t xml:space="preserve">Based on the </w:t>
      </w:r>
      <w:r w:rsidR="00FE2482" w:rsidRPr="00BD19A7">
        <w:t xml:space="preserve">evaluation </w:t>
      </w:r>
      <w:r w:rsidRPr="00BD19A7">
        <w:t xml:space="preserve">forecast on new initiating treatment patient numbers and the </w:t>
      </w:r>
      <w:r w:rsidR="00206A14" w:rsidRPr="007B0FCD">
        <w:rPr>
          <w:color w:val="000000"/>
          <w:w w:val="15"/>
          <w:shd w:val="solid" w:color="000000" w:fill="000000"/>
          <w:fitText w:val="-20" w:id="-961804537"/>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537"/>
          <w14:textFill>
            <w14:solidFill>
              <w14:srgbClr w14:val="000000">
                <w14:alpha w14:val="100000"/>
              </w14:srgbClr>
            </w14:solidFill>
          </w14:textFill>
        </w:rPr>
        <w:t>|</w:t>
      </w:r>
      <w:r w:rsidRPr="00BD19A7">
        <w:t>% calculation from the</w:t>
      </w:r>
      <w:r w:rsidR="004F670E" w:rsidRPr="00BD19A7">
        <w:t xml:space="preserve"> evaluation</w:t>
      </w:r>
      <w:r w:rsidR="00D575B7" w:rsidRPr="00BD19A7">
        <w:t xml:space="preserve"> and the </w:t>
      </w:r>
      <w:r w:rsidRPr="00BD19A7">
        <w:t>sponsor’s patient access program data, the number of patients with severe CD requiring an additional dose at week 10</w:t>
      </w:r>
      <w:r w:rsidR="001C7849" w:rsidRPr="00BD19A7">
        <w:t xml:space="preserve"> was recalculated</w:t>
      </w:r>
      <w:r w:rsidRPr="00BD19A7">
        <w:t xml:space="preserve"> (see</w:t>
      </w:r>
      <w:r w:rsidR="007741F1" w:rsidRPr="00BD19A7">
        <w:t xml:space="preserve"> </w:t>
      </w:r>
      <w:r w:rsidR="007741F1" w:rsidRPr="00BD19A7">
        <w:fldChar w:fldCharType="begin" w:fldLock="1"/>
      </w:r>
      <w:r w:rsidR="007741F1" w:rsidRPr="00BD19A7">
        <w:instrText xml:space="preserve"> REF _Ref155860559 \h </w:instrText>
      </w:r>
      <w:r w:rsidR="00FE2482" w:rsidRPr="00BD19A7">
        <w:instrText xml:space="preserve"> \* MERGEFORMAT </w:instrText>
      </w:r>
      <w:r w:rsidR="007741F1" w:rsidRPr="00BD19A7">
        <w:fldChar w:fldCharType="separate"/>
      </w:r>
      <w:r w:rsidR="00A008BF" w:rsidRPr="00BD19A7" w:rsidDel="00A56DFE">
        <w:t>Table 15</w:t>
      </w:r>
      <w:r w:rsidR="007741F1" w:rsidRPr="00BD19A7">
        <w:fldChar w:fldCharType="end"/>
      </w:r>
      <w:r w:rsidR="00F04CE9" w:rsidRPr="00BD19A7">
        <w:t>)</w:t>
      </w:r>
      <w:r w:rsidR="00ED7AC7" w:rsidRPr="00BD19A7">
        <w:t xml:space="preserve">. </w:t>
      </w:r>
    </w:p>
    <w:p w14:paraId="1F1BCE25" w14:textId="64F01603" w:rsidR="007741F1" w:rsidRPr="00BD19A7" w:rsidRDefault="007741F1" w:rsidP="007741F1">
      <w:pPr>
        <w:pStyle w:val="Caption"/>
      </w:pPr>
      <w:bookmarkStart w:id="59" w:name="_Ref155860559"/>
      <w:r w:rsidRPr="00BD19A7">
        <w:t xml:space="preserve">Table </w:t>
      </w:r>
      <w:r w:rsidR="007B0FCD">
        <w:fldChar w:fldCharType="begin" w:fldLock="1"/>
      </w:r>
      <w:r w:rsidR="007B0FCD">
        <w:instrText xml:space="preserve"> SEQ Table \* ARABIC </w:instrText>
      </w:r>
      <w:r w:rsidR="007B0FCD">
        <w:fldChar w:fldCharType="separate"/>
      </w:r>
      <w:r w:rsidR="00A56DFE">
        <w:rPr>
          <w:noProof/>
        </w:rPr>
        <w:t>15</w:t>
      </w:r>
      <w:r w:rsidR="007B0FCD">
        <w:rPr>
          <w:noProof/>
        </w:rPr>
        <w:fldChar w:fldCharType="end"/>
      </w:r>
      <w:bookmarkEnd w:id="59"/>
      <w:r w:rsidRPr="00BD19A7">
        <w:t xml:space="preserve">: </w:t>
      </w:r>
      <w:r w:rsidR="00FE2482" w:rsidRPr="00BD19A7">
        <w:rPr>
          <w:rFonts w:cstheme="minorHAnsi"/>
          <w:szCs w:val="20"/>
        </w:rPr>
        <w:t>Evaluation</w:t>
      </w:r>
      <w:r w:rsidRPr="00BD19A7">
        <w:t xml:space="preserve"> estimate of patients with severe CD requiring an additional dose at Week 10</w:t>
      </w:r>
    </w:p>
    <w:tbl>
      <w:tblPr>
        <w:tblStyle w:val="HTATableshaded"/>
        <w:tblW w:w="5000" w:type="pct"/>
        <w:tblLayout w:type="fixed"/>
        <w:tblLook w:val="04A0" w:firstRow="1" w:lastRow="0" w:firstColumn="1" w:lastColumn="0" w:noHBand="0" w:noVBand="1"/>
        <w:tblCaption w:val="Table 15: Evaluation estimate of patients with severe CD requiring an additional dose at Week 10"/>
      </w:tblPr>
      <w:tblGrid>
        <w:gridCol w:w="2405"/>
        <w:gridCol w:w="1102"/>
        <w:gridCol w:w="1102"/>
        <w:gridCol w:w="1102"/>
        <w:gridCol w:w="1102"/>
        <w:gridCol w:w="1102"/>
        <w:gridCol w:w="1102"/>
      </w:tblGrid>
      <w:tr w:rsidR="00F80D77" w:rsidRPr="00BD19A7" w14:paraId="21AA1FAE" w14:textId="77777777" w:rsidTr="00F80D77">
        <w:trPr>
          <w:cnfStyle w:val="100000000000" w:firstRow="1" w:lastRow="0" w:firstColumn="0" w:lastColumn="0" w:oddVBand="0" w:evenVBand="0" w:oddHBand="0" w:evenHBand="0" w:firstRowFirstColumn="0" w:firstRowLastColumn="0" w:lastRowFirstColumn="0" w:lastRowLastColumn="0"/>
        </w:trPr>
        <w:tc>
          <w:tcPr>
            <w:tcW w:w="1334" w:type="pct"/>
            <w:shd w:val="clear" w:color="auto" w:fill="F2F2F2" w:themeFill="background1" w:themeFillShade="F2"/>
          </w:tcPr>
          <w:p w14:paraId="62791037" w14:textId="77777777" w:rsidR="004820BB" w:rsidRPr="00BD19A7" w:rsidRDefault="004820BB" w:rsidP="0080633F">
            <w:pPr>
              <w:spacing w:before="0" w:after="0"/>
              <w:rPr>
                <w:rFonts w:ascii="Arial Narrow" w:hAnsi="Arial Narrow" w:cstheme="minorHAnsi"/>
                <w:b/>
                <w:bCs/>
                <w:sz w:val="20"/>
                <w:szCs w:val="20"/>
              </w:rPr>
            </w:pPr>
          </w:p>
        </w:tc>
        <w:tc>
          <w:tcPr>
            <w:tcW w:w="611" w:type="pct"/>
            <w:shd w:val="clear" w:color="auto" w:fill="F2F2F2" w:themeFill="background1" w:themeFillShade="F2"/>
          </w:tcPr>
          <w:p w14:paraId="596FF17C" w14:textId="77777777" w:rsidR="004820BB" w:rsidRPr="00BD19A7" w:rsidRDefault="004820BB" w:rsidP="0080633F">
            <w:pPr>
              <w:spacing w:before="0" w:after="0"/>
              <w:jc w:val="center"/>
              <w:rPr>
                <w:rFonts w:ascii="Arial Narrow" w:hAnsi="Arial Narrow" w:cstheme="minorHAnsi"/>
                <w:b/>
                <w:bCs/>
                <w:sz w:val="20"/>
                <w:szCs w:val="20"/>
              </w:rPr>
            </w:pPr>
            <w:r w:rsidRPr="00BD19A7">
              <w:rPr>
                <w:rFonts w:ascii="Arial Narrow" w:hAnsi="Arial Narrow" w:cs="Tahoma"/>
                <w:b/>
                <w:bCs/>
                <w:sz w:val="20"/>
                <w:szCs w:val="20"/>
              </w:rPr>
              <w:t>Year 1</w:t>
            </w:r>
          </w:p>
        </w:tc>
        <w:tc>
          <w:tcPr>
            <w:tcW w:w="611" w:type="pct"/>
            <w:shd w:val="clear" w:color="auto" w:fill="F2F2F2" w:themeFill="background1" w:themeFillShade="F2"/>
          </w:tcPr>
          <w:p w14:paraId="36900447" w14:textId="77777777" w:rsidR="004820BB" w:rsidRPr="00BD19A7" w:rsidRDefault="004820BB" w:rsidP="0080633F">
            <w:pPr>
              <w:spacing w:before="0" w:after="0"/>
              <w:jc w:val="center"/>
              <w:rPr>
                <w:rFonts w:ascii="Arial Narrow" w:hAnsi="Arial Narrow" w:cstheme="minorHAnsi"/>
                <w:b/>
                <w:bCs/>
                <w:sz w:val="20"/>
                <w:szCs w:val="20"/>
              </w:rPr>
            </w:pPr>
            <w:r w:rsidRPr="00BD19A7">
              <w:rPr>
                <w:rFonts w:ascii="Arial Narrow" w:hAnsi="Arial Narrow" w:cs="Tahoma"/>
                <w:b/>
                <w:bCs/>
                <w:sz w:val="20"/>
                <w:szCs w:val="20"/>
              </w:rPr>
              <w:t>Year 2</w:t>
            </w:r>
          </w:p>
        </w:tc>
        <w:tc>
          <w:tcPr>
            <w:tcW w:w="611" w:type="pct"/>
            <w:shd w:val="clear" w:color="auto" w:fill="F2F2F2" w:themeFill="background1" w:themeFillShade="F2"/>
          </w:tcPr>
          <w:p w14:paraId="4E00F6A7" w14:textId="77777777" w:rsidR="004820BB" w:rsidRPr="00BD19A7" w:rsidRDefault="004820BB" w:rsidP="0080633F">
            <w:pPr>
              <w:spacing w:before="0" w:after="0"/>
              <w:jc w:val="center"/>
              <w:rPr>
                <w:rFonts w:ascii="Arial Narrow" w:hAnsi="Arial Narrow" w:cstheme="minorHAnsi"/>
                <w:b/>
                <w:bCs/>
                <w:sz w:val="20"/>
                <w:szCs w:val="20"/>
              </w:rPr>
            </w:pPr>
            <w:r w:rsidRPr="00BD19A7">
              <w:rPr>
                <w:rFonts w:ascii="Arial Narrow" w:hAnsi="Arial Narrow" w:cs="Tahoma"/>
                <w:b/>
                <w:bCs/>
                <w:sz w:val="20"/>
                <w:szCs w:val="20"/>
              </w:rPr>
              <w:t>Year 3</w:t>
            </w:r>
          </w:p>
        </w:tc>
        <w:tc>
          <w:tcPr>
            <w:tcW w:w="611" w:type="pct"/>
            <w:shd w:val="clear" w:color="auto" w:fill="F2F2F2" w:themeFill="background1" w:themeFillShade="F2"/>
          </w:tcPr>
          <w:p w14:paraId="16033CDD" w14:textId="77777777" w:rsidR="004820BB" w:rsidRPr="00BD19A7" w:rsidRDefault="004820BB" w:rsidP="0080633F">
            <w:pPr>
              <w:spacing w:before="0" w:after="0"/>
              <w:jc w:val="center"/>
              <w:rPr>
                <w:rFonts w:ascii="Arial Narrow" w:hAnsi="Arial Narrow" w:cstheme="minorHAnsi"/>
                <w:b/>
                <w:bCs/>
                <w:sz w:val="20"/>
                <w:szCs w:val="20"/>
              </w:rPr>
            </w:pPr>
            <w:r w:rsidRPr="00BD19A7">
              <w:rPr>
                <w:rFonts w:ascii="Arial Narrow" w:hAnsi="Arial Narrow" w:cs="Tahoma"/>
                <w:b/>
                <w:bCs/>
                <w:sz w:val="20"/>
                <w:szCs w:val="20"/>
              </w:rPr>
              <w:t>Year 4</w:t>
            </w:r>
          </w:p>
        </w:tc>
        <w:tc>
          <w:tcPr>
            <w:tcW w:w="611" w:type="pct"/>
            <w:shd w:val="clear" w:color="auto" w:fill="F2F2F2" w:themeFill="background1" w:themeFillShade="F2"/>
          </w:tcPr>
          <w:p w14:paraId="154295BF" w14:textId="77777777" w:rsidR="004820BB" w:rsidRPr="00BD19A7" w:rsidRDefault="004820BB" w:rsidP="0080633F">
            <w:pPr>
              <w:spacing w:before="0" w:after="0"/>
              <w:jc w:val="center"/>
              <w:rPr>
                <w:rFonts w:ascii="Arial Narrow" w:hAnsi="Arial Narrow" w:cstheme="minorHAnsi"/>
                <w:b/>
                <w:bCs/>
                <w:sz w:val="20"/>
                <w:szCs w:val="20"/>
              </w:rPr>
            </w:pPr>
            <w:r w:rsidRPr="00BD19A7">
              <w:rPr>
                <w:rFonts w:ascii="Arial Narrow" w:hAnsi="Arial Narrow" w:cs="Tahoma"/>
                <w:b/>
                <w:bCs/>
                <w:sz w:val="20"/>
                <w:szCs w:val="20"/>
              </w:rPr>
              <w:t>Year 5</w:t>
            </w:r>
          </w:p>
        </w:tc>
        <w:tc>
          <w:tcPr>
            <w:tcW w:w="611" w:type="pct"/>
            <w:shd w:val="clear" w:color="auto" w:fill="F2F2F2" w:themeFill="background1" w:themeFillShade="F2"/>
          </w:tcPr>
          <w:p w14:paraId="3677815A" w14:textId="77777777" w:rsidR="004820BB" w:rsidRPr="00BD19A7" w:rsidRDefault="004820BB" w:rsidP="0080633F">
            <w:pPr>
              <w:spacing w:before="0" w:after="0"/>
              <w:jc w:val="center"/>
              <w:rPr>
                <w:rFonts w:ascii="Arial Narrow" w:hAnsi="Arial Narrow" w:cstheme="minorHAnsi"/>
                <w:b/>
                <w:bCs/>
                <w:sz w:val="20"/>
                <w:szCs w:val="20"/>
              </w:rPr>
            </w:pPr>
            <w:r w:rsidRPr="00BD19A7">
              <w:rPr>
                <w:rFonts w:ascii="Arial Narrow" w:hAnsi="Arial Narrow" w:cs="Tahoma"/>
                <w:b/>
                <w:bCs/>
                <w:sz w:val="20"/>
                <w:szCs w:val="20"/>
              </w:rPr>
              <w:t>Year 6</w:t>
            </w:r>
          </w:p>
        </w:tc>
      </w:tr>
      <w:tr w:rsidR="004820BB" w:rsidRPr="00BD19A7" w14:paraId="05A08592" w14:textId="77777777" w:rsidTr="00206A14">
        <w:tc>
          <w:tcPr>
            <w:tcW w:w="1334" w:type="pct"/>
          </w:tcPr>
          <w:p w14:paraId="168E22B7" w14:textId="404F370D" w:rsidR="004820BB" w:rsidRPr="00BD19A7" w:rsidRDefault="004820BB" w:rsidP="004820BB">
            <w:pPr>
              <w:spacing w:before="0" w:after="0"/>
              <w:rPr>
                <w:rFonts w:ascii="Arial Narrow" w:hAnsi="Arial Narrow" w:cstheme="minorHAnsi"/>
                <w:sz w:val="20"/>
                <w:szCs w:val="20"/>
              </w:rPr>
            </w:pPr>
            <w:r w:rsidRPr="00BD19A7">
              <w:rPr>
                <w:rFonts w:ascii="Arial Narrow" w:hAnsi="Arial Narrow" w:cstheme="minorHAnsi"/>
                <w:sz w:val="20"/>
                <w:szCs w:val="20"/>
              </w:rPr>
              <w:t>Newly initiating treatment</w:t>
            </w:r>
            <w:r w:rsidR="00F80D77" w:rsidRPr="00BD19A7">
              <w:rPr>
                <w:rFonts w:ascii="Arial Narrow" w:hAnsi="Arial Narrow" w:cstheme="minorHAnsi"/>
                <w:sz w:val="20"/>
                <w:szCs w:val="20"/>
              </w:rPr>
              <w:t xml:space="preserve"> (n)</w:t>
            </w:r>
          </w:p>
        </w:tc>
        <w:tc>
          <w:tcPr>
            <w:tcW w:w="611" w:type="pct"/>
            <w:tcBorders>
              <w:bottom w:val="single" w:sz="4" w:space="0" w:color="auto"/>
            </w:tcBorders>
            <w:vAlign w:val="center"/>
          </w:tcPr>
          <w:p w14:paraId="65D68B6A" w14:textId="4A27D7FF"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0"/>
                <w:sz w:val="20"/>
                <w:szCs w:val="20"/>
                <w:shd w:val="solid" w:color="000000" w:fill="000000"/>
                <w:fitText w:val="137" w:id="-961804536"/>
                <w14:textFill>
                  <w14:solidFill>
                    <w14:srgbClr w14:val="000000">
                      <w14:alpha w14:val="100000"/>
                    </w14:srgbClr>
                  </w14:solidFill>
                </w14:textFill>
              </w:rPr>
              <w:t xml:space="preserve">　</w:t>
            </w:r>
            <w:r w:rsidRPr="00206A14">
              <w:rPr>
                <w:rFonts w:ascii="Arial Narrow" w:hAnsi="Arial Narrow"/>
                <w:color w:val="000000"/>
                <w:w w:val="30"/>
                <w:sz w:val="20"/>
                <w:szCs w:val="20"/>
                <w:shd w:val="solid" w:color="000000" w:fill="000000"/>
                <w:fitText w:val="137" w:id="-961804536"/>
                <w14:textFill>
                  <w14:solidFill>
                    <w14:srgbClr w14:val="000000">
                      <w14:alpha w14:val="100000"/>
                    </w14:srgbClr>
                  </w14:solidFill>
                </w14:textFill>
              </w:rPr>
              <w:t>|</w:t>
            </w:r>
            <w:r w:rsidRPr="00206A14">
              <w:rPr>
                <w:rFonts w:ascii="Arial Narrow" w:hAnsi="Arial Narrow" w:hint="eastAsia"/>
                <w:color w:val="000000"/>
                <w:spacing w:val="5"/>
                <w:w w:val="30"/>
                <w:sz w:val="20"/>
                <w:szCs w:val="20"/>
                <w:shd w:val="solid" w:color="000000" w:fill="000000"/>
                <w:fitText w:val="137" w:id="-961804536"/>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tcBorders>
              <w:bottom w:val="single" w:sz="4" w:space="0" w:color="auto"/>
            </w:tcBorders>
            <w:vAlign w:val="center"/>
          </w:tcPr>
          <w:p w14:paraId="72AF3F8A" w14:textId="00FC60C9"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0"/>
                <w:sz w:val="20"/>
                <w:szCs w:val="20"/>
                <w:shd w:val="solid" w:color="000000" w:fill="000000"/>
                <w:fitText w:val="137" w:id="-961804535"/>
                <w14:textFill>
                  <w14:solidFill>
                    <w14:srgbClr w14:val="000000">
                      <w14:alpha w14:val="100000"/>
                    </w14:srgbClr>
                  </w14:solidFill>
                </w14:textFill>
              </w:rPr>
              <w:t xml:space="preserve">　</w:t>
            </w:r>
            <w:r w:rsidRPr="00206A14">
              <w:rPr>
                <w:rFonts w:ascii="Arial Narrow" w:hAnsi="Arial Narrow"/>
                <w:color w:val="000000"/>
                <w:w w:val="30"/>
                <w:sz w:val="20"/>
                <w:szCs w:val="20"/>
                <w:shd w:val="solid" w:color="000000" w:fill="000000"/>
                <w:fitText w:val="137" w:id="-961804535"/>
                <w14:textFill>
                  <w14:solidFill>
                    <w14:srgbClr w14:val="000000">
                      <w14:alpha w14:val="100000"/>
                    </w14:srgbClr>
                  </w14:solidFill>
                </w14:textFill>
              </w:rPr>
              <w:t>|</w:t>
            </w:r>
            <w:r w:rsidRPr="00206A14">
              <w:rPr>
                <w:rFonts w:ascii="Arial Narrow" w:hAnsi="Arial Narrow" w:hint="eastAsia"/>
                <w:color w:val="000000"/>
                <w:spacing w:val="5"/>
                <w:w w:val="30"/>
                <w:sz w:val="20"/>
                <w:szCs w:val="20"/>
                <w:shd w:val="solid" w:color="000000" w:fill="000000"/>
                <w:fitText w:val="137" w:id="-961804535"/>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tcBorders>
              <w:bottom w:val="single" w:sz="4" w:space="0" w:color="auto"/>
            </w:tcBorders>
            <w:vAlign w:val="center"/>
          </w:tcPr>
          <w:p w14:paraId="48258FC3" w14:textId="7073EEBA"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0"/>
                <w:sz w:val="20"/>
                <w:szCs w:val="20"/>
                <w:shd w:val="solid" w:color="000000" w:fill="000000"/>
                <w:fitText w:val="136" w:id="-961804534"/>
                <w14:textFill>
                  <w14:solidFill>
                    <w14:srgbClr w14:val="000000">
                      <w14:alpha w14:val="100000"/>
                    </w14:srgbClr>
                  </w14:solidFill>
                </w14:textFill>
              </w:rPr>
              <w:t xml:space="preserve">　</w:t>
            </w:r>
            <w:r w:rsidRPr="00206A14">
              <w:rPr>
                <w:rFonts w:ascii="Arial Narrow" w:hAnsi="Arial Narrow"/>
                <w:color w:val="000000"/>
                <w:w w:val="30"/>
                <w:sz w:val="20"/>
                <w:szCs w:val="20"/>
                <w:shd w:val="solid" w:color="000000" w:fill="000000"/>
                <w:fitText w:val="136" w:id="-961804534"/>
                <w14:textFill>
                  <w14:solidFill>
                    <w14:srgbClr w14:val="000000">
                      <w14:alpha w14:val="100000"/>
                    </w14:srgbClr>
                  </w14:solidFill>
                </w14:textFill>
              </w:rPr>
              <w:t>|</w:t>
            </w:r>
            <w:r w:rsidRPr="00206A14">
              <w:rPr>
                <w:rFonts w:ascii="Arial Narrow" w:hAnsi="Arial Narrow" w:hint="eastAsia"/>
                <w:color w:val="000000"/>
                <w:spacing w:val="4"/>
                <w:w w:val="30"/>
                <w:sz w:val="20"/>
                <w:szCs w:val="20"/>
                <w:shd w:val="solid" w:color="000000" w:fill="000000"/>
                <w:fitText w:val="136" w:id="-961804534"/>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tcBorders>
              <w:bottom w:val="single" w:sz="4" w:space="0" w:color="auto"/>
            </w:tcBorders>
            <w:vAlign w:val="center"/>
          </w:tcPr>
          <w:p w14:paraId="640904C7" w14:textId="5ED6A5F4"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0"/>
                <w:sz w:val="20"/>
                <w:szCs w:val="20"/>
                <w:shd w:val="solid" w:color="000000" w:fill="000000"/>
                <w:fitText w:val="136" w:id="-961804533"/>
                <w14:textFill>
                  <w14:solidFill>
                    <w14:srgbClr w14:val="000000">
                      <w14:alpha w14:val="100000"/>
                    </w14:srgbClr>
                  </w14:solidFill>
                </w14:textFill>
              </w:rPr>
              <w:t xml:space="preserve">　</w:t>
            </w:r>
            <w:r w:rsidRPr="00206A14">
              <w:rPr>
                <w:rFonts w:ascii="Arial Narrow" w:hAnsi="Arial Narrow"/>
                <w:color w:val="000000"/>
                <w:w w:val="30"/>
                <w:sz w:val="20"/>
                <w:szCs w:val="20"/>
                <w:shd w:val="solid" w:color="000000" w:fill="000000"/>
                <w:fitText w:val="136" w:id="-961804533"/>
                <w14:textFill>
                  <w14:solidFill>
                    <w14:srgbClr w14:val="000000">
                      <w14:alpha w14:val="100000"/>
                    </w14:srgbClr>
                  </w14:solidFill>
                </w14:textFill>
              </w:rPr>
              <w:t>|</w:t>
            </w:r>
            <w:r w:rsidRPr="00206A14">
              <w:rPr>
                <w:rFonts w:ascii="Arial Narrow" w:hAnsi="Arial Narrow" w:hint="eastAsia"/>
                <w:color w:val="000000"/>
                <w:spacing w:val="4"/>
                <w:w w:val="30"/>
                <w:sz w:val="20"/>
                <w:szCs w:val="20"/>
                <w:shd w:val="solid" w:color="000000" w:fill="000000"/>
                <w:fitText w:val="136" w:id="-961804533"/>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tcBorders>
              <w:bottom w:val="single" w:sz="4" w:space="0" w:color="auto"/>
            </w:tcBorders>
            <w:vAlign w:val="center"/>
          </w:tcPr>
          <w:p w14:paraId="4909376F" w14:textId="288D8FA3"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0"/>
                <w:sz w:val="20"/>
                <w:szCs w:val="20"/>
                <w:shd w:val="solid" w:color="000000" w:fill="000000"/>
                <w:fitText w:val="137" w:id="-961804532"/>
                <w14:textFill>
                  <w14:solidFill>
                    <w14:srgbClr w14:val="000000">
                      <w14:alpha w14:val="100000"/>
                    </w14:srgbClr>
                  </w14:solidFill>
                </w14:textFill>
              </w:rPr>
              <w:t xml:space="preserve">　</w:t>
            </w:r>
            <w:r w:rsidRPr="00206A14">
              <w:rPr>
                <w:rFonts w:ascii="Arial Narrow" w:hAnsi="Arial Narrow"/>
                <w:color w:val="000000"/>
                <w:w w:val="30"/>
                <w:sz w:val="20"/>
                <w:szCs w:val="20"/>
                <w:shd w:val="solid" w:color="000000" w:fill="000000"/>
                <w:fitText w:val="137" w:id="-961804532"/>
                <w14:textFill>
                  <w14:solidFill>
                    <w14:srgbClr w14:val="000000">
                      <w14:alpha w14:val="100000"/>
                    </w14:srgbClr>
                  </w14:solidFill>
                </w14:textFill>
              </w:rPr>
              <w:t>|</w:t>
            </w:r>
            <w:r w:rsidRPr="00206A14">
              <w:rPr>
                <w:rFonts w:ascii="Arial Narrow" w:hAnsi="Arial Narrow" w:hint="eastAsia"/>
                <w:color w:val="000000"/>
                <w:spacing w:val="5"/>
                <w:w w:val="30"/>
                <w:sz w:val="20"/>
                <w:szCs w:val="20"/>
                <w:shd w:val="solid" w:color="000000" w:fill="000000"/>
                <w:fitText w:val="137" w:id="-961804532"/>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tcBorders>
              <w:bottom w:val="single" w:sz="4" w:space="0" w:color="auto"/>
            </w:tcBorders>
            <w:vAlign w:val="center"/>
          </w:tcPr>
          <w:p w14:paraId="01A081CF" w14:textId="79623DAD"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hint="eastAsia"/>
                <w:color w:val="000000"/>
                <w:w w:val="30"/>
                <w:sz w:val="20"/>
                <w:szCs w:val="20"/>
                <w:shd w:val="solid" w:color="000000" w:fill="000000"/>
                <w:fitText w:val="137" w:id="-961804531"/>
                <w14:textFill>
                  <w14:solidFill>
                    <w14:srgbClr w14:val="000000">
                      <w14:alpha w14:val="100000"/>
                    </w14:srgbClr>
                  </w14:solidFill>
                </w14:textFill>
              </w:rPr>
              <w:t xml:space="preserve">　</w:t>
            </w:r>
            <w:r w:rsidRPr="00206A14">
              <w:rPr>
                <w:rFonts w:ascii="Arial Narrow" w:hAnsi="Arial Narrow"/>
                <w:color w:val="000000"/>
                <w:w w:val="30"/>
                <w:sz w:val="20"/>
                <w:szCs w:val="20"/>
                <w:shd w:val="solid" w:color="000000" w:fill="000000"/>
                <w:fitText w:val="137" w:id="-961804531"/>
                <w14:textFill>
                  <w14:solidFill>
                    <w14:srgbClr w14:val="000000">
                      <w14:alpha w14:val="100000"/>
                    </w14:srgbClr>
                  </w14:solidFill>
                </w14:textFill>
              </w:rPr>
              <w:t>|</w:t>
            </w:r>
            <w:r w:rsidRPr="00206A14">
              <w:rPr>
                <w:rFonts w:ascii="Arial Narrow" w:hAnsi="Arial Narrow" w:hint="eastAsia"/>
                <w:color w:val="000000"/>
                <w:spacing w:val="5"/>
                <w:w w:val="30"/>
                <w:sz w:val="20"/>
                <w:szCs w:val="20"/>
                <w:shd w:val="solid" w:color="000000" w:fill="000000"/>
                <w:fitText w:val="137" w:id="-961804531"/>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r>
      <w:tr w:rsidR="00547B4E" w:rsidRPr="00BD19A7" w14:paraId="4852C04D" w14:textId="77777777" w:rsidTr="00547B4E">
        <w:tc>
          <w:tcPr>
            <w:tcW w:w="1334" w:type="pct"/>
          </w:tcPr>
          <w:p w14:paraId="7A30DB53" w14:textId="77777777" w:rsidR="00547B4E" w:rsidRPr="00BD19A7" w:rsidRDefault="00547B4E" w:rsidP="00547B4E">
            <w:pPr>
              <w:spacing w:before="0" w:after="0"/>
              <w:rPr>
                <w:rFonts w:ascii="Arial Narrow" w:hAnsi="Arial Narrow" w:cstheme="minorHAnsi"/>
                <w:sz w:val="20"/>
                <w:szCs w:val="20"/>
              </w:rPr>
            </w:pPr>
            <w:r w:rsidRPr="00BD19A7">
              <w:rPr>
                <w:rFonts w:ascii="Arial Narrow" w:hAnsi="Arial Narrow" w:cstheme="minorHAnsi"/>
                <w:sz w:val="20"/>
                <w:szCs w:val="20"/>
              </w:rPr>
              <w:t>Additional Week 10 dose (%)</w:t>
            </w:r>
          </w:p>
        </w:tc>
        <w:tc>
          <w:tcPr>
            <w:tcW w:w="611" w:type="pct"/>
            <w:shd w:val="clear" w:color="auto" w:fill="auto"/>
          </w:tcPr>
          <w:p w14:paraId="3F5AE7B6" w14:textId="5D5055B5" w:rsidR="00547B4E" w:rsidRPr="00BC3FF1" w:rsidRDefault="00547B4E" w:rsidP="00547B4E">
            <w:pPr>
              <w:spacing w:before="0" w:after="0"/>
              <w:jc w:val="center"/>
              <w:rPr>
                <w:rFonts w:ascii="Arial Narrow" w:hAnsi="Arial Narrow" w:cstheme="minorHAnsi"/>
                <w:sz w:val="20"/>
                <w:szCs w:val="20"/>
                <w:highlight w:val="lightGray"/>
              </w:rPr>
            </w:pP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E73570">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1" w:type="pct"/>
            <w:shd w:val="clear" w:color="auto" w:fill="auto"/>
          </w:tcPr>
          <w:p w14:paraId="1D780291" w14:textId="66A09D4F" w:rsidR="00547B4E" w:rsidRPr="00BC3FF1" w:rsidRDefault="00547B4E" w:rsidP="00547B4E">
            <w:pPr>
              <w:spacing w:before="0" w:after="0"/>
              <w:jc w:val="center"/>
              <w:rPr>
                <w:rFonts w:ascii="Arial Narrow" w:hAnsi="Arial Narrow" w:cstheme="minorHAnsi"/>
                <w:sz w:val="20"/>
                <w:szCs w:val="20"/>
                <w:highlight w:val="lightGray"/>
              </w:rPr>
            </w:pP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E73570">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1" w:type="pct"/>
            <w:shd w:val="clear" w:color="auto" w:fill="auto"/>
          </w:tcPr>
          <w:p w14:paraId="2007392A" w14:textId="6C5405BA" w:rsidR="00547B4E" w:rsidRPr="00BC3FF1" w:rsidRDefault="00547B4E" w:rsidP="00547B4E">
            <w:pPr>
              <w:spacing w:before="0" w:after="0"/>
              <w:jc w:val="center"/>
              <w:rPr>
                <w:rFonts w:ascii="Arial Narrow" w:hAnsi="Arial Narrow" w:cstheme="minorHAnsi"/>
                <w:sz w:val="20"/>
                <w:szCs w:val="20"/>
                <w:highlight w:val="lightGray"/>
              </w:rPr>
            </w:pP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E73570">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1" w:type="pct"/>
            <w:shd w:val="clear" w:color="auto" w:fill="auto"/>
          </w:tcPr>
          <w:p w14:paraId="5028B47B" w14:textId="5A1FB52D" w:rsidR="00547B4E" w:rsidRPr="00BC3FF1" w:rsidRDefault="00547B4E" w:rsidP="00547B4E">
            <w:pPr>
              <w:spacing w:before="0" w:after="0"/>
              <w:jc w:val="center"/>
              <w:rPr>
                <w:rFonts w:ascii="Arial Narrow" w:hAnsi="Arial Narrow" w:cstheme="minorHAnsi"/>
                <w:sz w:val="20"/>
                <w:szCs w:val="20"/>
                <w:highlight w:val="lightGray"/>
              </w:rPr>
            </w:pP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E73570">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1" w:type="pct"/>
            <w:shd w:val="clear" w:color="auto" w:fill="auto"/>
          </w:tcPr>
          <w:p w14:paraId="44A0C3AD" w14:textId="12987D79" w:rsidR="00547B4E" w:rsidRPr="00BC3FF1" w:rsidRDefault="00547B4E" w:rsidP="00547B4E">
            <w:pPr>
              <w:spacing w:before="0" w:after="0"/>
              <w:jc w:val="center"/>
              <w:rPr>
                <w:rFonts w:ascii="Arial Narrow" w:hAnsi="Arial Narrow" w:cstheme="minorHAnsi"/>
                <w:sz w:val="20"/>
                <w:szCs w:val="20"/>
                <w:highlight w:val="lightGray"/>
              </w:rPr>
            </w:pP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E73570">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c>
          <w:tcPr>
            <w:tcW w:w="611" w:type="pct"/>
            <w:shd w:val="clear" w:color="auto" w:fill="auto"/>
          </w:tcPr>
          <w:p w14:paraId="667F9A63" w14:textId="7923034E" w:rsidR="00547B4E" w:rsidRPr="00BC3FF1" w:rsidRDefault="00547B4E" w:rsidP="00547B4E">
            <w:pPr>
              <w:spacing w:before="0" w:after="0"/>
              <w:jc w:val="center"/>
              <w:rPr>
                <w:rFonts w:ascii="Arial Narrow" w:hAnsi="Arial Narrow" w:cstheme="minorHAnsi"/>
                <w:sz w:val="20"/>
                <w:szCs w:val="20"/>
                <w:highlight w:val="lightGray"/>
              </w:rPr>
            </w:pP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r w:rsidRPr="00E73570">
              <w:rPr>
                <w:rFonts w:ascii="Arial Narrow" w:hAnsi="Arial Narrow" w:cstheme="minorHAnsi"/>
                <w:color w:val="000000"/>
                <w:w w:val="28"/>
                <w:sz w:val="20"/>
                <w:szCs w:val="20"/>
                <w:shd w:val="solid" w:color="000000" w:fill="000000"/>
                <w14:textFill>
                  <w14:solidFill>
                    <w14:srgbClr w14:val="000000">
                      <w14:alpha w14:val="100000"/>
                    </w14:srgbClr>
                  </w14:solidFill>
                </w14:textFill>
              </w:rPr>
              <w:t>|</w:t>
            </w:r>
            <w:r w:rsidRPr="00E73570">
              <w:rPr>
                <w:rFonts w:ascii="Arial Narrow" w:hAnsi="Arial Narrow" w:cstheme="minorHAnsi" w:hint="eastAsia"/>
                <w:color w:val="000000"/>
                <w:w w:val="28"/>
                <w:sz w:val="20"/>
                <w:szCs w:val="20"/>
                <w:shd w:val="solid" w:color="000000" w:fill="000000"/>
                <w14:textFill>
                  <w14:solidFill>
                    <w14:srgbClr w14:val="000000">
                      <w14:alpha w14:val="100000"/>
                    </w14:srgbClr>
                  </w14:solidFill>
                </w14:textFill>
              </w:rPr>
              <w:t xml:space="preserve">　</w:t>
            </w:r>
          </w:p>
        </w:tc>
      </w:tr>
      <w:tr w:rsidR="004820BB" w:rsidRPr="00BD19A7" w14:paraId="10D7AEB3" w14:textId="77777777" w:rsidTr="00F80D77">
        <w:tc>
          <w:tcPr>
            <w:tcW w:w="1334" w:type="pct"/>
            <w:vAlign w:val="bottom"/>
          </w:tcPr>
          <w:p w14:paraId="29A818E0" w14:textId="77777777" w:rsidR="004820BB" w:rsidRPr="00BD19A7" w:rsidRDefault="004820BB" w:rsidP="00737558">
            <w:pPr>
              <w:spacing w:before="0" w:after="0"/>
              <w:jc w:val="left"/>
              <w:rPr>
                <w:rFonts w:ascii="Arial Narrow" w:hAnsi="Arial Narrow" w:cstheme="minorHAnsi"/>
                <w:sz w:val="20"/>
                <w:szCs w:val="20"/>
              </w:rPr>
            </w:pPr>
            <w:r w:rsidRPr="00BD19A7">
              <w:rPr>
                <w:rFonts w:ascii="Arial Narrow" w:hAnsi="Arial Narrow" w:cstheme="minorHAnsi"/>
                <w:sz w:val="20"/>
                <w:szCs w:val="20"/>
              </w:rPr>
              <w:t>Additional Week 10 dose (n)</w:t>
            </w:r>
          </w:p>
        </w:tc>
        <w:tc>
          <w:tcPr>
            <w:tcW w:w="611" w:type="pct"/>
            <w:vAlign w:val="center"/>
          </w:tcPr>
          <w:p w14:paraId="30CF071E" w14:textId="4C43503F" w:rsidR="004820BB" w:rsidRPr="00170817" w:rsidRDefault="00206A14" w:rsidP="00DE0586">
            <w:pPr>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0"/>
                <w:sz w:val="20"/>
                <w:szCs w:val="20"/>
                <w:shd w:val="solid" w:color="000000" w:fill="000000"/>
                <w:fitText w:val="137" w:id="-961804541"/>
                <w14:textFill>
                  <w14:solidFill>
                    <w14:srgbClr w14:val="000000">
                      <w14:alpha w14:val="100000"/>
                    </w14:srgbClr>
                  </w14:solidFill>
                </w14:textFill>
              </w:rPr>
              <w:t xml:space="preserve">　</w:t>
            </w:r>
            <w:r w:rsidRPr="00206A14">
              <w:rPr>
                <w:rFonts w:ascii="Arial Narrow" w:hAnsi="Arial Narrow" w:cstheme="minorHAnsi"/>
                <w:color w:val="000000"/>
                <w:w w:val="30"/>
                <w:sz w:val="20"/>
                <w:szCs w:val="20"/>
                <w:shd w:val="solid" w:color="000000" w:fill="000000"/>
                <w:fitText w:val="137" w:id="-961804541"/>
                <w14:textFill>
                  <w14:solidFill>
                    <w14:srgbClr w14:val="000000">
                      <w14:alpha w14:val="100000"/>
                    </w14:srgbClr>
                  </w14:solidFill>
                </w14:textFill>
              </w:rPr>
              <w:t>|</w:t>
            </w:r>
            <w:r w:rsidRPr="00206A14">
              <w:rPr>
                <w:rFonts w:ascii="Arial Narrow" w:hAnsi="Arial Narrow" w:cstheme="minorHAnsi" w:hint="eastAsia"/>
                <w:color w:val="000000"/>
                <w:spacing w:val="5"/>
                <w:w w:val="30"/>
                <w:sz w:val="20"/>
                <w:szCs w:val="20"/>
                <w:shd w:val="solid" w:color="000000" w:fill="000000"/>
                <w:fitText w:val="137" w:id="-961804541"/>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vAlign w:val="center"/>
          </w:tcPr>
          <w:p w14:paraId="1150D727" w14:textId="1816D85C" w:rsidR="004820BB" w:rsidRPr="00170817" w:rsidRDefault="00206A14" w:rsidP="00DE0586">
            <w:pPr>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0"/>
                <w:sz w:val="20"/>
                <w:szCs w:val="20"/>
                <w:shd w:val="solid" w:color="000000" w:fill="000000"/>
                <w:fitText w:val="137" w:id="-961804540"/>
                <w14:textFill>
                  <w14:solidFill>
                    <w14:srgbClr w14:val="000000">
                      <w14:alpha w14:val="100000"/>
                    </w14:srgbClr>
                  </w14:solidFill>
                </w14:textFill>
              </w:rPr>
              <w:t xml:space="preserve">　</w:t>
            </w:r>
            <w:r w:rsidRPr="00206A14">
              <w:rPr>
                <w:rFonts w:ascii="Arial Narrow" w:hAnsi="Arial Narrow" w:cstheme="minorHAnsi"/>
                <w:color w:val="000000"/>
                <w:w w:val="30"/>
                <w:sz w:val="20"/>
                <w:szCs w:val="20"/>
                <w:shd w:val="solid" w:color="000000" w:fill="000000"/>
                <w:fitText w:val="137" w:id="-961804540"/>
                <w14:textFill>
                  <w14:solidFill>
                    <w14:srgbClr w14:val="000000">
                      <w14:alpha w14:val="100000"/>
                    </w14:srgbClr>
                  </w14:solidFill>
                </w14:textFill>
              </w:rPr>
              <w:t>|</w:t>
            </w:r>
            <w:r w:rsidRPr="00206A14">
              <w:rPr>
                <w:rFonts w:ascii="Arial Narrow" w:hAnsi="Arial Narrow" w:cstheme="minorHAnsi" w:hint="eastAsia"/>
                <w:color w:val="000000"/>
                <w:spacing w:val="5"/>
                <w:w w:val="30"/>
                <w:sz w:val="20"/>
                <w:szCs w:val="20"/>
                <w:shd w:val="solid" w:color="000000" w:fill="000000"/>
                <w:fitText w:val="137" w:id="-961804540"/>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vAlign w:val="bottom"/>
          </w:tcPr>
          <w:p w14:paraId="655AB10F" w14:textId="0B38947B"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0"/>
                <w:sz w:val="20"/>
                <w:szCs w:val="20"/>
                <w:shd w:val="solid" w:color="000000" w:fill="000000"/>
                <w:fitText w:val="136" w:id="-961804539"/>
                <w14:textFill>
                  <w14:solidFill>
                    <w14:srgbClr w14:val="000000">
                      <w14:alpha w14:val="100000"/>
                    </w14:srgbClr>
                  </w14:solidFill>
                </w14:textFill>
              </w:rPr>
              <w:t xml:space="preserve">　</w:t>
            </w:r>
            <w:r w:rsidRPr="00206A14">
              <w:rPr>
                <w:rFonts w:ascii="Arial Narrow" w:hAnsi="Arial Narrow" w:cstheme="minorHAnsi"/>
                <w:color w:val="000000"/>
                <w:w w:val="30"/>
                <w:sz w:val="20"/>
                <w:szCs w:val="20"/>
                <w:shd w:val="solid" w:color="000000" w:fill="000000"/>
                <w:fitText w:val="136" w:id="-961804539"/>
                <w14:textFill>
                  <w14:solidFill>
                    <w14:srgbClr w14:val="000000">
                      <w14:alpha w14:val="100000"/>
                    </w14:srgbClr>
                  </w14:solidFill>
                </w14:textFill>
              </w:rPr>
              <w:t>|</w:t>
            </w:r>
            <w:r w:rsidRPr="00206A14">
              <w:rPr>
                <w:rFonts w:ascii="Arial Narrow" w:hAnsi="Arial Narrow" w:cstheme="minorHAnsi" w:hint="eastAsia"/>
                <w:color w:val="000000"/>
                <w:spacing w:val="4"/>
                <w:w w:val="30"/>
                <w:sz w:val="20"/>
                <w:szCs w:val="20"/>
                <w:shd w:val="solid" w:color="000000" w:fill="000000"/>
                <w:fitText w:val="136" w:id="-961804539"/>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vAlign w:val="bottom"/>
          </w:tcPr>
          <w:p w14:paraId="634767A3" w14:textId="2F8B2F02"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0"/>
                <w:sz w:val="20"/>
                <w:szCs w:val="20"/>
                <w:shd w:val="solid" w:color="000000" w:fill="000000"/>
                <w:fitText w:val="136" w:id="-961804538"/>
                <w14:textFill>
                  <w14:solidFill>
                    <w14:srgbClr w14:val="000000">
                      <w14:alpha w14:val="100000"/>
                    </w14:srgbClr>
                  </w14:solidFill>
                </w14:textFill>
              </w:rPr>
              <w:t xml:space="preserve">　</w:t>
            </w:r>
            <w:r w:rsidRPr="00206A14">
              <w:rPr>
                <w:rFonts w:ascii="Arial Narrow" w:hAnsi="Arial Narrow" w:cstheme="minorHAnsi"/>
                <w:color w:val="000000"/>
                <w:w w:val="30"/>
                <w:sz w:val="20"/>
                <w:szCs w:val="20"/>
                <w:shd w:val="solid" w:color="000000" w:fill="000000"/>
                <w:fitText w:val="136" w:id="-961804538"/>
                <w14:textFill>
                  <w14:solidFill>
                    <w14:srgbClr w14:val="000000">
                      <w14:alpha w14:val="100000"/>
                    </w14:srgbClr>
                  </w14:solidFill>
                </w14:textFill>
              </w:rPr>
              <w:t>|</w:t>
            </w:r>
            <w:r w:rsidRPr="00206A14">
              <w:rPr>
                <w:rFonts w:ascii="Arial Narrow" w:hAnsi="Arial Narrow" w:cstheme="minorHAnsi" w:hint="eastAsia"/>
                <w:color w:val="000000"/>
                <w:spacing w:val="4"/>
                <w:w w:val="30"/>
                <w:sz w:val="20"/>
                <w:szCs w:val="20"/>
                <w:shd w:val="solid" w:color="000000" w:fill="000000"/>
                <w:fitText w:val="136" w:id="-961804538"/>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vAlign w:val="bottom"/>
          </w:tcPr>
          <w:p w14:paraId="455FB43A" w14:textId="0D66BCAE"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0"/>
                <w:sz w:val="20"/>
                <w:szCs w:val="20"/>
                <w:shd w:val="solid" w:color="000000" w:fill="000000"/>
                <w:fitText w:val="137" w:id="-961804537"/>
                <w14:textFill>
                  <w14:solidFill>
                    <w14:srgbClr w14:val="000000">
                      <w14:alpha w14:val="100000"/>
                    </w14:srgbClr>
                  </w14:solidFill>
                </w14:textFill>
              </w:rPr>
              <w:t xml:space="preserve">　</w:t>
            </w:r>
            <w:r w:rsidRPr="00206A14">
              <w:rPr>
                <w:rFonts w:ascii="Arial Narrow" w:hAnsi="Arial Narrow" w:cstheme="minorHAnsi"/>
                <w:color w:val="000000"/>
                <w:w w:val="30"/>
                <w:sz w:val="20"/>
                <w:szCs w:val="20"/>
                <w:shd w:val="solid" w:color="000000" w:fill="000000"/>
                <w:fitText w:val="137" w:id="-961804537"/>
                <w14:textFill>
                  <w14:solidFill>
                    <w14:srgbClr w14:val="000000">
                      <w14:alpha w14:val="100000"/>
                    </w14:srgbClr>
                  </w14:solidFill>
                </w14:textFill>
              </w:rPr>
              <w:t>|</w:t>
            </w:r>
            <w:r w:rsidRPr="00206A14">
              <w:rPr>
                <w:rFonts w:ascii="Arial Narrow" w:hAnsi="Arial Narrow" w:cstheme="minorHAnsi" w:hint="eastAsia"/>
                <w:color w:val="000000"/>
                <w:spacing w:val="5"/>
                <w:w w:val="30"/>
                <w:sz w:val="20"/>
                <w:szCs w:val="20"/>
                <w:shd w:val="solid" w:color="000000" w:fill="000000"/>
                <w:fitText w:val="137" w:id="-961804537"/>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c>
          <w:tcPr>
            <w:tcW w:w="611" w:type="pct"/>
            <w:vAlign w:val="bottom"/>
          </w:tcPr>
          <w:p w14:paraId="0391F103" w14:textId="3976E714" w:rsidR="004820BB" w:rsidRPr="00170817" w:rsidRDefault="00206A14" w:rsidP="004820BB">
            <w:pPr>
              <w:spacing w:before="0" w:after="0"/>
              <w:jc w:val="center"/>
              <w:rPr>
                <w:rFonts w:ascii="Arial Narrow" w:hAnsi="Arial Narrow" w:cstheme="minorHAnsi"/>
                <w:sz w:val="20"/>
                <w:szCs w:val="20"/>
                <w:highlight w:val="lightGray"/>
              </w:rPr>
            </w:pPr>
            <w:r w:rsidRPr="00206A14">
              <w:rPr>
                <w:rFonts w:ascii="Arial Narrow" w:hAnsi="Arial Narrow" w:cstheme="minorHAnsi" w:hint="eastAsia"/>
                <w:color w:val="000000"/>
                <w:w w:val="30"/>
                <w:sz w:val="20"/>
                <w:szCs w:val="20"/>
                <w:shd w:val="solid" w:color="000000" w:fill="000000"/>
                <w:fitText w:val="137" w:id="-961804536"/>
                <w14:textFill>
                  <w14:solidFill>
                    <w14:srgbClr w14:val="000000">
                      <w14:alpha w14:val="100000"/>
                    </w14:srgbClr>
                  </w14:solidFill>
                </w14:textFill>
              </w:rPr>
              <w:t xml:space="preserve">　</w:t>
            </w:r>
            <w:r w:rsidRPr="00206A14">
              <w:rPr>
                <w:rFonts w:ascii="Arial Narrow" w:hAnsi="Arial Narrow" w:cstheme="minorHAnsi"/>
                <w:color w:val="000000"/>
                <w:w w:val="30"/>
                <w:sz w:val="20"/>
                <w:szCs w:val="20"/>
                <w:shd w:val="solid" w:color="000000" w:fill="000000"/>
                <w:fitText w:val="137" w:id="-961804536"/>
                <w14:textFill>
                  <w14:solidFill>
                    <w14:srgbClr w14:val="000000">
                      <w14:alpha w14:val="100000"/>
                    </w14:srgbClr>
                  </w14:solidFill>
                </w14:textFill>
              </w:rPr>
              <w:t>|</w:t>
            </w:r>
            <w:r w:rsidRPr="00206A14">
              <w:rPr>
                <w:rFonts w:ascii="Arial Narrow" w:hAnsi="Arial Narrow" w:cstheme="minorHAnsi" w:hint="eastAsia"/>
                <w:color w:val="000000"/>
                <w:spacing w:val="5"/>
                <w:w w:val="30"/>
                <w:sz w:val="20"/>
                <w:szCs w:val="20"/>
                <w:shd w:val="solid" w:color="000000" w:fill="000000"/>
                <w:fitText w:val="137" w:id="-961804536"/>
                <w14:textFill>
                  <w14:solidFill>
                    <w14:srgbClr w14:val="000000">
                      <w14:alpha w14:val="100000"/>
                    </w14:srgbClr>
                  </w14:solidFill>
                </w14:textFill>
              </w:rPr>
              <w:t xml:space="preserve">　</w:t>
            </w:r>
            <w:r w:rsidR="00170817" w:rsidRPr="00170817">
              <w:rPr>
                <w:rFonts w:ascii="Arial Narrow" w:hAnsi="Arial Narrow" w:cstheme="minorHAnsi"/>
                <w:sz w:val="20"/>
                <w:szCs w:val="20"/>
                <w:vertAlign w:val="superscript"/>
              </w:rPr>
              <w:t>1</w:t>
            </w:r>
          </w:p>
        </w:tc>
      </w:tr>
    </w:tbl>
    <w:p w14:paraId="4534293C" w14:textId="56B5CC7B" w:rsidR="004820BB" w:rsidRDefault="004820BB" w:rsidP="0096623F">
      <w:pPr>
        <w:rPr>
          <w:rFonts w:ascii="Arial Narrow" w:eastAsiaTheme="minorHAnsi" w:hAnsi="Arial Narrow" w:cs="Tahoma"/>
          <w:sz w:val="18"/>
          <w:szCs w:val="18"/>
          <w:lang w:eastAsia="en-US"/>
        </w:rPr>
      </w:pPr>
      <w:r w:rsidRPr="00BD19A7">
        <w:rPr>
          <w:rFonts w:ascii="Arial Narrow" w:eastAsiaTheme="minorHAnsi" w:hAnsi="Arial Narrow" w:cs="Tahoma"/>
          <w:sz w:val="18"/>
          <w:szCs w:val="18"/>
          <w:lang w:eastAsia="en-US"/>
        </w:rPr>
        <w:t xml:space="preserve">Source: </w:t>
      </w:r>
      <w:r w:rsidR="00FE2482" w:rsidRPr="00BD19A7">
        <w:rPr>
          <w:rFonts w:ascii="Arial Narrow" w:eastAsiaTheme="minorHAnsi" w:hAnsi="Arial Narrow" w:cs="Tahoma"/>
          <w:sz w:val="18"/>
          <w:szCs w:val="18"/>
          <w:lang w:eastAsia="en-US"/>
        </w:rPr>
        <w:t xml:space="preserve">Evaluation </w:t>
      </w:r>
      <w:r w:rsidRPr="00BD19A7">
        <w:rPr>
          <w:rFonts w:ascii="Arial Narrow" w:eastAsiaTheme="minorHAnsi" w:hAnsi="Arial Narrow" w:cs="Tahoma"/>
          <w:sz w:val="18"/>
          <w:szCs w:val="18"/>
          <w:lang w:eastAsia="en-US"/>
        </w:rPr>
        <w:t>analyses with sponsor patient access program data</w:t>
      </w:r>
    </w:p>
    <w:p w14:paraId="429CDFDC" w14:textId="77777777" w:rsidR="00170817" w:rsidRPr="00547B4E" w:rsidRDefault="00170817" w:rsidP="0096623F">
      <w:pPr>
        <w:rPr>
          <w:rFonts w:ascii="Arial Narrow" w:eastAsiaTheme="minorHAnsi" w:hAnsi="Arial Narrow" w:cs="Tahoma"/>
          <w:i/>
          <w:iCs/>
          <w:sz w:val="18"/>
          <w:szCs w:val="18"/>
          <w:lang w:eastAsia="en-US"/>
        </w:rPr>
      </w:pPr>
      <w:r w:rsidRPr="00547B4E">
        <w:rPr>
          <w:rFonts w:ascii="Arial Narrow" w:eastAsiaTheme="minorHAnsi" w:hAnsi="Arial Narrow" w:cs="Tahoma"/>
          <w:i/>
          <w:iCs/>
          <w:sz w:val="18"/>
          <w:szCs w:val="18"/>
          <w:lang w:eastAsia="en-US"/>
        </w:rPr>
        <w:t>The redacted values correspond to the following ranges</w:t>
      </w:r>
    </w:p>
    <w:p w14:paraId="18765EE9" w14:textId="416556A4" w:rsidR="00170817" w:rsidRPr="00547B4E" w:rsidRDefault="00170817" w:rsidP="004820BB">
      <w:pPr>
        <w:spacing w:after="120" w:line="288" w:lineRule="auto"/>
        <w:rPr>
          <w:rFonts w:ascii="Arial Narrow" w:eastAsiaTheme="minorHAnsi" w:hAnsi="Arial Narrow" w:cs="Tahoma"/>
          <w:i/>
          <w:iCs/>
          <w:sz w:val="18"/>
          <w:szCs w:val="18"/>
          <w:lang w:eastAsia="en-US"/>
        </w:rPr>
      </w:pPr>
      <w:r w:rsidRPr="00547B4E">
        <w:rPr>
          <w:rFonts w:ascii="Arial Narrow" w:eastAsiaTheme="minorHAnsi" w:hAnsi="Arial Narrow" w:cs="Tahoma"/>
          <w:i/>
          <w:iCs/>
          <w:sz w:val="18"/>
          <w:szCs w:val="18"/>
          <w:vertAlign w:val="superscript"/>
          <w:lang w:eastAsia="en-US"/>
        </w:rPr>
        <w:t>1</w:t>
      </w:r>
      <w:r w:rsidRPr="00547B4E">
        <w:rPr>
          <w:rFonts w:ascii="Arial Narrow" w:eastAsiaTheme="minorHAnsi" w:hAnsi="Arial Narrow" w:cs="Tahoma"/>
          <w:i/>
          <w:iCs/>
          <w:sz w:val="18"/>
          <w:szCs w:val="18"/>
          <w:lang w:eastAsia="en-US"/>
        </w:rPr>
        <w:t xml:space="preserve"> &lt; 500</w:t>
      </w:r>
    </w:p>
    <w:p w14:paraId="66827CE3" w14:textId="471B987A" w:rsidR="006B5588" w:rsidRPr="00BD19A7" w:rsidRDefault="006B5588" w:rsidP="006B5588">
      <w:pPr>
        <w:pStyle w:val="3-BodyText"/>
        <w:spacing w:before="120"/>
        <w:rPr>
          <w:rFonts w:eastAsia="Calibri"/>
          <w:bCs/>
        </w:rPr>
      </w:pPr>
      <w:r w:rsidRPr="00BD19A7">
        <w:rPr>
          <w:rFonts w:eastAsia="Calibri"/>
          <w:bCs/>
        </w:rPr>
        <w:t xml:space="preserve">The PSCR stated that the </w:t>
      </w:r>
      <w:r w:rsidRPr="00BD19A7">
        <w:t>final</w:t>
      </w:r>
      <w:r w:rsidRPr="00BD19A7">
        <w:rPr>
          <w:rFonts w:eastAsia="Calibri"/>
          <w:bCs/>
        </w:rPr>
        <w:t xml:space="preserve"> proposed weighted AEMP for vedolizumab IV for the initiating treatment phase can be provided in the pre-PBAC response based on the ESC’s advice on the proportion of patients who require the Week 10 dose. The PSCR considered that the weighted AEMP for the initiating treatment phase would be determined as follows: ($</w:t>
      </w:r>
      <w:r w:rsidR="00206A14" w:rsidRPr="007B0FCD">
        <w:rPr>
          <w:rFonts w:eastAsia="Calibri"/>
          <w:bCs/>
          <w:color w:val="000000"/>
          <w:w w:val="15"/>
          <w:shd w:val="solid" w:color="000000" w:fill="000000"/>
          <w:fitText w:val="-20" w:id="-961804535"/>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535"/>
          <w14:textFill>
            <w14:solidFill>
              <w14:srgbClr w14:val="000000">
                <w14:alpha w14:val="100000"/>
              </w14:srgbClr>
            </w14:solidFill>
          </w14:textFill>
        </w:rPr>
        <w:t>|</w:t>
      </w:r>
      <w:r w:rsidRPr="00BD19A7">
        <w:rPr>
          <w:rFonts w:eastAsia="Calibri"/>
          <w:bCs/>
        </w:rPr>
        <w:t xml:space="preserve"> x % patients who do not require an additional dose) + ($</w:t>
      </w:r>
      <w:r w:rsidR="00206A14" w:rsidRPr="007B0FCD">
        <w:rPr>
          <w:rFonts w:eastAsia="Calibri"/>
          <w:bCs/>
          <w:color w:val="000000"/>
          <w:w w:val="15"/>
          <w:shd w:val="solid" w:color="000000" w:fill="000000"/>
          <w:fitText w:val="-20" w:id="-961804534"/>
          <w14:textFill>
            <w14:solidFill>
              <w14:srgbClr w14:val="000000">
                <w14:alpha w14:val="100000"/>
              </w14:srgbClr>
            </w14:solidFill>
          </w14:textFill>
        </w:rPr>
        <w:t xml:space="preserve">|  </w:t>
      </w:r>
      <w:r w:rsidR="00206A14" w:rsidRPr="007B0FCD">
        <w:rPr>
          <w:rFonts w:eastAsia="Calibri"/>
          <w:bCs/>
          <w:color w:val="000000"/>
          <w:spacing w:val="-69"/>
          <w:w w:val="15"/>
          <w:shd w:val="solid" w:color="000000" w:fill="000000"/>
          <w:fitText w:val="-20" w:id="-961804534"/>
          <w14:textFill>
            <w14:solidFill>
              <w14:srgbClr w14:val="000000">
                <w14:alpha w14:val="100000"/>
              </w14:srgbClr>
            </w14:solidFill>
          </w14:textFill>
        </w:rPr>
        <w:t>|</w:t>
      </w:r>
      <w:r w:rsidRPr="00BD19A7">
        <w:rPr>
          <w:rFonts w:eastAsia="Calibri"/>
          <w:bCs/>
        </w:rPr>
        <w:t xml:space="preserve"> x % patients who do require the additional dose at Week 10).</w:t>
      </w:r>
      <w:r w:rsidR="00C50A5C" w:rsidRPr="00BD19A7">
        <w:rPr>
          <w:rFonts w:eastAsia="Calibri"/>
          <w:bCs/>
        </w:rPr>
        <w:t xml:space="preserve"> The PSCR provided a table </w:t>
      </w:r>
      <w:r w:rsidR="00C50A5C" w:rsidRPr="00BD19A7">
        <w:rPr>
          <w:rFonts w:eastAsia="Calibri"/>
          <w:bCs/>
        </w:rPr>
        <w:lastRenderedPageBreak/>
        <w:t>summarising the estimated net financial impact</w:t>
      </w:r>
      <w:r w:rsidR="00B46B81" w:rsidRPr="00BD19A7">
        <w:rPr>
          <w:rFonts w:eastAsia="Calibri"/>
          <w:bCs/>
        </w:rPr>
        <w:t xml:space="preserve"> which it now estimated to be a small net save,</w:t>
      </w:r>
      <w:r w:rsidR="00C50A5C" w:rsidRPr="00BD19A7">
        <w:rPr>
          <w:rFonts w:eastAsia="Calibri"/>
          <w:bCs/>
        </w:rPr>
        <w:t xml:space="preserve"> but did not provide a </w:t>
      </w:r>
      <w:r w:rsidR="00B46B81" w:rsidRPr="00BD19A7">
        <w:rPr>
          <w:rFonts w:eastAsia="Calibri"/>
          <w:bCs/>
        </w:rPr>
        <w:t xml:space="preserve">revised </w:t>
      </w:r>
      <w:r w:rsidR="00C50A5C" w:rsidRPr="00BD19A7">
        <w:rPr>
          <w:rFonts w:eastAsia="Calibri"/>
          <w:bCs/>
        </w:rPr>
        <w:t xml:space="preserve">model supporting this. </w:t>
      </w:r>
    </w:p>
    <w:p w14:paraId="15E6365A" w14:textId="2D62DB51" w:rsidR="00167752" w:rsidRPr="00BD19A7" w:rsidRDefault="00167752" w:rsidP="00ED5B02">
      <w:pPr>
        <w:ind w:firstLine="709"/>
        <w:rPr>
          <w:rFonts w:asciiTheme="minorHAnsi" w:hAnsiTheme="minorHAnsi"/>
          <w:i/>
        </w:rPr>
      </w:pPr>
      <w:r w:rsidRPr="00BD19A7">
        <w:rPr>
          <w:rFonts w:asciiTheme="minorHAnsi" w:hAnsiTheme="minorHAnsi"/>
          <w:i/>
        </w:rPr>
        <w:t>For more detail on PBAC’s view, see section 7 PBAC outcome.</w:t>
      </w:r>
    </w:p>
    <w:p w14:paraId="196B9365" w14:textId="77777777" w:rsidR="004A35C6" w:rsidRPr="00BD19A7" w:rsidRDefault="004A35C6" w:rsidP="004A35C6">
      <w:pPr>
        <w:pStyle w:val="2-SectionHeading"/>
      </w:pPr>
      <w:bookmarkStart w:id="60" w:name="_Hlk76381249"/>
      <w:bookmarkStart w:id="61" w:name="_Hlk76377955"/>
      <w:bookmarkStart w:id="62" w:name="_Hlk159233112"/>
      <w:bookmarkEnd w:id="43"/>
      <w:r w:rsidRPr="00BD19A7">
        <w:t>PBAC Outcome</w:t>
      </w:r>
    </w:p>
    <w:p w14:paraId="15A31742" w14:textId="300A3C5A" w:rsidR="00E44EC0" w:rsidRPr="00BD19A7" w:rsidRDefault="004A35C6" w:rsidP="004657F0">
      <w:pPr>
        <w:pStyle w:val="3-BodyText"/>
      </w:pPr>
      <w:r w:rsidRPr="00BD19A7">
        <w:t xml:space="preserve">The PBAC recommended the listing of </w:t>
      </w:r>
      <w:r w:rsidR="00E44EC0" w:rsidRPr="00BD19A7">
        <w:t>an additional dose of vedolizumab 300 mg at week 10 for the initial treatment of severe CD for patients who have not responded to therapy after the existing three dose induction therapy</w:t>
      </w:r>
      <w:r w:rsidR="000F18F0">
        <w:t xml:space="preserve">, </w:t>
      </w:r>
      <w:proofErr w:type="gramStart"/>
      <w:r w:rsidR="00C22680">
        <w:t>provided</w:t>
      </w:r>
      <w:r w:rsidR="000F18F0">
        <w:t xml:space="preserve"> that</w:t>
      </w:r>
      <w:proofErr w:type="gramEnd"/>
      <w:r w:rsidR="000F18F0">
        <w:t xml:space="preserve"> it </w:t>
      </w:r>
      <w:r w:rsidR="00C22680">
        <w:t>is</w:t>
      </w:r>
      <w:r w:rsidR="000F18F0">
        <w:t xml:space="preserve"> cost</w:t>
      </w:r>
      <w:r w:rsidR="00C22680">
        <w:t>-neutral</w:t>
      </w:r>
      <w:r w:rsidR="000F18F0">
        <w:t xml:space="preserve"> to Government</w:t>
      </w:r>
      <w:r w:rsidR="00E44EC0" w:rsidRPr="00BD19A7">
        <w:t xml:space="preserve">. </w:t>
      </w:r>
    </w:p>
    <w:p w14:paraId="2DE11C4B" w14:textId="0B807BB0" w:rsidR="004657F0" w:rsidRPr="00BD19A7" w:rsidRDefault="004657F0" w:rsidP="00E44EC0">
      <w:pPr>
        <w:pStyle w:val="3-BodyText"/>
      </w:pPr>
      <w:r w:rsidRPr="00BD19A7">
        <w:t>The PBAC noted that the additional dose is currently provided to eligible patients through the sponsor’s compassionate access program. The PBAC also noted advice from</w:t>
      </w:r>
      <w:r w:rsidRPr="00BD19A7">
        <w:rPr>
          <w:rFonts w:ascii="Calibri" w:hAnsi="Calibri" w:cs="Calibri"/>
        </w:rPr>
        <w:t xml:space="preserve"> specialists that this approach is being used in clinical practice.</w:t>
      </w:r>
    </w:p>
    <w:p w14:paraId="7A8C8A58" w14:textId="77777777" w:rsidR="00AE600B" w:rsidRPr="00AE600B" w:rsidRDefault="00E44EC0" w:rsidP="00AE600B">
      <w:pPr>
        <w:widowControl w:val="0"/>
        <w:numPr>
          <w:ilvl w:val="1"/>
          <w:numId w:val="1"/>
        </w:numPr>
        <w:spacing w:after="120"/>
        <w:rPr>
          <w:rFonts w:asciiTheme="minorHAnsi" w:hAnsiTheme="minorHAnsi"/>
          <w:snapToGrid w:val="0"/>
        </w:rPr>
      </w:pPr>
      <w:r w:rsidRPr="00BD19A7">
        <w:rPr>
          <w:rFonts w:asciiTheme="minorHAnsi" w:hAnsiTheme="minorHAnsi"/>
          <w:snapToGrid w:val="0"/>
        </w:rPr>
        <w:t>The PBAC noted input from Crohn’s and Colitis Australia</w:t>
      </w:r>
      <w:r w:rsidR="004657F0" w:rsidRPr="00BD19A7">
        <w:rPr>
          <w:rFonts w:asciiTheme="minorHAnsi" w:hAnsiTheme="minorHAnsi"/>
          <w:bCs/>
          <w:snapToGrid w:val="0"/>
        </w:rPr>
        <w:t xml:space="preserve"> stating that it understood that </w:t>
      </w:r>
      <w:r w:rsidR="00F14F6B" w:rsidRPr="00BD19A7">
        <w:rPr>
          <w:rFonts w:asciiTheme="minorHAnsi" w:hAnsiTheme="minorHAnsi"/>
          <w:bCs/>
          <w:snapToGrid w:val="0"/>
        </w:rPr>
        <w:t>administration of a fourth dose at week 10</w:t>
      </w:r>
      <w:r w:rsidR="004657F0" w:rsidRPr="00BD19A7">
        <w:rPr>
          <w:rFonts w:asciiTheme="minorHAnsi" w:hAnsiTheme="minorHAnsi"/>
          <w:bCs/>
          <w:snapToGrid w:val="0"/>
        </w:rPr>
        <w:t xml:space="preserve"> is evidence</w:t>
      </w:r>
      <w:r w:rsidR="00736626" w:rsidRPr="00BD19A7">
        <w:rPr>
          <w:rFonts w:asciiTheme="minorHAnsi" w:hAnsiTheme="minorHAnsi"/>
          <w:bCs/>
          <w:snapToGrid w:val="0"/>
        </w:rPr>
        <w:t>-</w:t>
      </w:r>
      <w:r w:rsidR="004657F0" w:rsidRPr="00BD19A7">
        <w:rPr>
          <w:rFonts w:asciiTheme="minorHAnsi" w:hAnsiTheme="minorHAnsi"/>
          <w:bCs/>
          <w:snapToGrid w:val="0"/>
        </w:rPr>
        <w:t>based clinical practice for initial treatment experi</w:t>
      </w:r>
      <w:r w:rsidR="00F14F6B" w:rsidRPr="00BD19A7">
        <w:rPr>
          <w:rFonts w:asciiTheme="minorHAnsi" w:hAnsiTheme="minorHAnsi"/>
          <w:bCs/>
          <w:snapToGrid w:val="0"/>
        </w:rPr>
        <w:t>enced</w:t>
      </w:r>
      <w:r w:rsidR="004657F0" w:rsidRPr="00BD19A7">
        <w:rPr>
          <w:rFonts w:asciiTheme="minorHAnsi" w:hAnsiTheme="minorHAnsi"/>
          <w:bCs/>
          <w:snapToGrid w:val="0"/>
        </w:rPr>
        <w:t xml:space="preserve"> by people with IBD. </w:t>
      </w:r>
    </w:p>
    <w:p w14:paraId="458CC60E" w14:textId="066562D0" w:rsidR="00AE600B" w:rsidRPr="00BD19A7" w:rsidRDefault="00AE600B" w:rsidP="00AE600B">
      <w:pPr>
        <w:widowControl w:val="0"/>
        <w:numPr>
          <w:ilvl w:val="1"/>
          <w:numId w:val="1"/>
        </w:numPr>
        <w:spacing w:after="120"/>
        <w:rPr>
          <w:rFonts w:asciiTheme="minorHAnsi" w:hAnsiTheme="minorHAnsi"/>
          <w:snapToGrid w:val="0"/>
        </w:rPr>
      </w:pPr>
      <w:r w:rsidRPr="00BD19A7">
        <w:rPr>
          <w:rFonts w:asciiTheme="minorHAnsi" w:hAnsiTheme="minorHAnsi"/>
          <w:snapToGrid w:val="0"/>
        </w:rPr>
        <w:t xml:space="preserve">The PBAC noted the clinical trials presented, </w:t>
      </w:r>
      <w:r w:rsidRPr="00BD19A7">
        <w:t>GEMINI 2 (C13007) and GEMINI 3 (C13011), were previously considered by the PBAC in its consideration of listing vedolizumab 300 mg for IV infusion for the treatment of CD.</w:t>
      </w:r>
    </w:p>
    <w:p w14:paraId="4496E62C" w14:textId="5603BB4C" w:rsidR="00AE600B" w:rsidRPr="00BD19A7" w:rsidRDefault="00AE600B" w:rsidP="00AE600B">
      <w:pPr>
        <w:pStyle w:val="3-BodyText"/>
      </w:pPr>
      <w:r w:rsidRPr="00BD19A7">
        <w:t xml:space="preserve">The PBAC noted that patient numbers of the GEMINI II trial were small making percentage comparison less reliable. The PBAC noted that an additional dose of vedolizumab at week 10 increased the proportion of patients who achieved clinical remission to 10.5% at week 14. The clinical remission rate among placebo-treated subjects was 4.3% at week 10 and 10.1% at week 14. The PBAC noted that the submission claimed the proportions of patients who achieved clinical remission also increased with additional vedolizumab doses in the subgroup of patients who had failed TNFα antagonist from week 10 (5.1%) to week 14 (6.4%) as well as those who had not failed (week 10: 10.3%, week 14: 18.8%). </w:t>
      </w:r>
    </w:p>
    <w:p w14:paraId="5807A6FF" w14:textId="67CB3F9A" w:rsidR="004657F0" w:rsidRPr="00BD19A7" w:rsidRDefault="004657F0" w:rsidP="004657F0">
      <w:pPr>
        <w:widowControl w:val="0"/>
        <w:numPr>
          <w:ilvl w:val="1"/>
          <w:numId w:val="1"/>
        </w:numPr>
        <w:spacing w:after="120"/>
        <w:rPr>
          <w:rFonts w:asciiTheme="minorHAnsi" w:hAnsiTheme="minorHAnsi"/>
          <w:snapToGrid w:val="0"/>
        </w:rPr>
      </w:pPr>
      <w:r w:rsidRPr="00BD19A7">
        <w:rPr>
          <w:rFonts w:asciiTheme="minorHAnsi" w:hAnsiTheme="minorHAnsi"/>
          <w:snapToGrid w:val="0"/>
        </w:rPr>
        <w:t xml:space="preserve">The PBAC considered the listing of the additional dose as an </w:t>
      </w:r>
      <w:r w:rsidR="00AE600B">
        <w:rPr>
          <w:rFonts w:asciiTheme="minorHAnsi" w:hAnsiTheme="minorHAnsi"/>
          <w:snapToGrid w:val="0"/>
        </w:rPr>
        <w:t>A</w:t>
      </w:r>
      <w:r w:rsidRPr="00BD19A7">
        <w:rPr>
          <w:rFonts w:asciiTheme="minorHAnsi" w:hAnsiTheme="minorHAnsi"/>
          <w:snapToGrid w:val="0"/>
        </w:rPr>
        <w:t xml:space="preserve">uthority </w:t>
      </w:r>
      <w:r w:rsidR="00AE600B">
        <w:rPr>
          <w:rFonts w:asciiTheme="minorHAnsi" w:hAnsiTheme="minorHAnsi"/>
          <w:snapToGrid w:val="0"/>
        </w:rPr>
        <w:t>R</w:t>
      </w:r>
      <w:r w:rsidRPr="00BD19A7">
        <w:rPr>
          <w:rFonts w:asciiTheme="minorHAnsi" w:hAnsiTheme="minorHAnsi"/>
          <w:snapToGrid w:val="0"/>
        </w:rPr>
        <w:t>equired (Telephone/Online) item</w:t>
      </w:r>
      <w:r w:rsidR="00AE600B">
        <w:rPr>
          <w:rFonts w:asciiTheme="minorHAnsi" w:hAnsiTheme="minorHAnsi"/>
          <w:snapToGrid w:val="0"/>
        </w:rPr>
        <w:t>, rather than as an Authority Required (</w:t>
      </w:r>
      <w:r w:rsidR="00E3344C">
        <w:rPr>
          <w:rFonts w:asciiTheme="minorHAnsi" w:hAnsiTheme="minorHAnsi"/>
          <w:snapToGrid w:val="0"/>
        </w:rPr>
        <w:t>W</w:t>
      </w:r>
      <w:r w:rsidR="00AE600B">
        <w:rPr>
          <w:rFonts w:asciiTheme="minorHAnsi" w:hAnsiTheme="minorHAnsi"/>
          <w:snapToGrid w:val="0"/>
        </w:rPr>
        <w:t>ritten) item,</w:t>
      </w:r>
      <w:r w:rsidRPr="00BD19A7">
        <w:rPr>
          <w:rFonts w:asciiTheme="minorHAnsi" w:hAnsiTheme="minorHAnsi"/>
          <w:snapToGrid w:val="0"/>
        </w:rPr>
        <w:t xml:space="preserve"> was appropriate</w:t>
      </w:r>
      <w:r w:rsidR="00CF2976" w:rsidRPr="00BD19A7">
        <w:rPr>
          <w:rFonts w:asciiTheme="minorHAnsi" w:hAnsiTheme="minorHAnsi"/>
          <w:snapToGrid w:val="0"/>
        </w:rPr>
        <w:t xml:space="preserve"> </w:t>
      </w:r>
      <w:r w:rsidR="00CF2976" w:rsidRPr="00BD19A7">
        <w:t>to allow sufficient time between assessment of an inadequate response after 6 weeks and the additional dose at week 10.</w:t>
      </w:r>
    </w:p>
    <w:p w14:paraId="74ACE92B" w14:textId="0A40A349" w:rsidR="00CF2976" w:rsidRPr="00BD19A7" w:rsidRDefault="004657F0" w:rsidP="00CF2976">
      <w:pPr>
        <w:widowControl w:val="0"/>
        <w:numPr>
          <w:ilvl w:val="1"/>
          <w:numId w:val="1"/>
        </w:numPr>
        <w:spacing w:after="120"/>
        <w:rPr>
          <w:rFonts w:asciiTheme="minorHAnsi" w:hAnsiTheme="minorHAnsi"/>
          <w:snapToGrid w:val="0"/>
        </w:rPr>
      </w:pPr>
      <w:r w:rsidRPr="00BD19A7">
        <w:rPr>
          <w:rFonts w:asciiTheme="minorHAnsi" w:hAnsiTheme="minorHAnsi"/>
          <w:snapToGrid w:val="0"/>
        </w:rPr>
        <w:t xml:space="preserve">The PBAC considered that </w:t>
      </w:r>
      <w:r w:rsidR="00CF2976" w:rsidRPr="00BD19A7">
        <w:rPr>
          <w:rFonts w:asciiTheme="minorHAnsi" w:hAnsiTheme="minorHAnsi"/>
          <w:snapToGrid w:val="0"/>
        </w:rPr>
        <w:t>it would be appropriate for the criteria to require patients to be assessed after 6 weeks and prior to 10 weeks</w:t>
      </w:r>
      <w:r w:rsidR="00587019">
        <w:rPr>
          <w:rFonts w:asciiTheme="minorHAnsi" w:hAnsiTheme="minorHAnsi"/>
          <w:snapToGrid w:val="0"/>
        </w:rPr>
        <w:t xml:space="preserve"> from the initial dose</w:t>
      </w:r>
      <w:r w:rsidR="00CF2976" w:rsidRPr="00BD19A7">
        <w:rPr>
          <w:rFonts w:asciiTheme="minorHAnsi" w:hAnsiTheme="minorHAnsi"/>
          <w:snapToGrid w:val="0"/>
        </w:rPr>
        <w:t>.</w:t>
      </w:r>
    </w:p>
    <w:p w14:paraId="36A96389" w14:textId="509B4746" w:rsidR="004A35C6" w:rsidRPr="00BD19A7" w:rsidRDefault="00C41C11" w:rsidP="007739E2">
      <w:pPr>
        <w:widowControl w:val="0"/>
        <w:numPr>
          <w:ilvl w:val="1"/>
          <w:numId w:val="1"/>
        </w:numPr>
        <w:spacing w:after="120"/>
      </w:pPr>
      <w:r w:rsidRPr="00BD19A7">
        <w:t>The PBAC also recommended the removal of the requirement to assess the risk of developing PML during this treatment from all PBS listings for vedolizumab</w:t>
      </w:r>
      <w:r w:rsidR="007739E2">
        <w:t>,</w:t>
      </w:r>
      <w:r w:rsidR="00CF2976" w:rsidRPr="00BD19A7">
        <w:t xml:space="preserve"> follow</w:t>
      </w:r>
      <w:r w:rsidR="007739E2">
        <w:t>ing</w:t>
      </w:r>
      <w:r w:rsidR="00CF2976" w:rsidRPr="00BD19A7">
        <w:t xml:space="preserve"> the updates for the RMP ASA and the PI where the need for a patient alert card has been removed. The PBAC acknowledged that whilst it is common for a PI to suggest monitoring for adverse events or other parameters that may be suggestive of risks of an AE (e.g., blood pressure, cardiac parameters etc), these </w:t>
      </w:r>
      <w:r w:rsidR="00397F18" w:rsidRPr="00BD19A7">
        <w:t xml:space="preserve">are not generally included </w:t>
      </w:r>
      <w:r w:rsidR="00397F18" w:rsidRPr="00BD19A7">
        <w:lastRenderedPageBreak/>
        <w:t xml:space="preserve">as </w:t>
      </w:r>
      <w:r w:rsidR="00C36CF6" w:rsidRPr="00BD19A7">
        <w:t xml:space="preserve">clinical criteria </w:t>
      </w:r>
      <w:r w:rsidR="00397F18" w:rsidRPr="00BD19A7">
        <w:t>in the PBS listing</w:t>
      </w:r>
      <w:r w:rsidR="00C36CF6" w:rsidRPr="00BD19A7">
        <w:t>.</w:t>
      </w:r>
      <w:r w:rsidR="00742BA2" w:rsidRPr="00BD19A7">
        <w:t xml:space="preserve"> </w:t>
      </w:r>
    </w:p>
    <w:p w14:paraId="582B5DBC" w14:textId="700A21AB" w:rsidR="00F14F6B" w:rsidRPr="00BD19A7" w:rsidRDefault="00F14F6B" w:rsidP="00CF2976">
      <w:pPr>
        <w:pStyle w:val="3-BodyText"/>
        <w:spacing w:before="120"/>
      </w:pPr>
      <w:r w:rsidRPr="00BD19A7">
        <w:t xml:space="preserve">The PBAC noted minor flow-on restriction changes to the prescribing instructions of the subcutaneous form of vedolizumab for severe CD. </w:t>
      </w:r>
    </w:p>
    <w:p w14:paraId="0FA043EB" w14:textId="7E4BF0B6" w:rsidR="00E258AB" w:rsidRPr="00BD19A7" w:rsidRDefault="008D2158" w:rsidP="008D2158">
      <w:pPr>
        <w:pStyle w:val="3-BodyText"/>
      </w:pPr>
      <w:r w:rsidRPr="00BD19A7">
        <w:t>The PBAC</w:t>
      </w:r>
      <w:r w:rsidR="00E258AB" w:rsidRPr="00BD19A7">
        <w:t xml:space="preserve"> recommended the listing of the additional dose be cost-neutral to the Government and</w:t>
      </w:r>
      <w:r w:rsidRPr="00BD19A7">
        <w:t xml:space="preserve"> noted that the sponsor had </w:t>
      </w:r>
      <w:r w:rsidR="000F18F0">
        <w:t>proposed</w:t>
      </w:r>
      <w:r w:rsidR="000F18F0" w:rsidRPr="00BD19A7">
        <w:t xml:space="preserve"> </w:t>
      </w:r>
      <w:r w:rsidR="00E258AB" w:rsidRPr="00BD19A7">
        <w:t>this in its submission</w:t>
      </w:r>
      <w:r w:rsidRPr="00BD19A7">
        <w:t xml:space="preserve">. </w:t>
      </w:r>
    </w:p>
    <w:p w14:paraId="4FE69190" w14:textId="011A201A" w:rsidR="008D2158" w:rsidRPr="00BD19A7" w:rsidRDefault="008D2158" w:rsidP="008D2158">
      <w:pPr>
        <w:pStyle w:val="3-BodyText"/>
      </w:pPr>
      <w:r w:rsidRPr="00BD19A7">
        <w:t>The PBAC noted that the evaluation and the ESC had provided</w:t>
      </w:r>
      <w:r w:rsidR="00E258AB" w:rsidRPr="00BD19A7">
        <w:t xml:space="preserve"> different</w:t>
      </w:r>
      <w:r w:rsidRPr="00BD19A7">
        <w:t xml:space="preserve"> options to </w:t>
      </w:r>
      <w:r w:rsidR="00E258AB" w:rsidRPr="00BD19A7">
        <w:t xml:space="preserve">achieve </w:t>
      </w:r>
      <w:r w:rsidRPr="00BD19A7">
        <w:t xml:space="preserve">cost-neutrality, including offsetting the additional cost in the initial treatment phase only, or providing the additional dose with the application of a </w:t>
      </w:r>
      <w:r w:rsidR="00206A14" w:rsidRPr="007B0FCD">
        <w:rPr>
          <w:color w:val="000000"/>
          <w:w w:val="15"/>
          <w:shd w:val="solid" w:color="000000" w:fill="000000"/>
          <w:fitText w:val="-20" w:id="-961804533"/>
          <w14:textFill>
            <w14:solidFill>
              <w14:srgbClr w14:val="000000">
                <w14:alpha w14:val="100000"/>
              </w14:srgbClr>
            </w14:solidFill>
          </w14:textFill>
        </w:rPr>
        <w:t xml:space="preserve">|  </w:t>
      </w:r>
      <w:r w:rsidR="00206A14" w:rsidRPr="007B0FCD">
        <w:rPr>
          <w:color w:val="000000"/>
          <w:spacing w:val="-69"/>
          <w:w w:val="15"/>
          <w:shd w:val="solid" w:color="000000" w:fill="000000"/>
          <w:fitText w:val="-20" w:id="-961804533"/>
          <w14:textFill>
            <w14:solidFill>
              <w14:srgbClr w14:val="000000">
                <w14:alpha w14:val="100000"/>
              </w14:srgbClr>
            </w14:solidFill>
          </w14:textFill>
        </w:rPr>
        <w:t>|</w:t>
      </w:r>
      <w:r w:rsidRPr="00BD19A7">
        <w:t>% rebate. The PBAC</w:t>
      </w:r>
      <w:r w:rsidR="00E258AB" w:rsidRPr="00BD19A7">
        <w:t xml:space="preserve"> </w:t>
      </w:r>
      <w:r w:rsidR="00252226">
        <w:t>advised</w:t>
      </w:r>
      <w:r w:rsidR="00252226" w:rsidRPr="00BD19A7">
        <w:t xml:space="preserve"> </w:t>
      </w:r>
      <w:r w:rsidRPr="00BD19A7">
        <w:t xml:space="preserve">that the </w:t>
      </w:r>
      <w:r w:rsidR="00252226">
        <w:t xml:space="preserve">sponsor work with the Department on an </w:t>
      </w:r>
      <w:r w:rsidR="00AD789A" w:rsidRPr="00BD19A7">
        <w:t xml:space="preserve">appropriate </w:t>
      </w:r>
      <w:r w:rsidR="00252226">
        <w:t xml:space="preserve">pricing </w:t>
      </w:r>
      <w:r w:rsidRPr="00BD19A7">
        <w:t xml:space="preserve">approach </w:t>
      </w:r>
      <w:r w:rsidR="00252226">
        <w:t>for</w:t>
      </w:r>
      <w:r w:rsidR="00E258AB" w:rsidRPr="00BD19A7">
        <w:t xml:space="preserve"> </w:t>
      </w:r>
      <w:r w:rsidR="00252226">
        <w:t xml:space="preserve">vedolizumab in severe CD to </w:t>
      </w:r>
      <w:r w:rsidR="00E258AB" w:rsidRPr="00BD19A7">
        <w:t>achiev</w:t>
      </w:r>
      <w:r w:rsidR="00252226">
        <w:t>e</w:t>
      </w:r>
      <w:r w:rsidR="00E258AB" w:rsidRPr="00BD19A7">
        <w:t xml:space="preserve"> cost neutrality</w:t>
      </w:r>
      <w:r w:rsidR="00BD19A7">
        <w:t xml:space="preserve">. </w:t>
      </w:r>
    </w:p>
    <w:p w14:paraId="3026A98D" w14:textId="3007FD19" w:rsidR="004A35C6" w:rsidRPr="00BD19A7" w:rsidRDefault="004A35C6" w:rsidP="00EB5297">
      <w:pPr>
        <w:pStyle w:val="ListParagraph"/>
        <w:numPr>
          <w:ilvl w:val="1"/>
          <w:numId w:val="1"/>
        </w:numPr>
        <w:contextualSpacing/>
        <w:rPr>
          <w:lang w:eastAsia="en-US"/>
        </w:rPr>
      </w:pPr>
      <w:r w:rsidRPr="00BD19A7">
        <w:rPr>
          <w:rFonts w:cstheme="minorHAnsi"/>
        </w:rPr>
        <w:t xml:space="preserve">The PBAC found that the criteria prescribed by the </w:t>
      </w:r>
      <w:r w:rsidRPr="00BD19A7">
        <w:rPr>
          <w:rFonts w:cstheme="minorHAnsi"/>
          <w:i/>
        </w:rPr>
        <w:t>National Health (Pharmaceuticals and Vaccines – Cost Recovery) Regulations 2022</w:t>
      </w:r>
      <w:r w:rsidRPr="00BD19A7">
        <w:rPr>
          <w:rFonts w:cstheme="minorHAnsi"/>
        </w:rPr>
        <w:t xml:space="preserve"> for Pricing Pathway A were not met. </w:t>
      </w:r>
      <w:r w:rsidR="00834E0A" w:rsidRPr="00BD19A7">
        <w:rPr>
          <w:rFonts w:cstheme="minorHAnsi"/>
        </w:rPr>
        <w:t>Specifically,</w:t>
      </w:r>
      <w:r w:rsidRPr="00BD19A7">
        <w:rPr>
          <w:rFonts w:cstheme="minorHAnsi"/>
        </w:rPr>
        <w:t xml:space="preserve"> the PBAC found that in the circumstances of its recommendation for </w:t>
      </w:r>
      <w:r w:rsidR="00EB5297" w:rsidRPr="00BD19A7">
        <w:rPr>
          <w:rFonts w:cstheme="minorHAnsi"/>
        </w:rPr>
        <w:t xml:space="preserve">an additional induction dose and the amendment of the current </w:t>
      </w:r>
      <w:r w:rsidR="00E32CDC" w:rsidRPr="00BD19A7">
        <w:rPr>
          <w:rFonts w:cstheme="minorHAnsi"/>
        </w:rPr>
        <w:t>clinical</w:t>
      </w:r>
      <w:r w:rsidR="00EB5297" w:rsidRPr="00BD19A7">
        <w:rPr>
          <w:rFonts w:cstheme="minorHAnsi"/>
        </w:rPr>
        <w:t xml:space="preserve"> criteria</w:t>
      </w:r>
      <w:r w:rsidR="00834E0A" w:rsidRPr="00BD19A7">
        <w:rPr>
          <w:rFonts w:cstheme="minorHAnsi"/>
        </w:rPr>
        <w:t>, t</w:t>
      </w:r>
      <w:r w:rsidRPr="00BD19A7">
        <w:rPr>
          <w:rFonts w:cstheme="minorHAnsi"/>
        </w:rPr>
        <w:t>he treatment is not</w:t>
      </w:r>
      <w:r w:rsidR="00EB5297" w:rsidRPr="00BD19A7">
        <w:rPr>
          <w:rFonts w:cstheme="minorHAnsi"/>
        </w:rPr>
        <w:t xml:space="preserve"> </w:t>
      </w:r>
      <w:r w:rsidRPr="00BD19A7">
        <w:rPr>
          <w:rFonts w:cstheme="minorHAnsi"/>
        </w:rPr>
        <w:t>expected to address a high and urgent unmet clinical need</w:t>
      </w:r>
      <w:r w:rsidR="00EB5297" w:rsidRPr="00BD19A7">
        <w:rPr>
          <w:rFonts w:cstheme="minorHAnsi"/>
        </w:rPr>
        <w:t>.</w:t>
      </w:r>
    </w:p>
    <w:p w14:paraId="53891573" w14:textId="4377AE42" w:rsidR="00EB5297" w:rsidRPr="00BD19A7" w:rsidRDefault="004A35C6" w:rsidP="00EB5297">
      <w:pPr>
        <w:widowControl w:val="0"/>
        <w:numPr>
          <w:ilvl w:val="1"/>
          <w:numId w:val="1"/>
        </w:numPr>
        <w:spacing w:after="120"/>
        <w:rPr>
          <w:rFonts w:asciiTheme="minorHAnsi" w:hAnsiTheme="minorHAnsi"/>
          <w:b/>
          <w:bCs/>
          <w:snapToGrid w:val="0"/>
        </w:rPr>
      </w:pPr>
      <w:r w:rsidRPr="00BD19A7">
        <w:rPr>
          <w:rFonts w:asciiTheme="minorHAnsi" w:hAnsiTheme="minorHAnsi"/>
          <w:bCs/>
          <w:snapToGrid w:val="0"/>
        </w:rPr>
        <w:t>The PBAC noted that this submission is not eligible for an Independent Review</w:t>
      </w:r>
      <w:r w:rsidR="00EB5297" w:rsidRPr="00BD19A7">
        <w:rPr>
          <w:rFonts w:asciiTheme="minorHAnsi" w:hAnsiTheme="minorHAnsi"/>
          <w:bCs/>
          <w:snapToGrid w:val="0"/>
        </w:rPr>
        <w:t xml:space="preserve"> as it received a positive recommendation</w:t>
      </w:r>
      <w:r w:rsidR="00BD19A7">
        <w:rPr>
          <w:rFonts w:asciiTheme="minorHAnsi" w:hAnsiTheme="minorHAnsi"/>
          <w:bCs/>
          <w:snapToGrid w:val="0"/>
        </w:rPr>
        <w:t xml:space="preserve">. </w:t>
      </w:r>
    </w:p>
    <w:p w14:paraId="1FED6E95" w14:textId="0292C480" w:rsidR="004A35C6" w:rsidRPr="00BD19A7" w:rsidRDefault="004A35C6" w:rsidP="00EB5297">
      <w:pPr>
        <w:widowControl w:val="0"/>
        <w:rPr>
          <w:rFonts w:asciiTheme="minorHAnsi" w:hAnsiTheme="minorHAnsi"/>
          <w:b/>
          <w:bCs/>
          <w:snapToGrid w:val="0"/>
        </w:rPr>
      </w:pPr>
      <w:r w:rsidRPr="00BD19A7">
        <w:rPr>
          <w:rFonts w:asciiTheme="minorHAnsi" w:hAnsiTheme="minorHAnsi"/>
          <w:b/>
          <w:bCs/>
          <w:snapToGrid w:val="0"/>
        </w:rPr>
        <w:t>Outcome:</w:t>
      </w:r>
    </w:p>
    <w:p w14:paraId="196EBF21" w14:textId="68352D6C" w:rsidR="004A35C6" w:rsidRPr="00BD19A7" w:rsidRDefault="004A35C6" w:rsidP="00C7524D">
      <w:pPr>
        <w:rPr>
          <w:rFonts w:asciiTheme="minorHAnsi" w:hAnsiTheme="minorHAnsi"/>
          <w:b/>
          <w:bCs/>
          <w:snapToGrid w:val="0"/>
        </w:rPr>
      </w:pPr>
      <w:r w:rsidRPr="00BD19A7">
        <w:rPr>
          <w:rFonts w:asciiTheme="minorHAnsi" w:hAnsiTheme="minorHAnsi"/>
          <w:bCs/>
          <w:snapToGrid w:val="0"/>
        </w:rPr>
        <w:t xml:space="preserve">Recommended </w:t>
      </w:r>
    </w:p>
    <w:bookmarkEnd w:id="60"/>
    <w:p w14:paraId="4DC02C46" w14:textId="77777777" w:rsidR="004A35C6" w:rsidRPr="00BD19A7" w:rsidRDefault="004A35C6" w:rsidP="00C763B2">
      <w:pPr>
        <w:pStyle w:val="2-SectionHeading"/>
      </w:pPr>
      <w:r w:rsidRPr="00BD19A7">
        <w:t>Recommended listing</w:t>
      </w:r>
    </w:p>
    <w:p w14:paraId="15BEE80A" w14:textId="713DE547" w:rsidR="00736626" w:rsidRPr="00BD19A7" w:rsidRDefault="004A35C6" w:rsidP="00C763B2">
      <w:pPr>
        <w:pStyle w:val="ListParagraph"/>
        <w:keepNext/>
        <w:numPr>
          <w:ilvl w:val="1"/>
          <w:numId w:val="1"/>
        </w:numPr>
        <w:contextualSpacing/>
        <w:rPr>
          <w:b/>
          <w:bCs/>
        </w:rPr>
      </w:pPr>
      <w:r w:rsidRPr="00BD19A7">
        <w:rPr>
          <w:bCs/>
        </w:rPr>
        <w:t>Add new item:</w:t>
      </w:r>
      <w:bookmarkEnd w:id="61"/>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09"/>
        <w:gridCol w:w="2128"/>
        <w:gridCol w:w="1353"/>
        <w:gridCol w:w="914"/>
        <w:gridCol w:w="993"/>
        <w:gridCol w:w="708"/>
        <w:gridCol w:w="1561"/>
      </w:tblGrid>
      <w:tr w:rsidR="00736626" w:rsidRPr="00BD19A7" w14:paraId="06FCFAAA" w14:textId="77777777" w:rsidTr="00AF0513">
        <w:trPr>
          <w:cantSplit/>
          <w:trHeight w:val="20"/>
        </w:trPr>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57D87856" w14:textId="77777777" w:rsidR="00736626" w:rsidRPr="00BD19A7" w:rsidRDefault="00736626" w:rsidP="00000BB2">
            <w:pPr>
              <w:keepNext/>
              <w:keepLines/>
              <w:rPr>
                <w:rFonts w:ascii="Arial Narrow" w:hAnsi="Arial Narrow"/>
                <w:b/>
                <w:bCs/>
                <w:sz w:val="20"/>
                <w:szCs w:val="20"/>
              </w:rPr>
            </w:pPr>
            <w:r w:rsidRPr="00BD19A7">
              <w:rPr>
                <w:rFonts w:ascii="Arial Narrow" w:hAnsi="Arial Narrow"/>
                <w:b/>
                <w:bCs/>
                <w:sz w:val="20"/>
                <w:szCs w:val="20"/>
              </w:rPr>
              <w:t>MEDICINAL PRODUCT</w:t>
            </w:r>
          </w:p>
          <w:p w14:paraId="268D57A1" w14:textId="77777777" w:rsidR="00736626" w:rsidRPr="00BD19A7" w:rsidRDefault="00736626" w:rsidP="00000BB2">
            <w:pPr>
              <w:keepNext/>
              <w:keepLines/>
              <w:rPr>
                <w:rFonts w:ascii="Arial Narrow" w:hAnsi="Arial Narrow"/>
                <w:b/>
                <w:sz w:val="20"/>
                <w:szCs w:val="20"/>
              </w:rPr>
            </w:pPr>
            <w:r w:rsidRPr="00BD19A7">
              <w:rPr>
                <w:rFonts w:ascii="Arial Narrow" w:hAnsi="Arial Narrow"/>
                <w:b/>
                <w:bCs/>
                <w:sz w:val="20"/>
                <w:szCs w:val="20"/>
              </w:rPr>
              <w:t>medicinal product pack</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76793E8" w14:textId="77777777" w:rsidR="00736626" w:rsidRPr="00BD19A7" w:rsidRDefault="00736626" w:rsidP="00000BB2">
            <w:pPr>
              <w:keepNext/>
              <w:keepLines/>
              <w:jc w:val="center"/>
              <w:rPr>
                <w:rFonts w:ascii="Arial Narrow" w:hAnsi="Arial Narrow"/>
                <w:b/>
                <w:sz w:val="20"/>
                <w:szCs w:val="20"/>
              </w:rPr>
            </w:pPr>
            <w:r w:rsidRPr="00BD19A7">
              <w:rPr>
                <w:rFonts w:ascii="Arial Narrow" w:hAnsi="Arial Narrow"/>
                <w:b/>
                <w:sz w:val="20"/>
                <w:szCs w:val="20"/>
              </w:rPr>
              <w:t>PBS item code</w:t>
            </w:r>
          </w:p>
        </w:tc>
        <w:tc>
          <w:tcPr>
            <w:tcW w:w="914" w:type="dxa"/>
            <w:tcBorders>
              <w:top w:val="single" w:sz="4" w:space="0" w:color="auto"/>
              <w:left w:val="single" w:sz="4" w:space="0" w:color="auto"/>
              <w:bottom w:val="single" w:sz="4" w:space="0" w:color="auto"/>
              <w:right w:val="single" w:sz="4" w:space="0" w:color="auto"/>
            </w:tcBorders>
            <w:vAlign w:val="center"/>
            <w:hideMark/>
          </w:tcPr>
          <w:p w14:paraId="7BA1EBA4" w14:textId="77777777" w:rsidR="00736626" w:rsidRPr="00BD19A7" w:rsidRDefault="00736626" w:rsidP="00000BB2">
            <w:pPr>
              <w:keepNext/>
              <w:keepLines/>
              <w:jc w:val="center"/>
              <w:rPr>
                <w:rFonts w:ascii="Arial Narrow" w:hAnsi="Arial Narrow"/>
                <w:b/>
                <w:sz w:val="20"/>
                <w:szCs w:val="20"/>
              </w:rPr>
            </w:pPr>
            <w:r w:rsidRPr="00BD19A7">
              <w:rPr>
                <w:rFonts w:ascii="Arial Narrow" w:hAnsi="Arial Narrow"/>
                <w:b/>
                <w:sz w:val="20"/>
                <w:szCs w:val="20"/>
              </w:rPr>
              <w:t>Max. qty packs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D9F3E8" w14:textId="77777777" w:rsidR="00736626" w:rsidRPr="00BD19A7" w:rsidRDefault="00736626" w:rsidP="00000BB2">
            <w:pPr>
              <w:keepNext/>
              <w:keepLines/>
              <w:jc w:val="center"/>
              <w:rPr>
                <w:rFonts w:ascii="Arial Narrow" w:hAnsi="Arial Narrow"/>
                <w:b/>
                <w:sz w:val="20"/>
                <w:szCs w:val="20"/>
              </w:rPr>
            </w:pPr>
            <w:r w:rsidRPr="00BD19A7">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7D6ED289" w14:textId="77777777" w:rsidR="00736626" w:rsidRPr="00BD19A7" w:rsidRDefault="00736626" w:rsidP="00000BB2">
            <w:pPr>
              <w:keepNext/>
              <w:keepLines/>
              <w:jc w:val="center"/>
              <w:rPr>
                <w:rFonts w:ascii="Arial Narrow" w:hAnsi="Arial Narrow"/>
                <w:b/>
                <w:sz w:val="20"/>
                <w:szCs w:val="20"/>
              </w:rPr>
            </w:pPr>
            <w:r w:rsidRPr="00BD19A7">
              <w:rPr>
                <w:rFonts w:ascii="Arial Narrow" w:hAnsi="Arial Narrow"/>
                <w:b/>
                <w:sz w:val="20"/>
                <w:szCs w:val="20"/>
              </w:rPr>
              <w:t>№.of</w:t>
            </w:r>
          </w:p>
          <w:p w14:paraId="1F8FC802" w14:textId="77777777" w:rsidR="00736626" w:rsidRPr="00BD19A7" w:rsidRDefault="00736626" w:rsidP="00000BB2">
            <w:pPr>
              <w:keepNext/>
              <w:keepLines/>
              <w:jc w:val="center"/>
              <w:rPr>
                <w:rFonts w:ascii="Arial Narrow" w:hAnsi="Arial Narrow"/>
                <w:b/>
                <w:sz w:val="20"/>
                <w:szCs w:val="20"/>
              </w:rPr>
            </w:pPr>
            <w:r w:rsidRPr="00BD19A7">
              <w:rPr>
                <w:rFonts w:ascii="Arial Narrow" w:hAnsi="Arial Narrow"/>
                <w:b/>
                <w:sz w:val="20"/>
                <w:szCs w:val="20"/>
              </w:rPr>
              <w:t>Rpts</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9F8C07A" w14:textId="77777777" w:rsidR="00736626" w:rsidRPr="00BD19A7" w:rsidRDefault="00736626" w:rsidP="00000BB2">
            <w:pPr>
              <w:keepNext/>
              <w:keepLines/>
              <w:rPr>
                <w:rFonts w:ascii="Arial Narrow" w:hAnsi="Arial Narrow"/>
                <w:b/>
                <w:sz w:val="20"/>
                <w:szCs w:val="20"/>
              </w:rPr>
            </w:pPr>
            <w:r w:rsidRPr="00BD19A7">
              <w:rPr>
                <w:rFonts w:ascii="Arial Narrow" w:hAnsi="Arial Narrow"/>
                <w:b/>
                <w:sz w:val="20"/>
                <w:szCs w:val="20"/>
              </w:rPr>
              <w:t>Available brands</w:t>
            </w:r>
          </w:p>
        </w:tc>
      </w:tr>
      <w:tr w:rsidR="00736626" w:rsidRPr="00BD19A7" w14:paraId="6AE2A64F" w14:textId="77777777" w:rsidTr="00AF0513">
        <w:trPr>
          <w:cantSplit/>
          <w:trHeight w:val="20"/>
        </w:trPr>
        <w:tc>
          <w:tcPr>
            <w:tcW w:w="8927" w:type="dxa"/>
            <w:gridSpan w:val="8"/>
            <w:tcBorders>
              <w:top w:val="single" w:sz="4" w:space="0" w:color="auto"/>
              <w:left w:val="single" w:sz="4" w:space="0" w:color="auto"/>
              <w:bottom w:val="single" w:sz="4" w:space="0" w:color="auto"/>
              <w:right w:val="single" w:sz="4" w:space="0" w:color="auto"/>
            </w:tcBorders>
            <w:vAlign w:val="center"/>
            <w:hideMark/>
          </w:tcPr>
          <w:p w14:paraId="32290647" w14:textId="77777777" w:rsidR="00736626" w:rsidRPr="00BD19A7" w:rsidRDefault="00736626" w:rsidP="00000BB2">
            <w:pPr>
              <w:keepNext/>
              <w:keepLines/>
              <w:rPr>
                <w:rFonts w:ascii="Arial Narrow" w:hAnsi="Arial Narrow"/>
                <w:sz w:val="20"/>
                <w:szCs w:val="20"/>
              </w:rPr>
            </w:pPr>
            <w:r w:rsidRPr="00BD19A7">
              <w:rPr>
                <w:rFonts w:ascii="Arial Narrow" w:hAnsi="Arial Narrow"/>
                <w:sz w:val="20"/>
                <w:szCs w:val="20"/>
              </w:rPr>
              <w:t>VEDOLIZUMAB</w:t>
            </w:r>
          </w:p>
        </w:tc>
      </w:tr>
      <w:tr w:rsidR="00736626" w:rsidRPr="00BD19A7" w14:paraId="7B6C311D" w14:textId="77777777" w:rsidTr="00AF0513">
        <w:trPr>
          <w:cantSplit/>
          <w:trHeight w:val="20"/>
        </w:trPr>
        <w:tc>
          <w:tcPr>
            <w:tcW w:w="3398" w:type="dxa"/>
            <w:gridSpan w:val="3"/>
            <w:tcBorders>
              <w:top w:val="single" w:sz="4" w:space="0" w:color="auto"/>
              <w:left w:val="single" w:sz="4" w:space="0" w:color="auto"/>
              <w:bottom w:val="single" w:sz="4" w:space="0" w:color="auto"/>
              <w:right w:val="single" w:sz="4" w:space="0" w:color="auto"/>
            </w:tcBorders>
            <w:vAlign w:val="center"/>
            <w:hideMark/>
          </w:tcPr>
          <w:p w14:paraId="141320B5" w14:textId="77777777" w:rsidR="00736626" w:rsidRPr="00BD19A7" w:rsidRDefault="00736626" w:rsidP="00000BB2">
            <w:pPr>
              <w:keepNext/>
              <w:keepLines/>
              <w:rPr>
                <w:rFonts w:ascii="Arial Narrow" w:hAnsi="Arial Narrow"/>
                <w:sz w:val="20"/>
                <w:szCs w:val="20"/>
              </w:rPr>
            </w:pPr>
            <w:r w:rsidRPr="00BD19A7">
              <w:rPr>
                <w:rFonts w:ascii="Arial Narrow" w:hAnsi="Arial Narrow"/>
                <w:sz w:val="20"/>
                <w:szCs w:val="20"/>
              </w:rPr>
              <w:t>vedolizumab 300 mg injection, 1 vial</w:t>
            </w:r>
          </w:p>
        </w:tc>
        <w:tc>
          <w:tcPr>
            <w:tcW w:w="1353" w:type="dxa"/>
            <w:tcBorders>
              <w:top w:val="single" w:sz="4" w:space="0" w:color="auto"/>
              <w:left w:val="single" w:sz="4" w:space="0" w:color="auto"/>
              <w:bottom w:val="single" w:sz="4" w:space="0" w:color="auto"/>
              <w:right w:val="single" w:sz="4" w:space="0" w:color="auto"/>
            </w:tcBorders>
            <w:vAlign w:val="center"/>
            <w:hideMark/>
          </w:tcPr>
          <w:p w14:paraId="3CDA8AE8" w14:textId="77777777" w:rsidR="00736626" w:rsidRPr="00BD19A7" w:rsidRDefault="00736626" w:rsidP="00000BB2">
            <w:pPr>
              <w:keepNext/>
              <w:keepLines/>
              <w:jc w:val="center"/>
              <w:rPr>
                <w:rFonts w:ascii="Arial Narrow" w:hAnsi="Arial Narrow"/>
                <w:sz w:val="20"/>
                <w:szCs w:val="20"/>
              </w:rPr>
            </w:pPr>
            <w:r w:rsidRPr="00BD19A7">
              <w:rPr>
                <w:rFonts w:ascii="Arial Narrow" w:hAnsi="Arial Narrow"/>
                <w:sz w:val="20"/>
                <w:szCs w:val="20"/>
              </w:rPr>
              <w:t>NEW (Public)</w:t>
            </w:r>
          </w:p>
          <w:p w14:paraId="270FC73E" w14:textId="77777777" w:rsidR="00736626" w:rsidRPr="00BD19A7" w:rsidRDefault="00736626" w:rsidP="00000BB2">
            <w:pPr>
              <w:keepNext/>
              <w:keepLines/>
              <w:jc w:val="center"/>
              <w:rPr>
                <w:rFonts w:ascii="Arial Narrow" w:hAnsi="Arial Narrow"/>
                <w:sz w:val="20"/>
                <w:szCs w:val="20"/>
              </w:rPr>
            </w:pPr>
            <w:r w:rsidRPr="00BD19A7">
              <w:rPr>
                <w:rFonts w:ascii="Arial Narrow" w:hAnsi="Arial Narrow"/>
                <w:sz w:val="20"/>
                <w:szCs w:val="20"/>
              </w:rPr>
              <w:t>NEW (Private)</w:t>
            </w:r>
          </w:p>
          <w:p w14:paraId="235B4AA6" w14:textId="77777777" w:rsidR="00736626" w:rsidRPr="00BD19A7" w:rsidRDefault="00736626" w:rsidP="00000BB2">
            <w:pPr>
              <w:keepNext/>
              <w:keepLines/>
              <w:jc w:val="center"/>
              <w:rPr>
                <w:rFonts w:ascii="Arial Narrow" w:hAnsi="Arial Narrow"/>
                <w:sz w:val="20"/>
                <w:szCs w:val="20"/>
                <w:vertAlign w:val="subscript"/>
              </w:rPr>
            </w:pPr>
            <w:r w:rsidRPr="00BD19A7">
              <w:rPr>
                <w:rFonts w:ascii="Arial Narrow" w:hAnsi="Arial Narrow"/>
                <w:sz w:val="20"/>
                <w:szCs w:val="20"/>
                <w:vertAlign w:val="subscript"/>
              </w:rPr>
              <w:t>MP</w:t>
            </w:r>
          </w:p>
        </w:tc>
        <w:tc>
          <w:tcPr>
            <w:tcW w:w="914" w:type="dxa"/>
            <w:tcBorders>
              <w:top w:val="single" w:sz="4" w:space="0" w:color="auto"/>
              <w:left w:val="single" w:sz="4" w:space="0" w:color="auto"/>
              <w:bottom w:val="single" w:sz="4" w:space="0" w:color="auto"/>
              <w:right w:val="single" w:sz="4" w:space="0" w:color="auto"/>
            </w:tcBorders>
            <w:vAlign w:val="center"/>
            <w:hideMark/>
          </w:tcPr>
          <w:p w14:paraId="004B93D5" w14:textId="77777777" w:rsidR="00736626" w:rsidRPr="00BD19A7" w:rsidRDefault="00736626" w:rsidP="00000BB2">
            <w:pPr>
              <w:keepNext/>
              <w:keepLines/>
              <w:jc w:val="center"/>
              <w:rPr>
                <w:rFonts w:ascii="Arial Narrow" w:hAnsi="Arial Narrow"/>
                <w:sz w:val="20"/>
                <w:szCs w:val="20"/>
              </w:rPr>
            </w:pPr>
            <w:r w:rsidRPr="00BD19A7">
              <w:rPr>
                <w:rFonts w:ascii="Arial Narrow" w:hAnsi="Arial Narrow"/>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72F777" w14:textId="77777777" w:rsidR="00736626" w:rsidRPr="00BD19A7" w:rsidRDefault="00736626" w:rsidP="00000BB2">
            <w:pPr>
              <w:keepNext/>
              <w:keepLines/>
              <w:jc w:val="center"/>
              <w:rPr>
                <w:rFonts w:ascii="Arial Narrow" w:hAnsi="Arial Narrow"/>
                <w:sz w:val="20"/>
                <w:szCs w:val="20"/>
              </w:rPr>
            </w:pPr>
            <w:r w:rsidRPr="00BD19A7">
              <w:rPr>
                <w:rFonts w:ascii="Arial Narrow" w:hAnsi="Arial Narrow"/>
                <w:sz w:val="20"/>
                <w:szCs w:val="20"/>
              </w:rPr>
              <w: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4B8C8D10" w14:textId="77777777" w:rsidR="00736626" w:rsidRPr="00BD19A7" w:rsidRDefault="00736626" w:rsidP="00000BB2">
            <w:pPr>
              <w:keepNext/>
              <w:keepLines/>
              <w:jc w:val="center"/>
              <w:rPr>
                <w:rFonts w:ascii="Arial Narrow" w:hAnsi="Arial Narrow"/>
                <w:sz w:val="20"/>
                <w:szCs w:val="20"/>
              </w:rPr>
            </w:pPr>
            <w:r w:rsidRPr="00BD19A7">
              <w:rPr>
                <w:rFonts w:ascii="Arial Narrow" w:hAnsi="Arial Narrow"/>
                <w:sz w:val="20"/>
                <w:szCs w:val="20"/>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14:paraId="6A0C7833" w14:textId="77777777" w:rsidR="00736626" w:rsidRPr="00BD19A7" w:rsidRDefault="00736626" w:rsidP="00000BB2">
            <w:pPr>
              <w:keepNext/>
              <w:keepLines/>
              <w:rPr>
                <w:rFonts w:ascii="Arial Narrow" w:hAnsi="Arial Narrow"/>
                <w:sz w:val="20"/>
                <w:szCs w:val="20"/>
              </w:rPr>
            </w:pPr>
            <w:r w:rsidRPr="00BD19A7">
              <w:rPr>
                <w:rFonts w:ascii="Arial Narrow" w:hAnsi="Arial Narrow"/>
                <w:sz w:val="20"/>
                <w:szCs w:val="20"/>
              </w:rPr>
              <w:t>Entyvio</w:t>
            </w:r>
          </w:p>
        </w:tc>
      </w:tr>
      <w:tr w:rsidR="00736626" w:rsidRPr="00BD19A7" w14:paraId="58892DB8" w14:textId="77777777" w:rsidTr="00AF0513">
        <w:trPr>
          <w:trHeight w:val="20"/>
        </w:trPr>
        <w:tc>
          <w:tcPr>
            <w:tcW w:w="892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0A517A8" w14:textId="77777777" w:rsidR="00736626" w:rsidRPr="00BD19A7" w:rsidRDefault="00736626" w:rsidP="00000BB2">
            <w:pPr>
              <w:keepNext/>
              <w:keepLines/>
              <w:rPr>
                <w:rFonts w:ascii="Arial Narrow" w:hAnsi="Arial Narrow"/>
                <w:sz w:val="20"/>
                <w:szCs w:val="20"/>
              </w:rPr>
            </w:pPr>
          </w:p>
        </w:tc>
      </w:tr>
      <w:tr w:rsidR="00736626" w:rsidRPr="00BD19A7" w14:paraId="57E52F86" w14:textId="77777777" w:rsidTr="00AF0513">
        <w:trPr>
          <w:trHeight w:val="20"/>
        </w:trPr>
        <w:tc>
          <w:tcPr>
            <w:tcW w:w="892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ABD3B3" w14:textId="77777777" w:rsidR="00736626" w:rsidRPr="00BD19A7" w:rsidRDefault="00736626" w:rsidP="00000BB2">
            <w:pPr>
              <w:keepLines/>
              <w:rPr>
                <w:rFonts w:ascii="Arial Narrow" w:hAnsi="Arial Narrow"/>
                <w:b/>
                <w:sz w:val="20"/>
                <w:szCs w:val="20"/>
              </w:rPr>
            </w:pPr>
            <w:r w:rsidRPr="00BD19A7">
              <w:rPr>
                <w:rFonts w:ascii="Arial Narrow" w:hAnsi="Arial Narrow"/>
                <w:b/>
                <w:sz w:val="20"/>
                <w:szCs w:val="20"/>
              </w:rPr>
              <w:t xml:space="preserve">Restriction Summary [new 1] / Treatment of Concept: [new 2] </w:t>
            </w:r>
          </w:p>
        </w:tc>
      </w:tr>
      <w:tr w:rsidR="00736626" w:rsidRPr="00BD19A7" w14:paraId="7F935C97" w14:textId="77777777" w:rsidTr="00AF0513">
        <w:trPr>
          <w:trHeight w:val="20"/>
        </w:trPr>
        <w:tc>
          <w:tcPr>
            <w:tcW w:w="1270"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E5D1C0C" w14:textId="77777777" w:rsidR="00736626" w:rsidRPr="00BD19A7" w:rsidRDefault="00736626" w:rsidP="00000BB2">
            <w:pPr>
              <w:jc w:val="center"/>
              <w:rPr>
                <w:rFonts w:ascii="Arial Narrow" w:hAnsi="Arial Narrow"/>
                <w:b/>
                <w:sz w:val="20"/>
                <w:szCs w:val="20"/>
              </w:rPr>
            </w:pPr>
            <w:r w:rsidRPr="00BD19A7">
              <w:rPr>
                <w:rFonts w:ascii="Arial Narrow" w:hAnsi="Arial Narrow"/>
                <w:b/>
                <w:sz w:val="20"/>
                <w:szCs w:val="20"/>
              </w:rPr>
              <w:t xml:space="preserve">Concept ID </w:t>
            </w:r>
            <w:r w:rsidRPr="00BD19A7">
              <w:rPr>
                <w:rFonts w:ascii="Arial Narrow" w:hAnsi="Arial Narrow"/>
                <w:sz w:val="20"/>
                <w:szCs w:val="20"/>
              </w:rPr>
              <w:t>(for internal Dept. use)</w:t>
            </w: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09AF35" w14:textId="77777777" w:rsidR="00736626" w:rsidRPr="00BD19A7" w:rsidRDefault="00736626" w:rsidP="00000BB2">
            <w:pPr>
              <w:keepLines/>
              <w:rPr>
                <w:rFonts w:ascii="Arial Narrow" w:hAnsi="Arial Narrow"/>
                <w:sz w:val="20"/>
                <w:szCs w:val="20"/>
              </w:rPr>
            </w:pPr>
            <w:r w:rsidRPr="00BD19A7">
              <w:rPr>
                <w:rFonts w:ascii="Arial Narrow" w:hAnsi="Arial Narrow"/>
                <w:b/>
                <w:sz w:val="20"/>
                <w:szCs w:val="20"/>
              </w:rPr>
              <w:t>Category / Program</w:t>
            </w:r>
            <w:r w:rsidRPr="00BD19A7">
              <w:rPr>
                <w:rFonts w:ascii="Arial Narrow" w:hAnsi="Arial Narrow"/>
                <w:sz w:val="20"/>
                <w:szCs w:val="20"/>
              </w:rPr>
              <w:t xml:space="preserve"> Section 100 – Highly Specialised Drugs Program</w:t>
            </w:r>
          </w:p>
        </w:tc>
      </w:tr>
      <w:tr w:rsidR="00736626" w:rsidRPr="00BD19A7" w14:paraId="61684DC1" w14:textId="77777777" w:rsidTr="00AF0513">
        <w:trPr>
          <w:trHeight w:val="20"/>
        </w:trPr>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14:paraId="535412FA" w14:textId="77777777" w:rsidR="00736626" w:rsidRPr="00BD19A7" w:rsidRDefault="00736626" w:rsidP="00000BB2">
            <w:pPr>
              <w:rPr>
                <w:rFonts w:ascii="Arial Narrow" w:hAnsi="Arial Narrow"/>
                <w:b/>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68E00E" w14:textId="77777777" w:rsidR="00736626" w:rsidRPr="00BD19A7" w:rsidRDefault="00736626" w:rsidP="00000BB2">
            <w:pPr>
              <w:keepLines/>
              <w:rPr>
                <w:rFonts w:ascii="Arial Narrow" w:hAnsi="Arial Narrow"/>
                <w:b/>
                <w:sz w:val="20"/>
                <w:szCs w:val="20"/>
              </w:rPr>
            </w:pPr>
            <w:r w:rsidRPr="00BD19A7">
              <w:rPr>
                <w:rFonts w:ascii="Arial Narrow" w:hAnsi="Arial Narrow"/>
                <w:b/>
                <w:sz w:val="20"/>
                <w:szCs w:val="20"/>
              </w:rPr>
              <w:t>Prescriber type:</w:t>
            </w:r>
            <w:r w:rsidRPr="00BD19A7">
              <w:rPr>
                <w:rFonts w:ascii="Arial Narrow" w:hAnsi="Arial Narrow"/>
                <w:sz w:val="20"/>
                <w:szCs w:val="20"/>
              </w:rPr>
              <w:t xml:space="preserve"> </w:t>
            </w:r>
            <w:r w:rsidRPr="00BD19A7">
              <w:rPr>
                <w:rFonts w:ascii="Arial Narrow" w:hAnsi="Arial Narrow"/>
                <w:sz w:val="20"/>
                <w:szCs w:val="20"/>
              </w:rPr>
              <w:fldChar w:fldCharType="begin" w:fldLock="1">
                <w:ffData>
                  <w:name w:val=""/>
                  <w:enabled/>
                  <w:calcOnExit w:val="0"/>
                  <w:checkBox>
                    <w:sizeAuto/>
                    <w:default w:val="1"/>
                  </w:checkBox>
                </w:ffData>
              </w:fldChar>
            </w:r>
            <w:r w:rsidRPr="00BD19A7">
              <w:rPr>
                <w:rFonts w:ascii="Arial Narrow" w:hAnsi="Arial Narrow"/>
                <w:sz w:val="20"/>
                <w:szCs w:val="20"/>
              </w:rPr>
              <w:instrText xml:space="preserve"> FORMCHECKBOX </w:instrText>
            </w:r>
            <w:r w:rsidR="007B0FCD">
              <w:rPr>
                <w:rFonts w:ascii="Arial Narrow" w:hAnsi="Arial Narrow"/>
                <w:sz w:val="20"/>
                <w:szCs w:val="20"/>
              </w:rPr>
            </w:r>
            <w:r w:rsidR="007B0FCD">
              <w:rPr>
                <w:rFonts w:ascii="Arial Narrow" w:hAnsi="Arial Narrow"/>
                <w:sz w:val="20"/>
                <w:szCs w:val="20"/>
              </w:rPr>
              <w:fldChar w:fldCharType="separate"/>
            </w:r>
            <w:r w:rsidRPr="00BD19A7">
              <w:rPr>
                <w:rFonts w:ascii="Arial Narrow" w:hAnsi="Arial Narrow"/>
                <w:sz w:val="20"/>
                <w:szCs w:val="20"/>
              </w:rPr>
              <w:fldChar w:fldCharType="end"/>
            </w:r>
            <w:r w:rsidRPr="00BD19A7">
              <w:rPr>
                <w:rFonts w:ascii="Arial Narrow" w:hAnsi="Arial Narrow"/>
                <w:sz w:val="20"/>
                <w:szCs w:val="20"/>
              </w:rPr>
              <w:t xml:space="preserve">Medical Practitioners </w:t>
            </w:r>
          </w:p>
        </w:tc>
      </w:tr>
      <w:tr w:rsidR="00736626" w:rsidRPr="00BD19A7" w14:paraId="4FC5643D" w14:textId="77777777" w:rsidTr="00AF0513">
        <w:trPr>
          <w:trHeight w:val="20"/>
        </w:trPr>
        <w:tc>
          <w:tcPr>
            <w:tcW w:w="1270" w:type="dxa"/>
            <w:gridSpan w:val="2"/>
            <w:vMerge/>
            <w:tcBorders>
              <w:top w:val="single" w:sz="4" w:space="0" w:color="auto"/>
              <w:left w:val="single" w:sz="4" w:space="0" w:color="auto"/>
              <w:bottom w:val="single" w:sz="4" w:space="0" w:color="auto"/>
              <w:right w:val="single" w:sz="4" w:space="0" w:color="auto"/>
            </w:tcBorders>
            <w:vAlign w:val="center"/>
            <w:hideMark/>
          </w:tcPr>
          <w:p w14:paraId="797BC8B1" w14:textId="77777777" w:rsidR="00736626" w:rsidRPr="00BD19A7" w:rsidRDefault="00736626" w:rsidP="00000BB2">
            <w:pPr>
              <w:rPr>
                <w:rFonts w:ascii="Arial Narrow" w:hAnsi="Arial Narrow"/>
                <w:b/>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CCF1781" w14:textId="77777777" w:rsidR="00736626" w:rsidRPr="00BD19A7" w:rsidRDefault="00736626" w:rsidP="00000BB2">
            <w:pPr>
              <w:keepLines/>
              <w:rPr>
                <w:rFonts w:ascii="Arial Narrow" w:eastAsia="Calibri" w:hAnsi="Arial Narrow"/>
                <w:sz w:val="20"/>
                <w:szCs w:val="20"/>
              </w:rPr>
            </w:pPr>
            <w:r w:rsidRPr="00BD19A7">
              <w:rPr>
                <w:rFonts w:ascii="Arial Narrow" w:hAnsi="Arial Narrow"/>
                <w:b/>
                <w:sz w:val="20"/>
                <w:szCs w:val="20"/>
              </w:rPr>
              <w:t xml:space="preserve">Restriction type: </w:t>
            </w:r>
            <w:r w:rsidRPr="00BD19A7">
              <w:rPr>
                <w:rFonts w:ascii="Arial Narrow" w:eastAsia="Calibri" w:hAnsi="Arial Narrow"/>
                <w:sz w:val="20"/>
                <w:szCs w:val="20"/>
              </w:rPr>
              <w:fldChar w:fldCharType="begin" w:fldLock="1">
                <w:ffData>
                  <w:name w:val="Check3"/>
                  <w:enabled/>
                  <w:calcOnExit w:val="0"/>
                  <w:checkBox>
                    <w:sizeAuto/>
                    <w:default w:val="1"/>
                  </w:checkBox>
                </w:ffData>
              </w:fldChar>
            </w:r>
            <w:r w:rsidRPr="00BD19A7">
              <w:rPr>
                <w:rFonts w:ascii="Arial Narrow" w:eastAsia="Calibri" w:hAnsi="Arial Narrow"/>
                <w:sz w:val="20"/>
                <w:szCs w:val="20"/>
              </w:rPr>
              <w:instrText xml:space="preserve"> FORMCHECKBOX </w:instrText>
            </w:r>
            <w:r w:rsidR="007B0FCD">
              <w:rPr>
                <w:rFonts w:ascii="Arial Narrow" w:eastAsia="Calibri" w:hAnsi="Arial Narrow"/>
                <w:sz w:val="20"/>
                <w:szCs w:val="20"/>
              </w:rPr>
            </w:r>
            <w:r w:rsidR="007B0FCD">
              <w:rPr>
                <w:rFonts w:ascii="Arial Narrow" w:eastAsia="Calibri" w:hAnsi="Arial Narrow"/>
                <w:sz w:val="20"/>
                <w:szCs w:val="20"/>
              </w:rPr>
              <w:fldChar w:fldCharType="separate"/>
            </w:r>
            <w:r w:rsidRPr="00BD19A7">
              <w:rPr>
                <w:rFonts w:ascii="Arial Narrow" w:eastAsia="Calibri" w:hAnsi="Arial Narrow"/>
                <w:sz w:val="20"/>
                <w:szCs w:val="20"/>
              </w:rPr>
              <w:fldChar w:fldCharType="end"/>
            </w:r>
            <w:r w:rsidRPr="00BD19A7">
              <w:rPr>
                <w:rFonts w:ascii="Arial Narrow" w:eastAsia="Calibri" w:hAnsi="Arial Narrow"/>
                <w:sz w:val="20"/>
                <w:szCs w:val="20"/>
              </w:rPr>
              <w:t xml:space="preserve">Authority Required (telephone/online PBS Authorities system) </w:t>
            </w:r>
          </w:p>
        </w:tc>
      </w:tr>
      <w:tr w:rsidR="00736626" w:rsidRPr="00BD19A7" w14:paraId="3E3CA953" w14:textId="77777777" w:rsidTr="00AF0513">
        <w:trPr>
          <w:trHeight w:val="20"/>
        </w:trPr>
        <w:tc>
          <w:tcPr>
            <w:tcW w:w="561"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extDirection w:val="btLr"/>
            <w:vAlign w:val="center"/>
            <w:hideMark/>
          </w:tcPr>
          <w:p w14:paraId="62A350B9" w14:textId="77777777" w:rsidR="00736626" w:rsidRPr="00BD19A7" w:rsidRDefault="00736626" w:rsidP="00000BB2">
            <w:pPr>
              <w:jc w:val="center"/>
              <w:rPr>
                <w:rFonts w:ascii="Arial Narrow" w:hAnsi="Arial Narrow"/>
                <w:i/>
                <w:iCs/>
                <w:sz w:val="20"/>
                <w:szCs w:val="20"/>
              </w:rPr>
            </w:pPr>
            <w:r w:rsidRPr="00BD19A7">
              <w:rPr>
                <w:rFonts w:ascii="Arial Narrow" w:hAnsi="Arial Narrow"/>
                <w:i/>
                <w:iCs/>
                <w:sz w:val="20"/>
                <w:szCs w:val="20"/>
              </w:rPr>
              <w:t>Prescribing rule level</w:t>
            </w:r>
          </w:p>
        </w:tc>
        <w:tc>
          <w:tcPr>
            <w:tcW w:w="70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5CBDDF" w14:textId="5B1C67C4"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ECE6BC" w14:textId="77777777" w:rsidR="00736626" w:rsidRPr="00BD19A7" w:rsidRDefault="00736626" w:rsidP="00000BB2">
            <w:pPr>
              <w:rPr>
                <w:rFonts w:ascii="Arial Narrow" w:hAnsi="Arial Narrow"/>
                <w:i/>
                <w:iCs/>
                <w:sz w:val="20"/>
                <w:szCs w:val="20"/>
              </w:rPr>
            </w:pPr>
            <w:r w:rsidRPr="00BD19A7">
              <w:rPr>
                <w:rFonts w:ascii="Arial Narrow" w:hAnsi="Arial Narrow"/>
                <w:b/>
                <w:bCs/>
                <w:i/>
                <w:iCs/>
                <w:sz w:val="20"/>
                <w:szCs w:val="20"/>
              </w:rPr>
              <w:t>Administrative Advice:</w:t>
            </w:r>
          </w:p>
          <w:p w14:paraId="395C8227"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SEVERE CROHN DISEASE - TREATMENT PHASES AND CYCLES</w:t>
            </w:r>
          </w:p>
          <w:p w14:paraId="2CF9F36D" w14:textId="77777777" w:rsidR="00736626" w:rsidRPr="00BD19A7" w:rsidRDefault="00736626" w:rsidP="00000BB2">
            <w:pPr>
              <w:rPr>
                <w:rFonts w:ascii="Arial Narrow" w:hAnsi="Arial Narrow"/>
                <w:i/>
                <w:iCs/>
                <w:sz w:val="20"/>
                <w:szCs w:val="20"/>
              </w:rPr>
            </w:pPr>
          </w:p>
          <w:p w14:paraId="0BFC6D99"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The following information applies to the prescribing under the Pharmaceutical Benefits Scheme (PBS) of benefits that contain the words: 'severe Crohn disease' in the stated PBS indication. Some of these benefits are not biological medicines, but are small molecules (e.g. a Janus-kinase inhibitor). Where the term 'biological medicine' appears in the restriction, it includes such benefits for PBS administrative purposes.</w:t>
            </w:r>
          </w:p>
          <w:p w14:paraId="6E05479E" w14:textId="77777777" w:rsidR="00736626" w:rsidRPr="00BD19A7" w:rsidRDefault="00736626" w:rsidP="00000BB2">
            <w:pPr>
              <w:rPr>
                <w:rFonts w:ascii="Arial Narrow" w:hAnsi="Arial Narrow"/>
                <w:i/>
                <w:iCs/>
                <w:sz w:val="20"/>
                <w:szCs w:val="20"/>
              </w:rPr>
            </w:pPr>
          </w:p>
          <w:p w14:paraId="5B996BB6"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 patient is eligible for PBS-subsidised treatment with only one PBS-subsidised biological medicine at any one time.</w:t>
            </w:r>
          </w:p>
          <w:p w14:paraId="27C613F0" w14:textId="77777777" w:rsidR="00736626" w:rsidRPr="00BD19A7" w:rsidRDefault="00736626" w:rsidP="00000BB2">
            <w:pPr>
              <w:rPr>
                <w:rFonts w:ascii="Arial Narrow" w:hAnsi="Arial Narrow"/>
                <w:i/>
                <w:iCs/>
                <w:sz w:val="20"/>
                <w:szCs w:val="20"/>
              </w:rPr>
            </w:pPr>
          </w:p>
          <w:p w14:paraId="74F7AA76"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Treatment cycle:</w:t>
            </w:r>
          </w:p>
          <w:p w14:paraId="5C536D9F"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 treatment cycle begins when an authority application is approved under an Initial 1 or Initial 3 type restriction. Once commenced, where biological medicine fails to provide the patient with an adequate response on 3 occasions, the current treatment cycle ends and there must be an absence of PBS-subsidy for a period of 5 years. The 5 year break is measured from the date of the last approval for PBS-subsidised biological medicine treatment in the most recent cycle to the date of the first application for initial treatment with a biological medicine under the new treatment cycle.</w:t>
            </w:r>
          </w:p>
          <w:p w14:paraId="07A1573D" w14:textId="77777777" w:rsidR="00736626" w:rsidRPr="00BD19A7" w:rsidRDefault="00736626" w:rsidP="00000BB2">
            <w:pPr>
              <w:rPr>
                <w:rFonts w:ascii="Arial Narrow" w:hAnsi="Arial Narrow"/>
                <w:i/>
                <w:iCs/>
                <w:sz w:val="20"/>
                <w:szCs w:val="20"/>
              </w:rPr>
            </w:pPr>
          </w:p>
          <w:p w14:paraId="539C76E8"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An exception to this 5 year break clause applies where:</w:t>
            </w:r>
          </w:p>
          <w:p w14:paraId="348A8184"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(i) since the commencement of the break, an additional biological medicine has since become PBS-listed with a different pharmacological mechanism of action (i.e. the newly listed biological medicine) relative to those available on the PBS at the time of commencing the 5 year break; and</w:t>
            </w:r>
          </w:p>
          <w:p w14:paraId="4097799F"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(ii) the patient has never been prescribed the newly listed biological medicine; and</w:t>
            </w:r>
          </w:p>
          <w:p w14:paraId="0E21AC58"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(iii) the prescribed biological medicine is the newly listed biological medicine.</w:t>
            </w:r>
          </w:p>
          <w:p w14:paraId="3CDD6ECE" w14:textId="77777777" w:rsidR="00736626" w:rsidRPr="00BD19A7" w:rsidRDefault="00736626" w:rsidP="00000BB2">
            <w:pPr>
              <w:rPr>
                <w:rFonts w:ascii="Arial Narrow" w:hAnsi="Arial Narrow"/>
                <w:i/>
                <w:iCs/>
                <w:sz w:val="20"/>
                <w:szCs w:val="20"/>
              </w:rPr>
            </w:pPr>
          </w:p>
          <w:p w14:paraId="15F0AF94"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Prescribing of the newly listed biological medicine is to occur through the 'Initial 2' treatment phase listing and the patient will not be in a new treatment cycle (i.e. where this newly listed biological medicine fails to provide an adequate response, the current treatment cycle ends and there must be an absence of PBS-subsidised biological medicine for a period of 5 years unless the exception outlined above is triggered again).</w:t>
            </w:r>
          </w:p>
          <w:p w14:paraId="4D8C72F8" w14:textId="77777777" w:rsidR="00736626" w:rsidRPr="00BD19A7" w:rsidRDefault="00736626" w:rsidP="00000BB2">
            <w:pPr>
              <w:rPr>
                <w:rFonts w:ascii="Arial Narrow" w:hAnsi="Arial Narrow"/>
                <w:i/>
                <w:iCs/>
                <w:sz w:val="20"/>
                <w:szCs w:val="20"/>
              </w:rPr>
            </w:pPr>
          </w:p>
          <w:p w14:paraId="20236265"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Within the same treatment cycle, the same PBS-subsidised biological medicine cannot continue to be subsidised where it has resulted in an inadequate response. An inadequate response is one which does not meet the minimum improvements in disease measures stated in the Continuing treatment restriction. A serious adverse reaction leading to treatment discontinuation will be exempted from being counted as an inadequate response.</w:t>
            </w:r>
          </w:p>
          <w:p w14:paraId="08828F6A" w14:textId="77777777" w:rsidR="00736626" w:rsidRPr="00BD19A7" w:rsidRDefault="00736626" w:rsidP="00000BB2">
            <w:pPr>
              <w:rPr>
                <w:rFonts w:ascii="Arial Narrow" w:hAnsi="Arial Narrow"/>
                <w:i/>
                <w:iCs/>
                <w:sz w:val="20"/>
                <w:szCs w:val="20"/>
              </w:rPr>
            </w:pPr>
          </w:p>
          <w:p w14:paraId="13C49D5E"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There is no limit to the number of treatment cycles a patient may undertake in their lifetime.</w:t>
            </w:r>
          </w:p>
          <w:p w14:paraId="78D5DA0A" w14:textId="77777777" w:rsidR="00736626" w:rsidRPr="00BD19A7" w:rsidRDefault="00736626" w:rsidP="00000BB2">
            <w:pPr>
              <w:rPr>
                <w:rFonts w:ascii="Arial Narrow" w:hAnsi="Arial Narrow"/>
                <w:i/>
                <w:iCs/>
                <w:sz w:val="20"/>
                <w:szCs w:val="20"/>
              </w:rPr>
            </w:pPr>
          </w:p>
          <w:p w14:paraId="3F1AA8FE"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Treatment phases:</w:t>
            </w:r>
          </w:p>
          <w:p w14:paraId="7CD1FFBF"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 Initial 1</w:t>
            </w:r>
          </w:p>
          <w:p w14:paraId="1F4D3CAC"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Apply through this treatment phase where the patient has never been treated with PBS-subsidised biological medicine for this indication.</w:t>
            </w:r>
          </w:p>
          <w:p w14:paraId="711D56BE" w14:textId="77777777" w:rsidR="00736626" w:rsidRPr="00BD19A7" w:rsidRDefault="00736626" w:rsidP="00000BB2">
            <w:pPr>
              <w:rPr>
                <w:rFonts w:ascii="Arial Narrow" w:hAnsi="Arial Narrow"/>
                <w:i/>
                <w:iCs/>
                <w:sz w:val="20"/>
                <w:szCs w:val="20"/>
              </w:rPr>
            </w:pPr>
          </w:p>
          <w:p w14:paraId="0D95A313"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(b) Initial 2</w:t>
            </w:r>
          </w:p>
          <w:p w14:paraId="409DC0AE"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Apply through this treatment phase where the prescribed treatment is changing (other than dose/form), or, where there has been a break in therapy of less than 5 years and treatment is resuming; authority applications through this treatment phase do not require prior response to conventional therapies to be re-established and do not require baseline disease activity to be re-demonstrated. An assessment of response to the preceding supply must be provided - where it is not, it will be assumed that the preceding supply provided an inadequate response.</w:t>
            </w:r>
          </w:p>
          <w:p w14:paraId="7EF5B690" w14:textId="77777777" w:rsidR="00736626" w:rsidRPr="00BD19A7" w:rsidRDefault="00736626" w:rsidP="00000BB2">
            <w:pPr>
              <w:rPr>
                <w:rFonts w:ascii="Arial Narrow" w:hAnsi="Arial Narrow"/>
                <w:i/>
                <w:iCs/>
                <w:sz w:val="20"/>
                <w:szCs w:val="20"/>
              </w:rPr>
            </w:pPr>
          </w:p>
          <w:p w14:paraId="3369ACF9"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(c) Initial 3</w:t>
            </w:r>
          </w:p>
          <w:p w14:paraId="781D8D44"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Apply through this treatment phase where treatment is resuming after an absence of PBS-subsidy for at least 5 years; authority applications through this treatment phase do not require a re-trial of conventional therapies.</w:t>
            </w:r>
          </w:p>
          <w:p w14:paraId="20C16E7A" w14:textId="77777777" w:rsidR="00736626" w:rsidRPr="00BD19A7" w:rsidRDefault="00736626" w:rsidP="00000BB2">
            <w:pPr>
              <w:rPr>
                <w:rFonts w:ascii="Arial Narrow" w:hAnsi="Arial Narrow"/>
                <w:i/>
                <w:iCs/>
                <w:sz w:val="20"/>
                <w:szCs w:val="20"/>
              </w:rPr>
            </w:pPr>
          </w:p>
          <w:p w14:paraId="37B81311"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(e) Continuing treatment</w:t>
            </w:r>
          </w:p>
          <w:p w14:paraId="2BC0375D"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Apply through this treatment phase where an adequate response to the preceding supply is observed (or where the dose is increasing where multiple strengths exist). It is recommended that a patient be reviewed in the 4 weeks prior to exhausting the current supply to ensure uninterrupted supply. Continuing treatment authority applications are not to be made on the same day as Initial treatment authority applications.</w:t>
            </w:r>
          </w:p>
          <w:p w14:paraId="0818A981" w14:textId="77777777" w:rsidR="00736626" w:rsidRPr="00BD19A7" w:rsidRDefault="00736626" w:rsidP="00000BB2">
            <w:pPr>
              <w:rPr>
                <w:rFonts w:ascii="Arial Narrow" w:hAnsi="Arial Narrow"/>
                <w:i/>
                <w:iCs/>
                <w:sz w:val="20"/>
                <w:szCs w:val="20"/>
              </w:rPr>
            </w:pPr>
          </w:p>
          <w:p w14:paraId="352B6E9D"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lastRenderedPageBreak/>
              <w:t>(f) Balance of supply</w:t>
            </w:r>
          </w:p>
          <w:p w14:paraId="5E3F5214"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Apply through this type of treatment phase only where the benefit was not requested in the full amount available in the preceding supply - this may be because the maximum quantity was not prescribed and/or the full number of repeat prescriptions was not prescribed. The intent of this treatment phase listing is to: (i) provide the balance of what could have been obtained had the full quantity and number of repeats been prescribed in the preceding authority application, (ii) allow further time for an adequate response to treatment to be demonstrated where it may not have already, and (iii) provide more immediate access to PBS-subsidy via a telephone/online authority application relative to an 'in-writing only' application where the preceding supply was obtained through such.</w:t>
            </w:r>
          </w:p>
        </w:tc>
      </w:tr>
      <w:tr w:rsidR="00736626" w:rsidRPr="00BD19A7" w14:paraId="33CB5A1B" w14:textId="77777777" w:rsidTr="00AF0513">
        <w:trPr>
          <w:trHeight w:val="20"/>
        </w:trPr>
        <w:tc>
          <w:tcPr>
            <w:tcW w:w="561" w:type="dxa"/>
            <w:vMerge/>
            <w:tcBorders>
              <w:top w:val="single" w:sz="4" w:space="0" w:color="auto"/>
              <w:left w:val="single" w:sz="4" w:space="0" w:color="auto"/>
              <w:bottom w:val="single" w:sz="4" w:space="0" w:color="auto"/>
              <w:right w:val="single" w:sz="4" w:space="0" w:color="auto"/>
            </w:tcBorders>
            <w:vAlign w:val="center"/>
          </w:tcPr>
          <w:p w14:paraId="3838A9BF" w14:textId="77777777" w:rsidR="00736626" w:rsidRPr="00BD19A7" w:rsidRDefault="00736626" w:rsidP="00000BB2">
            <w:pPr>
              <w:rPr>
                <w:rFonts w:ascii="Arial Narrow" w:hAnsi="Arial Narrow"/>
                <w:i/>
                <w:iCs/>
                <w:sz w:val="20"/>
                <w:szCs w:val="20"/>
              </w:rPr>
            </w:pPr>
          </w:p>
        </w:tc>
        <w:tc>
          <w:tcPr>
            <w:tcW w:w="709"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0D4E0FF" w14:textId="6BC5BABE"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C883F5" w14:textId="77777777" w:rsidR="00736626" w:rsidRPr="00BD19A7" w:rsidRDefault="00736626" w:rsidP="00000BB2">
            <w:pPr>
              <w:rPr>
                <w:rFonts w:ascii="Arial Narrow" w:hAnsi="Arial Narrow"/>
                <w:b/>
                <w:bCs/>
                <w:i/>
                <w:iCs/>
                <w:sz w:val="20"/>
                <w:szCs w:val="20"/>
              </w:rPr>
            </w:pPr>
            <w:r w:rsidRPr="00BD19A7">
              <w:rPr>
                <w:rFonts w:ascii="Arial Narrow" w:hAnsi="Arial Narrow"/>
                <w:b/>
                <w:bCs/>
                <w:i/>
                <w:iCs/>
                <w:sz w:val="20"/>
                <w:szCs w:val="20"/>
              </w:rPr>
              <w:t>Administrative Advice:</w:t>
            </w:r>
          </w:p>
          <w:p w14:paraId="747B2871"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Special Pricing Arrangements apply.</w:t>
            </w:r>
          </w:p>
        </w:tc>
      </w:tr>
      <w:tr w:rsidR="00736626" w:rsidRPr="00BD19A7" w14:paraId="7E7B4CC5"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4C9CBF" w14:textId="1B9A047C" w:rsidR="00736626" w:rsidRPr="00BD19A7" w:rsidRDefault="00736626" w:rsidP="00000BB2">
            <w:pPr>
              <w:keepLines/>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26042E" w14:textId="77777777" w:rsidR="00736626" w:rsidRPr="00BD19A7" w:rsidRDefault="00736626" w:rsidP="00000BB2">
            <w:pPr>
              <w:keepLines/>
              <w:rPr>
                <w:rFonts w:ascii="Arial Narrow" w:hAnsi="Arial Narrow"/>
                <w:sz w:val="20"/>
                <w:szCs w:val="20"/>
              </w:rPr>
            </w:pPr>
            <w:r w:rsidRPr="00BD19A7">
              <w:rPr>
                <w:rFonts w:ascii="Arial Narrow" w:hAnsi="Arial Narrow"/>
                <w:b/>
                <w:bCs/>
                <w:sz w:val="20"/>
                <w:szCs w:val="20"/>
              </w:rPr>
              <w:t>Indication:</w:t>
            </w:r>
            <w:r w:rsidRPr="00BD19A7">
              <w:rPr>
                <w:rFonts w:ascii="Arial Narrow" w:hAnsi="Arial Narrow"/>
                <w:sz w:val="20"/>
                <w:szCs w:val="20"/>
              </w:rPr>
              <w:t xml:space="preserve"> Severe Crohn disease</w:t>
            </w:r>
          </w:p>
        </w:tc>
      </w:tr>
      <w:tr w:rsidR="00736626" w:rsidRPr="00BD19A7" w14:paraId="56A00752"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3D2FA1" w14:textId="77777777" w:rsidR="00736626" w:rsidRPr="00BD19A7" w:rsidRDefault="00736626" w:rsidP="00000BB2">
            <w:pP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591C50" w14:textId="77777777" w:rsidR="00736626" w:rsidRPr="00BD19A7" w:rsidRDefault="00736626" w:rsidP="00000BB2">
            <w:pPr>
              <w:rPr>
                <w:rFonts w:ascii="Arial Narrow" w:hAnsi="Arial Narrow"/>
                <w:sz w:val="20"/>
                <w:szCs w:val="20"/>
              </w:rPr>
            </w:pPr>
            <w:r w:rsidRPr="00BD19A7">
              <w:rPr>
                <w:rFonts w:ascii="Arial Narrow" w:hAnsi="Arial Narrow"/>
                <w:b/>
                <w:bCs/>
                <w:sz w:val="20"/>
                <w:szCs w:val="20"/>
              </w:rPr>
              <w:t xml:space="preserve">Treatment Phase: </w:t>
            </w:r>
            <w:r w:rsidRPr="00BD19A7">
              <w:rPr>
                <w:rFonts w:ascii="Arial Narrow" w:hAnsi="Arial Narrow"/>
                <w:sz w:val="20"/>
                <w:szCs w:val="20"/>
              </w:rPr>
              <w:t>Initial 4 (additional dose at week 10)</w:t>
            </w:r>
          </w:p>
        </w:tc>
      </w:tr>
      <w:tr w:rsidR="00736626" w:rsidRPr="00BD19A7" w14:paraId="048D3E14"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45C1F5" w14:textId="7EAACD74"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2EC6CC" w14:textId="77777777" w:rsidR="00736626" w:rsidRPr="00BD19A7" w:rsidRDefault="00736626" w:rsidP="00000BB2">
            <w:pPr>
              <w:rPr>
                <w:rFonts w:ascii="Arial Narrow" w:hAnsi="Arial Narrow"/>
                <w:b/>
                <w:bCs/>
                <w:sz w:val="20"/>
                <w:szCs w:val="20"/>
              </w:rPr>
            </w:pPr>
            <w:r w:rsidRPr="00BD19A7">
              <w:rPr>
                <w:rFonts w:ascii="Arial Narrow" w:hAnsi="Arial Narrow"/>
                <w:b/>
                <w:bCs/>
                <w:sz w:val="20"/>
                <w:szCs w:val="20"/>
              </w:rPr>
              <w:t>Treatment criteria:</w:t>
            </w:r>
          </w:p>
        </w:tc>
      </w:tr>
      <w:tr w:rsidR="00736626" w:rsidRPr="00BD19A7" w14:paraId="179A49EB"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93410F" w14:textId="7998D51F"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133B457" w14:textId="77777777" w:rsidR="00736626" w:rsidRPr="00BD19A7" w:rsidRDefault="00736626" w:rsidP="00000BB2">
            <w:pPr>
              <w:rPr>
                <w:rFonts w:ascii="Arial Narrow" w:hAnsi="Arial Narrow"/>
                <w:b/>
                <w:bCs/>
                <w:sz w:val="20"/>
                <w:szCs w:val="20"/>
              </w:rPr>
            </w:pPr>
            <w:r w:rsidRPr="00BD19A7">
              <w:rPr>
                <w:rFonts w:ascii="Arial Narrow" w:hAnsi="Arial Narrow" w:cs="Arial Narrow"/>
                <w:iCs/>
                <w:sz w:val="20"/>
                <w:szCs w:val="20"/>
              </w:rPr>
              <w:t xml:space="preserve">Must be treated by a gastroenterologist (code 87); or </w:t>
            </w:r>
          </w:p>
        </w:tc>
      </w:tr>
      <w:tr w:rsidR="00736626" w:rsidRPr="00BD19A7" w14:paraId="7BCE0784"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128DD2" w14:textId="7734FB5F"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D775C7" w14:textId="77777777" w:rsidR="00736626" w:rsidRPr="00BD19A7" w:rsidRDefault="00736626" w:rsidP="00000BB2">
            <w:pPr>
              <w:rPr>
                <w:rFonts w:ascii="Arial Narrow" w:hAnsi="Arial Narrow"/>
                <w:b/>
                <w:bCs/>
                <w:sz w:val="20"/>
                <w:szCs w:val="20"/>
              </w:rPr>
            </w:pPr>
            <w:r w:rsidRPr="00BD19A7">
              <w:rPr>
                <w:rFonts w:ascii="Arial Narrow" w:hAnsi="Arial Narrow" w:cs="Arial Narrow"/>
                <w:iCs/>
                <w:sz w:val="20"/>
                <w:szCs w:val="20"/>
              </w:rPr>
              <w:t>Must be treated by a consultant physician [internal medicine specialising in gastroenterology (code 81)]; or</w:t>
            </w:r>
          </w:p>
        </w:tc>
      </w:tr>
      <w:tr w:rsidR="00736626" w:rsidRPr="00BD19A7" w14:paraId="27D7677A"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0343F2" w14:textId="469C681E"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527174" w14:textId="77777777" w:rsidR="00736626" w:rsidRPr="00BD19A7" w:rsidRDefault="00736626" w:rsidP="00000BB2">
            <w:pPr>
              <w:rPr>
                <w:rFonts w:ascii="Arial Narrow" w:hAnsi="Arial Narrow"/>
                <w:b/>
                <w:bCs/>
                <w:sz w:val="20"/>
                <w:szCs w:val="20"/>
              </w:rPr>
            </w:pPr>
            <w:r w:rsidRPr="00BD19A7">
              <w:rPr>
                <w:rFonts w:ascii="Arial Narrow" w:hAnsi="Arial Narrow" w:cs="Arial Narrow"/>
                <w:iCs/>
                <w:sz w:val="20"/>
                <w:szCs w:val="20"/>
              </w:rPr>
              <w:t>Must be treated by a consultant physician [general medicine specialising in gastroenterology (code 82)]</w:t>
            </w:r>
          </w:p>
        </w:tc>
      </w:tr>
      <w:tr w:rsidR="00736626" w:rsidRPr="00BD19A7" w14:paraId="779A4306"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DA98239" w14:textId="7953236F"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3AF58273" w14:textId="77777777" w:rsidR="00736626" w:rsidRPr="00BD19A7" w:rsidRDefault="00736626" w:rsidP="00000BB2">
            <w:pPr>
              <w:rPr>
                <w:rFonts w:ascii="Arial Narrow" w:hAnsi="Arial Narrow"/>
                <w:b/>
                <w:bCs/>
                <w:i/>
                <w:iCs/>
                <w:sz w:val="20"/>
                <w:szCs w:val="20"/>
              </w:rPr>
            </w:pPr>
            <w:r w:rsidRPr="00BD19A7">
              <w:rPr>
                <w:rFonts w:ascii="Arial Narrow" w:hAnsi="Arial Narrow"/>
                <w:b/>
                <w:bCs/>
                <w:i/>
                <w:iCs/>
                <w:sz w:val="20"/>
                <w:szCs w:val="20"/>
              </w:rPr>
              <w:t xml:space="preserve">Clinical criteria: </w:t>
            </w:r>
          </w:p>
        </w:tc>
      </w:tr>
      <w:tr w:rsidR="00736626" w:rsidRPr="00BD19A7" w14:paraId="178F5771"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0A47CB" w14:textId="05833FAE"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713872"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Patient must have received prior PBS-subsidised treatment with this drug for this condition in this treatment cycle</w:t>
            </w:r>
          </w:p>
        </w:tc>
      </w:tr>
      <w:tr w:rsidR="00736626" w:rsidRPr="00BD19A7" w14:paraId="4A9B13BE"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1A3E59" w14:textId="172EAE7C"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6D6D44C" w14:textId="77777777" w:rsidR="00736626" w:rsidRPr="00BD19A7" w:rsidRDefault="00736626" w:rsidP="00000BB2">
            <w:pPr>
              <w:rPr>
                <w:rFonts w:ascii="Arial Narrow" w:hAnsi="Arial Narrow"/>
                <w:i/>
                <w:iCs/>
                <w:sz w:val="20"/>
                <w:szCs w:val="20"/>
              </w:rPr>
            </w:pPr>
            <w:r w:rsidRPr="00BD19A7">
              <w:rPr>
                <w:rFonts w:ascii="Arial Narrow" w:hAnsi="Arial Narrow"/>
                <w:b/>
                <w:bCs/>
                <w:i/>
                <w:iCs/>
                <w:sz w:val="20"/>
                <w:szCs w:val="20"/>
              </w:rPr>
              <w:t>Clinical criteria:</w:t>
            </w:r>
          </w:p>
        </w:tc>
      </w:tr>
      <w:tr w:rsidR="00736626" w:rsidRPr="00BD19A7" w14:paraId="5A431791"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513957" w14:textId="74E88E54" w:rsidR="00736626" w:rsidRPr="00BD19A7" w:rsidRDefault="00736626" w:rsidP="00000BB2">
            <w:pPr>
              <w:jc w:val="center"/>
              <w:rPr>
                <w:rFonts w:ascii="Arial Narrow" w:hAnsi="Arial Narrow"/>
                <w:i/>
                <w:iCs/>
                <w:sz w:val="20"/>
                <w:szCs w:val="20"/>
                <w:highlight w:val="yellow"/>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1185DC" w14:textId="77777777" w:rsidR="00736626" w:rsidRPr="00BD19A7" w:rsidRDefault="00736626" w:rsidP="00000BB2">
            <w:pPr>
              <w:rPr>
                <w:rFonts w:ascii="Arial Narrow" w:hAnsi="Arial Narrow"/>
                <w:strike/>
                <w:color w:val="333333"/>
                <w:sz w:val="20"/>
                <w:szCs w:val="20"/>
              </w:rPr>
            </w:pPr>
            <w:r w:rsidRPr="00BD19A7">
              <w:rPr>
                <w:rFonts w:ascii="Arial Narrow" w:hAnsi="Arial Narrow"/>
                <w:strike/>
                <w:color w:val="333333"/>
                <w:sz w:val="20"/>
                <w:szCs w:val="20"/>
              </w:rPr>
              <w:t>Patient must have received 3 doses of initial treatment under</w:t>
            </w:r>
          </w:p>
          <w:p w14:paraId="10493F29" w14:textId="77777777" w:rsidR="00736626" w:rsidRPr="00BD19A7" w:rsidRDefault="00736626" w:rsidP="00000BB2">
            <w:pPr>
              <w:rPr>
                <w:rFonts w:ascii="Arial Narrow" w:hAnsi="Arial Narrow"/>
                <w:strike/>
                <w:color w:val="333333"/>
                <w:sz w:val="20"/>
                <w:szCs w:val="20"/>
              </w:rPr>
            </w:pPr>
            <w:r w:rsidRPr="00BD19A7">
              <w:rPr>
                <w:rFonts w:ascii="Arial Narrow" w:hAnsi="Arial Narrow"/>
                <w:strike/>
                <w:color w:val="333333"/>
                <w:sz w:val="20"/>
                <w:szCs w:val="20"/>
              </w:rPr>
              <w:t>Initial 1 (new patient) restriction (the initial infusion regimen at 0, 2 and 6 weeks); OR</w:t>
            </w:r>
          </w:p>
          <w:p w14:paraId="6508D37F" w14:textId="77777777" w:rsidR="00736626" w:rsidRPr="00BD19A7" w:rsidRDefault="00736626" w:rsidP="00000BB2">
            <w:pPr>
              <w:rPr>
                <w:rFonts w:ascii="Arial Narrow" w:hAnsi="Arial Narrow"/>
                <w:strike/>
                <w:color w:val="333333"/>
                <w:sz w:val="20"/>
                <w:szCs w:val="20"/>
              </w:rPr>
            </w:pPr>
            <w:r w:rsidRPr="00BD19A7">
              <w:rPr>
                <w:rFonts w:ascii="Arial Narrow" w:hAnsi="Arial Narrow"/>
                <w:strike/>
                <w:color w:val="333333"/>
                <w:sz w:val="20"/>
                <w:szCs w:val="20"/>
              </w:rPr>
              <w:t>Initial 2 (change or recommencement of treatment after a break in biological medicine of less than 5 years) restriction (the initial infusion regimen at 0, 2 and 6 weeks); OR</w:t>
            </w:r>
          </w:p>
          <w:p w14:paraId="1EA6938B" w14:textId="77777777" w:rsidR="00736626" w:rsidRPr="00BD19A7" w:rsidRDefault="00736626" w:rsidP="00000BB2">
            <w:pPr>
              <w:rPr>
                <w:rFonts w:ascii="Arial Narrow" w:hAnsi="Arial Narrow"/>
                <w:strike/>
                <w:color w:val="333333"/>
                <w:sz w:val="20"/>
                <w:szCs w:val="20"/>
              </w:rPr>
            </w:pPr>
            <w:r w:rsidRPr="00BD19A7">
              <w:rPr>
                <w:rFonts w:ascii="Arial Narrow" w:hAnsi="Arial Narrow"/>
                <w:strike/>
                <w:color w:val="333333"/>
                <w:sz w:val="20"/>
                <w:szCs w:val="20"/>
              </w:rPr>
              <w:t>Initial 3 (recommencement of treatment after a break in biological medicine of more than 5 years) restriction to complete the 3 doses (the initial infusion regimen at 0, 2 and 6 weeks); OR</w:t>
            </w:r>
          </w:p>
          <w:p w14:paraId="69D05C1C" w14:textId="77777777" w:rsidR="00206A14" w:rsidRPr="00206A14" w:rsidRDefault="00736626" w:rsidP="00000BB2">
            <w:pPr>
              <w:rPr>
                <w:rFonts w:ascii="Arial Narrow" w:hAnsi="Arial Narrow"/>
                <w:i/>
                <w:iCs/>
                <w:strike/>
                <w:sz w:val="20"/>
                <w:szCs w:val="20"/>
              </w:rPr>
            </w:pPr>
            <w:r w:rsidRPr="00BD19A7">
              <w:rPr>
                <w:rFonts w:ascii="Arial Narrow" w:hAnsi="Arial Narrow"/>
                <w:strike/>
                <w:color w:val="333333"/>
                <w:sz w:val="20"/>
                <w:szCs w:val="20"/>
              </w:rPr>
              <w:t>Initial 1 or 2 or 3 with a Balance of supply</w:t>
            </w:r>
          </w:p>
          <w:p w14:paraId="796A845F" w14:textId="77777777" w:rsidR="00206A14" w:rsidRPr="00206A14" w:rsidRDefault="00206A14" w:rsidP="00000BB2">
            <w:pPr>
              <w:rPr>
                <w:rFonts w:ascii="Arial Narrow" w:hAnsi="Arial Narrow"/>
                <w:i/>
                <w:iCs/>
                <w:sz w:val="20"/>
                <w:szCs w:val="20"/>
              </w:rPr>
            </w:pPr>
          </w:p>
          <w:p w14:paraId="79876538" w14:textId="77777777" w:rsidR="00736626" w:rsidRPr="00BD19A7" w:rsidRDefault="00736626" w:rsidP="00000BB2">
            <w:pPr>
              <w:rPr>
                <w:rFonts w:ascii="Arial Narrow" w:hAnsi="Arial Narrow"/>
                <w:i/>
                <w:iCs/>
                <w:sz w:val="20"/>
                <w:szCs w:val="20"/>
                <w:highlight w:val="yellow"/>
              </w:rPr>
            </w:pPr>
            <w:r w:rsidRPr="00BD19A7">
              <w:rPr>
                <w:rFonts w:ascii="Arial Narrow" w:hAnsi="Arial Narrow"/>
                <w:i/>
                <w:iCs/>
                <w:sz w:val="20"/>
                <w:szCs w:val="20"/>
              </w:rPr>
              <w:t xml:space="preserve">Patient must have received 3 doses of initial treatment under either (i) initial 1, (ii) initial 2, (iii) initial 3 </w:t>
            </w:r>
          </w:p>
        </w:tc>
      </w:tr>
      <w:tr w:rsidR="00736626" w:rsidRPr="00BD19A7" w14:paraId="0A4F5098"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EC0A30" w14:textId="18A93111"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C4FBE96" w14:textId="77777777" w:rsidR="00736626" w:rsidRPr="00BD19A7" w:rsidRDefault="00736626" w:rsidP="00000BB2">
            <w:pPr>
              <w:rPr>
                <w:rFonts w:ascii="Arial Narrow" w:hAnsi="Arial Narrow"/>
                <w:i/>
                <w:iCs/>
                <w:sz w:val="20"/>
                <w:szCs w:val="20"/>
              </w:rPr>
            </w:pPr>
            <w:r w:rsidRPr="00BD19A7">
              <w:rPr>
                <w:rFonts w:ascii="Arial Narrow" w:hAnsi="Arial Narrow"/>
                <w:b/>
                <w:bCs/>
                <w:i/>
                <w:iCs/>
                <w:sz w:val="20"/>
                <w:szCs w:val="20"/>
              </w:rPr>
              <w:t>Clinical criteria:</w:t>
            </w:r>
          </w:p>
        </w:tc>
      </w:tr>
      <w:tr w:rsidR="00736626" w:rsidRPr="00BD19A7" w14:paraId="4B9AACE6"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FD3915E" w14:textId="2DCC1917"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7C74D4" w14:textId="726BF428" w:rsidR="00736626" w:rsidRPr="00BD19A7" w:rsidRDefault="00736626" w:rsidP="00000BB2">
            <w:pPr>
              <w:rPr>
                <w:rFonts w:ascii="Arial Narrow" w:hAnsi="Arial Narrow"/>
                <w:sz w:val="20"/>
                <w:szCs w:val="20"/>
              </w:rPr>
            </w:pPr>
            <w:r w:rsidRPr="00BD19A7">
              <w:rPr>
                <w:rFonts w:ascii="Arial Narrow" w:hAnsi="Arial Narrow"/>
                <w:sz w:val="20"/>
                <w:szCs w:val="20"/>
              </w:rPr>
              <w:t xml:space="preserve">Patient must not have achieved an adequate response to this drug after a </w:t>
            </w:r>
            <w:r w:rsidRPr="00BD19A7">
              <w:rPr>
                <w:rFonts w:ascii="Arial Narrow" w:hAnsi="Arial Narrow"/>
                <w:i/>
                <w:iCs/>
                <w:sz w:val="20"/>
                <w:szCs w:val="20"/>
              </w:rPr>
              <w:t>total of 3 doses of initial treatment under either (i) initial 1, (ii) initial 2, (iii) initial 3 under this restriction</w:t>
            </w:r>
            <w:r w:rsidR="00F14F6B" w:rsidRPr="00BD19A7">
              <w:rPr>
                <w:rFonts w:ascii="Arial Narrow" w:hAnsi="Arial Narrow"/>
                <w:i/>
                <w:iCs/>
                <w:sz w:val="20"/>
                <w:szCs w:val="20"/>
              </w:rPr>
              <w:t>.</w:t>
            </w:r>
            <w:r w:rsidRPr="00BD19A7">
              <w:rPr>
                <w:rFonts w:ascii="Arial Narrow" w:hAnsi="Arial Narrow"/>
                <w:sz w:val="20"/>
                <w:szCs w:val="20"/>
              </w:rPr>
              <w:t xml:space="preserve"> </w:t>
            </w:r>
            <w:r w:rsidRPr="00BD19A7">
              <w:rPr>
                <w:rFonts w:ascii="Arial Narrow" w:hAnsi="Arial Narrow"/>
                <w:strike/>
                <w:sz w:val="20"/>
                <w:szCs w:val="20"/>
              </w:rPr>
              <w:t>minimum of 6 weeks of treatment.</w:t>
            </w:r>
          </w:p>
        </w:tc>
      </w:tr>
      <w:tr w:rsidR="00736626" w:rsidRPr="00BD19A7" w14:paraId="50975677"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E7E320" w14:textId="77777777"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0107DB" w14:textId="77777777" w:rsidR="00736626" w:rsidRPr="00BD19A7" w:rsidRDefault="00736626" w:rsidP="00000BB2">
            <w:pPr>
              <w:rPr>
                <w:rFonts w:ascii="Arial Narrow" w:hAnsi="Arial Narrow"/>
                <w:b/>
                <w:bCs/>
                <w:sz w:val="20"/>
                <w:szCs w:val="20"/>
              </w:rPr>
            </w:pPr>
            <w:r w:rsidRPr="00BD19A7">
              <w:rPr>
                <w:rFonts w:ascii="Arial Narrow" w:hAnsi="Arial Narrow"/>
                <w:b/>
                <w:bCs/>
                <w:sz w:val="20"/>
                <w:szCs w:val="20"/>
              </w:rPr>
              <w:t>AND</w:t>
            </w:r>
          </w:p>
        </w:tc>
      </w:tr>
      <w:tr w:rsidR="00736626" w:rsidRPr="00BD19A7" w14:paraId="2D491261"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DD0160" w14:textId="09EB5EE0"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8A9A2A" w14:textId="77777777" w:rsidR="00736626" w:rsidRPr="00BD19A7" w:rsidRDefault="00736626" w:rsidP="00000BB2">
            <w:pPr>
              <w:rPr>
                <w:rFonts w:ascii="Arial Narrow" w:hAnsi="Arial Narrow"/>
                <w:i/>
                <w:iCs/>
                <w:sz w:val="20"/>
                <w:szCs w:val="20"/>
              </w:rPr>
            </w:pPr>
            <w:r w:rsidRPr="00BD19A7">
              <w:rPr>
                <w:rFonts w:ascii="Arial Narrow" w:hAnsi="Arial Narrow"/>
                <w:b/>
                <w:bCs/>
                <w:i/>
                <w:iCs/>
                <w:sz w:val="20"/>
                <w:szCs w:val="20"/>
              </w:rPr>
              <w:t>Clinical criteria:</w:t>
            </w:r>
          </w:p>
        </w:tc>
      </w:tr>
      <w:tr w:rsidR="00736626" w:rsidRPr="00BD19A7" w14:paraId="38797A51"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752D3E6" w14:textId="25A370D9"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981563" w14:textId="188698C9" w:rsidR="00736626" w:rsidRPr="00BD19A7" w:rsidRDefault="00736626" w:rsidP="00000BB2">
            <w:pPr>
              <w:rPr>
                <w:rFonts w:ascii="Arial Narrow" w:hAnsi="Arial Narrow"/>
                <w:i/>
                <w:iCs/>
                <w:sz w:val="20"/>
                <w:szCs w:val="20"/>
              </w:rPr>
            </w:pPr>
            <w:r w:rsidRPr="00BD19A7">
              <w:rPr>
                <w:rFonts w:ascii="Arial Narrow" w:hAnsi="Arial Narrow"/>
                <w:i/>
                <w:iCs/>
                <w:sz w:val="20"/>
                <w:szCs w:val="20"/>
              </w:rPr>
              <w:t xml:space="preserve">The treatment must not exceed a total of 4 doses to be administered at weeks 0,2,6 and 10 under </w:t>
            </w:r>
            <w:r w:rsidR="003B3B4A" w:rsidRPr="00BD19A7">
              <w:rPr>
                <w:rFonts w:ascii="Arial Narrow" w:hAnsi="Arial Narrow"/>
                <w:i/>
                <w:iCs/>
                <w:sz w:val="20"/>
                <w:szCs w:val="20"/>
              </w:rPr>
              <w:t xml:space="preserve">the initial treatment phase </w:t>
            </w:r>
          </w:p>
        </w:tc>
      </w:tr>
      <w:tr w:rsidR="00736626" w:rsidRPr="00BD19A7" w14:paraId="0AE2B9DA"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75638F0" w14:textId="77777777"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D31BEA" w14:textId="77777777" w:rsidR="00736626" w:rsidRPr="00BD19A7" w:rsidRDefault="00736626" w:rsidP="00000BB2">
            <w:pPr>
              <w:rPr>
                <w:rFonts w:ascii="Arial Narrow" w:hAnsi="Arial Narrow"/>
                <w:b/>
                <w:bCs/>
                <w:sz w:val="20"/>
                <w:szCs w:val="20"/>
              </w:rPr>
            </w:pPr>
            <w:r w:rsidRPr="00BD19A7">
              <w:rPr>
                <w:rFonts w:ascii="Arial Narrow" w:hAnsi="Arial Narrow"/>
                <w:b/>
                <w:bCs/>
                <w:sz w:val="20"/>
                <w:szCs w:val="20"/>
              </w:rPr>
              <w:t>AND</w:t>
            </w:r>
          </w:p>
        </w:tc>
      </w:tr>
      <w:tr w:rsidR="00736626" w:rsidRPr="00BD19A7" w14:paraId="07A764D8"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008B81" w14:textId="0A2CF486" w:rsidR="00736626" w:rsidRPr="00BD19A7" w:rsidRDefault="00736626" w:rsidP="00000BB2">
            <w:pPr>
              <w:jc w:val="center"/>
              <w:rPr>
                <w:rFonts w:ascii="Arial Narrow" w:hAnsi="Arial Narrow"/>
                <w:i/>
                <w:iCs/>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AF4AD41" w14:textId="77777777" w:rsidR="00736626" w:rsidRPr="00BD19A7" w:rsidRDefault="00736626" w:rsidP="00000BB2">
            <w:pPr>
              <w:rPr>
                <w:rFonts w:ascii="Arial Narrow" w:hAnsi="Arial Narrow"/>
                <w:b/>
                <w:bCs/>
                <w:i/>
                <w:iCs/>
                <w:strike/>
                <w:sz w:val="20"/>
                <w:szCs w:val="20"/>
              </w:rPr>
            </w:pPr>
            <w:r w:rsidRPr="00BD19A7">
              <w:rPr>
                <w:rFonts w:ascii="Arial Narrow" w:hAnsi="Arial Narrow"/>
                <w:b/>
                <w:bCs/>
                <w:i/>
                <w:iCs/>
                <w:strike/>
                <w:sz w:val="20"/>
                <w:szCs w:val="20"/>
              </w:rPr>
              <w:t>Clinical criteria</w:t>
            </w:r>
          </w:p>
        </w:tc>
      </w:tr>
      <w:tr w:rsidR="00736626" w:rsidRPr="00BD19A7" w14:paraId="6CB47E6F"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BD457DC" w14:textId="79AD7B4A" w:rsidR="00736626" w:rsidRPr="00BD19A7" w:rsidRDefault="00736626" w:rsidP="00000BB2">
            <w:pPr>
              <w:jc w:val="center"/>
              <w:rPr>
                <w:rFonts w:ascii="Arial Narrow" w:hAnsi="Arial Narrow"/>
                <w:i/>
                <w:iCs/>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3B5EE6" w14:textId="77777777" w:rsidR="00736626" w:rsidRPr="00BD19A7" w:rsidRDefault="00736626" w:rsidP="00000BB2">
            <w:pPr>
              <w:rPr>
                <w:rFonts w:ascii="Arial Narrow" w:hAnsi="Arial Narrow"/>
                <w:strike/>
                <w:sz w:val="20"/>
                <w:szCs w:val="20"/>
              </w:rPr>
            </w:pPr>
            <w:r w:rsidRPr="00BD19A7">
              <w:rPr>
                <w:rFonts w:ascii="Arial Narrow" w:hAnsi="Arial Narrow"/>
                <w:strike/>
                <w:sz w:val="20"/>
                <w:szCs w:val="20"/>
              </w:rPr>
              <w:t>Patient must have an adequate response to this drug defined as a reduction in Crohn Disease Activity Index (CDAI) Score to a level no greater than 150 if assessed by CDAI or if affected by extensive small intestine disease; or</w:t>
            </w:r>
          </w:p>
        </w:tc>
      </w:tr>
      <w:tr w:rsidR="00736626" w:rsidRPr="00BD19A7" w14:paraId="4D3EEBA2"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636334" w14:textId="0F5FB215" w:rsidR="00736626" w:rsidRPr="00BD19A7" w:rsidRDefault="00736626" w:rsidP="00000BB2">
            <w:pPr>
              <w:jc w:val="center"/>
              <w:rPr>
                <w:rFonts w:ascii="Arial Narrow" w:hAnsi="Arial Narrow"/>
                <w:i/>
                <w:iCs/>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6E1BDE5" w14:textId="77777777" w:rsidR="00736626" w:rsidRPr="00BD19A7" w:rsidRDefault="00736626" w:rsidP="00000BB2">
            <w:pPr>
              <w:rPr>
                <w:rFonts w:ascii="Arial Narrow" w:hAnsi="Arial Narrow"/>
                <w:strike/>
                <w:sz w:val="20"/>
                <w:szCs w:val="20"/>
              </w:rPr>
            </w:pPr>
            <w:r w:rsidRPr="00BD19A7">
              <w:rPr>
                <w:rFonts w:ascii="Arial Narrow" w:hAnsi="Arial Narrow"/>
                <w:strike/>
                <w:sz w:val="20"/>
                <w:szCs w:val="20"/>
              </w:rPr>
              <w:t>Patient must have an adequate response to this drug defined as (a) an improvement of intestinal inflammation as demonstrated by: (i) blood: normalisation of the platelet count, or an erythrocyte sedimentation rate (ESR) level no greater than 25 mm per hour, or a C-reactive protein (CRP) level no greater than 15 mg per L; or (ii) faeces: normalisation of lactoferrin or calprotectin level; or (iii) evidence of mucosal healing, as demonstrated by diagnostic imaging findings, compared to the baseline assessment; or (b) reversal of high faecal output state; or (c) avoidance of the need for surgery or total parenteral nutrition (TPN), if affected by short gut syndrome, extensive small intestine or is an ostomy patient</w:t>
            </w:r>
          </w:p>
        </w:tc>
      </w:tr>
      <w:tr w:rsidR="00736626" w:rsidRPr="00BD19A7" w14:paraId="7C192368"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E27FFF" w14:textId="77777777"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54FA74" w14:textId="77777777" w:rsidR="00736626" w:rsidRPr="00BD19A7" w:rsidRDefault="00736626" w:rsidP="00000BB2">
            <w:pPr>
              <w:rPr>
                <w:rFonts w:ascii="Arial Narrow" w:hAnsi="Arial Narrow"/>
                <w:b/>
                <w:bCs/>
                <w:sz w:val="20"/>
                <w:szCs w:val="20"/>
              </w:rPr>
            </w:pPr>
            <w:r w:rsidRPr="00BD19A7">
              <w:rPr>
                <w:rFonts w:ascii="Arial Narrow" w:hAnsi="Arial Narrow"/>
                <w:b/>
                <w:bCs/>
                <w:sz w:val="20"/>
                <w:szCs w:val="20"/>
              </w:rPr>
              <w:t>AND</w:t>
            </w:r>
          </w:p>
        </w:tc>
      </w:tr>
      <w:tr w:rsidR="00736626" w:rsidRPr="00BD19A7" w14:paraId="0D2D0FE0"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7059DE" w14:textId="653F8E31" w:rsidR="00736626" w:rsidRPr="00BD19A7" w:rsidRDefault="00736626" w:rsidP="00000BB2">
            <w:pPr>
              <w:jc w:val="center"/>
              <w:rPr>
                <w:rFonts w:ascii="Arial Narrow" w:hAnsi="Arial Narrow"/>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0349B0D" w14:textId="77777777" w:rsidR="00736626" w:rsidRPr="00BD19A7" w:rsidRDefault="00736626" w:rsidP="00000BB2">
            <w:pPr>
              <w:rPr>
                <w:rFonts w:ascii="Arial Narrow" w:hAnsi="Arial Narrow"/>
                <w:b/>
                <w:bCs/>
                <w:strike/>
                <w:sz w:val="20"/>
                <w:szCs w:val="20"/>
              </w:rPr>
            </w:pPr>
            <w:r w:rsidRPr="00BD19A7">
              <w:rPr>
                <w:rFonts w:ascii="Arial Narrow" w:hAnsi="Arial Narrow"/>
                <w:b/>
                <w:bCs/>
                <w:strike/>
                <w:sz w:val="20"/>
                <w:szCs w:val="20"/>
              </w:rPr>
              <w:t>Clinical criteria</w:t>
            </w:r>
          </w:p>
        </w:tc>
      </w:tr>
      <w:tr w:rsidR="00736626" w:rsidRPr="00BD19A7" w14:paraId="4AC665C8"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C6C92A" w14:textId="523EE157" w:rsidR="00736626" w:rsidRPr="00BD19A7" w:rsidRDefault="00736626" w:rsidP="00000BB2">
            <w:pPr>
              <w:jc w:val="center"/>
              <w:rPr>
                <w:rFonts w:ascii="Arial Narrow" w:hAnsi="Arial Narrow"/>
                <w:strike/>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1FF9FF" w14:textId="77777777" w:rsidR="00736626" w:rsidRPr="00BD19A7" w:rsidRDefault="00736626" w:rsidP="00000BB2">
            <w:pPr>
              <w:rPr>
                <w:rFonts w:ascii="Arial Narrow" w:hAnsi="Arial Narrow"/>
                <w:strike/>
                <w:sz w:val="20"/>
                <w:szCs w:val="20"/>
              </w:rPr>
            </w:pPr>
            <w:r w:rsidRPr="00BD19A7">
              <w:rPr>
                <w:rFonts w:ascii="Arial Narrow" w:hAnsi="Arial Narrow"/>
                <w:strike/>
                <w:sz w:val="20"/>
                <w:szCs w:val="20"/>
              </w:rPr>
              <w:t>Patient must be appropriately assessed for the risk of developing progressive multifocal leukoencephalopathy whilst on this treatment</w:t>
            </w:r>
          </w:p>
        </w:tc>
      </w:tr>
      <w:tr w:rsidR="00736626" w:rsidRPr="00BD19A7" w14:paraId="2CCAA137"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3B81B3" w14:textId="5157A3E4"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EB73E9" w14:textId="77777777" w:rsidR="00736626" w:rsidRPr="00BD19A7" w:rsidRDefault="00736626" w:rsidP="00000BB2">
            <w:pPr>
              <w:rPr>
                <w:rFonts w:ascii="Arial Narrow" w:hAnsi="Arial Narrow"/>
                <w:sz w:val="20"/>
                <w:szCs w:val="20"/>
              </w:rPr>
            </w:pPr>
            <w:r w:rsidRPr="00BD19A7">
              <w:rPr>
                <w:rFonts w:ascii="Arial Narrow" w:hAnsi="Arial Narrow"/>
                <w:b/>
                <w:bCs/>
                <w:sz w:val="20"/>
                <w:szCs w:val="20"/>
              </w:rPr>
              <w:t>Population criteria:</w:t>
            </w:r>
          </w:p>
        </w:tc>
      </w:tr>
      <w:tr w:rsidR="00736626" w:rsidRPr="00BD19A7" w14:paraId="76C1AFE5"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978036" w14:textId="2A374123" w:rsidR="00736626" w:rsidRPr="00BD19A7" w:rsidRDefault="00736626" w:rsidP="00000BB2">
            <w:pPr>
              <w:jc w:val="center"/>
              <w:rPr>
                <w:rFonts w:ascii="Arial Narrow" w:hAnsi="Arial Narrow"/>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31E9186" w14:textId="77777777" w:rsidR="00736626" w:rsidRPr="00BD19A7" w:rsidRDefault="00736626" w:rsidP="00000BB2">
            <w:pPr>
              <w:rPr>
                <w:rFonts w:ascii="Arial Narrow" w:hAnsi="Arial Narrow"/>
                <w:sz w:val="20"/>
                <w:szCs w:val="20"/>
              </w:rPr>
            </w:pPr>
            <w:r w:rsidRPr="00BD19A7">
              <w:rPr>
                <w:rFonts w:ascii="Arial Narrow" w:hAnsi="Arial Narrow" w:cs="Open Sans"/>
                <w:sz w:val="20"/>
                <w:szCs w:val="20"/>
              </w:rPr>
              <w:t>Patient must be at least 18 years of age</w:t>
            </w:r>
          </w:p>
        </w:tc>
      </w:tr>
      <w:tr w:rsidR="00736626" w:rsidRPr="00BD19A7" w14:paraId="5B0F4326"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85EBE2" w14:textId="24CAB75B"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FB73B81" w14:textId="77777777" w:rsidR="00736626" w:rsidRPr="00BD19A7" w:rsidRDefault="00736626"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4372AE30" w14:textId="77777777" w:rsidR="00736626" w:rsidRPr="00BD19A7" w:rsidRDefault="00736626" w:rsidP="00000BB2">
            <w:pPr>
              <w:rPr>
                <w:rFonts w:ascii="Arial Narrow" w:hAnsi="Arial Narrow" w:cs="Open Sans"/>
                <w:strike/>
                <w:sz w:val="20"/>
                <w:szCs w:val="20"/>
              </w:rPr>
            </w:pPr>
            <w:r w:rsidRPr="00BD19A7">
              <w:rPr>
                <w:rFonts w:ascii="Arial Narrow" w:hAnsi="Arial Narrow" w:cs="Open Sans"/>
                <w:strike/>
                <w:sz w:val="20"/>
                <w:szCs w:val="20"/>
              </w:rPr>
              <w:t>Patient must not receive more than one dose at 10 weeks under this restriction</w:t>
            </w:r>
          </w:p>
          <w:p w14:paraId="2191379D" w14:textId="77777777" w:rsidR="00736626" w:rsidRPr="00BD19A7" w:rsidRDefault="00736626" w:rsidP="00000BB2">
            <w:pPr>
              <w:rPr>
                <w:rFonts w:ascii="Arial Narrow" w:hAnsi="Arial Narrow" w:cs="Open Sans"/>
                <w:i/>
                <w:iCs/>
                <w:sz w:val="20"/>
                <w:szCs w:val="20"/>
              </w:rPr>
            </w:pPr>
            <w:r w:rsidRPr="00BD19A7">
              <w:rPr>
                <w:rFonts w:ascii="Arial Narrow" w:hAnsi="Arial Narrow" w:cs="Open Sans"/>
                <w:i/>
                <w:iCs/>
                <w:sz w:val="20"/>
                <w:szCs w:val="20"/>
              </w:rPr>
              <w:t>A maximum quantity and number of repeats to provide for an additional dose of this drug consisting of one vial of 300 mg, with one dose to be administered at week 10, will be authorised.</w:t>
            </w:r>
          </w:p>
        </w:tc>
      </w:tr>
      <w:tr w:rsidR="00736626" w:rsidRPr="00BD19A7" w14:paraId="5EC38E04"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1138FD4" w14:textId="77777777"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1681A424" w14:textId="77777777" w:rsidR="00736626" w:rsidRPr="00BD19A7" w:rsidRDefault="00736626"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0682B0C1" w14:textId="77777777" w:rsidR="00736626" w:rsidRPr="00BD19A7" w:rsidRDefault="00736626" w:rsidP="00000BB2">
            <w:pPr>
              <w:rPr>
                <w:rFonts w:ascii="Arial Narrow" w:hAnsi="Arial Narrow" w:cs="Open Sans"/>
                <w:i/>
                <w:iCs/>
                <w:sz w:val="20"/>
                <w:szCs w:val="20"/>
              </w:rPr>
            </w:pPr>
            <w:r w:rsidRPr="00BD19A7">
              <w:rPr>
                <w:rFonts w:ascii="Arial Narrow" w:hAnsi="Arial Narrow" w:cs="Open Sans"/>
                <w:i/>
                <w:iCs/>
                <w:sz w:val="20"/>
                <w:szCs w:val="20"/>
              </w:rPr>
              <w:t xml:space="preserve">The assessment of the patient's response to the initial course of treatment must be conducted </w:t>
            </w:r>
            <w:r w:rsidRPr="00BD19A7">
              <w:rPr>
                <w:rFonts w:ascii="Arial Narrow" w:hAnsi="Arial Narrow" w:cs="Open Sans"/>
                <w:bCs/>
                <w:i/>
                <w:iCs/>
                <w:sz w:val="20"/>
                <w:szCs w:val="20"/>
              </w:rPr>
              <w:t>prior to 10 weeks</w:t>
            </w:r>
            <w:r w:rsidRPr="00BD19A7">
              <w:rPr>
                <w:rFonts w:ascii="Arial Narrow" w:hAnsi="Arial Narrow" w:cs="Open Sans"/>
                <w:i/>
                <w:iCs/>
                <w:sz w:val="20"/>
                <w:szCs w:val="20"/>
              </w:rPr>
              <w:t xml:space="preserve"> and a second assessment must be conducted following a minimum of 12 weeks of treatment and no later than 4 weeks from the cessation of that treatment course. If the response assessment is not conducted within these timeframes, the patient will be deemed to have failed this course of treatment in this treatment cycle.</w:t>
            </w:r>
          </w:p>
        </w:tc>
      </w:tr>
      <w:tr w:rsidR="00736626" w:rsidRPr="00BD19A7" w14:paraId="07F09F3B"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F2C083F" w14:textId="7292DCBD"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74515BB" w14:textId="77777777" w:rsidR="00736626" w:rsidRPr="00BD19A7" w:rsidRDefault="00736626"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205F6D4B" w14:textId="77777777" w:rsidR="00736626" w:rsidRPr="00BD19A7" w:rsidRDefault="00736626" w:rsidP="00000BB2">
            <w:pPr>
              <w:rPr>
                <w:rFonts w:ascii="Arial Narrow" w:hAnsi="Arial Narrow" w:cs="Open Sans"/>
                <w:i/>
                <w:iCs/>
                <w:sz w:val="20"/>
                <w:szCs w:val="20"/>
              </w:rPr>
            </w:pPr>
            <w:r w:rsidRPr="00BD19A7">
              <w:rPr>
                <w:rFonts w:ascii="Arial Narrow" w:hAnsi="Arial Narrow" w:cs="Open Sans"/>
                <w:i/>
                <w:i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736626" w:rsidRPr="00BD19A7" w14:paraId="3D0FA0A3"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194AC3" w14:textId="072B3C3E"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55FAC0" w14:textId="77777777" w:rsidR="00736626" w:rsidRPr="00BD19A7" w:rsidRDefault="00736626"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4B815E68" w14:textId="77777777" w:rsidR="00736626" w:rsidRPr="00BD19A7" w:rsidRDefault="00736626" w:rsidP="00000BB2">
            <w:pPr>
              <w:rPr>
                <w:rFonts w:ascii="Arial Narrow" w:hAnsi="Arial Narrow" w:cs="Open Sans"/>
                <w:i/>
                <w:iCs/>
                <w:sz w:val="20"/>
                <w:szCs w:val="20"/>
              </w:rPr>
            </w:pPr>
            <w:r w:rsidRPr="00BD19A7">
              <w:rPr>
                <w:rFonts w:ascii="Arial Narrow" w:hAnsi="Arial Narrow" w:cs="Open Sans"/>
                <w:i/>
                <w:iCs/>
                <w:sz w:val="20"/>
                <w:szCs w:val="20"/>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p>
        </w:tc>
      </w:tr>
      <w:tr w:rsidR="003B3B4A" w:rsidRPr="00BD19A7" w14:paraId="36246A5D"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D9484B" w14:textId="20B2DA7C" w:rsidR="003B3B4A" w:rsidRPr="00BD19A7" w:rsidRDefault="003B3B4A"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5715A5" w14:textId="5DA9D9F8" w:rsidR="003B3B4A" w:rsidRPr="00BD19A7" w:rsidRDefault="003B3B4A"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6996D966" w14:textId="77777777" w:rsidR="003B3B4A" w:rsidRPr="00BD19A7" w:rsidRDefault="003B3B4A" w:rsidP="00000BB2">
            <w:pPr>
              <w:rPr>
                <w:rFonts w:ascii="Arial Narrow" w:hAnsi="Arial Narrow"/>
                <w:i/>
                <w:iCs/>
                <w:sz w:val="20"/>
                <w:szCs w:val="20"/>
              </w:rPr>
            </w:pPr>
            <w:r w:rsidRPr="00BD19A7">
              <w:rPr>
                <w:rFonts w:ascii="Arial Narrow" w:hAnsi="Arial Narrow"/>
                <w:i/>
                <w:iCs/>
                <w:sz w:val="20"/>
                <w:szCs w:val="20"/>
              </w:rPr>
              <w:t xml:space="preserve">An adequate response to this drug defined as </w:t>
            </w:r>
          </w:p>
          <w:p w14:paraId="538E49CD" w14:textId="2A88EE02" w:rsidR="003B3B4A" w:rsidRPr="00BD19A7" w:rsidRDefault="003B3B4A" w:rsidP="00000BB2">
            <w:pPr>
              <w:rPr>
                <w:rFonts w:ascii="Arial Narrow" w:hAnsi="Arial Narrow"/>
                <w:i/>
                <w:iCs/>
                <w:sz w:val="20"/>
                <w:szCs w:val="20"/>
              </w:rPr>
            </w:pPr>
            <w:r w:rsidRPr="00BD19A7">
              <w:rPr>
                <w:rFonts w:ascii="Arial Narrow" w:hAnsi="Arial Narrow"/>
                <w:i/>
                <w:iCs/>
                <w:sz w:val="20"/>
                <w:szCs w:val="20"/>
              </w:rPr>
              <w:t>A reduction in Crohn Disease Activity Index (CDAI) Score to a level no greater than 150 if assessed by CDAI or if affected by extensive small intestine disease; or</w:t>
            </w:r>
          </w:p>
          <w:p w14:paraId="4B75ED43" w14:textId="77777777" w:rsidR="003B3B4A" w:rsidRPr="00BD19A7" w:rsidRDefault="003B3B4A" w:rsidP="00000BB2">
            <w:pPr>
              <w:rPr>
                <w:rFonts w:ascii="Arial Narrow" w:hAnsi="Arial Narrow"/>
                <w:i/>
                <w:iCs/>
                <w:sz w:val="20"/>
                <w:szCs w:val="20"/>
              </w:rPr>
            </w:pPr>
          </w:p>
          <w:p w14:paraId="095404C9" w14:textId="74ADD29E" w:rsidR="003B3B4A" w:rsidRPr="00BD19A7" w:rsidRDefault="003B3B4A" w:rsidP="00000BB2">
            <w:pPr>
              <w:rPr>
                <w:rFonts w:ascii="Arial Narrow" w:hAnsi="Arial Narrow"/>
                <w:i/>
                <w:iCs/>
                <w:sz w:val="20"/>
                <w:szCs w:val="20"/>
              </w:rPr>
            </w:pPr>
            <w:r w:rsidRPr="00BD19A7">
              <w:rPr>
                <w:rFonts w:ascii="Arial Narrow" w:hAnsi="Arial Narrow"/>
                <w:i/>
                <w:iCs/>
                <w:sz w:val="20"/>
                <w:szCs w:val="20"/>
              </w:rPr>
              <w:t xml:space="preserve">(a) an improvement of intestinal inflammation as demonstrated by: </w:t>
            </w:r>
          </w:p>
          <w:p w14:paraId="31B7E575" w14:textId="77777777" w:rsidR="003B3B4A" w:rsidRPr="00BD19A7" w:rsidRDefault="003B3B4A" w:rsidP="00000BB2">
            <w:pPr>
              <w:rPr>
                <w:rFonts w:ascii="Arial Narrow" w:hAnsi="Arial Narrow"/>
                <w:i/>
                <w:iCs/>
                <w:sz w:val="20"/>
                <w:szCs w:val="20"/>
              </w:rPr>
            </w:pPr>
            <w:r w:rsidRPr="00BD19A7">
              <w:rPr>
                <w:rFonts w:ascii="Arial Narrow" w:hAnsi="Arial Narrow"/>
                <w:i/>
                <w:iCs/>
                <w:sz w:val="20"/>
                <w:szCs w:val="20"/>
              </w:rPr>
              <w:t>(i) blood: normalisation of the platelet count, or an erythrocyte sedimentation rate (ESR) level no greater than 25 mm per hour, or a C-reactive protein (CRP) level no greater than 15 mg per L; or</w:t>
            </w:r>
          </w:p>
          <w:p w14:paraId="4186AD8B" w14:textId="77777777" w:rsidR="003B3B4A" w:rsidRPr="00BD19A7" w:rsidRDefault="003B3B4A" w:rsidP="00000BB2">
            <w:pPr>
              <w:rPr>
                <w:rFonts w:ascii="Arial Narrow" w:hAnsi="Arial Narrow"/>
                <w:i/>
                <w:iCs/>
                <w:sz w:val="20"/>
                <w:szCs w:val="20"/>
              </w:rPr>
            </w:pPr>
            <w:r w:rsidRPr="00BD19A7">
              <w:rPr>
                <w:rFonts w:ascii="Arial Narrow" w:hAnsi="Arial Narrow"/>
                <w:i/>
                <w:iCs/>
                <w:sz w:val="20"/>
                <w:szCs w:val="20"/>
              </w:rPr>
              <w:t xml:space="preserve">(ii) faeces: normalisation of lactoferrin or calprotectin level; or </w:t>
            </w:r>
          </w:p>
          <w:p w14:paraId="5B86542B" w14:textId="77777777" w:rsidR="003B3B4A" w:rsidRPr="00BD19A7" w:rsidRDefault="003B3B4A" w:rsidP="00000BB2">
            <w:pPr>
              <w:rPr>
                <w:rFonts w:ascii="Arial Narrow" w:hAnsi="Arial Narrow"/>
                <w:i/>
                <w:iCs/>
                <w:sz w:val="20"/>
                <w:szCs w:val="20"/>
              </w:rPr>
            </w:pPr>
            <w:r w:rsidRPr="00BD19A7">
              <w:rPr>
                <w:rFonts w:ascii="Arial Narrow" w:hAnsi="Arial Narrow"/>
                <w:i/>
                <w:iCs/>
                <w:sz w:val="20"/>
                <w:szCs w:val="20"/>
              </w:rPr>
              <w:t>(iii) evidence of mucosal healing, as demonstrated by diagnostic imaging findings, compared to the baseline assessment; or</w:t>
            </w:r>
          </w:p>
          <w:p w14:paraId="1EDE37C2" w14:textId="77777777" w:rsidR="003B3B4A" w:rsidRPr="00BD19A7" w:rsidRDefault="003B3B4A" w:rsidP="00000BB2">
            <w:pPr>
              <w:rPr>
                <w:rFonts w:ascii="Arial Narrow" w:hAnsi="Arial Narrow"/>
                <w:i/>
                <w:iCs/>
                <w:sz w:val="20"/>
                <w:szCs w:val="20"/>
              </w:rPr>
            </w:pPr>
          </w:p>
          <w:p w14:paraId="30DBBF5D" w14:textId="77777777" w:rsidR="003B3B4A" w:rsidRPr="00BD19A7" w:rsidRDefault="003B3B4A" w:rsidP="00000BB2">
            <w:pPr>
              <w:rPr>
                <w:rFonts w:ascii="Arial Narrow" w:hAnsi="Arial Narrow"/>
                <w:i/>
                <w:iCs/>
                <w:sz w:val="20"/>
                <w:szCs w:val="20"/>
              </w:rPr>
            </w:pPr>
            <w:r w:rsidRPr="00BD19A7">
              <w:rPr>
                <w:rFonts w:ascii="Arial Narrow" w:hAnsi="Arial Narrow"/>
                <w:i/>
                <w:iCs/>
                <w:sz w:val="20"/>
                <w:szCs w:val="20"/>
              </w:rPr>
              <w:t xml:space="preserve">(b) reversal of high faecal output state; or </w:t>
            </w:r>
          </w:p>
          <w:p w14:paraId="54606F8F" w14:textId="77777777" w:rsidR="003B3B4A" w:rsidRPr="00BD19A7" w:rsidRDefault="003B3B4A" w:rsidP="00000BB2">
            <w:pPr>
              <w:rPr>
                <w:rFonts w:ascii="Arial Narrow" w:hAnsi="Arial Narrow"/>
                <w:i/>
                <w:iCs/>
                <w:sz w:val="20"/>
                <w:szCs w:val="20"/>
              </w:rPr>
            </w:pPr>
          </w:p>
          <w:p w14:paraId="5EB73977" w14:textId="2BFD5612" w:rsidR="003B3B4A" w:rsidRPr="00BD19A7" w:rsidRDefault="003B3B4A" w:rsidP="00000BB2">
            <w:pPr>
              <w:rPr>
                <w:rFonts w:ascii="Arial Narrow" w:hAnsi="Arial Narrow" w:cs="Open Sans"/>
                <w:b/>
                <w:bCs/>
                <w:i/>
                <w:iCs/>
                <w:sz w:val="20"/>
                <w:szCs w:val="20"/>
              </w:rPr>
            </w:pPr>
            <w:r w:rsidRPr="00BD19A7">
              <w:rPr>
                <w:rFonts w:ascii="Arial Narrow" w:hAnsi="Arial Narrow"/>
                <w:i/>
                <w:iCs/>
                <w:sz w:val="20"/>
                <w:szCs w:val="20"/>
              </w:rPr>
              <w:t>(c) avoidance of the need for surgery or total parenteral nutrition (TPN), if affected by short gut syndrome, extensive small intestine or is an ostomy patient</w:t>
            </w:r>
          </w:p>
        </w:tc>
      </w:tr>
      <w:tr w:rsidR="00736626" w:rsidRPr="00BD19A7" w14:paraId="78FC19BF"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92536D" w14:textId="08749739"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9737A4" w14:textId="77777777" w:rsidR="00736626" w:rsidRPr="00BD19A7" w:rsidRDefault="00736626" w:rsidP="00000BB2">
            <w:pPr>
              <w:rPr>
                <w:rFonts w:ascii="Arial Narrow" w:hAnsi="Arial Narrow"/>
                <w:b/>
                <w:bCs/>
                <w:sz w:val="20"/>
                <w:szCs w:val="20"/>
              </w:rPr>
            </w:pPr>
            <w:r w:rsidRPr="00BD19A7">
              <w:rPr>
                <w:rFonts w:ascii="Arial Narrow" w:hAnsi="Arial Narrow"/>
                <w:b/>
                <w:bCs/>
                <w:sz w:val="20"/>
                <w:szCs w:val="20"/>
              </w:rPr>
              <w:t xml:space="preserve">Administrative Advice: </w:t>
            </w:r>
          </w:p>
          <w:p w14:paraId="5F3E6D83" w14:textId="77777777" w:rsidR="00736626" w:rsidRPr="00BD19A7" w:rsidRDefault="00736626" w:rsidP="00000BB2">
            <w:pPr>
              <w:rPr>
                <w:rFonts w:ascii="Arial Narrow" w:hAnsi="Arial Narrow"/>
                <w:i/>
                <w:iCs/>
                <w:sz w:val="20"/>
                <w:szCs w:val="20"/>
              </w:rPr>
            </w:pPr>
            <w:r w:rsidRPr="00BD19A7">
              <w:rPr>
                <w:rFonts w:ascii="Arial Narrow" w:hAnsi="Arial Narrow"/>
                <w:bCs/>
                <w:sz w:val="20"/>
                <w:szCs w:val="20"/>
              </w:rPr>
              <w:t>Patient must be assessed as having an inadequate response to the drug after completing an initial infusion regimen at 0, 2, and 6 weeks and prior to 10 weeks.</w:t>
            </w:r>
          </w:p>
        </w:tc>
      </w:tr>
      <w:tr w:rsidR="00736626" w:rsidRPr="00BD19A7" w14:paraId="546EEF4A" w14:textId="77777777" w:rsidTr="00AF0513">
        <w:trPr>
          <w:cantSplit/>
          <w:trHeight w:val="20"/>
        </w:trPr>
        <w:tc>
          <w:tcPr>
            <w:tcW w:w="1270"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6F2B8D" w14:textId="7B101A35" w:rsidR="00736626" w:rsidRPr="00BD19A7" w:rsidRDefault="00736626" w:rsidP="00000BB2">
            <w:pPr>
              <w:jc w:val="center"/>
              <w:rPr>
                <w:rFonts w:ascii="Arial Narrow" w:hAnsi="Arial Narrow"/>
                <w:i/>
                <w:iCs/>
                <w:sz w:val="20"/>
                <w:szCs w:val="20"/>
              </w:rPr>
            </w:pPr>
          </w:p>
        </w:tc>
        <w:tc>
          <w:tcPr>
            <w:tcW w:w="7657"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E6B018" w14:textId="77777777" w:rsidR="00736626" w:rsidRPr="00BD19A7" w:rsidRDefault="00736626" w:rsidP="00000BB2">
            <w:pPr>
              <w:rPr>
                <w:rFonts w:ascii="Arial Narrow" w:hAnsi="Arial Narrow"/>
                <w:b/>
                <w:bCs/>
                <w:i/>
                <w:iCs/>
                <w:sz w:val="20"/>
                <w:szCs w:val="20"/>
              </w:rPr>
            </w:pPr>
            <w:r w:rsidRPr="00BD19A7">
              <w:rPr>
                <w:rFonts w:ascii="Arial Narrow" w:hAnsi="Arial Narrow"/>
                <w:b/>
                <w:bCs/>
                <w:i/>
                <w:iCs/>
                <w:sz w:val="20"/>
                <w:szCs w:val="20"/>
              </w:rPr>
              <w:t>Administrative Advice:</w:t>
            </w:r>
          </w:p>
          <w:p w14:paraId="2BFE4377" w14:textId="77777777" w:rsidR="00736626" w:rsidRPr="00BD19A7" w:rsidRDefault="00736626" w:rsidP="00000BB2">
            <w:pPr>
              <w:rPr>
                <w:rFonts w:ascii="Arial Narrow" w:hAnsi="Arial Narrow"/>
                <w:i/>
                <w:iCs/>
                <w:sz w:val="20"/>
                <w:szCs w:val="20"/>
              </w:rPr>
            </w:pPr>
            <w:r w:rsidRPr="00BD19A7">
              <w:rPr>
                <w:rFonts w:ascii="Arial Narrow" w:hAnsi="Arial Narrow"/>
                <w:i/>
                <w:iCs/>
                <w:sz w:val="20"/>
                <w:szCs w:val="20"/>
              </w:rPr>
              <w:t>Applications for authorisation under this restriction may be made in real time using the Online PBS Authorities system (see www.servicesaustralia.gov.au/HPOS) or by telephone by contacting the Services Australia on 1800 700 270 (hours of operation 8 a.m. to 5 p.m. Monday to Friday).</w:t>
            </w:r>
          </w:p>
        </w:tc>
      </w:tr>
    </w:tbl>
    <w:p w14:paraId="3EDED987" w14:textId="77777777" w:rsidR="00736626" w:rsidRPr="00BD19A7" w:rsidRDefault="00736626" w:rsidP="00736626">
      <w:pPr>
        <w:pStyle w:val="ListParagraph"/>
        <w:numPr>
          <w:ilvl w:val="1"/>
          <w:numId w:val="1"/>
        </w:numPr>
        <w:spacing w:before="120"/>
        <w:contextualSpacing/>
      </w:pPr>
      <w:r w:rsidRPr="00BD19A7">
        <w:t>Amendment of clinical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410"/>
        <w:gridCol w:w="1069"/>
        <w:gridCol w:w="914"/>
        <w:gridCol w:w="993"/>
        <w:gridCol w:w="708"/>
        <w:gridCol w:w="1651"/>
      </w:tblGrid>
      <w:tr w:rsidR="00736626" w:rsidRPr="00BD19A7" w14:paraId="4CA62C5A" w14:textId="77777777" w:rsidTr="00AF0513">
        <w:trPr>
          <w:cantSplit/>
          <w:trHeight w:val="20"/>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064BDC40" w14:textId="77777777" w:rsidR="00736626" w:rsidRPr="00BD19A7" w:rsidRDefault="00736626" w:rsidP="00000BB2">
            <w:pPr>
              <w:keepLines/>
              <w:rPr>
                <w:rFonts w:ascii="Arial Narrow" w:hAnsi="Arial Narrow"/>
                <w:b/>
                <w:bCs/>
                <w:sz w:val="20"/>
                <w:szCs w:val="20"/>
              </w:rPr>
            </w:pPr>
            <w:r w:rsidRPr="00BD19A7">
              <w:rPr>
                <w:rFonts w:ascii="Arial Narrow" w:hAnsi="Arial Narrow"/>
                <w:b/>
                <w:bCs/>
                <w:sz w:val="20"/>
                <w:szCs w:val="20"/>
              </w:rPr>
              <w:t>MEDICINAL PRODUCT</w:t>
            </w:r>
          </w:p>
          <w:p w14:paraId="274D2C50" w14:textId="77777777" w:rsidR="00736626" w:rsidRPr="00BD19A7" w:rsidRDefault="00736626" w:rsidP="00000BB2">
            <w:pPr>
              <w:keepLines/>
              <w:rPr>
                <w:rFonts w:ascii="Arial Narrow" w:hAnsi="Arial Narrow"/>
                <w:b/>
                <w:sz w:val="20"/>
                <w:szCs w:val="20"/>
              </w:rPr>
            </w:pPr>
            <w:r w:rsidRPr="00BD19A7">
              <w:rPr>
                <w:rFonts w:ascii="Arial Narrow" w:hAnsi="Arial Narrow"/>
                <w:b/>
                <w:bCs/>
                <w:sz w:val="20"/>
                <w:szCs w:val="20"/>
              </w:rPr>
              <w:t>medicinal product pack</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6A9C138"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PBS item code</w:t>
            </w:r>
          </w:p>
        </w:tc>
        <w:tc>
          <w:tcPr>
            <w:tcW w:w="914" w:type="dxa"/>
            <w:tcBorders>
              <w:top w:val="single" w:sz="4" w:space="0" w:color="auto"/>
              <w:left w:val="single" w:sz="4" w:space="0" w:color="auto"/>
              <w:bottom w:val="single" w:sz="4" w:space="0" w:color="auto"/>
              <w:right w:val="single" w:sz="4" w:space="0" w:color="auto"/>
            </w:tcBorders>
            <w:vAlign w:val="center"/>
            <w:hideMark/>
          </w:tcPr>
          <w:p w14:paraId="4966581C"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Max. qty packs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4F110C"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4DE242"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№.of</w:t>
            </w:r>
          </w:p>
          <w:p w14:paraId="10EDE335"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Rpts</w:t>
            </w:r>
          </w:p>
        </w:tc>
        <w:tc>
          <w:tcPr>
            <w:tcW w:w="1651" w:type="dxa"/>
            <w:tcBorders>
              <w:top w:val="single" w:sz="4" w:space="0" w:color="auto"/>
              <w:left w:val="single" w:sz="4" w:space="0" w:color="auto"/>
              <w:bottom w:val="single" w:sz="4" w:space="0" w:color="auto"/>
              <w:right w:val="single" w:sz="4" w:space="0" w:color="auto"/>
            </w:tcBorders>
            <w:vAlign w:val="center"/>
            <w:hideMark/>
          </w:tcPr>
          <w:p w14:paraId="11322AF1" w14:textId="77777777" w:rsidR="00736626" w:rsidRPr="00BD19A7" w:rsidRDefault="00736626" w:rsidP="00000BB2">
            <w:pPr>
              <w:keepLines/>
              <w:rPr>
                <w:rFonts w:ascii="Arial Narrow" w:hAnsi="Arial Narrow"/>
                <w:b/>
                <w:sz w:val="20"/>
                <w:szCs w:val="20"/>
              </w:rPr>
            </w:pPr>
            <w:r w:rsidRPr="00BD19A7">
              <w:rPr>
                <w:rFonts w:ascii="Arial Narrow" w:hAnsi="Arial Narrow"/>
                <w:b/>
                <w:sz w:val="20"/>
                <w:szCs w:val="20"/>
              </w:rPr>
              <w:t>Available brands</w:t>
            </w:r>
          </w:p>
        </w:tc>
      </w:tr>
      <w:tr w:rsidR="00736626" w:rsidRPr="00BD19A7" w14:paraId="0E76776B" w14:textId="77777777" w:rsidTr="00AF0513">
        <w:trPr>
          <w:cantSplit/>
          <w:trHeight w:val="20"/>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1E005981" w14:textId="77777777" w:rsidR="00736626" w:rsidRPr="00BD19A7" w:rsidRDefault="00736626" w:rsidP="00000BB2">
            <w:pPr>
              <w:keepLines/>
              <w:rPr>
                <w:rFonts w:ascii="Arial Narrow" w:hAnsi="Arial Narrow"/>
                <w:sz w:val="20"/>
                <w:szCs w:val="20"/>
              </w:rPr>
            </w:pPr>
            <w:r w:rsidRPr="00BD19A7">
              <w:rPr>
                <w:rFonts w:ascii="Arial Narrow" w:hAnsi="Arial Narrow"/>
                <w:sz w:val="20"/>
                <w:szCs w:val="20"/>
              </w:rPr>
              <w:t>VEDOLIZUMAB</w:t>
            </w:r>
          </w:p>
        </w:tc>
      </w:tr>
      <w:tr w:rsidR="00736626" w:rsidRPr="00BD19A7" w14:paraId="3AE39727" w14:textId="77777777" w:rsidTr="00AF0513">
        <w:trPr>
          <w:cantSplit/>
          <w:trHeight w:val="20"/>
        </w:trPr>
        <w:tc>
          <w:tcPr>
            <w:tcW w:w="36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CFF745" w14:textId="77777777" w:rsidR="00736626" w:rsidRPr="00BD19A7" w:rsidRDefault="00736626" w:rsidP="00000BB2">
            <w:pPr>
              <w:keepLines/>
              <w:rPr>
                <w:rFonts w:ascii="Arial Narrow" w:hAnsi="Arial Narrow"/>
                <w:sz w:val="20"/>
                <w:szCs w:val="20"/>
              </w:rPr>
            </w:pPr>
            <w:r w:rsidRPr="00BD19A7">
              <w:rPr>
                <w:rFonts w:ascii="Arial Narrow" w:hAnsi="Arial Narrow"/>
                <w:sz w:val="20"/>
                <w:szCs w:val="20"/>
              </w:rPr>
              <w:lastRenderedPageBreak/>
              <w:t>vedolizumab 300 mg injection, 1 vial</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24E0322"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10384M</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15DB0CF1"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F8C2802"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0EE79FE2"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0</w:t>
            </w:r>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14:paraId="66ED5BB2" w14:textId="77777777" w:rsidR="00736626" w:rsidRPr="00BD19A7" w:rsidRDefault="00736626" w:rsidP="00000BB2">
            <w:pPr>
              <w:keepLines/>
              <w:rPr>
                <w:rFonts w:ascii="Arial Narrow" w:hAnsi="Arial Narrow"/>
                <w:sz w:val="20"/>
                <w:szCs w:val="20"/>
              </w:rPr>
            </w:pPr>
            <w:r w:rsidRPr="00BD19A7">
              <w:rPr>
                <w:rFonts w:ascii="Arial Narrow" w:hAnsi="Arial Narrow"/>
                <w:sz w:val="20"/>
                <w:szCs w:val="20"/>
              </w:rPr>
              <w:t>Entyvio</w:t>
            </w:r>
          </w:p>
        </w:tc>
      </w:tr>
      <w:tr w:rsidR="00736626" w:rsidRPr="00BD19A7" w14:paraId="46971C4C"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482A84B1"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223145C1"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10390W</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74DD394"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FBAC621"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B4FD960"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6152F53D" w14:textId="77777777" w:rsidR="00736626" w:rsidRPr="00BD19A7" w:rsidRDefault="00736626" w:rsidP="00000BB2">
            <w:pPr>
              <w:rPr>
                <w:rFonts w:ascii="Arial Narrow" w:hAnsi="Arial Narrow"/>
                <w:sz w:val="20"/>
                <w:szCs w:val="20"/>
              </w:rPr>
            </w:pPr>
          </w:p>
        </w:tc>
      </w:tr>
      <w:tr w:rsidR="00736626" w:rsidRPr="00BD19A7" w14:paraId="65419C8A"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2E25621B"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6B317F1F"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10398G</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4E6B5E1"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1DC6F0E"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09D184C"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25B9D589" w14:textId="77777777" w:rsidR="00736626" w:rsidRPr="00BD19A7" w:rsidRDefault="00736626" w:rsidP="00000BB2">
            <w:pPr>
              <w:rPr>
                <w:rFonts w:ascii="Arial Narrow" w:hAnsi="Arial Narrow"/>
                <w:sz w:val="20"/>
                <w:szCs w:val="20"/>
              </w:rPr>
            </w:pPr>
          </w:p>
        </w:tc>
      </w:tr>
      <w:tr w:rsidR="00736626" w:rsidRPr="00BD19A7" w14:paraId="6DC80E1E"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211F3489"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452F3832"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10415E</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F8BBA7E"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6E7E55ED"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FB36359"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1FF75016" w14:textId="77777777" w:rsidR="00736626" w:rsidRPr="00BD19A7" w:rsidRDefault="00736626" w:rsidP="00000BB2">
            <w:pPr>
              <w:rPr>
                <w:rFonts w:ascii="Arial Narrow" w:hAnsi="Arial Narrow"/>
                <w:sz w:val="20"/>
                <w:szCs w:val="20"/>
              </w:rPr>
            </w:pPr>
          </w:p>
        </w:tc>
      </w:tr>
      <w:tr w:rsidR="00736626" w:rsidRPr="00BD19A7" w14:paraId="334BBB87" w14:textId="77777777" w:rsidTr="00AF0513">
        <w:trPr>
          <w:cantSplit/>
          <w:trHeight w:val="20"/>
        </w:trPr>
        <w:tc>
          <w:tcPr>
            <w:tcW w:w="36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ED28298" w14:textId="3B5AC4DA" w:rsidR="00736626" w:rsidRPr="00BD19A7" w:rsidRDefault="00736626" w:rsidP="00000BB2">
            <w:pPr>
              <w:keepLines/>
              <w:rPr>
                <w:rFonts w:ascii="Arial Narrow" w:hAnsi="Arial Narrow"/>
                <w:sz w:val="20"/>
                <w:szCs w:val="20"/>
              </w:rPr>
            </w:pPr>
            <w:r w:rsidRPr="00BD19A7">
              <w:rPr>
                <w:rFonts w:ascii="Arial Narrow" w:hAnsi="Arial Narrow"/>
                <w:sz w:val="20"/>
                <w:szCs w:val="20"/>
              </w:rPr>
              <w:t>vedolizumab 108 mg/0.68 mL injection, 2 x 0.68</w:t>
            </w:r>
            <w:r w:rsidR="00AF0513">
              <w:rPr>
                <w:rFonts w:ascii="Arial Narrow" w:hAnsi="Arial Narrow"/>
                <w:sz w:val="20"/>
                <w:szCs w:val="20"/>
              </w:rPr>
              <w:t> </w:t>
            </w:r>
            <w:r w:rsidRPr="00BD19A7">
              <w:rPr>
                <w:rFonts w:ascii="Arial Narrow" w:hAnsi="Arial Narrow"/>
                <w:sz w:val="20"/>
                <w:szCs w:val="20"/>
              </w:rPr>
              <w:t>mL pen devices</w:t>
            </w:r>
          </w:p>
        </w:tc>
        <w:tc>
          <w:tcPr>
            <w:tcW w:w="1069" w:type="dxa"/>
            <w:tcBorders>
              <w:top w:val="single" w:sz="4" w:space="0" w:color="auto"/>
              <w:left w:val="single" w:sz="4" w:space="0" w:color="auto"/>
              <w:bottom w:val="single" w:sz="4" w:space="0" w:color="auto"/>
              <w:right w:val="single" w:sz="4" w:space="0" w:color="auto"/>
            </w:tcBorders>
            <w:vAlign w:val="center"/>
            <w:hideMark/>
          </w:tcPr>
          <w:p w14:paraId="5CE8D80F"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12620F</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6BB5A54B"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2931307"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2</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4F4DB2DB"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0</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72D3680D" w14:textId="77777777" w:rsidR="00736626" w:rsidRPr="00BD19A7" w:rsidRDefault="00736626" w:rsidP="00000BB2">
            <w:pPr>
              <w:rPr>
                <w:rFonts w:ascii="Arial Narrow" w:hAnsi="Arial Narrow"/>
                <w:sz w:val="20"/>
                <w:szCs w:val="20"/>
              </w:rPr>
            </w:pPr>
          </w:p>
        </w:tc>
      </w:tr>
      <w:tr w:rsidR="00736626" w:rsidRPr="00BD19A7" w14:paraId="3A297C20"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7B65E6CE"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0F5478F5"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12638E</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6B0F5E5"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DD61015"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33D0D1"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56DEBDF0" w14:textId="77777777" w:rsidR="00736626" w:rsidRPr="00BD19A7" w:rsidRDefault="00736626" w:rsidP="00000BB2">
            <w:pPr>
              <w:rPr>
                <w:rFonts w:ascii="Arial Narrow" w:hAnsi="Arial Narrow"/>
                <w:sz w:val="20"/>
                <w:szCs w:val="20"/>
              </w:rPr>
            </w:pPr>
          </w:p>
        </w:tc>
      </w:tr>
      <w:tr w:rsidR="00736626" w:rsidRPr="00BD19A7" w14:paraId="443C0292"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648BAC97"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5D691C4F"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12644L</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46FDB6B"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2414DBE"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5062DD"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7CEDA767" w14:textId="77777777" w:rsidR="00736626" w:rsidRPr="00BD19A7" w:rsidRDefault="00736626" w:rsidP="00000BB2">
            <w:pPr>
              <w:rPr>
                <w:rFonts w:ascii="Arial Narrow" w:hAnsi="Arial Narrow"/>
                <w:sz w:val="20"/>
                <w:szCs w:val="20"/>
              </w:rPr>
            </w:pPr>
          </w:p>
        </w:tc>
      </w:tr>
      <w:tr w:rsidR="00736626" w:rsidRPr="00BD19A7" w14:paraId="206369A6"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4D3B6119"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7A08CF8D"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12647P</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F0F3B66"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666968A"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8AA07D8"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5DFBCFE5" w14:textId="77777777" w:rsidR="00736626" w:rsidRPr="00BD19A7" w:rsidRDefault="00736626" w:rsidP="00000BB2">
            <w:pPr>
              <w:rPr>
                <w:rFonts w:ascii="Arial Narrow" w:hAnsi="Arial Narrow"/>
                <w:sz w:val="20"/>
                <w:szCs w:val="20"/>
              </w:rPr>
            </w:pPr>
          </w:p>
        </w:tc>
      </w:tr>
      <w:tr w:rsidR="00736626" w:rsidRPr="00BD19A7" w14:paraId="4725E2ED"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20D8B689"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34DF6635"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12369F</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7960E12F"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4ABB16D"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2</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19C26510"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5</w:t>
            </w: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51ABCEB5" w14:textId="77777777" w:rsidR="00736626" w:rsidRPr="00BD19A7" w:rsidRDefault="00736626" w:rsidP="00000BB2">
            <w:pPr>
              <w:rPr>
                <w:rFonts w:ascii="Arial Narrow" w:hAnsi="Arial Narrow"/>
                <w:sz w:val="20"/>
                <w:szCs w:val="20"/>
              </w:rPr>
            </w:pPr>
          </w:p>
        </w:tc>
      </w:tr>
      <w:tr w:rsidR="00736626" w:rsidRPr="00BD19A7" w14:paraId="24E6630A" w14:textId="77777777" w:rsidTr="00AF0513">
        <w:trPr>
          <w:cantSplit/>
          <w:trHeight w:val="20"/>
        </w:trPr>
        <w:tc>
          <w:tcPr>
            <w:tcW w:w="3682" w:type="dxa"/>
            <w:gridSpan w:val="2"/>
            <w:vMerge/>
            <w:tcBorders>
              <w:top w:val="single" w:sz="4" w:space="0" w:color="auto"/>
              <w:left w:val="single" w:sz="4" w:space="0" w:color="auto"/>
              <w:bottom w:val="single" w:sz="4" w:space="0" w:color="auto"/>
              <w:right w:val="single" w:sz="4" w:space="0" w:color="auto"/>
            </w:tcBorders>
            <w:vAlign w:val="center"/>
            <w:hideMark/>
          </w:tcPr>
          <w:p w14:paraId="137F6A87" w14:textId="77777777" w:rsidR="00736626" w:rsidRPr="00BD19A7" w:rsidRDefault="00736626" w:rsidP="00000BB2">
            <w:pPr>
              <w:rPr>
                <w:rFonts w:ascii="Arial Narrow" w:hAnsi="Arial Narrow"/>
                <w:sz w:val="20"/>
                <w:szCs w:val="20"/>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1A267B03"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12654B</w:t>
            </w: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149DDE2" w14:textId="77777777" w:rsidR="00736626" w:rsidRPr="00BD19A7" w:rsidRDefault="00736626" w:rsidP="00000BB2">
            <w:pPr>
              <w:rPr>
                <w:rFonts w:ascii="Arial Narrow" w:hAnsi="Arial Narrow"/>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9D1FEFF" w14:textId="77777777" w:rsidR="00736626" w:rsidRPr="00BD19A7" w:rsidRDefault="00736626" w:rsidP="00000BB2">
            <w:pPr>
              <w:rPr>
                <w:rFonts w:ascii="Arial Narrow" w:hAnsi="Arial Narrow"/>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8303296" w14:textId="77777777" w:rsidR="00736626" w:rsidRPr="00BD19A7" w:rsidRDefault="00736626" w:rsidP="00000BB2">
            <w:pPr>
              <w:rPr>
                <w:rFonts w:ascii="Arial Narrow" w:hAnsi="Arial Narrow"/>
                <w:sz w:val="20"/>
                <w:szCs w:val="20"/>
              </w:rPr>
            </w:pPr>
          </w:p>
        </w:tc>
        <w:tc>
          <w:tcPr>
            <w:tcW w:w="1651" w:type="dxa"/>
            <w:vMerge/>
            <w:tcBorders>
              <w:top w:val="single" w:sz="4" w:space="0" w:color="auto"/>
              <w:left w:val="single" w:sz="4" w:space="0" w:color="auto"/>
              <w:bottom w:val="single" w:sz="4" w:space="0" w:color="auto"/>
              <w:right w:val="single" w:sz="4" w:space="0" w:color="auto"/>
            </w:tcBorders>
            <w:vAlign w:val="center"/>
            <w:hideMark/>
          </w:tcPr>
          <w:p w14:paraId="5C1175F0" w14:textId="77777777" w:rsidR="00736626" w:rsidRPr="00BD19A7" w:rsidRDefault="00736626" w:rsidP="00000BB2">
            <w:pPr>
              <w:rPr>
                <w:rFonts w:ascii="Arial Narrow" w:hAnsi="Arial Narrow"/>
                <w:sz w:val="20"/>
                <w:szCs w:val="20"/>
              </w:rPr>
            </w:pPr>
          </w:p>
        </w:tc>
      </w:tr>
      <w:tr w:rsidR="00736626" w:rsidRPr="00BD19A7" w14:paraId="77E3048C" w14:textId="77777777" w:rsidTr="00AF0513">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722ADC" w14:textId="77777777" w:rsidR="00736626" w:rsidRPr="00BD19A7" w:rsidRDefault="00736626" w:rsidP="00000BB2">
            <w:pPr>
              <w:rPr>
                <w:rFonts w:ascii="Arial Narrow" w:hAnsi="Arial Narrow"/>
                <w:sz w:val="20"/>
                <w:szCs w:val="20"/>
              </w:rPr>
            </w:pPr>
          </w:p>
        </w:tc>
      </w:tr>
      <w:tr w:rsidR="00736626" w:rsidRPr="00BD19A7" w14:paraId="65453D1E" w14:textId="77777777" w:rsidTr="00AF0513">
        <w:trPr>
          <w:cantSplit/>
          <w:trHeight w:val="20"/>
        </w:trPr>
        <w:tc>
          <w:tcPr>
            <w:tcW w:w="12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326BC3" w14:textId="33CA4DE1" w:rsidR="00736626" w:rsidRPr="00BD19A7" w:rsidRDefault="00736626" w:rsidP="00000BB2">
            <w:pPr>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5D1040" w14:textId="77777777" w:rsidR="00736626" w:rsidRPr="00BD19A7" w:rsidRDefault="00736626" w:rsidP="00000BB2">
            <w:pPr>
              <w:keepLines/>
              <w:rPr>
                <w:rFonts w:ascii="Arial Narrow" w:hAnsi="Arial Narrow"/>
                <w:b/>
                <w:bCs/>
                <w:strike/>
                <w:color w:val="333333"/>
                <w:sz w:val="20"/>
                <w:szCs w:val="20"/>
              </w:rPr>
            </w:pPr>
            <w:r w:rsidRPr="00BD19A7">
              <w:rPr>
                <w:rFonts w:ascii="Arial Narrow" w:hAnsi="Arial Narrow"/>
                <w:b/>
                <w:bCs/>
                <w:strike/>
                <w:color w:val="333333"/>
                <w:sz w:val="20"/>
                <w:szCs w:val="20"/>
              </w:rPr>
              <w:t>Clinical Criteria:</w:t>
            </w:r>
          </w:p>
        </w:tc>
      </w:tr>
      <w:tr w:rsidR="00736626" w:rsidRPr="00BD19A7" w14:paraId="22221CEC" w14:textId="77777777" w:rsidTr="00AF0513">
        <w:trPr>
          <w:cantSplit/>
          <w:trHeight w:val="20"/>
        </w:trPr>
        <w:tc>
          <w:tcPr>
            <w:tcW w:w="12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D7B6BB" w14:textId="5940C418" w:rsidR="00736626" w:rsidRPr="00BD19A7" w:rsidRDefault="00736626" w:rsidP="00000BB2">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89DE4D" w14:textId="77777777" w:rsidR="00736626" w:rsidRPr="00BD19A7" w:rsidRDefault="00736626" w:rsidP="00000BB2">
            <w:pPr>
              <w:rPr>
                <w:rFonts w:ascii="Arial Narrow" w:hAnsi="Arial Narrow"/>
                <w:strike/>
                <w:sz w:val="20"/>
                <w:szCs w:val="20"/>
              </w:rPr>
            </w:pPr>
            <w:r w:rsidRPr="00BD19A7">
              <w:rPr>
                <w:rFonts w:ascii="Arial Narrow" w:hAnsi="Arial Narrow"/>
                <w:strike/>
                <w:sz w:val="20"/>
                <w:szCs w:val="20"/>
              </w:rPr>
              <w:t>Patient must be appropriately assessed for the risk of developing progressive multifocal leukoencephalopathy whilst on this treatment</w:t>
            </w:r>
          </w:p>
        </w:tc>
      </w:tr>
    </w:tbl>
    <w:p w14:paraId="11BC4169" w14:textId="77777777" w:rsidR="00736626" w:rsidRPr="00BD19A7" w:rsidRDefault="00736626" w:rsidP="00736626">
      <w:pPr>
        <w:pStyle w:val="ListParagraph"/>
        <w:numPr>
          <w:ilvl w:val="1"/>
          <w:numId w:val="1"/>
        </w:numPr>
        <w:spacing w:before="120"/>
        <w:contextualSpacing/>
      </w:pPr>
      <w:r w:rsidRPr="00BD19A7">
        <w:t>Flow on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410"/>
        <w:gridCol w:w="1069"/>
        <w:gridCol w:w="914"/>
        <w:gridCol w:w="993"/>
        <w:gridCol w:w="708"/>
        <w:gridCol w:w="1651"/>
      </w:tblGrid>
      <w:tr w:rsidR="00736626" w:rsidRPr="00BD19A7" w14:paraId="7E5BC2D1" w14:textId="77777777" w:rsidTr="00AF0513">
        <w:trPr>
          <w:cantSplit/>
          <w:trHeight w:val="20"/>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7E260B0B" w14:textId="77777777" w:rsidR="00736626" w:rsidRPr="00BD19A7" w:rsidRDefault="00736626" w:rsidP="00000BB2">
            <w:pPr>
              <w:keepLines/>
              <w:rPr>
                <w:rFonts w:ascii="Arial Narrow" w:hAnsi="Arial Narrow"/>
                <w:b/>
                <w:bCs/>
                <w:sz w:val="20"/>
                <w:szCs w:val="20"/>
              </w:rPr>
            </w:pPr>
            <w:r w:rsidRPr="00BD19A7">
              <w:rPr>
                <w:rFonts w:ascii="Arial Narrow" w:hAnsi="Arial Narrow"/>
                <w:b/>
                <w:bCs/>
                <w:sz w:val="20"/>
                <w:szCs w:val="20"/>
              </w:rPr>
              <w:t>MEDICINAL PRODUCT</w:t>
            </w:r>
          </w:p>
          <w:p w14:paraId="1482A427" w14:textId="77777777" w:rsidR="00736626" w:rsidRPr="00BD19A7" w:rsidRDefault="00736626" w:rsidP="00000BB2">
            <w:pPr>
              <w:keepLines/>
              <w:rPr>
                <w:rFonts w:ascii="Arial Narrow" w:hAnsi="Arial Narrow"/>
                <w:b/>
                <w:sz w:val="20"/>
                <w:szCs w:val="20"/>
              </w:rPr>
            </w:pPr>
            <w:r w:rsidRPr="00BD19A7">
              <w:rPr>
                <w:rFonts w:ascii="Arial Narrow" w:hAnsi="Arial Narrow"/>
                <w:b/>
                <w:bCs/>
                <w:sz w:val="20"/>
                <w:szCs w:val="20"/>
              </w:rPr>
              <w:t>medicinal product pack</w:t>
            </w:r>
          </w:p>
        </w:tc>
        <w:tc>
          <w:tcPr>
            <w:tcW w:w="1069" w:type="dxa"/>
            <w:tcBorders>
              <w:top w:val="single" w:sz="4" w:space="0" w:color="auto"/>
              <w:left w:val="single" w:sz="4" w:space="0" w:color="auto"/>
              <w:bottom w:val="single" w:sz="4" w:space="0" w:color="auto"/>
              <w:right w:val="single" w:sz="4" w:space="0" w:color="auto"/>
            </w:tcBorders>
            <w:vAlign w:val="center"/>
            <w:hideMark/>
          </w:tcPr>
          <w:p w14:paraId="72E02915"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PBS item code</w:t>
            </w:r>
          </w:p>
        </w:tc>
        <w:tc>
          <w:tcPr>
            <w:tcW w:w="914" w:type="dxa"/>
            <w:tcBorders>
              <w:top w:val="single" w:sz="4" w:space="0" w:color="auto"/>
              <w:left w:val="single" w:sz="4" w:space="0" w:color="auto"/>
              <w:bottom w:val="single" w:sz="4" w:space="0" w:color="auto"/>
              <w:right w:val="single" w:sz="4" w:space="0" w:color="auto"/>
            </w:tcBorders>
            <w:vAlign w:val="center"/>
            <w:hideMark/>
          </w:tcPr>
          <w:p w14:paraId="1C94FE52"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Max. qty packs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ED54A7"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Max. qty units</w:t>
            </w:r>
          </w:p>
        </w:tc>
        <w:tc>
          <w:tcPr>
            <w:tcW w:w="708" w:type="dxa"/>
            <w:tcBorders>
              <w:top w:val="single" w:sz="4" w:space="0" w:color="auto"/>
              <w:left w:val="single" w:sz="4" w:space="0" w:color="auto"/>
              <w:bottom w:val="single" w:sz="4" w:space="0" w:color="auto"/>
              <w:right w:val="single" w:sz="4" w:space="0" w:color="auto"/>
            </w:tcBorders>
            <w:vAlign w:val="center"/>
            <w:hideMark/>
          </w:tcPr>
          <w:p w14:paraId="1DD53B60"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№.of</w:t>
            </w:r>
          </w:p>
          <w:p w14:paraId="185387E7" w14:textId="77777777" w:rsidR="00736626" w:rsidRPr="00BD19A7" w:rsidRDefault="00736626" w:rsidP="00000BB2">
            <w:pPr>
              <w:keepLines/>
              <w:jc w:val="center"/>
              <w:rPr>
                <w:rFonts w:ascii="Arial Narrow" w:hAnsi="Arial Narrow"/>
                <w:b/>
                <w:sz w:val="20"/>
                <w:szCs w:val="20"/>
              </w:rPr>
            </w:pPr>
            <w:r w:rsidRPr="00BD19A7">
              <w:rPr>
                <w:rFonts w:ascii="Arial Narrow" w:hAnsi="Arial Narrow"/>
                <w:b/>
                <w:sz w:val="20"/>
                <w:szCs w:val="20"/>
              </w:rPr>
              <w:t>Rpts</w:t>
            </w:r>
          </w:p>
        </w:tc>
        <w:tc>
          <w:tcPr>
            <w:tcW w:w="1651" w:type="dxa"/>
            <w:tcBorders>
              <w:top w:val="single" w:sz="4" w:space="0" w:color="auto"/>
              <w:left w:val="single" w:sz="4" w:space="0" w:color="auto"/>
              <w:bottom w:val="single" w:sz="4" w:space="0" w:color="auto"/>
              <w:right w:val="single" w:sz="4" w:space="0" w:color="auto"/>
            </w:tcBorders>
            <w:vAlign w:val="center"/>
            <w:hideMark/>
          </w:tcPr>
          <w:p w14:paraId="57915AF8" w14:textId="77777777" w:rsidR="00736626" w:rsidRPr="00BD19A7" w:rsidRDefault="00736626" w:rsidP="00000BB2">
            <w:pPr>
              <w:keepLines/>
              <w:rPr>
                <w:rFonts w:ascii="Arial Narrow" w:hAnsi="Arial Narrow"/>
                <w:b/>
                <w:sz w:val="20"/>
                <w:szCs w:val="20"/>
              </w:rPr>
            </w:pPr>
            <w:r w:rsidRPr="00BD19A7">
              <w:rPr>
                <w:rFonts w:ascii="Arial Narrow" w:hAnsi="Arial Narrow"/>
                <w:b/>
                <w:sz w:val="20"/>
                <w:szCs w:val="20"/>
              </w:rPr>
              <w:t>Available brands</w:t>
            </w:r>
          </w:p>
        </w:tc>
      </w:tr>
      <w:tr w:rsidR="00736626" w:rsidRPr="00BD19A7" w14:paraId="40C7FDDF" w14:textId="77777777" w:rsidTr="00AF0513">
        <w:trPr>
          <w:cantSplit/>
          <w:trHeight w:val="20"/>
        </w:trPr>
        <w:tc>
          <w:tcPr>
            <w:tcW w:w="9017" w:type="dxa"/>
            <w:gridSpan w:val="7"/>
            <w:tcBorders>
              <w:top w:val="single" w:sz="4" w:space="0" w:color="auto"/>
              <w:left w:val="single" w:sz="4" w:space="0" w:color="auto"/>
              <w:bottom w:val="single" w:sz="4" w:space="0" w:color="auto"/>
              <w:right w:val="single" w:sz="4" w:space="0" w:color="auto"/>
            </w:tcBorders>
            <w:vAlign w:val="center"/>
            <w:hideMark/>
          </w:tcPr>
          <w:p w14:paraId="214DCD41" w14:textId="77777777" w:rsidR="00736626" w:rsidRPr="00BD19A7" w:rsidRDefault="00736626" w:rsidP="00000BB2">
            <w:pPr>
              <w:keepLines/>
              <w:rPr>
                <w:rFonts w:ascii="Arial Narrow" w:hAnsi="Arial Narrow"/>
                <w:sz w:val="20"/>
                <w:szCs w:val="20"/>
              </w:rPr>
            </w:pPr>
            <w:r w:rsidRPr="00BD19A7">
              <w:rPr>
                <w:rFonts w:ascii="Arial Narrow" w:hAnsi="Arial Narrow"/>
                <w:sz w:val="20"/>
                <w:szCs w:val="20"/>
              </w:rPr>
              <w:t>VEDOLIZUMAB</w:t>
            </w:r>
          </w:p>
        </w:tc>
      </w:tr>
      <w:tr w:rsidR="00736626" w:rsidRPr="00BD19A7" w14:paraId="7E3DCDFD" w14:textId="77777777" w:rsidTr="00AF0513">
        <w:trPr>
          <w:cantSplit/>
          <w:trHeight w:val="20"/>
        </w:trPr>
        <w:tc>
          <w:tcPr>
            <w:tcW w:w="3682" w:type="dxa"/>
            <w:gridSpan w:val="2"/>
            <w:tcBorders>
              <w:top w:val="single" w:sz="4" w:space="0" w:color="auto"/>
              <w:left w:val="single" w:sz="4" w:space="0" w:color="auto"/>
              <w:bottom w:val="single" w:sz="4" w:space="0" w:color="auto"/>
              <w:right w:val="single" w:sz="4" w:space="0" w:color="auto"/>
            </w:tcBorders>
            <w:vAlign w:val="center"/>
            <w:hideMark/>
          </w:tcPr>
          <w:p w14:paraId="536323E2" w14:textId="79E956A1" w:rsidR="00736626" w:rsidRPr="00BD19A7" w:rsidRDefault="00736626" w:rsidP="00000BB2">
            <w:pPr>
              <w:keepLines/>
              <w:rPr>
                <w:rFonts w:ascii="Arial Narrow" w:hAnsi="Arial Narrow"/>
                <w:sz w:val="20"/>
                <w:szCs w:val="20"/>
              </w:rPr>
            </w:pPr>
            <w:r w:rsidRPr="00BD19A7">
              <w:rPr>
                <w:rFonts w:ascii="Arial Narrow" w:hAnsi="Arial Narrow"/>
                <w:sz w:val="20"/>
                <w:szCs w:val="20"/>
              </w:rPr>
              <w:t>vedolizumab 108 mg/0.68 mL injection, 2 x 0.68</w:t>
            </w:r>
            <w:r w:rsidR="00AF0513">
              <w:rPr>
                <w:rFonts w:ascii="Arial Narrow" w:hAnsi="Arial Narrow"/>
                <w:sz w:val="20"/>
                <w:szCs w:val="20"/>
              </w:rPr>
              <w:t> </w:t>
            </w:r>
            <w:r w:rsidRPr="00BD19A7">
              <w:rPr>
                <w:rFonts w:ascii="Arial Narrow" w:hAnsi="Arial Narrow"/>
                <w:sz w:val="20"/>
                <w:szCs w:val="20"/>
              </w:rPr>
              <w:t>mL pen devices</w:t>
            </w:r>
          </w:p>
        </w:tc>
        <w:tc>
          <w:tcPr>
            <w:tcW w:w="1069" w:type="dxa"/>
            <w:tcBorders>
              <w:top w:val="single" w:sz="4" w:space="0" w:color="auto"/>
              <w:left w:val="single" w:sz="4" w:space="0" w:color="auto"/>
              <w:bottom w:val="single" w:sz="4" w:space="0" w:color="auto"/>
              <w:right w:val="single" w:sz="4" w:space="0" w:color="auto"/>
            </w:tcBorders>
            <w:vAlign w:val="center"/>
            <w:hideMark/>
          </w:tcPr>
          <w:p w14:paraId="1D648712"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12638E</w:t>
            </w:r>
          </w:p>
        </w:tc>
        <w:tc>
          <w:tcPr>
            <w:tcW w:w="914" w:type="dxa"/>
            <w:tcBorders>
              <w:top w:val="single" w:sz="4" w:space="0" w:color="auto"/>
              <w:left w:val="single" w:sz="4" w:space="0" w:color="auto"/>
              <w:bottom w:val="single" w:sz="4" w:space="0" w:color="auto"/>
              <w:right w:val="single" w:sz="4" w:space="0" w:color="auto"/>
            </w:tcBorders>
            <w:vAlign w:val="center"/>
            <w:hideMark/>
          </w:tcPr>
          <w:p w14:paraId="349E7B95"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F7C5E4"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6F8F99" w14:textId="77777777" w:rsidR="00736626" w:rsidRPr="00BD19A7" w:rsidRDefault="00736626" w:rsidP="00000BB2">
            <w:pPr>
              <w:keepLines/>
              <w:jc w:val="center"/>
              <w:rPr>
                <w:rFonts w:ascii="Arial Narrow" w:hAnsi="Arial Narrow"/>
                <w:sz w:val="20"/>
                <w:szCs w:val="20"/>
              </w:rPr>
            </w:pPr>
            <w:r w:rsidRPr="00BD19A7">
              <w:rPr>
                <w:rFonts w:ascii="Arial Narrow" w:hAnsi="Arial Narrow"/>
                <w:sz w:val="20"/>
                <w:szCs w:val="20"/>
              </w:rPr>
              <w:t>0</w:t>
            </w:r>
          </w:p>
        </w:tc>
        <w:tc>
          <w:tcPr>
            <w:tcW w:w="1651" w:type="dxa"/>
            <w:tcBorders>
              <w:top w:val="single" w:sz="4" w:space="0" w:color="auto"/>
              <w:left w:val="single" w:sz="4" w:space="0" w:color="auto"/>
              <w:bottom w:val="single" w:sz="4" w:space="0" w:color="auto"/>
              <w:right w:val="single" w:sz="4" w:space="0" w:color="auto"/>
            </w:tcBorders>
            <w:vAlign w:val="center"/>
            <w:hideMark/>
          </w:tcPr>
          <w:p w14:paraId="4CE4BD45" w14:textId="77777777" w:rsidR="00736626" w:rsidRPr="00BD19A7" w:rsidRDefault="00736626" w:rsidP="00000BB2">
            <w:pPr>
              <w:rPr>
                <w:rFonts w:ascii="Arial Narrow" w:hAnsi="Arial Narrow"/>
                <w:sz w:val="20"/>
                <w:szCs w:val="20"/>
              </w:rPr>
            </w:pPr>
          </w:p>
        </w:tc>
      </w:tr>
      <w:tr w:rsidR="00736626" w:rsidRPr="00BD19A7" w14:paraId="3CA1277D" w14:textId="77777777" w:rsidTr="00AF0513">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4145F85" w14:textId="77777777" w:rsidR="00736626" w:rsidRPr="00BD19A7" w:rsidRDefault="00736626" w:rsidP="00000BB2">
            <w:pPr>
              <w:rPr>
                <w:rFonts w:ascii="Arial Narrow" w:hAnsi="Arial Narrow"/>
                <w:sz w:val="20"/>
                <w:szCs w:val="20"/>
              </w:rPr>
            </w:pPr>
          </w:p>
        </w:tc>
      </w:tr>
      <w:tr w:rsidR="00736626" w:rsidRPr="00BD19A7" w14:paraId="6B2F4EB6" w14:textId="77777777" w:rsidTr="00AF0513">
        <w:trPr>
          <w:cantSplit/>
          <w:trHeight w:val="20"/>
        </w:trPr>
        <w:tc>
          <w:tcPr>
            <w:tcW w:w="127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D74CCC4" w14:textId="24AFC488" w:rsidR="00736626" w:rsidRPr="00BD19A7" w:rsidRDefault="00736626" w:rsidP="00000BB2">
            <w:pPr>
              <w:keepLines/>
              <w:jc w:val="center"/>
              <w:rPr>
                <w:rFonts w:ascii="Arial Narrow" w:hAnsi="Arial Narrow"/>
                <w:i/>
                <w:iCs/>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E03353" w14:textId="77777777" w:rsidR="00736626" w:rsidRPr="00BD19A7" w:rsidRDefault="00736626" w:rsidP="00000BB2">
            <w:pPr>
              <w:rPr>
                <w:rFonts w:ascii="Arial Narrow" w:hAnsi="Arial Narrow" w:cs="Open Sans"/>
                <w:b/>
                <w:bCs/>
                <w:i/>
                <w:iCs/>
                <w:sz w:val="20"/>
                <w:szCs w:val="20"/>
              </w:rPr>
            </w:pPr>
            <w:r w:rsidRPr="00BD19A7">
              <w:rPr>
                <w:rFonts w:ascii="Arial Narrow" w:hAnsi="Arial Narrow" w:cs="Open Sans"/>
                <w:b/>
                <w:bCs/>
                <w:i/>
                <w:iCs/>
                <w:sz w:val="20"/>
                <w:szCs w:val="20"/>
              </w:rPr>
              <w:t>Prescribing Instructions:</w:t>
            </w:r>
          </w:p>
          <w:p w14:paraId="381DD2DE" w14:textId="77777777" w:rsidR="00736626" w:rsidRPr="00BD19A7" w:rsidRDefault="00736626" w:rsidP="00000BB2">
            <w:pPr>
              <w:keepLines/>
              <w:rPr>
                <w:rFonts w:ascii="Arial Narrow" w:hAnsi="Arial Narrow"/>
                <w:b/>
                <w:bCs/>
                <w:strike/>
                <w:sz w:val="20"/>
                <w:szCs w:val="20"/>
              </w:rPr>
            </w:pPr>
            <w:r w:rsidRPr="00BD19A7">
              <w:rPr>
                <w:rFonts w:ascii="Arial Narrow" w:hAnsi="Arial Narrow" w:cs="Open Sans"/>
                <w:i/>
                <w:iCs/>
                <w:sz w:val="20"/>
                <w:szCs w:val="20"/>
              </w:rPr>
              <w:t>Where four initial doses of vedolizumab (at weeks 0, 2, 6 and 10) is administered via intravenous infusion, initial treatment with subcutaneous form will commence at week 14 (4 weeks after the fourth dose). A maximum quantity with no repeats should be requested to provide for weeks 14 and 16.</w:t>
            </w:r>
          </w:p>
        </w:tc>
      </w:tr>
    </w:tbl>
    <w:p w14:paraId="2A1F8C82" w14:textId="77777777" w:rsidR="00532635" w:rsidRPr="00BD19A7" w:rsidRDefault="00532635" w:rsidP="00532635">
      <w:pPr>
        <w:spacing w:before="120"/>
        <w:rPr>
          <w:rFonts w:asciiTheme="minorHAnsi" w:hAnsiTheme="minorHAnsi"/>
          <w:b/>
          <w:i/>
          <w:iCs/>
          <w:snapToGrid w:val="0"/>
        </w:rPr>
      </w:pPr>
      <w:r w:rsidRPr="00BD19A7">
        <w:rPr>
          <w:rFonts w:asciiTheme="minorHAnsi" w:hAnsiTheme="minorHAnsi"/>
          <w:b/>
          <w:i/>
          <w:iCs/>
          <w:snapToGrid w:val="0"/>
        </w:rPr>
        <w:t>These restrictions may be subject to further review. Should there be any changes made to</w:t>
      </w:r>
    </w:p>
    <w:p w14:paraId="526083B0" w14:textId="061359E5" w:rsidR="00170817" w:rsidRPr="00170817" w:rsidRDefault="00532635" w:rsidP="00C7524D">
      <w:pPr>
        <w:rPr>
          <w:rFonts w:eastAsiaTheme="minorEastAsia"/>
        </w:rPr>
      </w:pPr>
      <w:r w:rsidRPr="00BD19A7">
        <w:rPr>
          <w:rFonts w:asciiTheme="minorHAnsi" w:hAnsiTheme="minorHAnsi"/>
          <w:b/>
          <w:i/>
          <w:iCs/>
          <w:snapToGrid w:val="0"/>
        </w:rPr>
        <w:t>the restriction the sponsor will be informed.</w:t>
      </w:r>
    </w:p>
    <w:p w14:paraId="5BA8D74B" w14:textId="77777777" w:rsidR="00170817" w:rsidRPr="00170817" w:rsidRDefault="00170817" w:rsidP="00170817">
      <w:pPr>
        <w:keepNext/>
        <w:numPr>
          <w:ilvl w:val="0"/>
          <w:numId w:val="1"/>
        </w:numPr>
        <w:spacing w:before="240" w:after="120"/>
        <w:jc w:val="left"/>
        <w:outlineLvl w:val="0"/>
        <w:rPr>
          <w:rFonts w:asciiTheme="minorHAnsi" w:eastAsiaTheme="minorEastAsia" w:hAnsiTheme="minorHAnsi"/>
          <w:b/>
          <w:snapToGrid w:val="0"/>
          <w:sz w:val="32"/>
          <w:szCs w:val="32"/>
        </w:rPr>
      </w:pPr>
      <w:r w:rsidRPr="00170817">
        <w:rPr>
          <w:rFonts w:asciiTheme="minorHAnsi" w:eastAsiaTheme="minorEastAsia" w:hAnsiTheme="minorHAnsi"/>
          <w:b/>
          <w:snapToGrid w:val="0"/>
          <w:sz w:val="32"/>
          <w:szCs w:val="32"/>
        </w:rPr>
        <w:t>Context for Decision</w:t>
      </w:r>
    </w:p>
    <w:p w14:paraId="775848B6" w14:textId="77777777" w:rsidR="00170817" w:rsidRPr="00170817" w:rsidRDefault="00170817" w:rsidP="00170817">
      <w:pPr>
        <w:spacing w:after="120"/>
        <w:ind w:left="720"/>
        <w:rPr>
          <w:rFonts w:asciiTheme="minorHAnsi" w:eastAsiaTheme="minorEastAsia" w:hAnsiTheme="minorHAnsi"/>
          <w:bCs/>
          <w:lang w:val="en-GB"/>
        </w:rPr>
      </w:pPr>
      <w:r w:rsidRPr="00170817">
        <w:rPr>
          <w:rFonts w:asciiTheme="minorHAnsi" w:eastAsiaTheme="minorEastAsia" w:hAnsiTheme="minorHAnsi"/>
          <w:snapToGrid w:val="0"/>
        </w:rPr>
        <w:t>The PBAC helps</w:t>
      </w:r>
      <w:r w:rsidRPr="00170817">
        <w:rPr>
          <w:rFonts w:asciiTheme="minorHAnsi" w:eastAsiaTheme="minorEastAsia"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 </w:t>
      </w:r>
    </w:p>
    <w:p w14:paraId="10EA609C" w14:textId="77777777" w:rsidR="00170817" w:rsidRPr="00170817" w:rsidRDefault="00170817" w:rsidP="00170817">
      <w:pPr>
        <w:keepNext/>
        <w:numPr>
          <w:ilvl w:val="0"/>
          <w:numId w:val="1"/>
        </w:numPr>
        <w:spacing w:before="240" w:after="120"/>
        <w:jc w:val="left"/>
        <w:outlineLvl w:val="0"/>
        <w:rPr>
          <w:rFonts w:asciiTheme="minorHAnsi" w:eastAsiaTheme="minorEastAsia" w:hAnsiTheme="minorHAnsi"/>
          <w:b/>
          <w:snapToGrid w:val="0"/>
          <w:sz w:val="32"/>
          <w:szCs w:val="32"/>
        </w:rPr>
      </w:pPr>
      <w:r w:rsidRPr="00170817">
        <w:rPr>
          <w:rFonts w:asciiTheme="minorHAnsi" w:eastAsiaTheme="minorEastAsia" w:hAnsiTheme="minorHAnsi"/>
          <w:b/>
          <w:snapToGrid w:val="0"/>
          <w:sz w:val="32"/>
          <w:szCs w:val="32"/>
        </w:rPr>
        <w:t>Sponsor’s Comment</w:t>
      </w:r>
    </w:p>
    <w:p w14:paraId="2B6B310F" w14:textId="07AD5F85" w:rsidR="00170817" w:rsidRPr="00AF0513" w:rsidRDefault="00170817" w:rsidP="00AF0513">
      <w:pPr>
        <w:spacing w:after="120"/>
        <w:ind w:left="426" w:firstLine="294"/>
        <w:rPr>
          <w:rFonts w:asciiTheme="minorHAnsi" w:eastAsiaTheme="minorEastAsia" w:hAnsiTheme="minorHAnsi"/>
          <w:bCs/>
        </w:rPr>
      </w:pPr>
      <w:r w:rsidRPr="00170817">
        <w:rPr>
          <w:rFonts w:asciiTheme="minorHAnsi" w:eastAsiaTheme="minorEastAsia" w:hAnsiTheme="minorHAnsi"/>
          <w:bCs/>
        </w:rPr>
        <w:t>The sponsor had no comment.</w:t>
      </w:r>
      <w:bookmarkEnd w:id="62"/>
    </w:p>
    <w:sectPr w:rsidR="00170817" w:rsidRPr="00AF0513" w:rsidSect="00251006">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97F2" w14:textId="77777777" w:rsidR="007E5589" w:rsidRDefault="007E5589" w:rsidP="00124A51">
      <w:r>
        <w:separator/>
      </w:r>
    </w:p>
    <w:p w14:paraId="187D0D37" w14:textId="77777777" w:rsidR="007E5589" w:rsidRDefault="007E5589"/>
  </w:endnote>
  <w:endnote w:type="continuationSeparator" w:id="0">
    <w:p w14:paraId="4D22BDDB" w14:textId="77777777" w:rsidR="007E5589" w:rsidRDefault="007E5589" w:rsidP="00124A51">
      <w:r>
        <w:continuationSeparator/>
      </w:r>
    </w:p>
    <w:p w14:paraId="48DA6329" w14:textId="77777777" w:rsidR="007E5589" w:rsidRDefault="007E5589"/>
  </w:endnote>
  <w:endnote w:type="continuationNotice" w:id="1">
    <w:p w14:paraId="0BD99B6D" w14:textId="77777777" w:rsidR="007E5589" w:rsidRDefault="007E5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07A2" w14:textId="77777777" w:rsidR="00206A14" w:rsidRDefault="0020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462E99A7" w14:textId="37C9B9F7" w:rsidR="00E738CE" w:rsidRDefault="007B0FCD" w:rsidP="007A4873">
    <w:pPr>
      <w:pStyle w:val="Footer"/>
      <w:jc w:val="center"/>
    </w:pPr>
    <w:sdt>
      <w:sdtPr>
        <w:rPr>
          <w:b/>
          <w:bCs/>
        </w:rPr>
        <w:id w:val="1036156457"/>
        <w:docPartObj>
          <w:docPartGallery w:val="Page Numbers (Bottom of Page)"/>
          <w:docPartUnique/>
        </w:docPartObj>
      </w:sdtPr>
      <w:sdtEndPr>
        <w:rPr>
          <w:noProof/>
        </w:rPr>
      </w:sdtEndPr>
      <w:sdtContent>
        <w:r w:rsidR="00D843F2" w:rsidRPr="002D332D">
          <w:rPr>
            <w:b/>
            <w:bCs/>
          </w:rPr>
          <w:fldChar w:fldCharType="begin"/>
        </w:r>
        <w:r w:rsidR="00D843F2" w:rsidRPr="002D332D">
          <w:rPr>
            <w:b/>
            <w:bCs/>
          </w:rPr>
          <w:instrText xml:space="preserve"> PAGE   \* MERGEFORMAT </w:instrText>
        </w:r>
        <w:r w:rsidR="00D843F2" w:rsidRPr="002D332D">
          <w:rPr>
            <w:b/>
            <w:bCs/>
          </w:rPr>
          <w:fldChar w:fldCharType="separate"/>
        </w:r>
        <w:r w:rsidR="00D843F2" w:rsidRPr="002D332D">
          <w:rPr>
            <w:b/>
            <w:bCs/>
            <w:noProof/>
          </w:rPr>
          <w:t>2</w:t>
        </w:r>
        <w:r w:rsidR="00D843F2" w:rsidRPr="002D332D">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7BE5E" w14:textId="77777777" w:rsidR="00206A14" w:rsidRDefault="0020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06793" w14:textId="77777777" w:rsidR="007E5589" w:rsidRDefault="007E5589" w:rsidP="00124A51">
      <w:r>
        <w:separator/>
      </w:r>
    </w:p>
    <w:p w14:paraId="48D24127" w14:textId="77777777" w:rsidR="007E5589" w:rsidRDefault="007E5589"/>
  </w:footnote>
  <w:footnote w:type="continuationSeparator" w:id="0">
    <w:p w14:paraId="1CC8F7BD" w14:textId="77777777" w:rsidR="007E5589" w:rsidRDefault="007E5589" w:rsidP="00124A51">
      <w:r>
        <w:continuationSeparator/>
      </w:r>
    </w:p>
    <w:p w14:paraId="64D4CACD" w14:textId="77777777" w:rsidR="007E5589" w:rsidRDefault="007E5589"/>
  </w:footnote>
  <w:footnote w:type="continuationNotice" w:id="1">
    <w:p w14:paraId="6D0F643F" w14:textId="77777777" w:rsidR="007E5589" w:rsidRDefault="007E5589"/>
  </w:footnote>
  <w:footnote w:id="2">
    <w:p w14:paraId="27058462" w14:textId="48032106" w:rsidR="002D39B7" w:rsidRDefault="002D39B7">
      <w:pPr>
        <w:pStyle w:val="FootnoteText"/>
      </w:pPr>
      <w:r>
        <w:rPr>
          <w:rStyle w:val="FootnoteReference"/>
        </w:rPr>
        <w:footnoteRef/>
      </w:r>
      <w:r>
        <w:t xml:space="preserve"> </w:t>
      </w:r>
      <w:r w:rsidRPr="002D39B7">
        <w:t xml:space="preserve">Crohns &amp; Colitis Australia </w:t>
      </w:r>
      <w:r>
        <w:t xml:space="preserve">(CCA); </w:t>
      </w:r>
      <w:r w:rsidRPr="002D39B7">
        <w:t>https://crohnsandcolitis.org.au/</w:t>
      </w:r>
      <w:r>
        <w:t>. 2023</w:t>
      </w:r>
    </w:p>
  </w:footnote>
  <w:footnote w:id="3">
    <w:p w14:paraId="0F86058E" w14:textId="576362EB" w:rsidR="001C3E41" w:rsidRDefault="001C3E41" w:rsidP="001C3E41">
      <w:pPr>
        <w:pStyle w:val="FootnoteText"/>
      </w:pPr>
      <w:r>
        <w:rPr>
          <w:rStyle w:val="FootnoteReference"/>
        </w:rPr>
        <w:footnoteRef/>
      </w:r>
      <w:r>
        <w:t xml:space="preserve"> Barr</w:t>
      </w:r>
      <w:r w:rsidRPr="001C3E41">
        <w:t>é</w:t>
      </w:r>
      <w:r>
        <w:t xml:space="preserve"> A, Colombel J-F, Ungaro R. Review article: predictors of response to vedolizumab and ustekinumab in inflammatory bowel disease. Aliment Pharmacol Ther. 2018;47:896–905. https://doi.org/10.1111/apt.14550</w:t>
      </w:r>
    </w:p>
  </w:footnote>
  <w:footnote w:id="4">
    <w:p w14:paraId="6FC5029F" w14:textId="47385559" w:rsidR="001C3E41" w:rsidRDefault="001C3E41">
      <w:pPr>
        <w:pStyle w:val="FootnoteText"/>
      </w:pPr>
      <w:r>
        <w:rPr>
          <w:rStyle w:val="FootnoteReference"/>
        </w:rPr>
        <w:footnoteRef/>
      </w:r>
      <w:r>
        <w:t xml:space="preserve"> </w:t>
      </w:r>
      <w:r w:rsidRPr="001C3E41">
        <w:t>Williet N, Boschetti G, Fovet M, Di Bernado T, Claudez P, Del Tedesco E, Jarlot C, Rinaldi L, Berger A, Phelip JM, Flourie B, Nancey S, Paul S, Roblin X. Association Between Low Trough Levels of Vedolizumab During Induction Therapy for Inflammatory Bowel Diseases and Need for Additional Doses Within 6 Months. Clin Gastroenterol Hepatol. 2017 Nov;15(11):1750-1757.e3. doi: 10.1016/j.cgh.2016.11.023. Epub 2016 Nov 24. PMID: 27890854.</w:t>
      </w:r>
    </w:p>
  </w:footnote>
  <w:footnote w:id="5">
    <w:p w14:paraId="17BA6A31" w14:textId="11D05557" w:rsidR="001C3E41" w:rsidRDefault="001C3E41">
      <w:pPr>
        <w:pStyle w:val="FootnoteText"/>
      </w:pPr>
      <w:r>
        <w:rPr>
          <w:rStyle w:val="FootnoteReference"/>
        </w:rPr>
        <w:footnoteRef/>
      </w:r>
      <w:r>
        <w:t xml:space="preserve"> </w:t>
      </w:r>
      <w:r w:rsidRPr="001C3E41">
        <w:t>Watanabe K, Motoya S, Ogata H, Kanai T, Matsui T, Suzuki Y, Shikamura M, Sugiura K, Oda K, Hori T, Araki T, Watanabe M, Hibi T. Effects of vedolizumab in Japanese patients with Crohn's disease: a prospective, multicenter, randomized, placebo-controlled Phase 3 trial with exploratory analyses. J Gastroenterol. 2020 Mar;55(3):291-306. doi: 10.1007/s00535-019-01647-w. Epub 2019 Dec 13. PMID: 31836930; PMCID: PMC7026209.</w:t>
      </w:r>
    </w:p>
  </w:footnote>
  <w:footnote w:id="6">
    <w:p w14:paraId="2BF583E8" w14:textId="1DB1EA38" w:rsidR="001C3E41" w:rsidRDefault="001C3E41">
      <w:pPr>
        <w:pStyle w:val="FootnoteText"/>
      </w:pPr>
      <w:r>
        <w:rPr>
          <w:rStyle w:val="FootnoteReference"/>
        </w:rPr>
        <w:footnoteRef/>
      </w:r>
      <w:r>
        <w:t xml:space="preserve"> </w:t>
      </w:r>
      <w:r w:rsidRPr="001C3E41">
        <w:t>Feagan BG, Greenberg GR, Wild G, Fedorak RN, Paré P, McDonald JW, Cohen A, Bitton A, Baker J, Dubé R, Landau SB, Vandervoort MK, Parikh A. Treatment of active Crohn's disease with MLN0002, a humanized antibody to the alpha4beta7 integrin. Clin Gastroenterol Hepatol. 2008 Dec;6(12):1370-7. doi: 10.1016/j.cgh.2008.06.007. Epub 2008 Oct 1. Erratum in: Clin Gastroenterol Hepatol. 2009 Apr;7(4):494. PMID: 18829392.</w:t>
      </w:r>
    </w:p>
  </w:footnote>
  <w:footnote w:id="7">
    <w:p w14:paraId="39E0E818" w14:textId="1867EF90" w:rsidR="001C3E41" w:rsidRDefault="001C3E41">
      <w:pPr>
        <w:pStyle w:val="FootnoteText"/>
      </w:pPr>
      <w:r>
        <w:rPr>
          <w:rStyle w:val="FootnoteReference"/>
        </w:rPr>
        <w:footnoteRef/>
      </w:r>
      <w:r>
        <w:t xml:space="preserve"> </w:t>
      </w:r>
      <w:r w:rsidRPr="001C3E41">
        <w:t>Hui S, Sinopoulou V, Gordon M, Aali G, Krishna A, Ding NS, Boyapati RK. Vedolizumab for induction and maintenance of remission in Crohn's disease. Cochrane Database of Systematic Reviews 2023, Issue 7. Art. No.: CD013611. DOI: 10.1002/14651858.CD013611.pub2. Accessed 16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59C5" w14:textId="77777777" w:rsidR="00206A14" w:rsidRDefault="0020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450899DD" w:rsidR="00D843F2" w:rsidRPr="007B0FCD" w:rsidRDefault="003D30E5" w:rsidP="00D822E2">
    <w:pPr>
      <w:pStyle w:val="Header"/>
      <w:rPr>
        <w:rFonts w:asciiTheme="minorHAnsi" w:hAnsiTheme="minorHAnsi"/>
        <w:i/>
      </w:rPr>
    </w:pPr>
    <w:r w:rsidRPr="007B0FCD">
      <w:rPr>
        <w:rFonts w:asciiTheme="minorHAnsi" w:hAnsiTheme="minorHAnsi"/>
        <w:i/>
      </w:rPr>
      <w:t xml:space="preserve">Public Summary Document </w:t>
    </w:r>
    <w:r w:rsidR="00ED5B02" w:rsidRPr="007B0FCD">
      <w:rPr>
        <w:rFonts w:asciiTheme="minorHAnsi" w:hAnsiTheme="minorHAnsi"/>
        <w:i/>
      </w:rPr>
      <w:t>–</w:t>
    </w:r>
    <w:r w:rsidR="000C0C18" w:rsidRPr="007B0FCD">
      <w:rPr>
        <w:rFonts w:asciiTheme="minorHAnsi" w:hAnsiTheme="minorHAnsi"/>
        <w:i/>
      </w:rPr>
      <w:t xml:space="preserve"> </w:t>
    </w:r>
    <w:r w:rsidR="005F3900" w:rsidRPr="007B0FCD">
      <w:rPr>
        <w:rFonts w:asciiTheme="minorHAnsi" w:hAnsiTheme="minorHAnsi"/>
        <w:i/>
      </w:rPr>
      <w:t>March</w:t>
    </w:r>
    <w:r w:rsidR="00ED5B02" w:rsidRPr="007B0FCD">
      <w:rPr>
        <w:rFonts w:asciiTheme="minorHAnsi" w:hAnsiTheme="minorHAnsi"/>
        <w:i/>
      </w:rPr>
      <w:t xml:space="preserve"> </w:t>
    </w:r>
    <w:r w:rsidR="005F3900" w:rsidRPr="007B0FCD">
      <w:rPr>
        <w:rFonts w:asciiTheme="minorHAnsi" w:hAnsiTheme="minorHAnsi"/>
        <w:i/>
      </w:rPr>
      <w:t>2024</w:t>
    </w:r>
    <w:r w:rsidR="00D843F2" w:rsidRPr="007B0FCD">
      <w:rPr>
        <w:rFonts w:asciiTheme="minorHAnsi" w:hAnsiTheme="minorHAnsi"/>
        <w:i/>
      </w:rPr>
      <w:t xml:space="preserve"> PBAC Meeting</w:t>
    </w:r>
  </w:p>
  <w:p w14:paraId="3EE31F37" w14:textId="77777777" w:rsidR="00E738CE" w:rsidRDefault="00E738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C9CC" w14:textId="77777777" w:rsidR="00206A14" w:rsidRDefault="00206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710FE"/>
    <w:multiLevelType w:val="hybridMultilevel"/>
    <w:tmpl w:val="38FEDA56"/>
    <w:lvl w:ilvl="0" w:tplc="C6F659A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42195B"/>
    <w:multiLevelType w:val="hybridMultilevel"/>
    <w:tmpl w:val="78E4559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3B6274A"/>
    <w:multiLevelType w:val="hybridMultilevel"/>
    <w:tmpl w:val="D0D2A8E0"/>
    <w:lvl w:ilvl="0" w:tplc="22FCA3AA">
      <w:start w:val="1"/>
      <w:numFmt w:val="decimal"/>
      <w:lvlText w:val="%1."/>
      <w:lvlJc w:val="left"/>
      <w:pPr>
        <w:ind w:left="1778" w:hanging="360"/>
      </w:pPr>
      <w:rPr>
        <w:rFonts w:hint="default"/>
        <w:i w:val="0"/>
        <w:i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74B5E"/>
    <w:multiLevelType w:val="hybridMultilevel"/>
    <w:tmpl w:val="21087A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90C67"/>
    <w:multiLevelType w:val="hybridMultilevel"/>
    <w:tmpl w:val="F0464356"/>
    <w:lvl w:ilvl="0" w:tplc="C6F659A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67E34AED"/>
    <w:multiLevelType w:val="hybridMultilevel"/>
    <w:tmpl w:val="4DF067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CA5DAD"/>
    <w:multiLevelType w:val="multilevel"/>
    <w:tmpl w:val="E9CCBBAA"/>
    <w:styleLink w:val="PBAC"/>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none"/>
      <w:lvlText w:val="%1.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6186631">
    <w:abstractNumId w:val="18"/>
  </w:num>
  <w:num w:numId="2" w16cid:durableId="917793048">
    <w:abstractNumId w:val="9"/>
  </w:num>
  <w:num w:numId="3" w16cid:durableId="324548822">
    <w:abstractNumId w:val="10"/>
  </w:num>
  <w:num w:numId="4" w16cid:durableId="263461728">
    <w:abstractNumId w:val="0"/>
  </w:num>
  <w:num w:numId="5" w16cid:durableId="220360847">
    <w:abstractNumId w:val="14"/>
  </w:num>
  <w:num w:numId="6" w16cid:durableId="955984537">
    <w:abstractNumId w:val="15"/>
  </w:num>
  <w:num w:numId="7" w16cid:durableId="1883639868">
    <w:abstractNumId w:val="17"/>
  </w:num>
  <w:num w:numId="8" w16cid:durableId="416556918">
    <w:abstractNumId w:val="5"/>
  </w:num>
  <w:num w:numId="9" w16cid:durableId="537860694">
    <w:abstractNumId w:val="1"/>
  </w:num>
  <w:num w:numId="10" w16cid:durableId="147288844">
    <w:abstractNumId w:val="11"/>
  </w:num>
  <w:num w:numId="11" w16cid:durableId="1100368684">
    <w:abstractNumId w:val="2"/>
  </w:num>
  <w:num w:numId="12" w16cid:durableId="720327267">
    <w:abstractNumId w:val="12"/>
  </w:num>
  <w:num w:numId="13" w16cid:durableId="722607701">
    <w:abstractNumId w:val="3"/>
  </w:num>
  <w:num w:numId="14" w16cid:durableId="1238979818">
    <w:abstractNumId w:val="6"/>
  </w:num>
  <w:num w:numId="15" w16cid:durableId="1491680866">
    <w:abstractNumId w:val="7"/>
  </w:num>
  <w:num w:numId="16" w16cid:durableId="1751079814">
    <w:abstractNumId w:val="4"/>
  </w:num>
  <w:num w:numId="17" w16cid:durableId="129744317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11643">
    <w:abstractNumId w:val="16"/>
  </w:num>
  <w:num w:numId="19" w16cid:durableId="435372660">
    <w:abstractNumId w:val="8"/>
  </w:num>
  <w:num w:numId="20" w16cid:durableId="331835728">
    <w:abstractNumId w:val="18"/>
  </w:num>
  <w:num w:numId="21" w16cid:durableId="6568915">
    <w:abstractNumId w:val="18"/>
  </w:num>
  <w:num w:numId="22" w16cid:durableId="549074599">
    <w:abstractNumId w:val="18"/>
  </w:num>
  <w:num w:numId="23" w16cid:durableId="170268563">
    <w:abstractNumId w:val="18"/>
  </w:num>
  <w:num w:numId="24" w16cid:durableId="2133858738">
    <w:abstractNumId w:val="18"/>
  </w:num>
  <w:num w:numId="25" w16cid:durableId="1927037124">
    <w:abstractNumId w:val="10"/>
  </w:num>
  <w:num w:numId="26" w16cid:durableId="1406998791">
    <w:abstractNumId w:val="10"/>
  </w:num>
  <w:num w:numId="27" w16cid:durableId="1906604539">
    <w:abstractNumId w:val="10"/>
  </w:num>
  <w:num w:numId="28" w16cid:durableId="1487480551">
    <w:abstractNumId w:val="18"/>
  </w:num>
  <w:num w:numId="29" w16cid:durableId="650645792">
    <w:abstractNumId w:val="18"/>
  </w:num>
  <w:num w:numId="30" w16cid:durableId="96515978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5E99"/>
    <w:rsid w:val="0000639A"/>
    <w:rsid w:val="00013247"/>
    <w:rsid w:val="00013889"/>
    <w:rsid w:val="00015886"/>
    <w:rsid w:val="000162EF"/>
    <w:rsid w:val="00016CB4"/>
    <w:rsid w:val="000207C9"/>
    <w:rsid w:val="000210EF"/>
    <w:rsid w:val="0002225F"/>
    <w:rsid w:val="00023763"/>
    <w:rsid w:val="00024C30"/>
    <w:rsid w:val="00024EB5"/>
    <w:rsid w:val="000265D2"/>
    <w:rsid w:val="000274B8"/>
    <w:rsid w:val="00033863"/>
    <w:rsid w:val="00035DC0"/>
    <w:rsid w:val="00036829"/>
    <w:rsid w:val="000374EF"/>
    <w:rsid w:val="00040895"/>
    <w:rsid w:val="000410A0"/>
    <w:rsid w:val="00041ADD"/>
    <w:rsid w:val="000435EE"/>
    <w:rsid w:val="00043C37"/>
    <w:rsid w:val="00045017"/>
    <w:rsid w:val="00045878"/>
    <w:rsid w:val="00045A2B"/>
    <w:rsid w:val="0004698F"/>
    <w:rsid w:val="00046D64"/>
    <w:rsid w:val="000508C2"/>
    <w:rsid w:val="000535B4"/>
    <w:rsid w:val="000539D0"/>
    <w:rsid w:val="0005411F"/>
    <w:rsid w:val="00054621"/>
    <w:rsid w:val="000546D7"/>
    <w:rsid w:val="00054902"/>
    <w:rsid w:val="00054A8D"/>
    <w:rsid w:val="000564C2"/>
    <w:rsid w:val="00056ECF"/>
    <w:rsid w:val="000604DF"/>
    <w:rsid w:val="000608A4"/>
    <w:rsid w:val="00062324"/>
    <w:rsid w:val="00064F21"/>
    <w:rsid w:val="000653B5"/>
    <w:rsid w:val="00066360"/>
    <w:rsid w:val="00066AF8"/>
    <w:rsid w:val="00070F4F"/>
    <w:rsid w:val="00071248"/>
    <w:rsid w:val="000719EC"/>
    <w:rsid w:val="00071A32"/>
    <w:rsid w:val="000720B9"/>
    <w:rsid w:val="0007288C"/>
    <w:rsid w:val="000737F7"/>
    <w:rsid w:val="0007562C"/>
    <w:rsid w:val="000760BB"/>
    <w:rsid w:val="0007659F"/>
    <w:rsid w:val="0007672F"/>
    <w:rsid w:val="00076B54"/>
    <w:rsid w:val="000774F0"/>
    <w:rsid w:val="00077739"/>
    <w:rsid w:val="00080909"/>
    <w:rsid w:val="000812CA"/>
    <w:rsid w:val="00081E63"/>
    <w:rsid w:val="0008258D"/>
    <w:rsid w:val="00083E99"/>
    <w:rsid w:val="00084FA8"/>
    <w:rsid w:val="000856C5"/>
    <w:rsid w:val="00085C31"/>
    <w:rsid w:val="000902D9"/>
    <w:rsid w:val="00090C7E"/>
    <w:rsid w:val="000911AC"/>
    <w:rsid w:val="00092600"/>
    <w:rsid w:val="0009262B"/>
    <w:rsid w:val="00093310"/>
    <w:rsid w:val="00093D0E"/>
    <w:rsid w:val="0009445C"/>
    <w:rsid w:val="00095200"/>
    <w:rsid w:val="00095FE5"/>
    <w:rsid w:val="00096284"/>
    <w:rsid w:val="000A04E4"/>
    <w:rsid w:val="000A0EF7"/>
    <w:rsid w:val="000A1BC0"/>
    <w:rsid w:val="000A2A6F"/>
    <w:rsid w:val="000A2F9E"/>
    <w:rsid w:val="000A3E47"/>
    <w:rsid w:val="000A4354"/>
    <w:rsid w:val="000A522B"/>
    <w:rsid w:val="000A6039"/>
    <w:rsid w:val="000A7453"/>
    <w:rsid w:val="000A7D08"/>
    <w:rsid w:val="000B0121"/>
    <w:rsid w:val="000B0670"/>
    <w:rsid w:val="000B0E75"/>
    <w:rsid w:val="000B2AE0"/>
    <w:rsid w:val="000B2DCB"/>
    <w:rsid w:val="000B5CE0"/>
    <w:rsid w:val="000B6CAC"/>
    <w:rsid w:val="000B7612"/>
    <w:rsid w:val="000B78AE"/>
    <w:rsid w:val="000C0260"/>
    <w:rsid w:val="000C0C18"/>
    <w:rsid w:val="000C1700"/>
    <w:rsid w:val="000C3DF9"/>
    <w:rsid w:val="000C4CF2"/>
    <w:rsid w:val="000C6713"/>
    <w:rsid w:val="000D1BFC"/>
    <w:rsid w:val="000D1D5D"/>
    <w:rsid w:val="000D281A"/>
    <w:rsid w:val="000D2848"/>
    <w:rsid w:val="000D326A"/>
    <w:rsid w:val="000D4E7C"/>
    <w:rsid w:val="000D51FB"/>
    <w:rsid w:val="000E0640"/>
    <w:rsid w:val="000E135D"/>
    <w:rsid w:val="000E217C"/>
    <w:rsid w:val="000E3C13"/>
    <w:rsid w:val="000E3D8C"/>
    <w:rsid w:val="000E723E"/>
    <w:rsid w:val="000F00BA"/>
    <w:rsid w:val="000F18F0"/>
    <w:rsid w:val="000F316A"/>
    <w:rsid w:val="000F3C74"/>
    <w:rsid w:val="000F4BB8"/>
    <w:rsid w:val="000F4FA9"/>
    <w:rsid w:val="000F53FB"/>
    <w:rsid w:val="000F7127"/>
    <w:rsid w:val="000F7B54"/>
    <w:rsid w:val="001000B3"/>
    <w:rsid w:val="001002A3"/>
    <w:rsid w:val="00100F8A"/>
    <w:rsid w:val="0010452E"/>
    <w:rsid w:val="00105AE2"/>
    <w:rsid w:val="001060C6"/>
    <w:rsid w:val="00106B80"/>
    <w:rsid w:val="00107CE4"/>
    <w:rsid w:val="0011032E"/>
    <w:rsid w:val="0011348B"/>
    <w:rsid w:val="00115982"/>
    <w:rsid w:val="00116C53"/>
    <w:rsid w:val="00121799"/>
    <w:rsid w:val="001222FC"/>
    <w:rsid w:val="00123902"/>
    <w:rsid w:val="00124A51"/>
    <w:rsid w:val="001255F3"/>
    <w:rsid w:val="00126621"/>
    <w:rsid w:val="00126B1D"/>
    <w:rsid w:val="001301E9"/>
    <w:rsid w:val="00131D82"/>
    <w:rsid w:val="00132B22"/>
    <w:rsid w:val="001338CE"/>
    <w:rsid w:val="00133D36"/>
    <w:rsid w:val="00136BCC"/>
    <w:rsid w:val="00137645"/>
    <w:rsid w:val="0014015A"/>
    <w:rsid w:val="00140E99"/>
    <w:rsid w:val="0014210B"/>
    <w:rsid w:val="00143F67"/>
    <w:rsid w:val="00145234"/>
    <w:rsid w:val="001454C7"/>
    <w:rsid w:val="00145540"/>
    <w:rsid w:val="001456B0"/>
    <w:rsid w:val="00150E7F"/>
    <w:rsid w:val="001547AB"/>
    <w:rsid w:val="00154C12"/>
    <w:rsid w:val="00156F8F"/>
    <w:rsid w:val="0015710A"/>
    <w:rsid w:val="00157130"/>
    <w:rsid w:val="001576B1"/>
    <w:rsid w:val="0016047B"/>
    <w:rsid w:val="00160A4C"/>
    <w:rsid w:val="00162913"/>
    <w:rsid w:val="00162D82"/>
    <w:rsid w:val="00163EFF"/>
    <w:rsid w:val="00163F66"/>
    <w:rsid w:val="0016478E"/>
    <w:rsid w:val="00164877"/>
    <w:rsid w:val="00165EC4"/>
    <w:rsid w:val="001661FB"/>
    <w:rsid w:val="001671A0"/>
    <w:rsid w:val="0016767F"/>
    <w:rsid w:val="00167752"/>
    <w:rsid w:val="00167AE1"/>
    <w:rsid w:val="001701D1"/>
    <w:rsid w:val="00170817"/>
    <w:rsid w:val="001725E3"/>
    <w:rsid w:val="00173565"/>
    <w:rsid w:val="001737EF"/>
    <w:rsid w:val="00173B07"/>
    <w:rsid w:val="001751FA"/>
    <w:rsid w:val="00176F17"/>
    <w:rsid w:val="001771AE"/>
    <w:rsid w:val="00181C10"/>
    <w:rsid w:val="00181D9C"/>
    <w:rsid w:val="001837FF"/>
    <w:rsid w:val="00183A9F"/>
    <w:rsid w:val="00184B0E"/>
    <w:rsid w:val="0018752F"/>
    <w:rsid w:val="0019195B"/>
    <w:rsid w:val="00192015"/>
    <w:rsid w:val="001928DD"/>
    <w:rsid w:val="00193838"/>
    <w:rsid w:val="00193C72"/>
    <w:rsid w:val="00194AD8"/>
    <w:rsid w:val="00195222"/>
    <w:rsid w:val="00195452"/>
    <w:rsid w:val="00195840"/>
    <w:rsid w:val="00196EB9"/>
    <w:rsid w:val="001975D8"/>
    <w:rsid w:val="001A178E"/>
    <w:rsid w:val="001A43FA"/>
    <w:rsid w:val="001A47C5"/>
    <w:rsid w:val="001A59FB"/>
    <w:rsid w:val="001A5E9E"/>
    <w:rsid w:val="001A6354"/>
    <w:rsid w:val="001A6366"/>
    <w:rsid w:val="001A7AE8"/>
    <w:rsid w:val="001B204E"/>
    <w:rsid w:val="001B2372"/>
    <w:rsid w:val="001B3443"/>
    <w:rsid w:val="001B370C"/>
    <w:rsid w:val="001B4D20"/>
    <w:rsid w:val="001B7F84"/>
    <w:rsid w:val="001C15A7"/>
    <w:rsid w:val="001C2A9B"/>
    <w:rsid w:val="001C3DD6"/>
    <w:rsid w:val="001C3E41"/>
    <w:rsid w:val="001C4299"/>
    <w:rsid w:val="001C4874"/>
    <w:rsid w:val="001C5F94"/>
    <w:rsid w:val="001C6E66"/>
    <w:rsid w:val="001C7849"/>
    <w:rsid w:val="001D03A2"/>
    <w:rsid w:val="001D0599"/>
    <w:rsid w:val="001D1100"/>
    <w:rsid w:val="001D1391"/>
    <w:rsid w:val="001D25D7"/>
    <w:rsid w:val="001D50B2"/>
    <w:rsid w:val="001D5310"/>
    <w:rsid w:val="001D57C3"/>
    <w:rsid w:val="001D71F4"/>
    <w:rsid w:val="001D7645"/>
    <w:rsid w:val="001E1818"/>
    <w:rsid w:val="001E1DB4"/>
    <w:rsid w:val="001E1E86"/>
    <w:rsid w:val="001E238E"/>
    <w:rsid w:val="001E2483"/>
    <w:rsid w:val="001E2B1E"/>
    <w:rsid w:val="001E2CFF"/>
    <w:rsid w:val="001E2F24"/>
    <w:rsid w:val="001E30D4"/>
    <w:rsid w:val="001E34DF"/>
    <w:rsid w:val="001E52EB"/>
    <w:rsid w:val="001E61D2"/>
    <w:rsid w:val="001E740C"/>
    <w:rsid w:val="001F1235"/>
    <w:rsid w:val="001F1CB3"/>
    <w:rsid w:val="001F2D51"/>
    <w:rsid w:val="001F38B5"/>
    <w:rsid w:val="001F4081"/>
    <w:rsid w:val="001F512D"/>
    <w:rsid w:val="001F72A3"/>
    <w:rsid w:val="001F7361"/>
    <w:rsid w:val="001F78A3"/>
    <w:rsid w:val="001F7B09"/>
    <w:rsid w:val="002011B0"/>
    <w:rsid w:val="00203181"/>
    <w:rsid w:val="00203783"/>
    <w:rsid w:val="0020385F"/>
    <w:rsid w:val="0020466B"/>
    <w:rsid w:val="002068A0"/>
    <w:rsid w:val="00206A14"/>
    <w:rsid w:val="00207021"/>
    <w:rsid w:val="0020732F"/>
    <w:rsid w:val="00207D00"/>
    <w:rsid w:val="002105C1"/>
    <w:rsid w:val="002116FD"/>
    <w:rsid w:val="00212FC7"/>
    <w:rsid w:val="00213EF5"/>
    <w:rsid w:val="002158F5"/>
    <w:rsid w:val="00216BF5"/>
    <w:rsid w:val="00217611"/>
    <w:rsid w:val="00223B49"/>
    <w:rsid w:val="00223D5A"/>
    <w:rsid w:val="0022439C"/>
    <w:rsid w:val="00224DD4"/>
    <w:rsid w:val="00227171"/>
    <w:rsid w:val="002272DC"/>
    <w:rsid w:val="002278A0"/>
    <w:rsid w:val="002309CC"/>
    <w:rsid w:val="00231BA9"/>
    <w:rsid w:val="0023209F"/>
    <w:rsid w:val="00233AA2"/>
    <w:rsid w:val="00233C01"/>
    <w:rsid w:val="002340AA"/>
    <w:rsid w:val="0023413C"/>
    <w:rsid w:val="002346F0"/>
    <w:rsid w:val="0023629D"/>
    <w:rsid w:val="00237255"/>
    <w:rsid w:val="002424AF"/>
    <w:rsid w:val="002439DC"/>
    <w:rsid w:val="00243DA6"/>
    <w:rsid w:val="002441D2"/>
    <w:rsid w:val="00244DC8"/>
    <w:rsid w:val="002458BA"/>
    <w:rsid w:val="00245CE9"/>
    <w:rsid w:val="0024636C"/>
    <w:rsid w:val="002477F8"/>
    <w:rsid w:val="00247925"/>
    <w:rsid w:val="00251006"/>
    <w:rsid w:val="002516CA"/>
    <w:rsid w:val="00252226"/>
    <w:rsid w:val="002524D5"/>
    <w:rsid w:val="00253B1D"/>
    <w:rsid w:val="00254DCF"/>
    <w:rsid w:val="0025534B"/>
    <w:rsid w:val="00255BB7"/>
    <w:rsid w:val="00257541"/>
    <w:rsid w:val="00257A39"/>
    <w:rsid w:val="00257AC4"/>
    <w:rsid w:val="00257BBE"/>
    <w:rsid w:val="0026045C"/>
    <w:rsid w:val="00261EEF"/>
    <w:rsid w:val="00262A1A"/>
    <w:rsid w:val="00262A87"/>
    <w:rsid w:val="00264D26"/>
    <w:rsid w:val="00267642"/>
    <w:rsid w:val="00267AEA"/>
    <w:rsid w:val="00267D63"/>
    <w:rsid w:val="002700E6"/>
    <w:rsid w:val="00272285"/>
    <w:rsid w:val="0027294B"/>
    <w:rsid w:val="00273D42"/>
    <w:rsid w:val="00273EB4"/>
    <w:rsid w:val="00274682"/>
    <w:rsid w:val="00275158"/>
    <w:rsid w:val="00275160"/>
    <w:rsid w:val="002755C3"/>
    <w:rsid w:val="00275C5A"/>
    <w:rsid w:val="00281014"/>
    <w:rsid w:val="00283869"/>
    <w:rsid w:val="00285BCE"/>
    <w:rsid w:val="0028665D"/>
    <w:rsid w:val="00287108"/>
    <w:rsid w:val="00292E47"/>
    <w:rsid w:val="0029755B"/>
    <w:rsid w:val="002A1416"/>
    <w:rsid w:val="002A14AB"/>
    <w:rsid w:val="002A2ADE"/>
    <w:rsid w:val="002A2C03"/>
    <w:rsid w:val="002A2F50"/>
    <w:rsid w:val="002A3A7B"/>
    <w:rsid w:val="002A7943"/>
    <w:rsid w:val="002B05A1"/>
    <w:rsid w:val="002B09A4"/>
    <w:rsid w:val="002B12B8"/>
    <w:rsid w:val="002B1C1F"/>
    <w:rsid w:val="002B1E60"/>
    <w:rsid w:val="002B28A4"/>
    <w:rsid w:val="002B432F"/>
    <w:rsid w:val="002B5283"/>
    <w:rsid w:val="002B595B"/>
    <w:rsid w:val="002B62B3"/>
    <w:rsid w:val="002B6754"/>
    <w:rsid w:val="002B6CCE"/>
    <w:rsid w:val="002C2510"/>
    <w:rsid w:val="002C2775"/>
    <w:rsid w:val="002C27C1"/>
    <w:rsid w:val="002C36E3"/>
    <w:rsid w:val="002C5099"/>
    <w:rsid w:val="002C5889"/>
    <w:rsid w:val="002C5ACA"/>
    <w:rsid w:val="002C6079"/>
    <w:rsid w:val="002C71CE"/>
    <w:rsid w:val="002C7AC1"/>
    <w:rsid w:val="002D08F8"/>
    <w:rsid w:val="002D332D"/>
    <w:rsid w:val="002D39B7"/>
    <w:rsid w:val="002D577C"/>
    <w:rsid w:val="002D67F8"/>
    <w:rsid w:val="002D6BA5"/>
    <w:rsid w:val="002D7832"/>
    <w:rsid w:val="002E1071"/>
    <w:rsid w:val="002E15B9"/>
    <w:rsid w:val="002E1F17"/>
    <w:rsid w:val="002E1F7C"/>
    <w:rsid w:val="002E2158"/>
    <w:rsid w:val="002E4A55"/>
    <w:rsid w:val="002E4F02"/>
    <w:rsid w:val="002E7722"/>
    <w:rsid w:val="002F031A"/>
    <w:rsid w:val="002F07BA"/>
    <w:rsid w:val="002F0DA9"/>
    <w:rsid w:val="002F1014"/>
    <w:rsid w:val="002F1136"/>
    <w:rsid w:val="002F1B8A"/>
    <w:rsid w:val="002F1E3B"/>
    <w:rsid w:val="002F3144"/>
    <w:rsid w:val="002F4042"/>
    <w:rsid w:val="002F643C"/>
    <w:rsid w:val="002F71C0"/>
    <w:rsid w:val="002F74F1"/>
    <w:rsid w:val="00301017"/>
    <w:rsid w:val="0030155F"/>
    <w:rsid w:val="0030587B"/>
    <w:rsid w:val="003062B2"/>
    <w:rsid w:val="00306D98"/>
    <w:rsid w:val="0030786C"/>
    <w:rsid w:val="0031031A"/>
    <w:rsid w:val="00310981"/>
    <w:rsid w:val="00311D9B"/>
    <w:rsid w:val="003124D9"/>
    <w:rsid w:val="00312594"/>
    <w:rsid w:val="003133E2"/>
    <w:rsid w:val="00315498"/>
    <w:rsid w:val="00316474"/>
    <w:rsid w:val="003171ED"/>
    <w:rsid w:val="00320FE3"/>
    <w:rsid w:val="00322107"/>
    <w:rsid w:val="00322355"/>
    <w:rsid w:val="0032274A"/>
    <w:rsid w:val="00322846"/>
    <w:rsid w:val="00325A67"/>
    <w:rsid w:val="00326D5D"/>
    <w:rsid w:val="00326DA7"/>
    <w:rsid w:val="003270E4"/>
    <w:rsid w:val="00330DAA"/>
    <w:rsid w:val="00330F5C"/>
    <w:rsid w:val="003366C9"/>
    <w:rsid w:val="003371B0"/>
    <w:rsid w:val="00337D2A"/>
    <w:rsid w:val="00340DF1"/>
    <w:rsid w:val="003421F9"/>
    <w:rsid w:val="0034742A"/>
    <w:rsid w:val="003517F9"/>
    <w:rsid w:val="00351BA9"/>
    <w:rsid w:val="00353EF5"/>
    <w:rsid w:val="00354F64"/>
    <w:rsid w:val="0035620E"/>
    <w:rsid w:val="003575BE"/>
    <w:rsid w:val="00360345"/>
    <w:rsid w:val="0036152E"/>
    <w:rsid w:val="00361A05"/>
    <w:rsid w:val="003624C4"/>
    <w:rsid w:val="00363B00"/>
    <w:rsid w:val="003654AC"/>
    <w:rsid w:val="00367290"/>
    <w:rsid w:val="003710CF"/>
    <w:rsid w:val="0037358A"/>
    <w:rsid w:val="003750F6"/>
    <w:rsid w:val="003760FC"/>
    <w:rsid w:val="00376E1E"/>
    <w:rsid w:val="003811F2"/>
    <w:rsid w:val="0038365C"/>
    <w:rsid w:val="0038369B"/>
    <w:rsid w:val="00383B78"/>
    <w:rsid w:val="00385A9D"/>
    <w:rsid w:val="00387121"/>
    <w:rsid w:val="003902B1"/>
    <w:rsid w:val="0039179C"/>
    <w:rsid w:val="0039604D"/>
    <w:rsid w:val="00396896"/>
    <w:rsid w:val="00396FD0"/>
    <w:rsid w:val="00397E1C"/>
    <w:rsid w:val="00397F18"/>
    <w:rsid w:val="003A1A7A"/>
    <w:rsid w:val="003A2392"/>
    <w:rsid w:val="003A2831"/>
    <w:rsid w:val="003A3CB6"/>
    <w:rsid w:val="003A3ED1"/>
    <w:rsid w:val="003A44DB"/>
    <w:rsid w:val="003A4C14"/>
    <w:rsid w:val="003B347F"/>
    <w:rsid w:val="003B3971"/>
    <w:rsid w:val="003B3B4A"/>
    <w:rsid w:val="003B556F"/>
    <w:rsid w:val="003B55D1"/>
    <w:rsid w:val="003B5B61"/>
    <w:rsid w:val="003B6CCA"/>
    <w:rsid w:val="003B726C"/>
    <w:rsid w:val="003C1654"/>
    <w:rsid w:val="003C2D03"/>
    <w:rsid w:val="003C5542"/>
    <w:rsid w:val="003C56C7"/>
    <w:rsid w:val="003C7C15"/>
    <w:rsid w:val="003C7D19"/>
    <w:rsid w:val="003C7D2F"/>
    <w:rsid w:val="003D0C5A"/>
    <w:rsid w:val="003D1828"/>
    <w:rsid w:val="003D1DE4"/>
    <w:rsid w:val="003D1E9A"/>
    <w:rsid w:val="003D21EE"/>
    <w:rsid w:val="003D2422"/>
    <w:rsid w:val="003D30E5"/>
    <w:rsid w:val="003D39A1"/>
    <w:rsid w:val="003D3FBF"/>
    <w:rsid w:val="003D4456"/>
    <w:rsid w:val="003D4A30"/>
    <w:rsid w:val="003D6960"/>
    <w:rsid w:val="003D7452"/>
    <w:rsid w:val="003D79BB"/>
    <w:rsid w:val="003D7C98"/>
    <w:rsid w:val="003D7D9D"/>
    <w:rsid w:val="003E0543"/>
    <w:rsid w:val="003E25DC"/>
    <w:rsid w:val="003E2F50"/>
    <w:rsid w:val="003E5603"/>
    <w:rsid w:val="003E731B"/>
    <w:rsid w:val="003E749E"/>
    <w:rsid w:val="003F4156"/>
    <w:rsid w:val="003F5ADF"/>
    <w:rsid w:val="00400B29"/>
    <w:rsid w:val="00402812"/>
    <w:rsid w:val="004049CA"/>
    <w:rsid w:val="0040504B"/>
    <w:rsid w:val="004059F4"/>
    <w:rsid w:val="00407FE5"/>
    <w:rsid w:val="004101B0"/>
    <w:rsid w:val="00410326"/>
    <w:rsid w:val="00410708"/>
    <w:rsid w:val="00410EC7"/>
    <w:rsid w:val="00411B39"/>
    <w:rsid w:val="004127A7"/>
    <w:rsid w:val="00413A1E"/>
    <w:rsid w:val="00413D26"/>
    <w:rsid w:val="00414476"/>
    <w:rsid w:val="00414C09"/>
    <w:rsid w:val="00414C2E"/>
    <w:rsid w:val="004151CF"/>
    <w:rsid w:val="00416364"/>
    <w:rsid w:val="0042047F"/>
    <w:rsid w:val="00420AA6"/>
    <w:rsid w:val="00420B9F"/>
    <w:rsid w:val="0042192C"/>
    <w:rsid w:val="00422260"/>
    <w:rsid w:val="0042413F"/>
    <w:rsid w:val="004319F8"/>
    <w:rsid w:val="00431E55"/>
    <w:rsid w:val="004321F6"/>
    <w:rsid w:val="00433044"/>
    <w:rsid w:val="004332B1"/>
    <w:rsid w:val="00434088"/>
    <w:rsid w:val="0043452F"/>
    <w:rsid w:val="004375B9"/>
    <w:rsid w:val="004376BF"/>
    <w:rsid w:val="004407C0"/>
    <w:rsid w:val="0044183D"/>
    <w:rsid w:val="004428D0"/>
    <w:rsid w:val="00443D98"/>
    <w:rsid w:val="00444185"/>
    <w:rsid w:val="004443A7"/>
    <w:rsid w:val="0044442C"/>
    <w:rsid w:val="00445941"/>
    <w:rsid w:val="004464EB"/>
    <w:rsid w:val="00446C63"/>
    <w:rsid w:val="00447D26"/>
    <w:rsid w:val="00447DFC"/>
    <w:rsid w:val="00455D45"/>
    <w:rsid w:val="004624AC"/>
    <w:rsid w:val="00464595"/>
    <w:rsid w:val="004657F0"/>
    <w:rsid w:val="004658B5"/>
    <w:rsid w:val="00470DC3"/>
    <w:rsid w:val="00471EA5"/>
    <w:rsid w:val="00472A79"/>
    <w:rsid w:val="00473F19"/>
    <w:rsid w:val="00475E22"/>
    <w:rsid w:val="0048088E"/>
    <w:rsid w:val="00480F2B"/>
    <w:rsid w:val="0048190D"/>
    <w:rsid w:val="004820BB"/>
    <w:rsid w:val="00482720"/>
    <w:rsid w:val="004835E7"/>
    <w:rsid w:val="004859E1"/>
    <w:rsid w:val="004867E2"/>
    <w:rsid w:val="00490B17"/>
    <w:rsid w:val="00491AA3"/>
    <w:rsid w:val="00491B3A"/>
    <w:rsid w:val="00492CFD"/>
    <w:rsid w:val="0049387F"/>
    <w:rsid w:val="00494207"/>
    <w:rsid w:val="00494DD5"/>
    <w:rsid w:val="004962D2"/>
    <w:rsid w:val="004976A7"/>
    <w:rsid w:val="004A0DA1"/>
    <w:rsid w:val="004A13D6"/>
    <w:rsid w:val="004A35C6"/>
    <w:rsid w:val="004A457B"/>
    <w:rsid w:val="004A4C5B"/>
    <w:rsid w:val="004A52E9"/>
    <w:rsid w:val="004A594F"/>
    <w:rsid w:val="004A6040"/>
    <w:rsid w:val="004A6597"/>
    <w:rsid w:val="004A7848"/>
    <w:rsid w:val="004A793B"/>
    <w:rsid w:val="004B1CB4"/>
    <w:rsid w:val="004B2E87"/>
    <w:rsid w:val="004B2F18"/>
    <w:rsid w:val="004B3DDB"/>
    <w:rsid w:val="004B442E"/>
    <w:rsid w:val="004B44FD"/>
    <w:rsid w:val="004B5CFC"/>
    <w:rsid w:val="004B6F79"/>
    <w:rsid w:val="004B774D"/>
    <w:rsid w:val="004C297A"/>
    <w:rsid w:val="004C2AC2"/>
    <w:rsid w:val="004C42EB"/>
    <w:rsid w:val="004C4AED"/>
    <w:rsid w:val="004D2C2D"/>
    <w:rsid w:val="004D69B5"/>
    <w:rsid w:val="004D7227"/>
    <w:rsid w:val="004D7B5E"/>
    <w:rsid w:val="004E0E7F"/>
    <w:rsid w:val="004E0EB8"/>
    <w:rsid w:val="004E18E9"/>
    <w:rsid w:val="004E1E7F"/>
    <w:rsid w:val="004E2ADC"/>
    <w:rsid w:val="004E43B2"/>
    <w:rsid w:val="004E5C1B"/>
    <w:rsid w:val="004F1D02"/>
    <w:rsid w:val="004F2679"/>
    <w:rsid w:val="004F2F21"/>
    <w:rsid w:val="004F3DE5"/>
    <w:rsid w:val="004F670E"/>
    <w:rsid w:val="004F6913"/>
    <w:rsid w:val="004F7865"/>
    <w:rsid w:val="0050174E"/>
    <w:rsid w:val="00501854"/>
    <w:rsid w:val="0050219B"/>
    <w:rsid w:val="00503F17"/>
    <w:rsid w:val="00503F3A"/>
    <w:rsid w:val="00506928"/>
    <w:rsid w:val="005077EF"/>
    <w:rsid w:val="0051147C"/>
    <w:rsid w:val="005114B4"/>
    <w:rsid w:val="00511AD5"/>
    <w:rsid w:val="00511DC7"/>
    <w:rsid w:val="00513FCA"/>
    <w:rsid w:val="005142C5"/>
    <w:rsid w:val="0051501B"/>
    <w:rsid w:val="005152B5"/>
    <w:rsid w:val="00515886"/>
    <w:rsid w:val="00515F38"/>
    <w:rsid w:val="0052123C"/>
    <w:rsid w:val="00521319"/>
    <w:rsid w:val="00522BC8"/>
    <w:rsid w:val="00523C28"/>
    <w:rsid w:val="0053176B"/>
    <w:rsid w:val="00532635"/>
    <w:rsid w:val="005341B3"/>
    <w:rsid w:val="00536F42"/>
    <w:rsid w:val="00537182"/>
    <w:rsid w:val="00537EA2"/>
    <w:rsid w:val="00541EDD"/>
    <w:rsid w:val="00542743"/>
    <w:rsid w:val="00542C2D"/>
    <w:rsid w:val="0054488C"/>
    <w:rsid w:val="005478BD"/>
    <w:rsid w:val="005479E3"/>
    <w:rsid w:val="00547B4E"/>
    <w:rsid w:val="005518A5"/>
    <w:rsid w:val="00551985"/>
    <w:rsid w:val="00551C17"/>
    <w:rsid w:val="005522D8"/>
    <w:rsid w:val="00552A78"/>
    <w:rsid w:val="00552AE7"/>
    <w:rsid w:val="00552BD3"/>
    <w:rsid w:val="005532A0"/>
    <w:rsid w:val="0055385E"/>
    <w:rsid w:val="00555109"/>
    <w:rsid w:val="00556B35"/>
    <w:rsid w:val="0055741A"/>
    <w:rsid w:val="005611B7"/>
    <w:rsid w:val="005611F1"/>
    <w:rsid w:val="005618D4"/>
    <w:rsid w:val="00564867"/>
    <w:rsid w:val="00564F71"/>
    <w:rsid w:val="00565C79"/>
    <w:rsid w:val="00565DF0"/>
    <w:rsid w:val="0056696F"/>
    <w:rsid w:val="00570466"/>
    <w:rsid w:val="0057104C"/>
    <w:rsid w:val="00572162"/>
    <w:rsid w:val="00572269"/>
    <w:rsid w:val="0057244A"/>
    <w:rsid w:val="00572F26"/>
    <w:rsid w:val="005750B2"/>
    <w:rsid w:val="005750C5"/>
    <w:rsid w:val="005752DE"/>
    <w:rsid w:val="00575D60"/>
    <w:rsid w:val="00575D8D"/>
    <w:rsid w:val="00576972"/>
    <w:rsid w:val="00577248"/>
    <w:rsid w:val="00581A49"/>
    <w:rsid w:val="00583699"/>
    <w:rsid w:val="0058565C"/>
    <w:rsid w:val="00585CDD"/>
    <w:rsid w:val="00587019"/>
    <w:rsid w:val="00587058"/>
    <w:rsid w:val="00587463"/>
    <w:rsid w:val="0059070B"/>
    <w:rsid w:val="00591957"/>
    <w:rsid w:val="00591F9C"/>
    <w:rsid w:val="00596246"/>
    <w:rsid w:val="005979B5"/>
    <w:rsid w:val="00597BF9"/>
    <w:rsid w:val="005A0C11"/>
    <w:rsid w:val="005A1376"/>
    <w:rsid w:val="005A309A"/>
    <w:rsid w:val="005A373D"/>
    <w:rsid w:val="005A3C07"/>
    <w:rsid w:val="005A4A63"/>
    <w:rsid w:val="005B01E6"/>
    <w:rsid w:val="005B0B58"/>
    <w:rsid w:val="005B4E53"/>
    <w:rsid w:val="005B5857"/>
    <w:rsid w:val="005C19C4"/>
    <w:rsid w:val="005C1B83"/>
    <w:rsid w:val="005C25FF"/>
    <w:rsid w:val="005C2D55"/>
    <w:rsid w:val="005C346B"/>
    <w:rsid w:val="005C5ABC"/>
    <w:rsid w:val="005D044D"/>
    <w:rsid w:val="005D0ABD"/>
    <w:rsid w:val="005D18AD"/>
    <w:rsid w:val="005D26B4"/>
    <w:rsid w:val="005D284B"/>
    <w:rsid w:val="005D5D1B"/>
    <w:rsid w:val="005E1995"/>
    <w:rsid w:val="005E3EBA"/>
    <w:rsid w:val="005E4D03"/>
    <w:rsid w:val="005E6CBC"/>
    <w:rsid w:val="005E72FF"/>
    <w:rsid w:val="005E73C0"/>
    <w:rsid w:val="005F07ED"/>
    <w:rsid w:val="005F1441"/>
    <w:rsid w:val="005F2706"/>
    <w:rsid w:val="005F3900"/>
    <w:rsid w:val="005F69E5"/>
    <w:rsid w:val="005F6A8F"/>
    <w:rsid w:val="005F6BB7"/>
    <w:rsid w:val="005F7588"/>
    <w:rsid w:val="00600884"/>
    <w:rsid w:val="00600DC4"/>
    <w:rsid w:val="00603DB9"/>
    <w:rsid w:val="00606FBA"/>
    <w:rsid w:val="00607669"/>
    <w:rsid w:val="006076F4"/>
    <w:rsid w:val="00607AFD"/>
    <w:rsid w:val="00611B12"/>
    <w:rsid w:val="00612F97"/>
    <w:rsid w:val="0061345D"/>
    <w:rsid w:val="0061360F"/>
    <w:rsid w:val="00613DAF"/>
    <w:rsid w:val="0061549B"/>
    <w:rsid w:val="00616802"/>
    <w:rsid w:val="00617059"/>
    <w:rsid w:val="00617A3E"/>
    <w:rsid w:val="00617E12"/>
    <w:rsid w:val="00620C25"/>
    <w:rsid w:val="00621187"/>
    <w:rsid w:val="00621477"/>
    <w:rsid w:val="00621ADA"/>
    <w:rsid w:val="00623F7B"/>
    <w:rsid w:val="00624BD4"/>
    <w:rsid w:val="00625BA6"/>
    <w:rsid w:val="0063158F"/>
    <w:rsid w:val="00631D6B"/>
    <w:rsid w:val="00632183"/>
    <w:rsid w:val="006330A1"/>
    <w:rsid w:val="0063479F"/>
    <w:rsid w:val="00634F05"/>
    <w:rsid w:val="006353F0"/>
    <w:rsid w:val="006357B5"/>
    <w:rsid w:val="00635B44"/>
    <w:rsid w:val="006364A1"/>
    <w:rsid w:val="0063678E"/>
    <w:rsid w:val="00637AD8"/>
    <w:rsid w:val="00637BFD"/>
    <w:rsid w:val="00637C5C"/>
    <w:rsid w:val="00641C4E"/>
    <w:rsid w:val="00641FB3"/>
    <w:rsid w:val="0064434C"/>
    <w:rsid w:val="006471CC"/>
    <w:rsid w:val="006472FE"/>
    <w:rsid w:val="00647A29"/>
    <w:rsid w:val="0065079F"/>
    <w:rsid w:val="006521A0"/>
    <w:rsid w:val="00652A28"/>
    <w:rsid w:val="0065379F"/>
    <w:rsid w:val="00656188"/>
    <w:rsid w:val="0065715A"/>
    <w:rsid w:val="006610F1"/>
    <w:rsid w:val="006616A4"/>
    <w:rsid w:val="00661C6B"/>
    <w:rsid w:val="00662D3E"/>
    <w:rsid w:val="006656E4"/>
    <w:rsid w:val="00667BE3"/>
    <w:rsid w:val="00667DF8"/>
    <w:rsid w:val="00670439"/>
    <w:rsid w:val="00671004"/>
    <w:rsid w:val="00672646"/>
    <w:rsid w:val="006747E7"/>
    <w:rsid w:val="00674E42"/>
    <w:rsid w:val="00676563"/>
    <w:rsid w:val="006807E2"/>
    <w:rsid w:val="006813F8"/>
    <w:rsid w:val="00682112"/>
    <w:rsid w:val="00682BA6"/>
    <w:rsid w:val="00686957"/>
    <w:rsid w:val="006872BA"/>
    <w:rsid w:val="0068740E"/>
    <w:rsid w:val="00690795"/>
    <w:rsid w:val="00691648"/>
    <w:rsid w:val="006917D7"/>
    <w:rsid w:val="00691A12"/>
    <w:rsid w:val="00692F7F"/>
    <w:rsid w:val="00693264"/>
    <w:rsid w:val="0069434C"/>
    <w:rsid w:val="006947B6"/>
    <w:rsid w:val="00694F44"/>
    <w:rsid w:val="00695922"/>
    <w:rsid w:val="006966B3"/>
    <w:rsid w:val="00696EF9"/>
    <w:rsid w:val="00696F51"/>
    <w:rsid w:val="006979A5"/>
    <w:rsid w:val="006A016F"/>
    <w:rsid w:val="006A0DF7"/>
    <w:rsid w:val="006A4010"/>
    <w:rsid w:val="006A4321"/>
    <w:rsid w:val="006A43D9"/>
    <w:rsid w:val="006A6B99"/>
    <w:rsid w:val="006A7BEC"/>
    <w:rsid w:val="006A7E5F"/>
    <w:rsid w:val="006B261B"/>
    <w:rsid w:val="006B2C90"/>
    <w:rsid w:val="006B35E6"/>
    <w:rsid w:val="006B45ED"/>
    <w:rsid w:val="006B465A"/>
    <w:rsid w:val="006B5588"/>
    <w:rsid w:val="006B6DD0"/>
    <w:rsid w:val="006C0399"/>
    <w:rsid w:val="006C2530"/>
    <w:rsid w:val="006C2A8E"/>
    <w:rsid w:val="006C3255"/>
    <w:rsid w:val="006C3E70"/>
    <w:rsid w:val="006C3F26"/>
    <w:rsid w:val="006D0D17"/>
    <w:rsid w:val="006D12CF"/>
    <w:rsid w:val="006D3C7D"/>
    <w:rsid w:val="006D4659"/>
    <w:rsid w:val="006D5D5F"/>
    <w:rsid w:val="006D68FB"/>
    <w:rsid w:val="006D79B3"/>
    <w:rsid w:val="006E2868"/>
    <w:rsid w:val="006E3B3A"/>
    <w:rsid w:val="006E7C93"/>
    <w:rsid w:val="006E7F45"/>
    <w:rsid w:val="006F00CF"/>
    <w:rsid w:val="006F0B31"/>
    <w:rsid w:val="006F0BEA"/>
    <w:rsid w:val="006F1F9B"/>
    <w:rsid w:val="006F306C"/>
    <w:rsid w:val="006F4717"/>
    <w:rsid w:val="006F63A5"/>
    <w:rsid w:val="006F6A8C"/>
    <w:rsid w:val="0070142B"/>
    <w:rsid w:val="007017C4"/>
    <w:rsid w:val="0070276E"/>
    <w:rsid w:val="00702F8F"/>
    <w:rsid w:val="00703DA3"/>
    <w:rsid w:val="00704B34"/>
    <w:rsid w:val="007079FC"/>
    <w:rsid w:val="00707C5D"/>
    <w:rsid w:val="007100CE"/>
    <w:rsid w:val="00710360"/>
    <w:rsid w:val="00711A36"/>
    <w:rsid w:val="007125D3"/>
    <w:rsid w:val="00713741"/>
    <w:rsid w:val="00713977"/>
    <w:rsid w:val="00714C26"/>
    <w:rsid w:val="0071529C"/>
    <w:rsid w:val="00716435"/>
    <w:rsid w:val="00716441"/>
    <w:rsid w:val="007170DA"/>
    <w:rsid w:val="007172AD"/>
    <w:rsid w:val="00717546"/>
    <w:rsid w:val="00720801"/>
    <w:rsid w:val="00720E81"/>
    <w:rsid w:val="00721906"/>
    <w:rsid w:val="00722583"/>
    <w:rsid w:val="00722B1B"/>
    <w:rsid w:val="0072416F"/>
    <w:rsid w:val="00724A96"/>
    <w:rsid w:val="00724C51"/>
    <w:rsid w:val="00724F88"/>
    <w:rsid w:val="00727C94"/>
    <w:rsid w:val="00730E9A"/>
    <w:rsid w:val="00731B0A"/>
    <w:rsid w:val="00731EAE"/>
    <w:rsid w:val="00732FCE"/>
    <w:rsid w:val="00733073"/>
    <w:rsid w:val="007331CB"/>
    <w:rsid w:val="00735033"/>
    <w:rsid w:val="00735328"/>
    <w:rsid w:val="00736626"/>
    <w:rsid w:val="0073685B"/>
    <w:rsid w:val="00736F8D"/>
    <w:rsid w:val="00737558"/>
    <w:rsid w:val="007412BE"/>
    <w:rsid w:val="00742BA2"/>
    <w:rsid w:val="00742C8E"/>
    <w:rsid w:val="007449BF"/>
    <w:rsid w:val="007463FE"/>
    <w:rsid w:val="00746BC0"/>
    <w:rsid w:val="007510B4"/>
    <w:rsid w:val="00752142"/>
    <w:rsid w:val="007523F9"/>
    <w:rsid w:val="00752CD9"/>
    <w:rsid w:val="0075357E"/>
    <w:rsid w:val="00753B29"/>
    <w:rsid w:val="00755388"/>
    <w:rsid w:val="00756FFE"/>
    <w:rsid w:val="007573E8"/>
    <w:rsid w:val="00760537"/>
    <w:rsid w:val="00760C4E"/>
    <w:rsid w:val="00760F9E"/>
    <w:rsid w:val="007616E6"/>
    <w:rsid w:val="007627BE"/>
    <w:rsid w:val="00762D1C"/>
    <w:rsid w:val="0076383D"/>
    <w:rsid w:val="00764F03"/>
    <w:rsid w:val="00765B1A"/>
    <w:rsid w:val="00765DC1"/>
    <w:rsid w:val="00767303"/>
    <w:rsid w:val="007679F9"/>
    <w:rsid w:val="007739E2"/>
    <w:rsid w:val="007741F1"/>
    <w:rsid w:val="00774320"/>
    <w:rsid w:val="0077613E"/>
    <w:rsid w:val="00777335"/>
    <w:rsid w:val="00777ADA"/>
    <w:rsid w:val="007801C5"/>
    <w:rsid w:val="00780E93"/>
    <w:rsid w:val="007843F2"/>
    <w:rsid w:val="007846FA"/>
    <w:rsid w:val="007856E6"/>
    <w:rsid w:val="00785A9F"/>
    <w:rsid w:val="00791F3C"/>
    <w:rsid w:val="007925DF"/>
    <w:rsid w:val="007A03F3"/>
    <w:rsid w:val="007A08AA"/>
    <w:rsid w:val="007A0A12"/>
    <w:rsid w:val="007A132D"/>
    <w:rsid w:val="007A1345"/>
    <w:rsid w:val="007A2DDB"/>
    <w:rsid w:val="007A4873"/>
    <w:rsid w:val="007A5F7E"/>
    <w:rsid w:val="007A70BA"/>
    <w:rsid w:val="007B0D68"/>
    <w:rsid w:val="007B0FCD"/>
    <w:rsid w:val="007B251D"/>
    <w:rsid w:val="007B3533"/>
    <w:rsid w:val="007B4F58"/>
    <w:rsid w:val="007B528D"/>
    <w:rsid w:val="007B5ED8"/>
    <w:rsid w:val="007B63CA"/>
    <w:rsid w:val="007B77D1"/>
    <w:rsid w:val="007C00AE"/>
    <w:rsid w:val="007C07C7"/>
    <w:rsid w:val="007C1CD9"/>
    <w:rsid w:val="007C255C"/>
    <w:rsid w:val="007C32EF"/>
    <w:rsid w:val="007C361D"/>
    <w:rsid w:val="007C4B84"/>
    <w:rsid w:val="007C70FF"/>
    <w:rsid w:val="007C7C25"/>
    <w:rsid w:val="007D004F"/>
    <w:rsid w:val="007D035F"/>
    <w:rsid w:val="007D06B2"/>
    <w:rsid w:val="007D0B38"/>
    <w:rsid w:val="007D5440"/>
    <w:rsid w:val="007D69EB"/>
    <w:rsid w:val="007D7079"/>
    <w:rsid w:val="007E128F"/>
    <w:rsid w:val="007E28B9"/>
    <w:rsid w:val="007E5589"/>
    <w:rsid w:val="007F0C03"/>
    <w:rsid w:val="007F1017"/>
    <w:rsid w:val="007F4A3F"/>
    <w:rsid w:val="007F4A61"/>
    <w:rsid w:val="007F5255"/>
    <w:rsid w:val="007F56CC"/>
    <w:rsid w:val="007F61C2"/>
    <w:rsid w:val="00804270"/>
    <w:rsid w:val="00805142"/>
    <w:rsid w:val="00805FCE"/>
    <w:rsid w:val="00807A8B"/>
    <w:rsid w:val="00810FD4"/>
    <w:rsid w:val="00811383"/>
    <w:rsid w:val="00812149"/>
    <w:rsid w:val="00812CAC"/>
    <w:rsid w:val="00816361"/>
    <w:rsid w:val="00816580"/>
    <w:rsid w:val="008166EF"/>
    <w:rsid w:val="008169D2"/>
    <w:rsid w:val="00816FEF"/>
    <w:rsid w:val="00820A8C"/>
    <w:rsid w:val="008215FB"/>
    <w:rsid w:val="008220CC"/>
    <w:rsid w:val="00823174"/>
    <w:rsid w:val="00825751"/>
    <w:rsid w:val="008264EB"/>
    <w:rsid w:val="008268CE"/>
    <w:rsid w:val="00827C23"/>
    <w:rsid w:val="00827D4E"/>
    <w:rsid w:val="00830148"/>
    <w:rsid w:val="008310A5"/>
    <w:rsid w:val="00831329"/>
    <w:rsid w:val="00833B05"/>
    <w:rsid w:val="00834E0A"/>
    <w:rsid w:val="00836162"/>
    <w:rsid w:val="008362B4"/>
    <w:rsid w:val="00840034"/>
    <w:rsid w:val="00840336"/>
    <w:rsid w:val="00840CA2"/>
    <w:rsid w:val="008410F0"/>
    <w:rsid w:val="0084374F"/>
    <w:rsid w:val="00844A22"/>
    <w:rsid w:val="00847703"/>
    <w:rsid w:val="00847DF5"/>
    <w:rsid w:val="00851A44"/>
    <w:rsid w:val="0085309D"/>
    <w:rsid w:val="0085531C"/>
    <w:rsid w:val="00856897"/>
    <w:rsid w:val="00856E9A"/>
    <w:rsid w:val="008576E2"/>
    <w:rsid w:val="0086075D"/>
    <w:rsid w:val="00862502"/>
    <w:rsid w:val="00862CC1"/>
    <w:rsid w:val="008642A7"/>
    <w:rsid w:val="008660D4"/>
    <w:rsid w:val="00866A8C"/>
    <w:rsid w:val="00871FA9"/>
    <w:rsid w:val="008728E9"/>
    <w:rsid w:val="00882874"/>
    <w:rsid w:val="00882E3C"/>
    <w:rsid w:val="0088308A"/>
    <w:rsid w:val="00883787"/>
    <w:rsid w:val="008855E4"/>
    <w:rsid w:val="00886CD2"/>
    <w:rsid w:val="0089139C"/>
    <w:rsid w:val="00891E6F"/>
    <w:rsid w:val="0089275D"/>
    <w:rsid w:val="00892A36"/>
    <w:rsid w:val="00893239"/>
    <w:rsid w:val="00894489"/>
    <w:rsid w:val="00894CD6"/>
    <w:rsid w:val="008963A5"/>
    <w:rsid w:val="00896D5D"/>
    <w:rsid w:val="00897384"/>
    <w:rsid w:val="008A3158"/>
    <w:rsid w:val="008A3363"/>
    <w:rsid w:val="008A3371"/>
    <w:rsid w:val="008A3C3E"/>
    <w:rsid w:val="008A6E50"/>
    <w:rsid w:val="008A79DE"/>
    <w:rsid w:val="008B1757"/>
    <w:rsid w:val="008B1C33"/>
    <w:rsid w:val="008B1D70"/>
    <w:rsid w:val="008B2E2A"/>
    <w:rsid w:val="008B3883"/>
    <w:rsid w:val="008B4B6F"/>
    <w:rsid w:val="008B7992"/>
    <w:rsid w:val="008B7D7E"/>
    <w:rsid w:val="008C329A"/>
    <w:rsid w:val="008C5610"/>
    <w:rsid w:val="008C5739"/>
    <w:rsid w:val="008C7282"/>
    <w:rsid w:val="008C7ECB"/>
    <w:rsid w:val="008D0165"/>
    <w:rsid w:val="008D0B42"/>
    <w:rsid w:val="008D2158"/>
    <w:rsid w:val="008D3B86"/>
    <w:rsid w:val="008D43FD"/>
    <w:rsid w:val="008D4755"/>
    <w:rsid w:val="008D4C3D"/>
    <w:rsid w:val="008D743C"/>
    <w:rsid w:val="008E044C"/>
    <w:rsid w:val="008E0D3C"/>
    <w:rsid w:val="008E1B9E"/>
    <w:rsid w:val="008E2EA5"/>
    <w:rsid w:val="008E538D"/>
    <w:rsid w:val="008E55AB"/>
    <w:rsid w:val="008F07C5"/>
    <w:rsid w:val="008F120A"/>
    <w:rsid w:val="008F27E0"/>
    <w:rsid w:val="008F4349"/>
    <w:rsid w:val="008F48EB"/>
    <w:rsid w:val="008F4F0B"/>
    <w:rsid w:val="008F76D0"/>
    <w:rsid w:val="009003F3"/>
    <w:rsid w:val="00901D83"/>
    <w:rsid w:val="009032C8"/>
    <w:rsid w:val="009039AF"/>
    <w:rsid w:val="009046C4"/>
    <w:rsid w:val="009062A5"/>
    <w:rsid w:val="00906518"/>
    <w:rsid w:val="00906876"/>
    <w:rsid w:val="00907699"/>
    <w:rsid w:val="00910732"/>
    <w:rsid w:val="00910C35"/>
    <w:rsid w:val="00910FA7"/>
    <w:rsid w:val="00911272"/>
    <w:rsid w:val="00911339"/>
    <w:rsid w:val="009135D6"/>
    <w:rsid w:val="00914C77"/>
    <w:rsid w:val="00921ACB"/>
    <w:rsid w:val="0092369B"/>
    <w:rsid w:val="00924F15"/>
    <w:rsid w:val="00925BF5"/>
    <w:rsid w:val="00925E72"/>
    <w:rsid w:val="009332C4"/>
    <w:rsid w:val="00934057"/>
    <w:rsid w:val="0093424F"/>
    <w:rsid w:val="00934988"/>
    <w:rsid w:val="00937089"/>
    <w:rsid w:val="00944F8A"/>
    <w:rsid w:val="00946576"/>
    <w:rsid w:val="009510A2"/>
    <w:rsid w:val="00953257"/>
    <w:rsid w:val="0095474C"/>
    <w:rsid w:val="00957D92"/>
    <w:rsid w:val="00962CB9"/>
    <w:rsid w:val="00963826"/>
    <w:rsid w:val="00964312"/>
    <w:rsid w:val="00965B8A"/>
    <w:rsid w:val="0096623F"/>
    <w:rsid w:val="00966407"/>
    <w:rsid w:val="0097071F"/>
    <w:rsid w:val="009717AC"/>
    <w:rsid w:val="009732B6"/>
    <w:rsid w:val="00973599"/>
    <w:rsid w:val="009751C1"/>
    <w:rsid w:val="00977255"/>
    <w:rsid w:val="00980CB5"/>
    <w:rsid w:val="009811F1"/>
    <w:rsid w:val="00981C4E"/>
    <w:rsid w:val="0098262F"/>
    <w:rsid w:val="00983E57"/>
    <w:rsid w:val="00984056"/>
    <w:rsid w:val="0098574E"/>
    <w:rsid w:val="00985DE2"/>
    <w:rsid w:val="0098675D"/>
    <w:rsid w:val="00987BA4"/>
    <w:rsid w:val="009926E0"/>
    <w:rsid w:val="0099451E"/>
    <w:rsid w:val="009952B2"/>
    <w:rsid w:val="0099692D"/>
    <w:rsid w:val="00996B1A"/>
    <w:rsid w:val="00997018"/>
    <w:rsid w:val="009A0071"/>
    <w:rsid w:val="009A18F6"/>
    <w:rsid w:val="009A2DCC"/>
    <w:rsid w:val="009A4E10"/>
    <w:rsid w:val="009A5ABC"/>
    <w:rsid w:val="009A7F10"/>
    <w:rsid w:val="009B147B"/>
    <w:rsid w:val="009B3E26"/>
    <w:rsid w:val="009B3EB1"/>
    <w:rsid w:val="009C068A"/>
    <w:rsid w:val="009C1080"/>
    <w:rsid w:val="009C1271"/>
    <w:rsid w:val="009C2570"/>
    <w:rsid w:val="009C3167"/>
    <w:rsid w:val="009C3706"/>
    <w:rsid w:val="009C3A3A"/>
    <w:rsid w:val="009C53B3"/>
    <w:rsid w:val="009C69E0"/>
    <w:rsid w:val="009C6CEA"/>
    <w:rsid w:val="009C7B85"/>
    <w:rsid w:val="009D0254"/>
    <w:rsid w:val="009D04C1"/>
    <w:rsid w:val="009D1A64"/>
    <w:rsid w:val="009D5B91"/>
    <w:rsid w:val="009D63BF"/>
    <w:rsid w:val="009D792E"/>
    <w:rsid w:val="009E0DFE"/>
    <w:rsid w:val="009E31F6"/>
    <w:rsid w:val="009E4C07"/>
    <w:rsid w:val="009E777F"/>
    <w:rsid w:val="009F6120"/>
    <w:rsid w:val="009F6E1F"/>
    <w:rsid w:val="009F7F7C"/>
    <w:rsid w:val="00A008BF"/>
    <w:rsid w:val="00A00D76"/>
    <w:rsid w:val="00A01184"/>
    <w:rsid w:val="00A012F6"/>
    <w:rsid w:val="00A01449"/>
    <w:rsid w:val="00A0170F"/>
    <w:rsid w:val="00A025EB"/>
    <w:rsid w:val="00A037C2"/>
    <w:rsid w:val="00A03D43"/>
    <w:rsid w:val="00A04380"/>
    <w:rsid w:val="00A04786"/>
    <w:rsid w:val="00A05472"/>
    <w:rsid w:val="00A05C32"/>
    <w:rsid w:val="00A0653F"/>
    <w:rsid w:val="00A06E57"/>
    <w:rsid w:val="00A11CD0"/>
    <w:rsid w:val="00A13588"/>
    <w:rsid w:val="00A13948"/>
    <w:rsid w:val="00A1555B"/>
    <w:rsid w:val="00A155C5"/>
    <w:rsid w:val="00A16AD8"/>
    <w:rsid w:val="00A2021E"/>
    <w:rsid w:val="00A21C95"/>
    <w:rsid w:val="00A21CF3"/>
    <w:rsid w:val="00A24813"/>
    <w:rsid w:val="00A25635"/>
    <w:rsid w:val="00A27AEC"/>
    <w:rsid w:val="00A320DB"/>
    <w:rsid w:val="00A3520A"/>
    <w:rsid w:val="00A35D16"/>
    <w:rsid w:val="00A37ADA"/>
    <w:rsid w:val="00A37BCD"/>
    <w:rsid w:val="00A41689"/>
    <w:rsid w:val="00A42592"/>
    <w:rsid w:val="00A4275A"/>
    <w:rsid w:val="00A436C2"/>
    <w:rsid w:val="00A43ADC"/>
    <w:rsid w:val="00A43C59"/>
    <w:rsid w:val="00A450D1"/>
    <w:rsid w:val="00A50ECD"/>
    <w:rsid w:val="00A518F3"/>
    <w:rsid w:val="00A52729"/>
    <w:rsid w:val="00A52DDC"/>
    <w:rsid w:val="00A53675"/>
    <w:rsid w:val="00A544DC"/>
    <w:rsid w:val="00A564D7"/>
    <w:rsid w:val="00A56B6A"/>
    <w:rsid w:val="00A56DFE"/>
    <w:rsid w:val="00A57428"/>
    <w:rsid w:val="00A578DC"/>
    <w:rsid w:val="00A63E82"/>
    <w:rsid w:val="00A640E2"/>
    <w:rsid w:val="00A64D65"/>
    <w:rsid w:val="00A6725B"/>
    <w:rsid w:val="00A70605"/>
    <w:rsid w:val="00A73134"/>
    <w:rsid w:val="00A7365A"/>
    <w:rsid w:val="00A75D70"/>
    <w:rsid w:val="00A76001"/>
    <w:rsid w:val="00A770A7"/>
    <w:rsid w:val="00A777B2"/>
    <w:rsid w:val="00A81028"/>
    <w:rsid w:val="00A825CD"/>
    <w:rsid w:val="00A825D4"/>
    <w:rsid w:val="00A827C2"/>
    <w:rsid w:val="00A828F6"/>
    <w:rsid w:val="00A82B73"/>
    <w:rsid w:val="00A86E8B"/>
    <w:rsid w:val="00A87164"/>
    <w:rsid w:val="00A871A9"/>
    <w:rsid w:val="00A93072"/>
    <w:rsid w:val="00A935DB"/>
    <w:rsid w:val="00A938BD"/>
    <w:rsid w:val="00A93953"/>
    <w:rsid w:val="00A953B2"/>
    <w:rsid w:val="00A959D8"/>
    <w:rsid w:val="00AA113D"/>
    <w:rsid w:val="00AA6BD5"/>
    <w:rsid w:val="00AA6BD8"/>
    <w:rsid w:val="00AA6C7D"/>
    <w:rsid w:val="00AA7FD6"/>
    <w:rsid w:val="00AB042A"/>
    <w:rsid w:val="00AB11AD"/>
    <w:rsid w:val="00AB11E4"/>
    <w:rsid w:val="00AB19EF"/>
    <w:rsid w:val="00AB2495"/>
    <w:rsid w:val="00AB2D34"/>
    <w:rsid w:val="00AB3430"/>
    <w:rsid w:val="00AB37B9"/>
    <w:rsid w:val="00AB4AD1"/>
    <w:rsid w:val="00AB5E07"/>
    <w:rsid w:val="00AB7CFA"/>
    <w:rsid w:val="00AC08DE"/>
    <w:rsid w:val="00AC42BA"/>
    <w:rsid w:val="00AC45C0"/>
    <w:rsid w:val="00AC5B42"/>
    <w:rsid w:val="00AC5B48"/>
    <w:rsid w:val="00AD1450"/>
    <w:rsid w:val="00AD1477"/>
    <w:rsid w:val="00AD15E8"/>
    <w:rsid w:val="00AD356D"/>
    <w:rsid w:val="00AD6502"/>
    <w:rsid w:val="00AD789A"/>
    <w:rsid w:val="00AD7C83"/>
    <w:rsid w:val="00AE0695"/>
    <w:rsid w:val="00AE0FDF"/>
    <w:rsid w:val="00AE12E5"/>
    <w:rsid w:val="00AE3E7E"/>
    <w:rsid w:val="00AE5329"/>
    <w:rsid w:val="00AE600B"/>
    <w:rsid w:val="00AE7E53"/>
    <w:rsid w:val="00AF0513"/>
    <w:rsid w:val="00AF0C64"/>
    <w:rsid w:val="00AF1315"/>
    <w:rsid w:val="00AF19BF"/>
    <w:rsid w:val="00AF1DB6"/>
    <w:rsid w:val="00AF2DC3"/>
    <w:rsid w:val="00AF2FB6"/>
    <w:rsid w:val="00AF3295"/>
    <w:rsid w:val="00B02164"/>
    <w:rsid w:val="00B033E5"/>
    <w:rsid w:val="00B03A63"/>
    <w:rsid w:val="00B06E67"/>
    <w:rsid w:val="00B07FE4"/>
    <w:rsid w:val="00B10CBD"/>
    <w:rsid w:val="00B129A4"/>
    <w:rsid w:val="00B17D4D"/>
    <w:rsid w:val="00B201A4"/>
    <w:rsid w:val="00B201D1"/>
    <w:rsid w:val="00B202C2"/>
    <w:rsid w:val="00B213A6"/>
    <w:rsid w:val="00B235B0"/>
    <w:rsid w:val="00B24DF6"/>
    <w:rsid w:val="00B25CB8"/>
    <w:rsid w:val="00B27A61"/>
    <w:rsid w:val="00B34FE2"/>
    <w:rsid w:val="00B35166"/>
    <w:rsid w:val="00B357D8"/>
    <w:rsid w:val="00B360F4"/>
    <w:rsid w:val="00B36A00"/>
    <w:rsid w:val="00B3792B"/>
    <w:rsid w:val="00B37BFC"/>
    <w:rsid w:val="00B40358"/>
    <w:rsid w:val="00B41524"/>
    <w:rsid w:val="00B41614"/>
    <w:rsid w:val="00B42851"/>
    <w:rsid w:val="00B42F80"/>
    <w:rsid w:val="00B435CB"/>
    <w:rsid w:val="00B4374D"/>
    <w:rsid w:val="00B465EC"/>
    <w:rsid w:val="00B46B81"/>
    <w:rsid w:val="00B46CA5"/>
    <w:rsid w:val="00B505C8"/>
    <w:rsid w:val="00B50DB8"/>
    <w:rsid w:val="00B514BB"/>
    <w:rsid w:val="00B53654"/>
    <w:rsid w:val="00B53825"/>
    <w:rsid w:val="00B53905"/>
    <w:rsid w:val="00B546DB"/>
    <w:rsid w:val="00B54B5B"/>
    <w:rsid w:val="00B55551"/>
    <w:rsid w:val="00B5562E"/>
    <w:rsid w:val="00B55862"/>
    <w:rsid w:val="00B55D65"/>
    <w:rsid w:val="00B56305"/>
    <w:rsid w:val="00B57000"/>
    <w:rsid w:val="00B6010F"/>
    <w:rsid w:val="00B60939"/>
    <w:rsid w:val="00B60AFD"/>
    <w:rsid w:val="00B62715"/>
    <w:rsid w:val="00B62BE0"/>
    <w:rsid w:val="00B65611"/>
    <w:rsid w:val="00B677E9"/>
    <w:rsid w:val="00B7031C"/>
    <w:rsid w:val="00B706CE"/>
    <w:rsid w:val="00B70E8E"/>
    <w:rsid w:val="00B76C92"/>
    <w:rsid w:val="00B80EFD"/>
    <w:rsid w:val="00B818A4"/>
    <w:rsid w:val="00B8214A"/>
    <w:rsid w:val="00B8318E"/>
    <w:rsid w:val="00B83739"/>
    <w:rsid w:val="00B84117"/>
    <w:rsid w:val="00B858F0"/>
    <w:rsid w:val="00B85AA2"/>
    <w:rsid w:val="00B8649C"/>
    <w:rsid w:val="00B8695D"/>
    <w:rsid w:val="00B86E1C"/>
    <w:rsid w:val="00B87F0A"/>
    <w:rsid w:val="00B9002F"/>
    <w:rsid w:val="00B90714"/>
    <w:rsid w:val="00B92D0B"/>
    <w:rsid w:val="00B94945"/>
    <w:rsid w:val="00B94DD6"/>
    <w:rsid w:val="00BA12AE"/>
    <w:rsid w:val="00BA322D"/>
    <w:rsid w:val="00BA5C22"/>
    <w:rsid w:val="00BA63FA"/>
    <w:rsid w:val="00BA6451"/>
    <w:rsid w:val="00BB00B3"/>
    <w:rsid w:val="00BB0BDD"/>
    <w:rsid w:val="00BB0EF0"/>
    <w:rsid w:val="00BB176C"/>
    <w:rsid w:val="00BB18A0"/>
    <w:rsid w:val="00BB2A73"/>
    <w:rsid w:val="00BB3700"/>
    <w:rsid w:val="00BB3A45"/>
    <w:rsid w:val="00BB4ACC"/>
    <w:rsid w:val="00BB5B08"/>
    <w:rsid w:val="00BB61CC"/>
    <w:rsid w:val="00BB6D97"/>
    <w:rsid w:val="00BB703E"/>
    <w:rsid w:val="00BB732D"/>
    <w:rsid w:val="00BB7405"/>
    <w:rsid w:val="00BC0798"/>
    <w:rsid w:val="00BC19F9"/>
    <w:rsid w:val="00BC3631"/>
    <w:rsid w:val="00BC3FF1"/>
    <w:rsid w:val="00BC591F"/>
    <w:rsid w:val="00BC7D6D"/>
    <w:rsid w:val="00BD1949"/>
    <w:rsid w:val="00BD19A7"/>
    <w:rsid w:val="00BD2108"/>
    <w:rsid w:val="00BD2447"/>
    <w:rsid w:val="00BD57C6"/>
    <w:rsid w:val="00BD68A3"/>
    <w:rsid w:val="00BD6938"/>
    <w:rsid w:val="00BD6CF3"/>
    <w:rsid w:val="00BD7F72"/>
    <w:rsid w:val="00BE0ECA"/>
    <w:rsid w:val="00BE2141"/>
    <w:rsid w:val="00BE2180"/>
    <w:rsid w:val="00BE21F2"/>
    <w:rsid w:val="00BE4275"/>
    <w:rsid w:val="00BF06AE"/>
    <w:rsid w:val="00BF0D65"/>
    <w:rsid w:val="00BF0F95"/>
    <w:rsid w:val="00BF2433"/>
    <w:rsid w:val="00BF2E6E"/>
    <w:rsid w:val="00BF3763"/>
    <w:rsid w:val="00BF61C9"/>
    <w:rsid w:val="00BF6C94"/>
    <w:rsid w:val="00C00424"/>
    <w:rsid w:val="00C00BB0"/>
    <w:rsid w:val="00C016F4"/>
    <w:rsid w:val="00C10739"/>
    <w:rsid w:val="00C1179F"/>
    <w:rsid w:val="00C127B9"/>
    <w:rsid w:val="00C128FA"/>
    <w:rsid w:val="00C12C14"/>
    <w:rsid w:val="00C15F04"/>
    <w:rsid w:val="00C179B3"/>
    <w:rsid w:val="00C17E3F"/>
    <w:rsid w:val="00C200AA"/>
    <w:rsid w:val="00C207F5"/>
    <w:rsid w:val="00C21939"/>
    <w:rsid w:val="00C22680"/>
    <w:rsid w:val="00C237ED"/>
    <w:rsid w:val="00C24632"/>
    <w:rsid w:val="00C25418"/>
    <w:rsid w:val="00C25D9C"/>
    <w:rsid w:val="00C2778B"/>
    <w:rsid w:val="00C31649"/>
    <w:rsid w:val="00C3434C"/>
    <w:rsid w:val="00C36CF6"/>
    <w:rsid w:val="00C40385"/>
    <w:rsid w:val="00C41768"/>
    <w:rsid w:val="00C41C11"/>
    <w:rsid w:val="00C437A0"/>
    <w:rsid w:val="00C45C82"/>
    <w:rsid w:val="00C475AA"/>
    <w:rsid w:val="00C507DD"/>
    <w:rsid w:val="00C50A5C"/>
    <w:rsid w:val="00C513D6"/>
    <w:rsid w:val="00C527C7"/>
    <w:rsid w:val="00C53C98"/>
    <w:rsid w:val="00C54F63"/>
    <w:rsid w:val="00C56FCF"/>
    <w:rsid w:val="00C57B6C"/>
    <w:rsid w:val="00C61A59"/>
    <w:rsid w:val="00C621E4"/>
    <w:rsid w:val="00C628A6"/>
    <w:rsid w:val="00C64344"/>
    <w:rsid w:val="00C65108"/>
    <w:rsid w:val="00C65576"/>
    <w:rsid w:val="00C66165"/>
    <w:rsid w:val="00C66DC7"/>
    <w:rsid w:val="00C677B5"/>
    <w:rsid w:val="00C7060A"/>
    <w:rsid w:val="00C7151A"/>
    <w:rsid w:val="00C717E3"/>
    <w:rsid w:val="00C71F60"/>
    <w:rsid w:val="00C72241"/>
    <w:rsid w:val="00C750C8"/>
    <w:rsid w:val="00C7524D"/>
    <w:rsid w:val="00C7560F"/>
    <w:rsid w:val="00C763B2"/>
    <w:rsid w:val="00C77288"/>
    <w:rsid w:val="00C77798"/>
    <w:rsid w:val="00C80A0E"/>
    <w:rsid w:val="00C81060"/>
    <w:rsid w:val="00C8213F"/>
    <w:rsid w:val="00C8303F"/>
    <w:rsid w:val="00C85154"/>
    <w:rsid w:val="00C85A70"/>
    <w:rsid w:val="00C878FB"/>
    <w:rsid w:val="00C8797A"/>
    <w:rsid w:val="00C900B8"/>
    <w:rsid w:val="00C90197"/>
    <w:rsid w:val="00C90C71"/>
    <w:rsid w:val="00C912B2"/>
    <w:rsid w:val="00C91FD1"/>
    <w:rsid w:val="00C931CF"/>
    <w:rsid w:val="00C938CF"/>
    <w:rsid w:val="00C94053"/>
    <w:rsid w:val="00C9624D"/>
    <w:rsid w:val="00C969DA"/>
    <w:rsid w:val="00CA2C77"/>
    <w:rsid w:val="00CA3B2A"/>
    <w:rsid w:val="00CA444F"/>
    <w:rsid w:val="00CA4835"/>
    <w:rsid w:val="00CA5245"/>
    <w:rsid w:val="00CA71F4"/>
    <w:rsid w:val="00CA7B09"/>
    <w:rsid w:val="00CB12A5"/>
    <w:rsid w:val="00CB1CAC"/>
    <w:rsid w:val="00CB2F2A"/>
    <w:rsid w:val="00CB421C"/>
    <w:rsid w:val="00CB5B1A"/>
    <w:rsid w:val="00CB6B22"/>
    <w:rsid w:val="00CB6FB7"/>
    <w:rsid w:val="00CB7A18"/>
    <w:rsid w:val="00CB7F5F"/>
    <w:rsid w:val="00CC1B39"/>
    <w:rsid w:val="00CC1BFA"/>
    <w:rsid w:val="00CC1EDB"/>
    <w:rsid w:val="00CC2E9F"/>
    <w:rsid w:val="00CC35EA"/>
    <w:rsid w:val="00CC3848"/>
    <w:rsid w:val="00CC6502"/>
    <w:rsid w:val="00CC6D5E"/>
    <w:rsid w:val="00CC73D2"/>
    <w:rsid w:val="00CD0200"/>
    <w:rsid w:val="00CD2DE5"/>
    <w:rsid w:val="00CD3F77"/>
    <w:rsid w:val="00CD6ADC"/>
    <w:rsid w:val="00CD7193"/>
    <w:rsid w:val="00CE0D05"/>
    <w:rsid w:val="00CE2650"/>
    <w:rsid w:val="00CE38C8"/>
    <w:rsid w:val="00CE4F1D"/>
    <w:rsid w:val="00CE524F"/>
    <w:rsid w:val="00CE58CC"/>
    <w:rsid w:val="00CE6274"/>
    <w:rsid w:val="00CE77B6"/>
    <w:rsid w:val="00CF2976"/>
    <w:rsid w:val="00CF2B8D"/>
    <w:rsid w:val="00CF3A1B"/>
    <w:rsid w:val="00CF456B"/>
    <w:rsid w:val="00CF5A22"/>
    <w:rsid w:val="00CF65E3"/>
    <w:rsid w:val="00CF6C1A"/>
    <w:rsid w:val="00D0262E"/>
    <w:rsid w:val="00D03679"/>
    <w:rsid w:val="00D05E3D"/>
    <w:rsid w:val="00D05FC3"/>
    <w:rsid w:val="00D06139"/>
    <w:rsid w:val="00D110BD"/>
    <w:rsid w:val="00D13675"/>
    <w:rsid w:val="00D141E1"/>
    <w:rsid w:val="00D15314"/>
    <w:rsid w:val="00D15B48"/>
    <w:rsid w:val="00D16AAA"/>
    <w:rsid w:val="00D17D6C"/>
    <w:rsid w:val="00D2155B"/>
    <w:rsid w:val="00D22B1A"/>
    <w:rsid w:val="00D23D11"/>
    <w:rsid w:val="00D244B6"/>
    <w:rsid w:val="00D2754D"/>
    <w:rsid w:val="00D27B27"/>
    <w:rsid w:val="00D30D5B"/>
    <w:rsid w:val="00D33BE9"/>
    <w:rsid w:val="00D33F93"/>
    <w:rsid w:val="00D34FF6"/>
    <w:rsid w:val="00D357FF"/>
    <w:rsid w:val="00D424C7"/>
    <w:rsid w:val="00D43B2A"/>
    <w:rsid w:val="00D43CF1"/>
    <w:rsid w:val="00D43D83"/>
    <w:rsid w:val="00D4568F"/>
    <w:rsid w:val="00D47575"/>
    <w:rsid w:val="00D5243B"/>
    <w:rsid w:val="00D533EC"/>
    <w:rsid w:val="00D54B85"/>
    <w:rsid w:val="00D558D6"/>
    <w:rsid w:val="00D56A95"/>
    <w:rsid w:val="00D575B7"/>
    <w:rsid w:val="00D6076E"/>
    <w:rsid w:val="00D63DE2"/>
    <w:rsid w:val="00D67C1D"/>
    <w:rsid w:val="00D70D83"/>
    <w:rsid w:val="00D70F16"/>
    <w:rsid w:val="00D72617"/>
    <w:rsid w:val="00D72F57"/>
    <w:rsid w:val="00D74127"/>
    <w:rsid w:val="00D75A69"/>
    <w:rsid w:val="00D76A44"/>
    <w:rsid w:val="00D80532"/>
    <w:rsid w:val="00D815EF"/>
    <w:rsid w:val="00D81949"/>
    <w:rsid w:val="00D81F26"/>
    <w:rsid w:val="00D822E2"/>
    <w:rsid w:val="00D843F2"/>
    <w:rsid w:val="00D86231"/>
    <w:rsid w:val="00D868FC"/>
    <w:rsid w:val="00D912AB"/>
    <w:rsid w:val="00D91923"/>
    <w:rsid w:val="00D93753"/>
    <w:rsid w:val="00DA122C"/>
    <w:rsid w:val="00DA21BE"/>
    <w:rsid w:val="00DA3167"/>
    <w:rsid w:val="00DA4A99"/>
    <w:rsid w:val="00DA4DC3"/>
    <w:rsid w:val="00DA77A5"/>
    <w:rsid w:val="00DB0E36"/>
    <w:rsid w:val="00DB1F55"/>
    <w:rsid w:val="00DB20E9"/>
    <w:rsid w:val="00DB33CE"/>
    <w:rsid w:val="00DB3DBF"/>
    <w:rsid w:val="00DB484F"/>
    <w:rsid w:val="00DC04F6"/>
    <w:rsid w:val="00DC0690"/>
    <w:rsid w:val="00DC1372"/>
    <w:rsid w:val="00DC1D65"/>
    <w:rsid w:val="00DC3C57"/>
    <w:rsid w:val="00DC52E9"/>
    <w:rsid w:val="00DC5501"/>
    <w:rsid w:val="00DC5DE4"/>
    <w:rsid w:val="00DC7154"/>
    <w:rsid w:val="00DC7E8A"/>
    <w:rsid w:val="00DD02E4"/>
    <w:rsid w:val="00DD09B9"/>
    <w:rsid w:val="00DD0F78"/>
    <w:rsid w:val="00DD273C"/>
    <w:rsid w:val="00DD3F28"/>
    <w:rsid w:val="00DD4446"/>
    <w:rsid w:val="00DD4537"/>
    <w:rsid w:val="00DD4E15"/>
    <w:rsid w:val="00DD7771"/>
    <w:rsid w:val="00DE0586"/>
    <w:rsid w:val="00DE1BA0"/>
    <w:rsid w:val="00DE2304"/>
    <w:rsid w:val="00DE3138"/>
    <w:rsid w:val="00DE37F8"/>
    <w:rsid w:val="00DE4273"/>
    <w:rsid w:val="00DE4A7D"/>
    <w:rsid w:val="00DE4FCB"/>
    <w:rsid w:val="00DE5D07"/>
    <w:rsid w:val="00DE72A7"/>
    <w:rsid w:val="00DE7832"/>
    <w:rsid w:val="00DF11B2"/>
    <w:rsid w:val="00DF18FC"/>
    <w:rsid w:val="00DF42A8"/>
    <w:rsid w:val="00DF5D2B"/>
    <w:rsid w:val="00DF6341"/>
    <w:rsid w:val="00E00E8E"/>
    <w:rsid w:val="00E0311A"/>
    <w:rsid w:val="00E05630"/>
    <w:rsid w:val="00E058F0"/>
    <w:rsid w:val="00E05D63"/>
    <w:rsid w:val="00E06BED"/>
    <w:rsid w:val="00E06DBB"/>
    <w:rsid w:val="00E070A4"/>
    <w:rsid w:val="00E10149"/>
    <w:rsid w:val="00E11340"/>
    <w:rsid w:val="00E122A1"/>
    <w:rsid w:val="00E1245C"/>
    <w:rsid w:val="00E14F8B"/>
    <w:rsid w:val="00E16372"/>
    <w:rsid w:val="00E16A3A"/>
    <w:rsid w:val="00E16AD8"/>
    <w:rsid w:val="00E175BA"/>
    <w:rsid w:val="00E17FFA"/>
    <w:rsid w:val="00E2027F"/>
    <w:rsid w:val="00E20E4D"/>
    <w:rsid w:val="00E20ED6"/>
    <w:rsid w:val="00E21358"/>
    <w:rsid w:val="00E2249B"/>
    <w:rsid w:val="00E224D5"/>
    <w:rsid w:val="00E22A0D"/>
    <w:rsid w:val="00E244F6"/>
    <w:rsid w:val="00E25704"/>
    <w:rsid w:val="00E258AB"/>
    <w:rsid w:val="00E258DB"/>
    <w:rsid w:val="00E2771E"/>
    <w:rsid w:val="00E311EF"/>
    <w:rsid w:val="00E32180"/>
    <w:rsid w:val="00E32CDC"/>
    <w:rsid w:val="00E32FF7"/>
    <w:rsid w:val="00E3344C"/>
    <w:rsid w:val="00E34948"/>
    <w:rsid w:val="00E3728C"/>
    <w:rsid w:val="00E37569"/>
    <w:rsid w:val="00E401B2"/>
    <w:rsid w:val="00E40809"/>
    <w:rsid w:val="00E41E30"/>
    <w:rsid w:val="00E42F73"/>
    <w:rsid w:val="00E43D70"/>
    <w:rsid w:val="00E44EC0"/>
    <w:rsid w:val="00E466F3"/>
    <w:rsid w:val="00E46A23"/>
    <w:rsid w:val="00E47B2C"/>
    <w:rsid w:val="00E5072D"/>
    <w:rsid w:val="00E51560"/>
    <w:rsid w:val="00E51821"/>
    <w:rsid w:val="00E53FC8"/>
    <w:rsid w:val="00E54347"/>
    <w:rsid w:val="00E55424"/>
    <w:rsid w:val="00E55915"/>
    <w:rsid w:val="00E55BB5"/>
    <w:rsid w:val="00E611DF"/>
    <w:rsid w:val="00E65E79"/>
    <w:rsid w:val="00E66BA2"/>
    <w:rsid w:val="00E67416"/>
    <w:rsid w:val="00E718B6"/>
    <w:rsid w:val="00E723BA"/>
    <w:rsid w:val="00E72721"/>
    <w:rsid w:val="00E73581"/>
    <w:rsid w:val="00E738CE"/>
    <w:rsid w:val="00E75877"/>
    <w:rsid w:val="00E75C1F"/>
    <w:rsid w:val="00E77482"/>
    <w:rsid w:val="00E80DFE"/>
    <w:rsid w:val="00E833F7"/>
    <w:rsid w:val="00E83BDF"/>
    <w:rsid w:val="00E8451B"/>
    <w:rsid w:val="00E85DE5"/>
    <w:rsid w:val="00E86FCC"/>
    <w:rsid w:val="00E87A1D"/>
    <w:rsid w:val="00E9094A"/>
    <w:rsid w:val="00E91D35"/>
    <w:rsid w:val="00E926A5"/>
    <w:rsid w:val="00E93210"/>
    <w:rsid w:val="00E962CC"/>
    <w:rsid w:val="00EA05CA"/>
    <w:rsid w:val="00EA17C3"/>
    <w:rsid w:val="00EA18ED"/>
    <w:rsid w:val="00EA2CAA"/>
    <w:rsid w:val="00EA3864"/>
    <w:rsid w:val="00EA40D5"/>
    <w:rsid w:val="00EA40F6"/>
    <w:rsid w:val="00EA6E00"/>
    <w:rsid w:val="00EA7A48"/>
    <w:rsid w:val="00EA7F1C"/>
    <w:rsid w:val="00EB15B6"/>
    <w:rsid w:val="00EB3D06"/>
    <w:rsid w:val="00EB4916"/>
    <w:rsid w:val="00EB5297"/>
    <w:rsid w:val="00EB55A6"/>
    <w:rsid w:val="00EB580F"/>
    <w:rsid w:val="00EC00C9"/>
    <w:rsid w:val="00EC0DD9"/>
    <w:rsid w:val="00EC144D"/>
    <w:rsid w:val="00EC2649"/>
    <w:rsid w:val="00EC2ACC"/>
    <w:rsid w:val="00EC2C01"/>
    <w:rsid w:val="00EC2EAE"/>
    <w:rsid w:val="00EC31ED"/>
    <w:rsid w:val="00EC4844"/>
    <w:rsid w:val="00EC5836"/>
    <w:rsid w:val="00EC688C"/>
    <w:rsid w:val="00ED12E3"/>
    <w:rsid w:val="00ED1367"/>
    <w:rsid w:val="00ED4B04"/>
    <w:rsid w:val="00ED57EA"/>
    <w:rsid w:val="00ED5B02"/>
    <w:rsid w:val="00ED5BD4"/>
    <w:rsid w:val="00ED6414"/>
    <w:rsid w:val="00ED7AC7"/>
    <w:rsid w:val="00EE07D3"/>
    <w:rsid w:val="00EE1996"/>
    <w:rsid w:val="00EE19D7"/>
    <w:rsid w:val="00EE1C01"/>
    <w:rsid w:val="00EE1FE4"/>
    <w:rsid w:val="00EE22AF"/>
    <w:rsid w:val="00EE356A"/>
    <w:rsid w:val="00EF0171"/>
    <w:rsid w:val="00EF126B"/>
    <w:rsid w:val="00EF1B25"/>
    <w:rsid w:val="00EF1DA0"/>
    <w:rsid w:val="00EF4747"/>
    <w:rsid w:val="00EF4BF8"/>
    <w:rsid w:val="00F012DA"/>
    <w:rsid w:val="00F02253"/>
    <w:rsid w:val="00F03095"/>
    <w:rsid w:val="00F03C2E"/>
    <w:rsid w:val="00F04A66"/>
    <w:rsid w:val="00F04B4B"/>
    <w:rsid w:val="00F04CE9"/>
    <w:rsid w:val="00F0516C"/>
    <w:rsid w:val="00F05AC4"/>
    <w:rsid w:val="00F067A2"/>
    <w:rsid w:val="00F06AF2"/>
    <w:rsid w:val="00F06C6E"/>
    <w:rsid w:val="00F07207"/>
    <w:rsid w:val="00F07B9E"/>
    <w:rsid w:val="00F07C2E"/>
    <w:rsid w:val="00F1116F"/>
    <w:rsid w:val="00F111E6"/>
    <w:rsid w:val="00F1263A"/>
    <w:rsid w:val="00F13064"/>
    <w:rsid w:val="00F137C5"/>
    <w:rsid w:val="00F139C5"/>
    <w:rsid w:val="00F14F6B"/>
    <w:rsid w:val="00F15B77"/>
    <w:rsid w:val="00F17AAF"/>
    <w:rsid w:val="00F20A6D"/>
    <w:rsid w:val="00F21236"/>
    <w:rsid w:val="00F234ED"/>
    <w:rsid w:val="00F239DF"/>
    <w:rsid w:val="00F24837"/>
    <w:rsid w:val="00F24E28"/>
    <w:rsid w:val="00F2575F"/>
    <w:rsid w:val="00F27565"/>
    <w:rsid w:val="00F310D4"/>
    <w:rsid w:val="00F316D5"/>
    <w:rsid w:val="00F31D5A"/>
    <w:rsid w:val="00F327F9"/>
    <w:rsid w:val="00F33975"/>
    <w:rsid w:val="00F33DE9"/>
    <w:rsid w:val="00F35E6D"/>
    <w:rsid w:val="00F3619A"/>
    <w:rsid w:val="00F37B76"/>
    <w:rsid w:val="00F406DA"/>
    <w:rsid w:val="00F40AAA"/>
    <w:rsid w:val="00F40BA7"/>
    <w:rsid w:val="00F40F9D"/>
    <w:rsid w:val="00F41ACD"/>
    <w:rsid w:val="00F46962"/>
    <w:rsid w:val="00F46CB6"/>
    <w:rsid w:val="00F4756D"/>
    <w:rsid w:val="00F47DE8"/>
    <w:rsid w:val="00F538AD"/>
    <w:rsid w:val="00F538D5"/>
    <w:rsid w:val="00F542C1"/>
    <w:rsid w:val="00F550E3"/>
    <w:rsid w:val="00F55856"/>
    <w:rsid w:val="00F55E73"/>
    <w:rsid w:val="00F55EDA"/>
    <w:rsid w:val="00F56C80"/>
    <w:rsid w:val="00F60092"/>
    <w:rsid w:val="00F61C18"/>
    <w:rsid w:val="00F63E97"/>
    <w:rsid w:val="00F657A5"/>
    <w:rsid w:val="00F65F4B"/>
    <w:rsid w:val="00F67A69"/>
    <w:rsid w:val="00F70BFF"/>
    <w:rsid w:val="00F70C9D"/>
    <w:rsid w:val="00F73E08"/>
    <w:rsid w:val="00F74CD9"/>
    <w:rsid w:val="00F7537E"/>
    <w:rsid w:val="00F80A7B"/>
    <w:rsid w:val="00F80D77"/>
    <w:rsid w:val="00F80E5D"/>
    <w:rsid w:val="00F81E78"/>
    <w:rsid w:val="00F835AA"/>
    <w:rsid w:val="00F83916"/>
    <w:rsid w:val="00F851CE"/>
    <w:rsid w:val="00F87AC8"/>
    <w:rsid w:val="00F90D59"/>
    <w:rsid w:val="00F91219"/>
    <w:rsid w:val="00F91A6E"/>
    <w:rsid w:val="00F91D8A"/>
    <w:rsid w:val="00F92444"/>
    <w:rsid w:val="00F9393E"/>
    <w:rsid w:val="00F96FD0"/>
    <w:rsid w:val="00F97A78"/>
    <w:rsid w:val="00FA07B0"/>
    <w:rsid w:val="00FA089D"/>
    <w:rsid w:val="00FA0998"/>
    <w:rsid w:val="00FA0B20"/>
    <w:rsid w:val="00FA24E7"/>
    <w:rsid w:val="00FA28E0"/>
    <w:rsid w:val="00FA2E98"/>
    <w:rsid w:val="00FA5EE6"/>
    <w:rsid w:val="00FA6A63"/>
    <w:rsid w:val="00FA7956"/>
    <w:rsid w:val="00FB0824"/>
    <w:rsid w:val="00FB2167"/>
    <w:rsid w:val="00FB2FCB"/>
    <w:rsid w:val="00FB3D76"/>
    <w:rsid w:val="00FB4C9C"/>
    <w:rsid w:val="00FB7C55"/>
    <w:rsid w:val="00FC1074"/>
    <w:rsid w:val="00FC1884"/>
    <w:rsid w:val="00FC371D"/>
    <w:rsid w:val="00FC568E"/>
    <w:rsid w:val="00FC5F0B"/>
    <w:rsid w:val="00FC7265"/>
    <w:rsid w:val="00FD081E"/>
    <w:rsid w:val="00FD2100"/>
    <w:rsid w:val="00FD436C"/>
    <w:rsid w:val="00FD446D"/>
    <w:rsid w:val="00FD4F2C"/>
    <w:rsid w:val="00FD6394"/>
    <w:rsid w:val="00FE0E6C"/>
    <w:rsid w:val="00FE1CDC"/>
    <w:rsid w:val="00FE2482"/>
    <w:rsid w:val="00FE70C3"/>
    <w:rsid w:val="00FF1A8B"/>
    <w:rsid w:val="00FF2AD9"/>
    <w:rsid w:val="00FF359F"/>
    <w:rsid w:val="00FF3DCF"/>
    <w:rsid w:val="00FF492C"/>
    <w:rsid w:val="00FF4974"/>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626"/>
    <w:pPr>
      <w:jc w:val="both"/>
    </w:pPr>
    <w:rPr>
      <w:rFonts w:ascii="Calibri" w:hAnsi="Calibri" w:cs="Arial"/>
      <w:sz w:val="24"/>
      <w:szCs w:val="24"/>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9C068A"/>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TextRight">
    <w:name w:val="Table Text Right"/>
    <w:basedOn w:val="TableText0"/>
    <w:link w:val="TableTextRightChar"/>
    <w:qFormat/>
    <w:rsid w:val="00670439"/>
    <w:pPr>
      <w:keepNext w:val="0"/>
      <w:spacing w:before="40" w:after="40"/>
      <w:jc w:val="right"/>
    </w:pPr>
    <w:rPr>
      <w:rFonts w:asciiTheme="minorHAnsi" w:eastAsiaTheme="minorHAnsi" w:hAnsiTheme="minorHAnsi" w:cstheme="minorBidi"/>
      <w:bCs w:val="0"/>
      <w:szCs w:val="22"/>
      <w:lang w:val="de-DE" w:eastAsia="en-US"/>
    </w:rPr>
  </w:style>
  <w:style w:type="character" w:customStyle="1" w:styleId="TableTextRightChar">
    <w:name w:val="Table Text Right Char"/>
    <w:basedOn w:val="DefaultParagraphFont"/>
    <w:link w:val="TableTextRight"/>
    <w:rsid w:val="00670439"/>
    <w:rPr>
      <w:rFonts w:asciiTheme="minorHAnsi" w:eastAsiaTheme="minorHAnsi" w:hAnsiTheme="minorHAnsi" w:cstheme="minorBidi"/>
      <w:szCs w:val="22"/>
      <w:lang w:val="de-DE" w:eastAsia="en-US"/>
    </w:rPr>
  </w:style>
  <w:style w:type="paragraph" w:styleId="FootnoteText">
    <w:name w:val="footnote text"/>
    <w:basedOn w:val="Normal"/>
    <w:link w:val="FootnoteTextChar"/>
    <w:uiPriority w:val="99"/>
    <w:semiHidden/>
    <w:unhideWhenUsed/>
    <w:rsid w:val="002D39B7"/>
    <w:rPr>
      <w:sz w:val="20"/>
      <w:szCs w:val="20"/>
    </w:rPr>
  </w:style>
  <w:style w:type="character" w:customStyle="1" w:styleId="FootnoteTextChar">
    <w:name w:val="Footnote Text Char"/>
    <w:basedOn w:val="DefaultParagraphFont"/>
    <w:link w:val="FootnoteText"/>
    <w:uiPriority w:val="99"/>
    <w:semiHidden/>
    <w:rsid w:val="002D39B7"/>
    <w:rPr>
      <w:rFonts w:ascii="Calibri" w:hAnsi="Calibri" w:cs="Arial"/>
    </w:rPr>
  </w:style>
  <w:style w:type="character" w:styleId="FootnoteReference">
    <w:name w:val="footnote reference"/>
    <w:basedOn w:val="DefaultParagraphFont"/>
    <w:uiPriority w:val="99"/>
    <w:semiHidden/>
    <w:unhideWhenUsed/>
    <w:rsid w:val="002D39B7"/>
    <w:rPr>
      <w:vertAlign w:val="superscript"/>
    </w:rPr>
  </w:style>
  <w:style w:type="character" w:styleId="UnresolvedMention">
    <w:name w:val="Unresolved Mention"/>
    <w:basedOn w:val="DefaultParagraphFont"/>
    <w:uiPriority w:val="99"/>
    <w:semiHidden/>
    <w:unhideWhenUsed/>
    <w:rsid w:val="002D39B7"/>
    <w:rPr>
      <w:color w:val="605E5C"/>
      <w:shd w:val="clear" w:color="auto" w:fill="E1DFDD"/>
    </w:rPr>
  </w:style>
  <w:style w:type="numbering" w:customStyle="1" w:styleId="PBAC">
    <w:name w:val="PBAC"/>
    <w:uiPriority w:val="99"/>
    <w:rsid w:val="00551C17"/>
    <w:pPr>
      <w:numPr>
        <w:numId w:val="7"/>
      </w:numPr>
    </w:pPr>
  </w:style>
  <w:style w:type="table" w:customStyle="1" w:styleId="TableHTAsimple">
    <w:name w:val="Table HTA simple"/>
    <w:basedOn w:val="TableNormal"/>
    <w:uiPriority w:val="99"/>
    <w:rsid w:val="00A63E82"/>
    <w:rPr>
      <w:rFonts w:asciiTheme="minorHAnsi" w:eastAsiaTheme="minorHAnsi" w:hAnsiTheme="minorHAnsi" w:cstheme="minorBidi"/>
      <w:sz w:val="18"/>
      <w:szCs w:val="22"/>
      <w:lang w:val="de-DE" w:eastAsia="en-US"/>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SyneviNormal">
    <w:name w:val="Synevi Normal"/>
    <w:basedOn w:val="Normal"/>
    <w:link w:val="SyneviNormalChar"/>
    <w:qFormat/>
    <w:rsid w:val="00716441"/>
    <w:pPr>
      <w:spacing w:line="360" w:lineRule="auto"/>
    </w:pPr>
    <w:rPr>
      <w:rFonts w:asciiTheme="minorHAnsi" w:hAnsiTheme="minorHAnsi" w:cs="Times New Roman"/>
      <w:sz w:val="22"/>
      <w:szCs w:val="20"/>
      <w:lang w:val="en-US" w:eastAsia="en-US"/>
    </w:rPr>
  </w:style>
  <w:style w:type="character" w:customStyle="1" w:styleId="SyneviNormalChar">
    <w:name w:val="Synevi Normal Char"/>
    <w:basedOn w:val="DefaultParagraphFont"/>
    <w:link w:val="SyneviNormal"/>
    <w:rsid w:val="00716441"/>
    <w:rPr>
      <w:rFonts w:asciiTheme="minorHAnsi" w:hAnsiTheme="minorHAnsi"/>
      <w:sz w:val="22"/>
      <w:lang w:val="en-US" w:eastAsia="en-US"/>
    </w:rPr>
  </w:style>
  <w:style w:type="table" w:customStyle="1" w:styleId="HTATableshaded">
    <w:name w:val="HTA Table shaded"/>
    <w:basedOn w:val="TableNormal"/>
    <w:rsid w:val="00B86E1C"/>
    <w:pPr>
      <w:spacing w:before="40" w:after="20"/>
    </w:pPr>
    <w:rPr>
      <w:rFonts w:ascii="Calibri" w:hAnsi="Calibri"/>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leGridbeth1">
    <w:name w:val="Table Gridbeth1"/>
    <w:basedOn w:val="TableNormal"/>
    <w:next w:val="TableGrid"/>
    <w:uiPriority w:val="39"/>
    <w:rsid w:val="0036152E"/>
    <w:pPr>
      <w:spacing w:before="20" w:after="20"/>
    </w:pPr>
    <w:rPr>
      <w:rFonts w:asciiTheme="minorHAnsi" w:hAnsiTheme="minorHAnsi"/>
      <w:sz w:val="18"/>
    </w:rPr>
    <w:tblPr>
      <w:tblBorders>
        <w:bottom w:val="single" w:sz="6" w:space="0" w:color="auto"/>
        <w:insideH w:val="single" w:sz="4" w:space="0" w:color="auto"/>
      </w:tblBorders>
    </w:tblPr>
    <w:trPr>
      <w:tblHeader/>
    </w:trPr>
    <w:tcPr>
      <w:vAlign w:val="center"/>
    </w:tcPr>
    <w:tblStylePr w:type="firstRow">
      <w:pPr>
        <w:keepNext/>
        <w:wordWrap/>
        <w:spacing w:line="240" w:lineRule="auto"/>
      </w:pPr>
      <w:rPr>
        <w:rFonts w:asciiTheme="minorHAnsi" w:hAnsiTheme="minorHAnsi"/>
        <w:b w:val="0"/>
        <w:i w:val="0"/>
        <w:sz w:val="18"/>
        <w:szCs w:val="22"/>
      </w:rPr>
      <w:tblPr/>
      <w:tcPr>
        <w:tcBorders>
          <w:top w:val="single" w:sz="4" w:space="0" w:color="auto"/>
          <w:left w:val="nil"/>
          <w:bottom w:val="nil"/>
          <w:right w:val="nil"/>
          <w:insideH w:val="nil"/>
          <w:insideV w:val="nil"/>
          <w:tl2br w:val="nil"/>
          <w:tr2bl w:val="nil"/>
        </w:tcBorders>
      </w:tcPr>
    </w:tblStylePr>
  </w:style>
  <w:style w:type="table" w:styleId="ListTable4-Accent3">
    <w:name w:val="List Table 4 Accent 3"/>
    <w:basedOn w:val="TableNormal"/>
    <w:uiPriority w:val="49"/>
    <w:rsid w:val="0076383D"/>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3Bodytext">
    <w:name w:val="3. Body text"/>
    <w:basedOn w:val="ListParagraph"/>
    <w:link w:val="3BodytextChar"/>
    <w:qFormat/>
    <w:rsid w:val="0039604D"/>
    <w:pPr>
      <w:numPr>
        <w:numId w:val="0"/>
      </w:numPr>
      <w:ind w:left="720" w:hanging="720"/>
      <w:jc w:val="left"/>
    </w:pPr>
    <w:rPr>
      <w:rFonts w:eastAsiaTheme="minorHAnsi" w:cstheme="minorBidi"/>
      <w:snapToGrid/>
      <w:szCs w:val="22"/>
    </w:rPr>
  </w:style>
  <w:style w:type="character" w:customStyle="1" w:styleId="3BodytextChar">
    <w:name w:val="3. Body text Char"/>
    <w:basedOn w:val="DefaultParagraphFont"/>
    <w:link w:val="3Bodytext"/>
    <w:rsid w:val="0039604D"/>
    <w:rPr>
      <w:rFonts w:asciiTheme="minorHAnsi" w:eastAsiaTheme="minorHAnsi" w:hAnsiTheme="minorHAnsi" w:cstheme="minorBidi"/>
      <w:sz w:val="24"/>
      <w:szCs w:val="22"/>
    </w:rPr>
  </w:style>
  <w:style w:type="character" w:customStyle="1" w:styleId="Heading1Char">
    <w:name w:val="Heading 1 Char"/>
    <w:basedOn w:val="DefaultParagraphFont"/>
    <w:link w:val="Heading1"/>
    <w:uiPriority w:val="1"/>
    <w:rsid w:val="00537EA2"/>
    <w:rPr>
      <w:rFonts w:ascii="Calibri" w:hAnsi="Calibri" w:cs="Arial"/>
      <w:b/>
      <w:caps/>
      <w:sz w:val="32"/>
      <w:szCs w:val="24"/>
    </w:rPr>
  </w:style>
  <w:style w:type="character" w:customStyle="1" w:styleId="Heading3Char">
    <w:name w:val="Heading 3 Char"/>
    <w:basedOn w:val="DefaultParagraphFont"/>
    <w:link w:val="Heading3"/>
    <w:rsid w:val="00537EA2"/>
    <w:rPr>
      <w:rFonts w:ascii="Calibri" w:hAnsi="Calibri" w:cs="Arial"/>
      <w:sz w:val="24"/>
      <w:szCs w:val="24"/>
      <w:u w:val="single"/>
    </w:rPr>
  </w:style>
  <w:style w:type="character" w:customStyle="1" w:styleId="Heading4Char">
    <w:name w:val="Heading 4 Char"/>
    <w:basedOn w:val="DefaultParagraphFont"/>
    <w:link w:val="Heading4"/>
    <w:rsid w:val="00537EA2"/>
    <w:rPr>
      <w:rFonts w:ascii="Calibri" w:hAnsi="Calibri" w:cs="Arial"/>
      <w:b/>
      <w:bCs/>
      <w:i/>
      <w:sz w:val="26"/>
      <w:szCs w:val="28"/>
    </w:rPr>
  </w:style>
  <w:style w:type="character" w:customStyle="1" w:styleId="Heading5Char">
    <w:name w:val="Heading 5 Char"/>
    <w:basedOn w:val="DefaultParagraphFont"/>
    <w:link w:val="Heading5"/>
    <w:rsid w:val="00537EA2"/>
    <w:rPr>
      <w:rFonts w:ascii="Calibri" w:hAnsi="Calibri" w:cs="Arial"/>
      <w:b/>
      <w:bCs/>
      <w:iCs/>
      <w:sz w:val="26"/>
      <w:szCs w:val="26"/>
    </w:rPr>
  </w:style>
  <w:style w:type="character" w:customStyle="1" w:styleId="Heading6Char">
    <w:name w:val="Heading 6 Char"/>
    <w:basedOn w:val="DefaultParagraphFont"/>
    <w:link w:val="Heading6"/>
    <w:rsid w:val="00537EA2"/>
    <w:rPr>
      <w:rFonts w:ascii="Calibri" w:hAnsi="Calibri" w:cs="Arial"/>
      <w:b/>
      <w:bCs/>
      <w:i/>
      <w:sz w:val="24"/>
      <w:szCs w:val="24"/>
    </w:rPr>
  </w:style>
  <w:style w:type="paragraph" w:customStyle="1" w:styleId="3-SubsectionHeading">
    <w:name w:val="3-Subsection Heading"/>
    <w:basedOn w:val="Heading2"/>
    <w:next w:val="Normal"/>
    <w:link w:val="3-SubsectionHeadingChar"/>
    <w:qFormat/>
    <w:rsid w:val="00167752"/>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167752"/>
    <w:rPr>
      <w:rFonts w:asciiTheme="minorHAnsi" w:eastAsiaTheme="majorEastAsia" w:hAnsiTheme="minorHAnsi" w:cstheme="majorBidi"/>
      <w:b/>
      <w:i/>
      <w:snapToGrid/>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216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76771709">
      <w:bodyDiv w:val="1"/>
      <w:marLeft w:val="0"/>
      <w:marRight w:val="0"/>
      <w:marTop w:val="0"/>
      <w:marBottom w:val="0"/>
      <w:divBdr>
        <w:top w:val="none" w:sz="0" w:space="0" w:color="auto"/>
        <w:left w:val="none" w:sz="0" w:space="0" w:color="auto"/>
        <w:bottom w:val="none" w:sz="0" w:space="0" w:color="auto"/>
        <w:right w:val="none" w:sz="0" w:space="0" w:color="auto"/>
      </w:divBdr>
    </w:div>
    <w:div w:id="22284007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08499313">
      <w:bodyDiv w:val="1"/>
      <w:marLeft w:val="0"/>
      <w:marRight w:val="0"/>
      <w:marTop w:val="0"/>
      <w:marBottom w:val="0"/>
      <w:divBdr>
        <w:top w:val="none" w:sz="0" w:space="0" w:color="auto"/>
        <w:left w:val="none" w:sz="0" w:space="0" w:color="auto"/>
        <w:bottom w:val="none" w:sz="0" w:space="0" w:color="auto"/>
        <w:right w:val="none" w:sz="0" w:space="0" w:color="auto"/>
      </w:divBdr>
    </w:div>
    <w:div w:id="458839385">
      <w:bodyDiv w:val="1"/>
      <w:marLeft w:val="0"/>
      <w:marRight w:val="0"/>
      <w:marTop w:val="0"/>
      <w:marBottom w:val="0"/>
      <w:divBdr>
        <w:top w:val="none" w:sz="0" w:space="0" w:color="auto"/>
        <w:left w:val="none" w:sz="0" w:space="0" w:color="auto"/>
        <w:bottom w:val="none" w:sz="0" w:space="0" w:color="auto"/>
        <w:right w:val="none" w:sz="0" w:space="0" w:color="auto"/>
      </w:divBdr>
    </w:div>
    <w:div w:id="470709396">
      <w:bodyDiv w:val="1"/>
      <w:marLeft w:val="0"/>
      <w:marRight w:val="0"/>
      <w:marTop w:val="0"/>
      <w:marBottom w:val="0"/>
      <w:divBdr>
        <w:top w:val="none" w:sz="0" w:space="0" w:color="auto"/>
        <w:left w:val="none" w:sz="0" w:space="0" w:color="auto"/>
        <w:bottom w:val="none" w:sz="0" w:space="0" w:color="auto"/>
        <w:right w:val="none" w:sz="0" w:space="0" w:color="auto"/>
      </w:divBdr>
    </w:div>
    <w:div w:id="718627058">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7906173">
      <w:bodyDiv w:val="1"/>
      <w:marLeft w:val="0"/>
      <w:marRight w:val="0"/>
      <w:marTop w:val="0"/>
      <w:marBottom w:val="0"/>
      <w:divBdr>
        <w:top w:val="none" w:sz="0" w:space="0" w:color="auto"/>
        <w:left w:val="none" w:sz="0" w:space="0" w:color="auto"/>
        <w:bottom w:val="none" w:sz="0" w:space="0" w:color="auto"/>
        <w:right w:val="none" w:sz="0" w:space="0" w:color="auto"/>
      </w:divBdr>
    </w:div>
    <w:div w:id="910505348">
      <w:bodyDiv w:val="1"/>
      <w:marLeft w:val="0"/>
      <w:marRight w:val="0"/>
      <w:marTop w:val="0"/>
      <w:marBottom w:val="0"/>
      <w:divBdr>
        <w:top w:val="none" w:sz="0" w:space="0" w:color="auto"/>
        <w:left w:val="none" w:sz="0" w:space="0" w:color="auto"/>
        <w:bottom w:val="none" w:sz="0" w:space="0" w:color="auto"/>
        <w:right w:val="none" w:sz="0" w:space="0" w:color="auto"/>
      </w:divBdr>
    </w:div>
    <w:div w:id="996999621">
      <w:bodyDiv w:val="1"/>
      <w:marLeft w:val="0"/>
      <w:marRight w:val="0"/>
      <w:marTop w:val="0"/>
      <w:marBottom w:val="0"/>
      <w:divBdr>
        <w:top w:val="none" w:sz="0" w:space="0" w:color="auto"/>
        <w:left w:val="none" w:sz="0" w:space="0" w:color="auto"/>
        <w:bottom w:val="none" w:sz="0" w:space="0" w:color="auto"/>
        <w:right w:val="none" w:sz="0" w:space="0" w:color="auto"/>
      </w:divBdr>
    </w:div>
    <w:div w:id="1009940524">
      <w:bodyDiv w:val="1"/>
      <w:marLeft w:val="0"/>
      <w:marRight w:val="0"/>
      <w:marTop w:val="0"/>
      <w:marBottom w:val="0"/>
      <w:divBdr>
        <w:top w:val="none" w:sz="0" w:space="0" w:color="auto"/>
        <w:left w:val="none" w:sz="0" w:space="0" w:color="auto"/>
        <w:bottom w:val="none" w:sz="0" w:space="0" w:color="auto"/>
        <w:right w:val="none" w:sz="0" w:space="0" w:color="auto"/>
      </w:divBdr>
    </w:div>
    <w:div w:id="1134832657">
      <w:bodyDiv w:val="1"/>
      <w:marLeft w:val="0"/>
      <w:marRight w:val="0"/>
      <w:marTop w:val="0"/>
      <w:marBottom w:val="0"/>
      <w:divBdr>
        <w:top w:val="none" w:sz="0" w:space="0" w:color="auto"/>
        <w:left w:val="none" w:sz="0" w:space="0" w:color="auto"/>
        <w:bottom w:val="none" w:sz="0" w:space="0" w:color="auto"/>
        <w:right w:val="none" w:sz="0" w:space="0" w:color="auto"/>
      </w:divBdr>
    </w:div>
    <w:div w:id="114531497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186484246">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34926839">
      <w:bodyDiv w:val="1"/>
      <w:marLeft w:val="0"/>
      <w:marRight w:val="0"/>
      <w:marTop w:val="0"/>
      <w:marBottom w:val="0"/>
      <w:divBdr>
        <w:top w:val="none" w:sz="0" w:space="0" w:color="auto"/>
        <w:left w:val="none" w:sz="0" w:space="0" w:color="auto"/>
        <w:bottom w:val="none" w:sz="0" w:space="0" w:color="auto"/>
        <w:right w:val="none" w:sz="0" w:space="0" w:color="auto"/>
      </w:divBdr>
    </w:div>
    <w:div w:id="1288585740">
      <w:bodyDiv w:val="1"/>
      <w:marLeft w:val="0"/>
      <w:marRight w:val="0"/>
      <w:marTop w:val="0"/>
      <w:marBottom w:val="0"/>
      <w:divBdr>
        <w:top w:val="none" w:sz="0" w:space="0" w:color="auto"/>
        <w:left w:val="none" w:sz="0" w:space="0" w:color="auto"/>
        <w:bottom w:val="none" w:sz="0" w:space="0" w:color="auto"/>
        <w:right w:val="none" w:sz="0" w:space="0" w:color="auto"/>
      </w:divBdr>
    </w:div>
    <w:div w:id="1341808418">
      <w:bodyDiv w:val="1"/>
      <w:marLeft w:val="0"/>
      <w:marRight w:val="0"/>
      <w:marTop w:val="0"/>
      <w:marBottom w:val="0"/>
      <w:divBdr>
        <w:top w:val="none" w:sz="0" w:space="0" w:color="auto"/>
        <w:left w:val="none" w:sz="0" w:space="0" w:color="auto"/>
        <w:bottom w:val="none" w:sz="0" w:space="0" w:color="auto"/>
        <w:right w:val="none" w:sz="0" w:space="0" w:color="auto"/>
      </w:divBdr>
    </w:div>
    <w:div w:id="1357732969">
      <w:bodyDiv w:val="1"/>
      <w:marLeft w:val="0"/>
      <w:marRight w:val="0"/>
      <w:marTop w:val="0"/>
      <w:marBottom w:val="0"/>
      <w:divBdr>
        <w:top w:val="none" w:sz="0" w:space="0" w:color="auto"/>
        <w:left w:val="none" w:sz="0" w:space="0" w:color="auto"/>
        <w:bottom w:val="none" w:sz="0" w:space="0" w:color="auto"/>
        <w:right w:val="none" w:sz="0" w:space="0" w:color="auto"/>
      </w:divBdr>
    </w:div>
    <w:div w:id="1467695766">
      <w:bodyDiv w:val="1"/>
      <w:marLeft w:val="0"/>
      <w:marRight w:val="0"/>
      <w:marTop w:val="0"/>
      <w:marBottom w:val="0"/>
      <w:divBdr>
        <w:top w:val="none" w:sz="0" w:space="0" w:color="auto"/>
        <w:left w:val="none" w:sz="0" w:space="0" w:color="auto"/>
        <w:bottom w:val="none" w:sz="0" w:space="0" w:color="auto"/>
        <w:right w:val="none" w:sz="0" w:space="0" w:color="auto"/>
      </w:divBdr>
    </w:div>
    <w:div w:id="1481002455">
      <w:bodyDiv w:val="1"/>
      <w:marLeft w:val="0"/>
      <w:marRight w:val="0"/>
      <w:marTop w:val="0"/>
      <w:marBottom w:val="0"/>
      <w:divBdr>
        <w:top w:val="none" w:sz="0" w:space="0" w:color="auto"/>
        <w:left w:val="none" w:sz="0" w:space="0" w:color="auto"/>
        <w:bottom w:val="none" w:sz="0" w:space="0" w:color="auto"/>
        <w:right w:val="none" w:sz="0" w:space="0" w:color="auto"/>
      </w:divBdr>
    </w:div>
    <w:div w:id="1533956870">
      <w:bodyDiv w:val="1"/>
      <w:marLeft w:val="0"/>
      <w:marRight w:val="0"/>
      <w:marTop w:val="0"/>
      <w:marBottom w:val="0"/>
      <w:divBdr>
        <w:top w:val="none" w:sz="0" w:space="0" w:color="auto"/>
        <w:left w:val="none" w:sz="0" w:space="0" w:color="auto"/>
        <w:bottom w:val="none" w:sz="0" w:space="0" w:color="auto"/>
        <w:right w:val="none" w:sz="0" w:space="0" w:color="auto"/>
      </w:divBdr>
    </w:div>
    <w:div w:id="1653750296">
      <w:bodyDiv w:val="1"/>
      <w:marLeft w:val="0"/>
      <w:marRight w:val="0"/>
      <w:marTop w:val="0"/>
      <w:marBottom w:val="0"/>
      <w:divBdr>
        <w:top w:val="none" w:sz="0" w:space="0" w:color="auto"/>
        <w:left w:val="none" w:sz="0" w:space="0" w:color="auto"/>
        <w:bottom w:val="none" w:sz="0" w:space="0" w:color="auto"/>
        <w:right w:val="none" w:sz="0" w:space="0" w:color="auto"/>
      </w:divBdr>
    </w:div>
    <w:div w:id="1705128952">
      <w:bodyDiv w:val="1"/>
      <w:marLeft w:val="0"/>
      <w:marRight w:val="0"/>
      <w:marTop w:val="0"/>
      <w:marBottom w:val="0"/>
      <w:divBdr>
        <w:top w:val="none" w:sz="0" w:space="0" w:color="auto"/>
        <w:left w:val="none" w:sz="0" w:space="0" w:color="auto"/>
        <w:bottom w:val="none" w:sz="0" w:space="0" w:color="auto"/>
        <w:right w:val="none" w:sz="0" w:space="0" w:color="auto"/>
      </w:divBdr>
    </w:div>
    <w:div w:id="1711150728">
      <w:bodyDiv w:val="1"/>
      <w:marLeft w:val="0"/>
      <w:marRight w:val="0"/>
      <w:marTop w:val="0"/>
      <w:marBottom w:val="0"/>
      <w:divBdr>
        <w:top w:val="none" w:sz="0" w:space="0" w:color="auto"/>
        <w:left w:val="none" w:sz="0" w:space="0" w:color="auto"/>
        <w:bottom w:val="none" w:sz="0" w:space="0" w:color="auto"/>
        <w:right w:val="none" w:sz="0" w:space="0" w:color="auto"/>
      </w:divBdr>
    </w:div>
    <w:div w:id="187396101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6831879">
      <w:bodyDiv w:val="1"/>
      <w:marLeft w:val="0"/>
      <w:marRight w:val="0"/>
      <w:marTop w:val="0"/>
      <w:marBottom w:val="0"/>
      <w:divBdr>
        <w:top w:val="none" w:sz="0" w:space="0" w:color="auto"/>
        <w:left w:val="none" w:sz="0" w:space="0" w:color="auto"/>
        <w:bottom w:val="none" w:sz="0" w:space="0" w:color="auto"/>
        <w:right w:val="none" w:sz="0" w:space="0" w:color="auto"/>
      </w:divBdr>
    </w:div>
    <w:div w:id="1984577604">
      <w:bodyDiv w:val="1"/>
      <w:marLeft w:val="0"/>
      <w:marRight w:val="0"/>
      <w:marTop w:val="0"/>
      <w:marBottom w:val="0"/>
      <w:divBdr>
        <w:top w:val="none" w:sz="0" w:space="0" w:color="auto"/>
        <w:left w:val="none" w:sz="0" w:space="0" w:color="auto"/>
        <w:bottom w:val="none" w:sz="0" w:space="0" w:color="auto"/>
        <w:right w:val="none" w:sz="0" w:space="0" w:color="auto"/>
      </w:divBdr>
    </w:div>
    <w:div w:id="1988315646">
      <w:bodyDiv w:val="1"/>
      <w:marLeft w:val="0"/>
      <w:marRight w:val="0"/>
      <w:marTop w:val="0"/>
      <w:marBottom w:val="0"/>
      <w:divBdr>
        <w:top w:val="none" w:sz="0" w:space="0" w:color="auto"/>
        <w:left w:val="none" w:sz="0" w:space="0" w:color="auto"/>
        <w:bottom w:val="none" w:sz="0" w:space="0" w:color="auto"/>
        <w:right w:val="none" w:sz="0" w:space="0" w:color="auto"/>
      </w:divBdr>
    </w:div>
    <w:div w:id="20176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13482</Words>
  <Characters>71015</Characters>
  <Application>Microsoft Office Word</Application>
  <DocSecurity>0</DocSecurity>
  <Lines>591</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2024-07-04T01:40:00Z</dcterms:created>
  <dcterms:modified xsi:type="dcterms:W3CDTF">2024-07-04T01:46:00Z</dcterms:modified>
</cp:coreProperties>
</file>